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r>
        <w:rPr>
          <w:sz w:val="24"/>
          <w:szCs w:val="24"/>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543800" cy="98298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543800" cy="9829800"/>
                    </a:xfrm>
                    <a:prstGeom prst="rect">
                      <a:avLst/>
                    </a:prstGeom>
                    <a:noFill/>
                  </pic:spPr>
                </pic:pic>
              </a:graphicData>
            </a:graphic>
          </wp:anchor>
        </w:drawing>
      </w:r>
    </w:p>
    <w:p>
      <w:pPr>
        <w:sectPr>
          <w:pgSz w:w="11880" w:h="15480" w:orient="portrait"/>
          <w:cols w:equalWidth="1" w:num="1" w:space="0"/>
          <w:pgMar w:left="1440" w:top="1440" w:right="1440" w:bottom="875" w:gutter="0" w:footer="0" w:header="0"/>
        </w:sectPr>
      </w:pPr>
    </w:p>
    <w:bookmarkStart w:id="1" w:name="page2"/>
    <w:bookmarkEnd w:id="1"/>
    <w:p>
      <w:pPr>
        <w:spacing w:after="0"/>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page">
                  <wp:posOffset>0</wp:posOffset>
                </wp:positionH>
                <wp:positionV relativeFrom="page">
                  <wp:posOffset>0</wp:posOffset>
                </wp:positionV>
                <wp:extent cx="7543800" cy="9829800"/>
                <wp:wrapNone/>
                <wp:docPr id="2" name="Shape 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543800" cy="9829800"/>
                        </a:xfrm>
                        <a:prstGeom prst="rect">
                          <a:avLst/>
                        </a:prstGeom>
                        <a:solidFill>
                          <a:srgbClr val="000000"/>
                        </a:solidFill>
                      </wps:spPr>
                      <wps:bodyPr/>
                    </wps:wsp>
                  </a:graphicData>
                </a:graphic>
              </wp:anchor>
            </w:drawing>
          </mc:Choice>
          <mc:Fallback>
            <w:pict>
              <v:rect id="Shape 2" o:spid="_x0000_s1027" style="position:absolute;margin-left:0pt;margin-top:0pt;width:594pt;height:774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000000" stroked="f">
                <w10:wrap anchorx="page" anchory="page"/>
              </v:rect>
            </w:pict>
          </mc:Fallback>
        </mc:AlternateContent>
        <mc:AlternateContent>
          <mc:Choice Requires="wps">
            <w:drawing>
              <wp:anchor simplePos="0" relativeHeight="251657728" behindDoc="1" locked="0" layoutInCell="0" allowOverlap="1">
                <wp:simplePos x="0" y="0"/>
                <wp:positionH relativeFrom="page">
                  <wp:posOffset>0</wp:posOffset>
                </wp:positionH>
                <wp:positionV relativeFrom="page">
                  <wp:posOffset>0</wp:posOffset>
                </wp:positionV>
                <wp:extent cx="7543800" cy="9829800"/>
                <wp:wrapNone/>
                <wp:docPr id="3" name="Shape 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543800" cy="9829800"/>
                        </a:xfrm>
                        <a:prstGeom prst="rect">
                          <a:avLst/>
                        </a:prstGeom>
                        <a:solidFill>
                          <a:srgbClr val="FFFFFF"/>
                        </a:solidFill>
                      </wps:spPr>
                      <wps:bodyPr/>
                    </wps:wsp>
                  </a:graphicData>
                </a:graphic>
              </wp:anchor>
            </w:drawing>
          </mc:Choice>
          <mc:Fallback>
            <w:pict>
              <v:rect id="Shape 3" o:spid="_x0000_s1028" style="position:absolute;margin-left:0pt;margin-top:0pt;width:594pt;height:774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FFFFFF" stroked="f">
                <w10:wrap anchorx="page" anchory="page"/>
              </v:rect>
            </w:pict>
          </mc:Fallback>
        </mc:AlternateContent>
        <mc:AlternateContent>
          <mc:Choice Requires="wps">
            <w:drawing>
              <wp:anchor simplePos="0" relativeHeight="251657728" behindDoc="1" locked="0" layoutInCell="0" allowOverlap="1">
                <wp:simplePos x="0" y="0"/>
                <wp:positionH relativeFrom="page">
                  <wp:posOffset>0</wp:posOffset>
                </wp:positionH>
                <wp:positionV relativeFrom="page">
                  <wp:posOffset>0</wp:posOffset>
                </wp:positionV>
                <wp:extent cx="7543800" cy="9829800"/>
                <wp:wrapNone/>
                <wp:docPr id="4" name="Shape 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543800" cy="9829800"/>
                        </a:xfrm>
                        <a:prstGeom prst="rect">
                          <a:avLst/>
                        </a:prstGeom>
                        <a:solidFill>
                          <a:srgbClr val="3170AE"/>
                        </a:solidFill>
                      </wps:spPr>
                      <wps:bodyPr/>
                    </wps:wsp>
                  </a:graphicData>
                </a:graphic>
              </wp:anchor>
            </w:drawing>
          </mc:Choice>
          <mc:Fallback>
            <w:pict>
              <v:rect id="Shape 4" o:spid="_x0000_s1029" style="position:absolute;margin-left:0pt;margin-top:0pt;width:594pt;height:774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3170AE" stroked="f">
                <w10:wrap anchorx="page" anchory="page"/>
              </v:rect>
            </w:pict>
          </mc:Fallback>
        </mc:AlternateContent>
      </w:r>
    </w:p>
    <w:p>
      <w:pPr>
        <w:sectPr>
          <w:pgSz w:w="11880" w:h="15480" w:orient="portrait"/>
          <w:cols w:equalWidth="1" w:num="1" w:space="0"/>
          <w:pgMar w:left="1440" w:top="1440" w:right="1440" w:bottom="875" w:gutter="0" w:footer="0" w:header="0"/>
        </w:sectPr>
      </w:pPr>
    </w:p>
    <w:bookmarkStart w:id="2" w:name="page3"/>
    <w:bookmarkEnd w:id="2"/>
    <w:p>
      <w:pPr>
        <w:ind w:left="20"/>
        <w:spacing w:after="0"/>
        <w:rPr>
          <w:sz w:val="20"/>
          <w:szCs w:val="20"/>
          <w:color w:val="auto"/>
        </w:rPr>
      </w:pPr>
      <w:r>
        <w:rPr>
          <w:rFonts w:ascii="Arial" w:cs="Arial" w:eastAsia="Arial" w:hAnsi="Arial"/>
          <w:sz w:val="23"/>
          <w:szCs w:val="23"/>
          <w:b w:val="1"/>
          <w:bCs w:val="1"/>
          <w:color w:val="00407A"/>
        </w:rPr>
        <mc:AlternateContent>
          <mc:Choice Requires="wps">
            <w:drawing>
              <wp:anchor simplePos="0" relativeHeight="251657728" behindDoc="1" locked="0" layoutInCell="0" allowOverlap="1">
                <wp:simplePos x="0" y="0"/>
                <wp:positionH relativeFrom="page">
                  <wp:posOffset>667385</wp:posOffset>
                </wp:positionH>
                <wp:positionV relativeFrom="page">
                  <wp:posOffset>377190</wp:posOffset>
                </wp:positionV>
                <wp:extent cx="659130" cy="205740"/>
                <wp:wrapNone/>
                <wp:docPr id="5" name="Shape 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9130" cy="205740"/>
                        </a:xfrm>
                        <a:prstGeom prst="rect">
                          <a:avLst/>
                        </a:prstGeom>
                        <a:solidFill>
                          <a:srgbClr val="07275D"/>
                        </a:solidFill>
                      </wps:spPr>
                      <wps:bodyPr/>
                    </wps:wsp>
                  </a:graphicData>
                </a:graphic>
              </wp:anchor>
            </w:drawing>
          </mc:Choice>
          <mc:Fallback>
            <w:pict>
              <v:rect id="Shape 5" o:spid="_x0000_s1030" style="position:absolute;margin-left:52.55pt;margin-top:29.7pt;width:51.9pt;height:16.2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07275D" stroked="f">
                <w10:wrap anchorx="page" anchory="page"/>
              </v:rect>
            </w:pict>
          </mc:Fallback>
        </mc:AlternateContent>
        <mc:AlternateContent>
          <mc:Choice Requires="wps">
            <w:drawing>
              <wp:anchor simplePos="0" relativeHeight="251657728" behindDoc="1" locked="0" layoutInCell="0" allowOverlap="1">
                <wp:simplePos x="0" y="0"/>
                <wp:positionH relativeFrom="page">
                  <wp:posOffset>1402715</wp:posOffset>
                </wp:positionH>
                <wp:positionV relativeFrom="page">
                  <wp:posOffset>377190</wp:posOffset>
                </wp:positionV>
                <wp:extent cx="365760" cy="205740"/>
                <wp:wrapNone/>
                <wp:docPr id="6" name="Shape 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65760" cy="205740"/>
                        </a:xfrm>
                        <a:prstGeom prst="rect">
                          <a:avLst/>
                        </a:prstGeom>
                        <a:solidFill>
                          <a:srgbClr val="1B4B82"/>
                        </a:solidFill>
                      </wps:spPr>
                      <wps:bodyPr/>
                    </wps:wsp>
                  </a:graphicData>
                </a:graphic>
              </wp:anchor>
            </w:drawing>
          </mc:Choice>
          <mc:Fallback>
            <w:pict>
              <v:rect id="Shape 6" o:spid="_x0000_s1031" style="position:absolute;margin-left:110.45pt;margin-top:29.7pt;width:28.8pt;height:16.2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1B4B82" stroked="f">
                <w10:wrap anchorx="page" anchory="page"/>
              </v:rect>
            </w:pict>
          </mc:Fallback>
        </mc:AlternateContent>
        <mc:AlternateContent>
          <mc:Choice Requires="wps">
            <w:drawing>
              <wp:anchor simplePos="0" relativeHeight="251657728" behindDoc="1" locked="0" layoutInCell="0" allowOverlap="1">
                <wp:simplePos x="0" y="0"/>
                <wp:positionH relativeFrom="page">
                  <wp:posOffset>1842770</wp:posOffset>
                </wp:positionH>
                <wp:positionV relativeFrom="page">
                  <wp:posOffset>377190</wp:posOffset>
                </wp:positionV>
                <wp:extent cx="187960" cy="205740"/>
                <wp:wrapNone/>
                <wp:docPr id="7" name="Shape 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7960" cy="205740"/>
                        </a:xfrm>
                        <a:prstGeom prst="rect">
                          <a:avLst/>
                        </a:prstGeom>
                        <a:solidFill>
                          <a:srgbClr val="49A1C3"/>
                        </a:solidFill>
                      </wps:spPr>
                      <wps:bodyPr/>
                    </wps:wsp>
                  </a:graphicData>
                </a:graphic>
              </wp:anchor>
            </w:drawing>
          </mc:Choice>
          <mc:Fallback>
            <w:pict>
              <v:rect id="Shape 7" o:spid="_x0000_s1032" style="position:absolute;margin-left:145.1pt;margin-top:29.7pt;width:14.8pt;height:16.2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49A1C3" stroked="f">
                <w10:wrap anchorx="page" anchory="page"/>
              </v:rect>
            </w:pict>
          </mc:Fallback>
        </mc:AlternateContent>
        <mc:AlternateContent>
          <mc:Choice Requires="wps">
            <w:drawing>
              <wp:anchor simplePos="0" relativeHeight="251657728" behindDoc="1" locked="0" layoutInCell="0" allowOverlap="1">
                <wp:simplePos x="0" y="0"/>
                <wp:positionH relativeFrom="page">
                  <wp:posOffset>2099945</wp:posOffset>
                </wp:positionH>
                <wp:positionV relativeFrom="page">
                  <wp:posOffset>377190</wp:posOffset>
                </wp:positionV>
                <wp:extent cx="69215" cy="205105"/>
                <wp:wrapNone/>
                <wp:docPr id="8" name="Shape 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9215" cy="205105"/>
                        </a:xfrm>
                        <a:prstGeom prst="rect">
                          <a:avLst/>
                        </a:prstGeom>
                        <a:solidFill>
                          <a:srgbClr val="A8DEE5"/>
                        </a:solidFill>
                      </wps:spPr>
                      <wps:bodyPr/>
                    </wps:wsp>
                  </a:graphicData>
                </a:graphic>
              </wp:anchor>
            </w:drawing>
          </mc:Choice>
          <mc:Fallback>
            <w:pict>
              <v:rect id="Shape 8" o:spid="_x0000_s1033" style="position:absolute;margin-left:165.35pt;margin-top:29.7pt;width:5.45pt;height:16.15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A8DEE5" stroked="f">
                <w10:wrap anchorx="page" anchory="page"/>
              </v:rect>
            </w:pict>
          </mc:Fallback>
        </mc:AlternateContent>
        <w:t>FINANCIAL HIGHLIGHTS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020" w:type="dxa"/>
            <w:vAlign w:val="bottom"/>
          </w:tcPr>
          <w:p>
            <w:pPr>
              <w:ind w:left="20"/>
              <w:spacing w:after="0"/>
              <w:rPr>
                <w:sz w:val="20"/>
                <w:szCs w:val="20"/>
                <w:color w:val="auto"/>
              </w:rPr>
            </w:pPr>
            <w:r>
              <w:rPr>
                <w:rFonts w:ascii="Arial" w:cs="Arial" w:eastAsia="Arial" w:hAnsi="Arial"/>
                <w:sz w:val="16"/>
                <w:szCs w:val="16"/>
                <w:i w:val="1"/>
                <w:iCs w:val="1"/>
                <w:color w:val="auto"/>
              </w:rPr>
              <w:t>(Dollars in millions)</w:t>
            </w:r>
          </w:p>
        </w:tc>
        <w:tc>
          <w:tcPr>
            <w:tcW w:w="300" w:type="dxa"/>
            <w:vAlign w:val="bottom"/>
          </w:tcPr>
          <w:p>
            <w:pPr>
              <w:spacing w:after="0"/>
              <w:rPr>
                <w:sz w:val="16"/>
                <w:szCs w:val="16"/>
                <w:color w:val="auto"/>
              </w:rPr>
            </w:pPr>
          </w:p>
        </w:tc>
        <w:tc>
          <w:tcPr>
            <w:tcW w:w="800" w:type="dxa"/>
            <w:vAlign w:val="bottom"/>
            <w:vMerge w:val="restart"/>
          </w:tcPr>
          <w:p>
            <w:pPr>
              <w:jc w:val="right"/>
              <w:ind w:right="266"/>
              <w:spacing w:after="0"/>
              <w:rPr>
                <w:sz w:val="20"/>
                <w:szCs w:val="20"/>
                <w:color w:val="auto"/>
              </w:rPr>
            </w:pPr>
            <w:r>
              <w:rPr>
                <w:rFonts w:ascii="Arial" w:cs="Arial" w:eastAsia="Arial" w:hAnsi="Arial"/>
                <w:sz w:val="14"/>
                <w:szCs w:val="14"/>
                <w:b w:val="1"/>
                <w:bCs w:val="1"/>
                <w:color w:val="00407A"/>
              </w:rPr>
              <w:t>2025</w:t>
            </w:r>
          </w:p>
        </w:tc>
        <w:tc>
          <w:tcPr>
            <w:tcW w:w="620" w:type="dxa"/>
            <w:vAlign w:val="bottom"/>
          </w:tcPr>
          <w:p>
            <w:pPr>
              <w:spacing w:after="0"/>
              <w:rPr>
                <w:sz w:val="16"/>
                <w:szCs w:val="16"/>
                <w:color w:val="auto"/>
              </w:rPr>
            </w:pPr>
          </w:p>
        </w:tc>
        <w:tc>
          <w:tcPr>
            <w:tcW w:w="1160" w:type="dxa"/>
            <w:vAlign w:val="bottom"/>
            <w:vMerge w:val="restart"/>
          </w:tcPr>
          <w:p>
            <w:pPr>
              <w:jc w:val="center"/>
              <w:ind w:right="608"/>
              <w:spacing w:after="0"/>
              <w:rPr>
                <w:sz w:val="20"/>
                <w:szCs w:val="20"/>
                <w:color w:val="auto"/>
              </w:rPr>
            </w:pPr>
            <w:r>
              <w:rPr>
                <w:rFonts w:ascii="Arial" w:cs="Arial" w:eastAsia="Arial" w:hAnsi="Arial"/>
                <w:sz w:val="14"/>
                <w:szCs w:val="14"/>
                <w:color w:val="auto"/>
                <w:w w:val="96"/>
              </w:rPr>
              <w:t>2024</w:t>
            </w:r>
          </w:p>
        </w:tc>
        <w:tc>
          <w:tcPr>
            <w:tcW w:w="240" w:type="dxa"/>
            <w:vAlign w:val="bottom"/>
          </w:tcPr>
          <w:p>
            <w:pPr>
              <w:spacing w:after="0"/>
              <w:rPr>
                <w:sz w:val="16"/>
                <w:szCs w:val="16"/>
                <w:color w:val="auto"/>
              </w:rPr>
            </w:pPr>
          </w:p>
        </w:tc>
        <w:tc>
          <w:tcPr>
            <w:tcW w:w="620" w:type="dxa"/>
            <w:vAlign w:val="bottom"/>
            <w:vMerge w:val="restart"/>
          </w:tcPr>
          <w:p>
            <w:pPr>
              <w:jc w:val="right"/>
              <w:ind w:right="126"/>
              <w:spacing w:after="0"/>
              <w:rPr>
                <w:sz w:val="20"/>
                <w:szCs w:val="20"/>
                <w:color w:val="auto"/>
              </w:rPr>
            </w:pPr>
            <w:r>
              <w:rPr>
                <w:rFonts w:ascii="Arial" w:cs="Arial" w:eastAsia="Arial" w:hAnsi="Arial"/>
                <w:sz w:val="14"/>
                <w:szCs w:val="14"/>
                <w:color w:val="auto"/>
              </w:rPr>
              <w:t>2023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6"/>
        </w:trPr>
        <w:tc>
          <w:tcPr>
            <w:tcW w:w="60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620" w:type="dxa"/>
            <w:vAlign w:val="bottom"/>
          </w:tcPr>
          <w:p>
            <w:pPr>
              <w:spacing w:after="0"/>
              <w:rPr>
                <w:sz w:val="11"/>
                <w:szCs w:val="11"/>
                <w:color w:val="auto"/>
              </w:rPr>
            </w:pPr>
          </w:p>
        </w:tc>
        <w:tc>
          <w:tcPr>
            <w:tcW w:w="116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6020" w:type="dxa"/>
            <w:vAlign w:val="bottom"/>
            <w:tcBorders>
              <w:bottom w:val="single" w:sz="8" w:color="auto"/>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800" w:type="dxa"/>
            <w:vAlign w:val="bottom"/>
            <w:tcBorders>
              <w:bottom w:val="single" w:sz="8" w:color="auto"/>
            </w:tcBorders>
          </w:tcPr>
          <w:p>
            <w:pPr>
              <w:spacing w:after="0"/>
              <w:rPr>
                <w:sz w:val="6"/>
                <w:szCs w:val="6"/>
                <w:color w:val="auto"/>
              </w:rPr>
            </w:pPr>
          </w:p>
        </w:tc>
        <w:tc>
          <w:tcPr>
            <w:tcW w:w="1780" w:type="dxa"/>
            <w:vAlign w:val="bottom"/>
            <w:tcBorders>
              <w:bottom w:val="single" w:sz="8" w:color="auto"/>
            </w:tcBorders>
            <w:gridSpan w:val="2"/>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620" w:type="dxa"/>
            <w:vAlign w:val="bottom"/>
            <w:tcBorders>
              <w:bottom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25"/>
        </w:trPr>
        <w:tc>
          <w:tcPr>
            <w:tcW w:w="6020" w:type="dxa"/>
            <w:vAlign w:val="bottom"/>
          </w:tcPr>
          <w:p>
            <w:pPr>
              <w:ind w:left="40"/>
              <w:spacing w:after="0"/>
              <w:rPr>
                <w:sz w:val="20"/>
                <w:szCs w:val="20"/>
                <w:color w:val="auto"/>
              </w:rPr>
            </w:pPr>
            <w:r>
              <w:rPr>
                <w:rFonts w:ascii="Arial" w:cs="Arial" w:eastAsia="Arial" w:hAnsi="Arial"/>
                <w:sz w:val="19"/>
                <w:szCs w:val="19"/>
                <w:color w:val="00407A"/>
              </w:rPr>
              <w:t>INCOME STATEMENT:</w:t>
            </w: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780" w:type="dxa"/>
            <w:vAlign w:val="bottom"/>
            <w:gridSpan w:val="2"/>
          </w:tcPr>
          <w:p>
            <w:pPr>
              <w:jc w:val="center"/>
              <w:ind w:right="8"/>
              <w:spacing w:after="0"/>
              <w:rPr>
                <w:sz w:val="20"/>
                <w:szCs w:val="20"/>
                <w:color w:val="auto"/>
              </w:rPr>
            </w:pPr>
            <w:r>
              <w:rPr>
                <w:rFonts w:ascii="Arial" w:cs="Arial" w:eastAsia="Arial" w:hAnsi="Arial"/>
                <w:sz w:val="14"/>
                <w:szCs w:val="14"/>
                <w:color w:val="auto"/>
                <w:w w:val="96"/>
              </w:rPr>
              <w:t>Year Ended December 31,</w:t>
            </w: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7"/>
        </w:trPr>
        <w:tc>
          <w:tcPr>
            <w:tcW w:w="6020" w:type="dxa"/>
            <w:vAlign w:val="bottom"/>
          </w:tcPr>
          <w:p>
            <w:pPr>
              <w:ind w:left="720"/>
              <w:spacing w:after="0"/>
              <w:rPr>
                <w:sz w:val="20"/>
                <w:szCs w:val="20"/>
                <w:color w:val="auto"/>
              </w:rPr>
            </w:pPr>
            <w:r>
              <w:rPr>
                <w:rFonts w:ascii="Arial" w:cs="Arial" w:eastAsia="Arial" w:hAnsi="Arial"/>
                <w:sz w:val="19"/>
                <w:szCs w:val="19"/>
                <w:color w:val="auto"/>
              </w:rPr>
              <w:t>Total Revenue</w:t>
            </w:r>
          </w:p>
        </w:tc>
        <w:tc>
          <w:tcPr>
            <w:tcW w:w="300" w:type="dxa"/>
            <w:vAlign w:val="bottom"/>
          </w:tcPr>
          <w:p>
            <w:pPr>
              <w:jc w:val="right"/>
              <w:spacing w:after="0"/>
              <w:rPr>
                <w:sz w:val="20"/>
                <w:szCs w:val="20"/>
                <w:color w:val="auto"/>
              </w:rPr>
            </w:pPr>
            <w:r>
              <w:rPr>
                <w:rFonts w:ascii="Arial" w:cs="Arial" w:eastAsia="Arial" w:hAnsi="Arial"/>
                <w:sz w:val="19"/>
                <w:szCs w:val="19"/>
                <w:b w:val="1"/>
                <w:bCs w:val="1"/>
                <w:color w:val="00407A"/>
              </w:rPr>
              <w:t>$</w:t>
            </w:r>
          </w:p>
        </w:tc>
        <w:tc>
          <w:tcPr>
            <w:tcW w:w="800" w:type="dxa"/>
            <w:vAlign w:val="bottom"/>
          </w:tcPr>
          <w:p>
            <w:pPr>
              <w:jc w:val="right"/>
              <w:ind w:right="26"/>
              <w:spacing w:after="0"/>
              <w:rPr>
                <w:sz w:val="20"/>
                <w:szCs w:val="20"/>
                <w:color w:val="auto"/>
              </w:rPr>
            </w:pPr>
            <w:r>
              <w:rPr>
                <w:rFonts w:ascii="Arial" w:cs="Arial" w:eastAsia="Arial" w:hAnsi="Arial"/>
                <w:sz w:val="19"/>
                <w:szCs w:val="19"/>
                <w:b w:val="1"/>
                <w:bCs w:val="1"/>
                <w:color w:val="00407A"/>
              </w:rPr>
              <w:t>14,445</w:t>
            </w:r>
          </w:p>
        </w:tc>
        <w:tc>
          <w:tcPr>
            <w:tcW w:w="1780" w:type="dxa"/>
            <w:vAlign w:val="bottom"/>
            <w:gridSpan w:val="2"/>
          </w:tcPr>
          <w:p>
            <w:pPr>
              <w:ind w:left="500"/>
              <w:spacing w:after="0"/>
              <w:rPr>
                <w:sz w:val="20"/>
                <w:szCs w:val="20"/>
                <w:color w:val="auto"/>
              </w:rPr>
            </w:pPr>
            <w:r>
              <w:rPr>
                <w:rFonts w:ascii="Arial" w:cs="Arial" w:eastAsia="Arial" w:hAnsi="Arial"/>
                <w:sz w:val="19"/>
                <w:szCs w:val="19"/>
                <w:color w:val="auto"/>
              </w:rPr>
              <w:t>$ 13,681</w:t>
            </w:r>
          </w:p>
        </w:tc>
        <w:tc>
          <w:tcPr>
            <w:tcW w:w="240" w:type="dxa"/>
            <w:vAlign w:val="bottom"/>
          </w:tcPr>
          <w:p>
            <w:pPr>
              <w:jc w:val="right"/>
              <w:spacing w:after="0"/>
              <w:rPr>
                <w:sz w:val="20"/>
                <w:szCs w:val="20"/>
                <w:color w:val="auto"/>
              </w:rPr>
            </w:pPr>
            <w:r>
              <w:rPr>
                <w:rFonts w:ascii="Arial" w:cs="Arial" w:eastAsia="Arial" w:hAnsi="Arial"/>
                <w:sz w:val="19"/>
                <w:szCs w:val="19"/>
                <w:color w:val="auto"/>
              </w:rPr>
              <w:t>$</w:t>
            </w:r>
          </w:p>
        </w:tc>
        <w:tc>
          <w:tcPr>
            <w:tcW w:w="620" w:type="dxa"/>
            <w:vAlign w:val="bottom"/>
          </w:tcPr>
          <w:p>
            <w:pPr>
              <w:jc w:val="right"/>
              <w:spacing w:after="0"/>
              <w:rPr>
                <w:sz w:val="20"/>
                <w:szCs w:val="20"/>
                <w:color w:val="auto"/>
              </w:rPr>
            </w:pPr>
            <w:r>
              <w:rPr>
                <w:rFonts w:ascii="Arial" w:cs="Arial" w:eastAsia="Arial" w:hAnsi="Arial"/>
                <w:sz w:val="19"/>
                <w:szCs w:val="19"/>
                <w:color w:val="auto"/>
                <w:w w:val="96"/>
              </w:rPr>
              <w:t>11,752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9"/>
        </w:trPr>
        <w:tc>
          <w:tcPr>
            <w:tcW w:w="6020" w:type="dxa"/>
            <w:vAlign w:val="bottom"/>
          </w:tcPr>
          <w:p>
            <w:pPr>
              <w:ind w:left="720"/>
              <w:spacing w:after="0"/>
              <w:rPr>
                <w:sz w:val="20"/>
                <w:szCs w:val="20"/>
                <w:color w:val="auto"/>
              </w:rPr>
            </w:pPr>
            <w:r>
              <w:rPr>
                <w:rFonts w:ascii="Arial" w:cs="Arial" w:eastAsia="Arial" w:hAnsi="Arial"/>
                <w:sz w:val="19"/>
                <w:szCs w:val="19"/>
                <w:color w:val="auto"/>
              </w:rPr>
              <w:t>Net Earnings Attributable to Common Shareholders</w:t>
            </w:r>
          </w:p>
        </w:tc>
        <w:tc>
          <w:tcPr>
            <w:tcW w:w="300" w:type="dxa"/>
            <w:vAlign w:val="bottom"/>
          </w:tcPr>
          <w:p>
            <w:pPr>
              <w:jc w:val="right"/>
              <w:spacing w:after="0"/>
              <w:rPr>
                <w:sz w:val="20"/>
                <w:szCs w:val="20"/>
                <w:color w:val="auto"/>
              </w:rPr>
            </w:pPr>
            <w:r>
              <w:rPr>
                <w:rFonts w:ascii="Arial" w:cs="Arial" w:eastAsia="Arial" w:hAnsi="Arial"/>
                <w:sz w:val="19"/>
                <w:szCs w:val="19"/>
                <w:b w:val="1"/>
                <w:bCs w:val="1"/>
                <w:color w:val="00407A"/>
              </w:rPr>
              <w:t>$</w:t>
            </w:r>
          </w:p>
        </w:tc>
        <w:tc>
          <w:tcPr>
            <w:tcW w:w="800" w:type="dxa"/>
            <w:vAlign w:val="bottom"/>
          </w:tcPr>
          <w:p>
            <w:pPr>
              <w:jc w:val="right"/>
              <w:ind w:right="26"/>
              <w:spacing w:after="0"/>
              <w:rPr>
                <w:sz w:val="20"/>
                <w:szCs w:val="20"/>
                <w:color w:val="auto"/>
              </w:rPr>
            </w:pPr>
            <w:r>
              <w:rPr>
                <w:rFonts w:ascii="Arial" w:cs="Arial" w:eastAsia="Arial" w:hAnsi="Arial"/>
                <w:sz w:val="19"/>
                <w:szCs w:val="19"/>
                <w:b w:val="1"/>
                <w:bCs w:val="1"/>
                <w:color w:val="00407A"/>
              </w:rPr>
              <w:t>602</w:t>
            </w:r>
          </w:p>
        </w:tc>
        <w:tc>
          <w:tcPr>
            <w:tcW w:w="1780" w:type="dxa"/>
            <w:vAlign w:val="bottom"/>
            <w:gridSpan w:val="2"/>
          </w:tcPr>
          <w:p>
            <w:pPr>
              <w:ind w:left="500"/>
              <w:spacing w:after="0"/>
              <w:rPr>
                <w:sz w:val="20"/>
                <w:szCs w:val="20"/>
                <w:color w:val="auto"/>
              </w:rPr>
            </w:pPr>
            <w:r>
              <w:rPr>
                <w:rFonts w:ascii="Arial" w:cs="Arial" w:eastAsia="Arial" w:hAnsi="Arial"/>
                <w:sz w:val="19"/>
                <w:szCs w:val="19"/>
                <w:color w:val="auto"/>
              </w:rPr>
              <w:t>$ 1,270</w:t>
            </w:r>
          </w:p>
        </w:tc>
        <w:tc>
          <w:tcPr>
            <w:tcW w:w="240" w:type="dxa"/>
            <w:vAlign w:val="bottom"/>
          </w:tcPr>
          <w:p>
            <w:pPr>
              <w:jc w:val="right"/>
              <w:spacing w:after="0"/>
              <w:rPr>
                <w:sz w:val="20"/>
                <w:szCs w:val="20"/>
                <w:color w:val="auto"/>
              </w:rPr>
            </w:pPr>
            <w:r>
              <w:rPr>
                <w:rFonts w:ascii="Arial" w:cs="Arial" w:eastAsia="Arial" w:hAnsi="Arial"/>
                <w:sz w:val="19"/>
                <w:szCs w:val="19"/>
                <w:color w:val="auto"/>
              </w:rPr>
              <w:t>$</w:t>
            </w:r>
          </w:p>
        </w:tc>
        <w:tc>
          <w:tcPr>
            <w:tcW w:w="620" w:type="dxa"/>
            <w:vAlign w:val="bottom"/>
          </w:tcPr>
          <w:p>
            <w:pPr>
              <w:jc w:val="right"/>
              <w:spacing w:after="0"/>
              <w:rPr>
                <w:sz w:val="20"/>
                <w:szCs w:val="20"/>
                <w:color w:val="auto"/>
              </w:rPr>
            </w:pPr>
            <w:r>
              <w:rPr>
                <w:rFonts w:ascii="Arial" w:cs="Arial" w:eastAsia="Arial" w:hAnsi="Arial"/>
                <w:sz w:val="19"/>
                <w:szCs w:val="19"/>
                <w:color w:val="auto"/>
              </w:rPr>
              <w:t>517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9"/>
        </w:trPr>
        <w:tc>
          <w:tcPr>
            <w:tcW w:w="6020" w:type="dxa"/>
            <w:vAlign w:val="bottom"/>
          </w:tcPr>
          <w:p>
            <w:pPr>
              <w:ind w:left="720"/>
              <w:spacing w:after="0"/>
              <w:rPr>
                <w:sz w:val="20"/>
                <w:szCs w:val="20"/>
                <w:color w:val="auto"/>
              </w:rPr>
            </w:pPr>
            <w:r>
              <w:rPr>
                <w:rFonts w:ascii="Arial" w:cs="Arial" w:eastAsia="Arial" w:hAnsi="Arial"/>
                <w:sz w:val="19"/>
                <w:szCs w:val="19"/>
                <w:color w:val="auto"/>
              </w:rPr>
              <w:t>Adjusted Net Earnings Attributable to Common Shareholders</w:t>
            </w:r>
          </w:p>
        </w:tc>
        <w:tc>
          <w:tcPr>
            <w:tcW w:w="300" w:type="dxa"/>
            <w:vAlign w:val="bottom"/>
          </w:tcPr>
          <w:p>
            <w:pPr>
              <w:jc w:val="right"/>
              <w:spacing w:after="0"/>
              <w:rPr>
                <w:sz w:val="20"/>
                <w:szCs w:val="20"/>
                <w:color w:val="auto"/>
              </w:rPr>
            </w:pPr>
            <w:r>
              <w:rPr>
                <w:rFonts w:ascii="Arial" w:cs="Arial" w:eastAsia="Arial" w:hAnsi="Arial"/>
                <w:sz w:val="19"/>
                <w:szCs w:val="19"/>
                <w:b w:val="1"/>
                <w:bCs w:val="1"/>
                <w:color w:val="00407A"/>
              </w:rPr>
              <w:t>$</w:t>
            </w:r>
          </w:p>
        </w:tc>
        <w:tc>
          <w:tcPr>
            <w:tcW w:w="800" w:type="dxa"/>
            <w:vAlign w:val="bottom"/>
          </w:tcPr>
          <w:p>
            <w:pPr>
              <w:jc w:val="right"/>
              <w:ind w:right="26"/>
              <w:spacing w:after="0"/>
              <w:rPr>
                <w:sz w:val="20"/>
                <w:szCs w:val="20"/>
                <w:color w:val="auto"/>
              </w:rPr>
            </w:pPr>
            <w:r>
              <w:rPr>
                <w:rFonts w:ascii="Arial" w:cs="Arial" w:eastAsia="Arial" w:hAnsi="Arial"/>
                <w:sz w:val="19"/>
                <w:szCs w:val="19"/>
                <w:b w:val="1"/>
                <w:bCs w:val="1"/>
                <w:color w:val="00407A"/>
              </w:rPr>
              <w:t>1,352</w:t>
            </w:r>
          </w:p>
        </w:tc>
        <w:tc>
          <w:tcPr>
            <w:tcW w:w="620" w:type="dxa"/>
            <w:vAlign w:val="bottom"/>
          </w:tcPr>
          <w:p>
            <w:pPr>
              <w:ind w:left="500"/>
              <w:spacing w:after="0"/>
              <w:rPr>
                <w:sz w:val="20"/>
                <w:szCs w:val="20"/>
                <w:color w:val="auto"/>
              </w:rPr>
            </w:pPr>
            <w:r>
              <w:rPr>
                <w:rFonts w:ascii="Arial" w:cs="Arial" w:eastAsia="Arial" w:hAnsi="Arial"/>
                <w:sz w:val="19"/>
                <w:szCs w:val="19"/>
                <w:color w:val="auto"/>
                <w:w w:val="94"/>
              </w:rPr>
              <w:t>$</w:t>
            </w:r>
          </w:p>
        </w:tc>
        <w:tc>
          <w:tcPr>
            <w:tcW w:w="1160" w:type="dxa"/>
            <w:vAlign w:val="bottom"/>
          </w:tcPr>
          <w:p>
            <w:pPr>
              <w:jc w:val="right"/>
              <w:ind w:right="488"/>
              <w:spacing w:after="0"/>
              <w:rPr>
                <w:sz w:val="20"/>
                <w:szCs w:val="20"/>
                <w:color w:val="auto"/>
              </w:rPr>
            </w:pPr>
            <w:r>
              <w:rPr>
                <w:rFonts w:ascii="Arial" w:cs="Arial" w:eastAsia="Arial" w:hAnsi="Arial"/>
                <w:sz w:val="19"/>
                <w:szCs w:val="19"/>
                <w:color w:val="auto"/>
              </w:rPr>
              <w:t>1,265</w:t>
            </w:r>
          </w:p>
        </w:tc>
        <w:tc>
          <w:tcPr>
            <w:tcW w:w="240" w:type="dxa"/>
            <w:vAlign w:val="bottom"/>
          </w:tcPr>
          <w:p>
            <w:pPr>
              <w:jc w:val="right"/>
              <w:spacing w:after="0"/>
              <w:rPr>
                <w:sz w:val="20"/>
                <w:szCs w:val="20"/>
                <w:color w:val="auto"/>
              </w:rPr>
            </w:pPr>
            <w:r>
              <w:rPr>
                <w:rFonts w:ascii="Arial" w:cs="Arial" w:eastAsia="Arial" w:hAnsi="Arial"/>
                <w:sz w:val="19"/>
                <w:szCs w:val="19"/>
                <w:color w:val="auto"/>
              </w:rPr>
              <w:t>$</w:t>
            </w:r>
          </w:p>
        </w:tc>
        <w:tc>
          <w:tcPr>
            <w:tcW w:w="620" w:type="dxa"/>
            <w:vAlign w:val="bottom"/>
          </w:tcPr>
          <w:p>
            <w:pPr>
              <w:jc w:val="right"/>
              <w:spacing w:after="0"/>
              <w:rPr>
                <w:sz w:val="20"/>
                <w:szCs w:val="20"/>
                <w:color w:val="auto"/>
              </w:rPr>
            </w:pPr>
            <w:r>
              <w:rPr>
                <w:rFonts w:ascii="Arial" w:cs="Arial" w:eastAsia="Arial" w:hAnsi="Arial"/>
                <w:sz w:val="19"/>
                <w:szCs w:val="19"/>
                <w:color w:val="auto"/>
              </w:rPr>
              <w:t>962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9"/>
        </w:trPr>
        <w:tc>
          <w:tcPr>
            <w:tcW w:w="6020" w:type="dxa"/>
            <w:vAlign w:val="bottom"/>
          </w:tcPr>
          <w:p>
            <w:pPr>
              <w:ind w:left="720"/>
              <w:spacing w:after="0"/>
              <w:rPr>
                <w:sz w:val="20"/>
                <w:szCs w:val="20"/>
                <w:color w:val="auto"/>
              </w:rPr>
            </w:pPr>
            <w:r>
              <w:rPr>
                <w:rFonts w:ascii="Arial" w:cs="Arial" w:eastAsia="Arial" w:hAnsi="Arial"/>
                <w:sz w:val="19"/>
                <w:szCs w:val="19"/>
                <w:color w:val="auto"/>
              </w:rPr>
              <w:t>Pre-Tax Title Margin</w:t>
            </w:r>
          </w:p>
        </w:tc>
        <w:tc>
          <w:tcPr>
            <w:tcW w:w="300" w:type="dxa"/>
            <w:vAlign w:val="bottom"/>
          </w:tcPr>
          <w:p>
            <w:pPr>
              <w:spacing w:after="0"/>
              <w:rPr>
                <w:sz w:val="24"/>
                <w:szCs w:val="24"/>
                <w:color w:val="auto"/>
              </w:rPr>
            </w:pPr>
          </w:p>
        </w:tc>
        <w:tc>
          <w:tcPr>
            <w:tcW w:w="800" w:type="dxa"/>
            <w:vAlign w:val="bottom"/>
          </w:tcPr>
          <w:p>
            <w:pPr>
              <w:jc w:val="right"/>
              <w:ind w:right="26"/>
              <w:spacing w:after="0"/>
              <w:rPr>
                <w:sz w:val="20"/>
                <w:szCs w:val="20"/>
                <w:color w:val="auto"/>
              </w:rPr>
            </w:pPr>
            <w:r>
              <w:rPr>
                <w:rFonts w:ascii="Arial" w:cs="Arial" w:eastAsia="Arial" w:hAnsi="Arial"/>
                <w:sz w:val="19"/>
                <w:szCs w:val="19"/>
                <w:b w:val="1"/>
                <w:bCs w:val="1"/>
                <w:color w:val="00407A"/>
              </w:rPr>
              <w:t>14.5%</w:t>
            </w:r>
          </w:p>
        </w:tc>
        <w:tc>
          <w:tcPr>
            <w:tcW w:w="620" w:type="dxa"/>
            <w:vAlign w:val="bottom"/>
          </w:tcPr>
          <w:p>
            <w:pPr>
              <w:spacing w:after="0"/>
              <w:rPr>
                <w:sz w:val="24"/>
                <w:szCs w:val="24"/>
                <w:color w:val="auto"/>
              </w:rPr>
            </w:pPr>
          </w:p>
        </w:tc>
        <w:tc>
          <w:tcPr>
            <w:tcW w:w="1160" w:type="dxa"/>
            <w:vAlign w:val="bottom"/>
          </w:tcPr>
          <w:p>
            <w:pPr>
              <w:jc w:val="right"/>
              <w:ind w:right="488"/>
              <w:spacing w:after="0"/>
              <w:rPr>
                <w:sz w:val="20"/>
                <w:szCs w:val="20"/>
                <w:color w:val="auto"/>
              </w:rPr>
            </w:pPr>
            <w:r>
              <w:rPr>
                <w:rFonts w:ascii="Arial" w:cs="Arial" w:eastAsia="Arial" w:hAnsi="Arial"/>
                <w:sz w:val="19"/>
                <w:szCs w:val="19"/>
                <w:color w:val="auto"/>
              </w:rPr>
              <w:t>14.2%</w:t>
            </w:r>
          </w:p>
        </w:tc>
        <w:tc>
          <w:tcPr>
            <w:tcW w:w="24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9"/>
                <w:szCs w:val="19"/>
                <w:color w:val="auto"/>
              </w:rPr>
              <w:t>12.5%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9"/>
        </w:trPr>
        <w:tc>
          <w:tcPr>
            <w:tcW w:w="6020" w:type="dxa"/>
            <w:vAlign w:val="bottom"/>
          </w:tcPr>
          <w:p>
            <w:pPr>
              <w:ind w:left="720"/>
              <w:spacing w:after="0"/>
              <w:rPr>
                <w:sz w:val="20"/>
                <w:szCs w:val="20"/>
                <w:color w:val="auto"/>
              </w:rPr>
            </w:pPr>
            <w:r>
              <w:rPr>
                <w:rFonts w:ascii="Arial" w:cs="Arial" w:eastAsia="Arial" w:hAnsi="Arial"/>
                <w:sz w:val="19"/>
                <w:szCs w:val="19"/>
                <w:color w:val="auto"/>
              </w:rPr>
              <w:t>Adjusted Pre-Tax Title Margin</w:t>
            </w:r>
          </w:p>
        </w:tc>
        <w:tc>
          <w:tcPr>
            <w:tcW w:w="300" w:type="dxa"/>
            <w:vAlign w:val="bottom"/>
          </w:tcPr>
          <w:p>
            <w:pPr>
              <w:spacing w:after="0"/>
              <w:rPr>
                <w:sz w:val="24"/>
                <w:szCs w:val="24"/>
                <w:color w:val="auto"/>
              </w:rPr>
            </w:pPr>
          </w:p>
        </w:tc>
        <w:tc>
          <w:tcPr>
            <w:tcW w:w="800" w:type="dxa"/>
            <w:vAlign w:val="bottom"/>
          </w:tcPr>
          <w:p>
            <w:pPr>
              <w:jc w:val="right"/>
              <w:ind w:right="26"/>
              <w:spacing w:after="0"/>
              <w:rPr>
                <w:sz w:val="20"/>
                <w:szCs w:val="20"/>
                <w:color w:val="auto"/>
              </w:rPr>
            </w:pPr>
            <w:r>
              <w:rPr>
                <w:rFonts w:ascii="Arial" w:cs="Arial" w:eastAsia="Arial" w:hAnsi="Arial"/>
                <w:sz w:val="19"/>
                <w:szCs w:val="19"/>
                <w:b w:val="1"/>
                <w:bCs w:val="1"/>
                <w:color w:val="00407A"/>
              </w:rPr>
              <w:t>15.9%</w:t>
            </w:r>
          </w:p>
        </w:tc>
        <w:tc>
          <w:tcPr>
            <w:tcW w:w="620" w:type="dxa"/>
            <w:vAlign w:val="bottom"/>
          </w:tcPr>
          <w:p>
            <w:pPr>
              <w:spacing w:after="0"/>
              <w:rPr>
                <w:sz w:val="24"/>
                <w:szCs w:val="24"/>
                <w:color w:val="auto"/>
              </w:rPr>
            </w:pPr>
          </w:p>
        </w:tc>
        <w:tc>
          <w:tcPr>
            <w:tcW w:w="1160" w:type="dxa"/>
            <w:vAlign w:val="bottom"/>
          </w:tcPr>
          <w:p>
            <w:pPr>
              <w:jc w:val="right"/>
              <w:ind w:right="488"/>
              <w:spacing w:after="0"/>
              <w:rPr>
                <w:sz w:val="20"/>
                <w:szCs w:val="20"/>
                <w:color w:val="auto"/>
              </w:rPr>
            </w:pPr>
            <w:r>
              <w:rPr>
                <w:rFonts w:ascii="Arial" w:cs="Arial" w:eastAsia="Arial" w:hAnsi="Arial"/>
                <w:sz w:val="19"/>
                <w:szCs w:val="19"/>
                <w:color w:val="auto"/>
              </w:rPr>
              <w:t>15.1%</w:t>
            </w:r>
          </w:p>
        </w:tc>
        <w:tc>
          <w:tcPr>
            <w:tcW w:w="24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9"/>
                <w:szCs w:val="19"/>
                <w:color w:val="auto"/>
              </w:rPr>
              <w:t>13.7%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6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780" w:type="dxa"/>
            <w:vAlign w:val="bottom"/>
            <w:gridSpan w:val="2"/>
          </w:tcPr>
          <w:p>
            <w:pPr>
              <w:jc w:val="center"/>
              <w:ind w:right="8"/>
              <w:spacing w:after="0"/>
              <w:rPr>
                <w:sz w:val="20"/>
                <w:szCs w:val="20"/>
                <w:color w:val="auto"/>
              </w:rPr>
            </w:pPr>
            <w:r>
              <w:rPr>
                <w:rFonts w:ascii="Arial" w:cs="Arial" w:eastAsia="Arial" w:hAnsi="Arial"/>
                <w:sz w:val="14"/>
                <w:szCs w:val="14"/>
                <w:color w:val="auto"/>
                <w:w w:val="98"/>
              </w:rPr>
              <w:t>At December 31,</w:t>
            </w: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3"/>
        </w:trPr>
        <w:tc>
          <w:tcPr>
            <w:tcW w:w="6020" w:type="dxa"/>
            <w:vAlign w:val="bottom"/>
          </w:tcPr>
          <w:p>
            <w:pPr>
              <w:ind w:left="40"/>
              <w:spacing w:after="0"/>
              <w:rPr>
                <w:sz w:val="20"/>
                <w:szCs w:val="20"/>
                <w:color w:val="auto"/>
              </w:rPr>
            </w:pPr>
            <w:r>
              <w:rPr>
                <w:rFonts w:ascii="Arial" w:cs="Arial" w:eastAsia="Arial" w:hAnsi="Arial"/>
                <w:sz w:val="19"/>
                <w:szCs w:val="19"/>
                <w:color w:val="00407A"/>
              </w:rPr>
              <w:t>BALANCE SHEET:</w:t>
            </w: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7"/>
        </w:trPr>
        <w:tc>
          <w:tcPr>
            <w:tcW w:w="6020" w:type="dxa"/>
            <w:vAlign w:val="bottom"/>
          </w:tcPr>
          <w:p>
            <w:pPr>
              <w:ind w:left="720"/>
              <w:spacing w:after="0"/>
              <w:rPr>
                <w:sz w:val="20"/>
                <w:szCs w:val="20"/>
                <w:color w:val="auto"/>
              </w:rPr>
            </w:pPr>
            <w:r>
              <w:rPr>
                <w:rFonts w:ascii="Arial" w:cs="Arial" w:eastAsia="Arial" w:hAnsi="Arial"/>
                <w:sz w:val="19"/>
                <w:szCs w:val="19"/>
                <w:color w:val="auto"/>
              </w:rPr>
              <w:t>Total Assets</w:t>
            </w:r>
          </w:p>
        </w:tc>
        <w:tc>
          <w:tcPr>
            <w:tcW w:w="300" w:type="dxa"/>
            <w:vAlign w:val="bottom"/>
          </w:tcPr>
          <w:p>
            <w:pPr>
              <w:jc w:val="right"/>
              <w:spacing w:after="0"/>
              <w:rPr>
                <w:sz w:val="20"/>
                <w:szCs w:val="20"/>
                <w:color w:val="auto"/>
              </w:rPr>
            </w:pPr>
            <w:r>
              <w:rPr>
                <w:rFonts w:ascii="Arial" w:cs="Arial" w:eastAsia="Arial" w:hAnsi="Arial"/>
                <w:sz w:val="19"/>
                <w:szCs w:val="19"/>
                <w:b w:val="1"/>
                <w:bCs w:val="1"/>
                <w:color w:val="00407A"/>
              </w:rPr>
              <w:t>$</w:t>
            </w:r>
          </w:p>
        </w:tc>
        <w:tc>
          <w:tcPr>
            <w:tcW w:w="800" w:type="dxa"/>
            <w:vAlign w:val="bottom"/>
          </w:tcPr>
          <w:p>
            <w:pPr>
              <w:jc w:val="right"/>
              <w:spacing w:after="0"/>
              <w:rPr>
                <w:sz w:val="20"/>
                <w:szCs w:val="20"/>
                <w:color w:val="auto"/>
              </w:rPr>
            </w:pPr>
            <w:r>
              <w:rPr>
                <w:rFonts w:ascii="Arial" w:cs="Arial" w:eastAsia="Arial" w:hAnsi="Arial"/>
                <w:sz w:val="19"/>
                <w:szCs w:val="19"/>
                <w:b w:val="1"/>
                <w:bCs w:val="1"/>
                <w:color w:val="00407A"/>
              </w:rPr>
              <w:t>109,014</w:t>
            </w:r>
          </w:p>
        </w:tc>
        <w:tc>
          <w:tcPr>
            <w:tcW w:w="1780" w:type="dxa"/>
            <w:vAlign w:val="bottom"/>
            <w:gridSpan w:val="2"/>
          </w:tcPr>
          <w:p>
            <w:pPr>
              <w:ind w:left="480"/>
              <w:spacing w:after="0"/>
              <w:rPr>
                <w:sz w:val="20"/>
                <w:szCs w:val="20"/>
                <w:color w:val="auto"/>
              </w:rPr>
            </w:pPr>
            <w:r>
              <w:rPr>
                <w:rFonts w:ascii="Arial" w:cs="Arial" w:eastAsia="Arial" w:hAnsi="Arial"/>
                <w:sz w:val="19"/>
                <w:szCs w:val="19"/>
                <w:color w:val="auto"/>
              </w:rPr>
              <w:t>$ 95,263</w:t>
            </w:r>
          </w:p>
        </w:tc>
        <w:tc>
          <w:tcPr>
            <w:tcW w:w="240" w:type="dxa"/>
            <w:vAlign w:val="bottom"/>
          </w:tcPr>
          <w:p>
            <w:pPr>
              <w:jc w:val="right"/>
              <w:spacing w:after="0"/>
              <w:rPr>
                <w:sz w:val="20"/>
                <w:szCs w:val="20"/>
                <w:color w:val="auto"/>
              </w:rPr>
            </w:pPr>
            <w:r>
              <w:rPr>
                <w:rFonts w:ascii="Arial" w:cs="Arial" w:eastAsia="Arial" w:hAnsi="Arial"/>
                <w:sz w:val="19"/>
                <w:szCs w:val="19"/>
                <w:color w:val="auto"/>
              </w:rPr>
              <w:t>$</w:t>
            </w:r>
          </w:p>
        </w:tc>
        <w:tc>
          <w:tcPr>
            <w:tcW w:w="640" w:type="dxa"/>
            <w:vAlign w:val="bottom"/>
            <w:gridSpan w:val="2"/>
          </w:tcPr>
          <w:p>
            <w:pPr>
              <w:jc w:val="right"/>
              <w:ind w:right="20"/>
              <w:spacing w:after="0"/>
              <w:rPr>
                <w:sz w:val="20"/>
                <w:szCs w:val="20"/>
                <w:color w:val="auto"/>
              </w:rPr>
            </w:pPr>
            <w:r>
              <w:rPr>
                <w:rFonts w:ascii="Arial" w:cs="Arial" w:eastAsia="Arial" w:hAnsi="Arial"/>
                <w:sz w:val="19"/>
                <w:szCs w:val="19"/>
                <w:color w:val="auto"/>
              </w:rPr>
              <w:t>80,614</w:t>
            </w:r>
          </w:p>
        </w:tc>
        <w:tc>
          <w:tcPr>
            <w:tcW w:w="0" w:type="dxa"/>
            <w:vAlign w:val="bottom"/>
          </w:tcPr>
          <w:p>
            <w:pPr>
              <w:spacing w:after="0"/>
              <w:rPr>
                <w:sz w:val="1"/>
                <w:szCs w:val="1"/>
                <w:color w:val="auto"/>
              </w:rPr>
            </w:pPr>
          </w:p>
        </w:tc>
      </w:tr>
      <w:tr>
        <w:trPr>
          <w:trHeight w:val="349"/>
        </w:trPr>
        <w:tc>
          <w:tcPr>
            <w:tcW w:w="6020" w:type="dxa"/>
            <w:vAlign w:val="bottom"/>
          </w:tcPr>
          <w:p>
            <w:pPr>
              <w:ind w:left="720"/>
              <w:spacing w:after="0"/>
              <w:rPr>
                <w:sz w:val="20"/>
                <w:szCs w:val="20"/>
                <w:color w:val="auto"/>
              </w:rPr>
            </w:pPr>
            <w:r>
              <w:rPr>
                <w:rFonts w:ascii="Arial" w:cs="Arial" w:eastAsia="Arial" w:hAnsi="Arial"/>
                <w:sz w:val="19"/>
                <w:szCs w:val="19"/>
                <w:color w:val="auto"/>
              </w:rPr>
              <w:t>Cash and Investment Portfolio</w:t>
            </w:r>
          </w:p>
        </w:tc>
        <w:tc>
          <w:tcPr>
            <w:tcW w:w="300" w:type="dxa"/>
            <w:vAlign w:val="bottom"/>
          </w:tcPr>
          <w:p>
            <w:pPr>
              <w:jc w:val="right"/>
              <w:spacing w:after="0"/>
              <w:rPr>
                <w:sz w:val="20"/>
                <w:szCs w:val="20"/>
                <w:color w:val="auto"/>
              </w:rPr>
            </w:pPr>
            <w:r>
              <w:rPr>
                <w:rFonts w:ascii="Arial" w:cs="Arial" w:eastAsia="Arial" w:hAnsi="Arial"/>
                <w:sz w:val="19"/>
                <w:szCs w:val="19"/>
                <w:b w:val="1"/>
                <w:bCs w:val="1"/>
                <w:color w:val="00407A"/>
              </w:rPr>
              <w:t>$</w:t>
            </w:r>
          </w:p>
        </w:tc>
        <w:tc>
          <w:tcPr>
            <w:tcW w:w="800" w:type="dxa"/>
            <w:vAlign w:val="bottom"/>
          </w:tcPr>
          <w:p>
            <w:pPr>
              <w:jc w:val="right"/>
              <w:spacing w:after="0"/>
              <w:rPr>
                <w:sz w:val="20"/>
                <w:szCs w:val="20"/>
                <w:color w:val="auto"/>
              </w:rPr>
            </w:pPr>
            <w:r>
              <w:rPr>
                <w:rFonts w:ascii="Arial" w:cs="Arial" w:eastAsia="Arial" w:hAnsi="Arial"/>
                <w:sz w:val="19"/>
                <w:szCs w:val="19"/>
                <w:b w:val="1"/>
                <w:bCs w:val="1"/>
                <w:color w:val="00407A"/>
              </w:rPr>
              <w:t>75,831</w:t>
            </w:r>
          </w:p>
        </w:tc>
        <w:tc>
          <w:tcPr>
            <w:tcW w:w="1780" w:type="dxa"/>
            <w:vAlign w:val="bottom"/>
            <w:gridSpan w:val="2"/>
          </w:tcPr>
          <w:p>
            <w:pPr>
              <w:ind w:left="480"/>
              <w:spacing w:after="0"/>
              <w:rPr>
                <w:sz w:val="20"/>
                <w:szCs w:val="20"/>
                <w:color w:val="auto"/>
              </w:rPr>
            </w:pPr>
            <w:r>
              <w:rPr>
                <w:rFonts w:ascii="Arial" w:cs="Arial" w:eastAsia="Arial" w:hAnsi="Arial"/>
                <w:sz w:val="19"/>
                <w:szCs w:val="19"/>
                <w:color w:val="auto"/>
              </w:rPr>
              <w:t>$ 67,094</w:t>
            </w:r>
          </w:p>
        </w:tc>
        <w:tc>
          <w:tcPr>
            <w:tcW w:w="240" w:type="dxa"/>
            <w:vAlign w:val="bottom"/>
          </w:tcPr>
          <w:p>
            <w:pPr>
              <w:jc w:val="right"/>
              <w:spacing w:after="0"/>
              <w:rPr>
                <w:sz w:val="20"/>
                <w:szCs w:val="20"/>
                <w:color w:val="auto"/>
              </w:rPr>
            </w:pPr>
            <w:r>
              <w:rPr>
                <w:rFonts w:ascii="Arial" w:cs="Arial" w:eastAsia="Arial" w:hAnsi="Arial"/>
                <w:sz w:val="19"/>
                <w:szCs w:val="19"/>
                <w:color w:val="auto"/>
              </w:rPr>
              <w:t>$</w:t>
            </w:r>
          </w:p>
        </w:tc>
        <w:tc>
          <w:tcPr>
            <w:tcW w:w="640" w:type="dxa"/>
            <w:vAlign w:val="bottom"/>
            <w:gridSpan w:val="2"/>
          </w:tcPr>
          <w:p>
            <w:pPr>
              <w:jc w:val="right"/>
              <w:spacing w:after="0"/>
              <w:rPr>
                <w:sz w:val="20"/>
                <w:szCs w:val="20"/>
                <w:color w:val="auto"/>
              </w:rPr>
            </w:pPr>
            <w:r>
              <w:rPr>
                <w:rFonts w:ascii="Arial" w:cs="Arial" w:eastAsia="Arial" w:hAnsi="Arial"/>
                <w:sz w:val="19"/>
                <w:szCs w:val="19"/>
                <w:color w:val="auto"/>
              </w:rPr>
              <w:t>58,816</w:t>
            </w:r>
          </w:p>
        </w:tc>
        <w:tc>
          <w:tcPr>
            <w:tcW w:w="0" w:type="dxa"/>
            <w:vAlign w:val="bottom"/>
          </w:tcPr>
          <w:p>
            <w:pPr>
              <w:spacing w:after="0"/>
              <w:rPr>
                <w:sz w:val="1"/>
                <w:szCs w:val="1"/>
                <w:color w:val="auto"/>
              </w:rPr>
            </w:pPr>
          </w:p>
        </w:tc>
      </w:tr>
      <w:tr>
        <w:trPr>
          <w:trHeight w:val="349"/>
        </w:trPr>
        <w:tc>
          <w:tcPr>
            <w:tcW w:w="6020" w:type="dxa"/>
            <w:vAlign w:val="bottom"/>
          </w:tcPr>
          <w:p>
            <w:pPr>
              <w:ind w:left="720"/>
              <w:spacing w:after="0"/>
              <w:rPr>
                <w:sz w:val="20"/>
                <w:szCs w:val="20"/>
                <w:color w:val="auto"/>
              </w:rPr>
            </w:pPr>
            <w:r>
              <w:rPr>
                <w:rFonts w:ascii="Arial" w:cs="Arial" w:eastAsia="Arial" w:hAnsi="Arial"/>
                <w:sz w:val="19"/>
                <w:szCs w:val="19"/>
                <w:color w:val="auto"/>
              </w:rPr>
              <w:t>Reserve for Title Claim Losses</w:t>
            </w:r>
          </w:p>
        </w:tc>
        <w:tc>
          <w:tcPr>
            <w:tcW w:w="300" w:type="dxa"/>
            <w:vAlign w:val="bottom"/>
          </w:tcPr>
          <w:p>
            <w:pPr>
              <w:jc w:val="right"/>
              <w:spacing w:after="0"/>
              <w:rPr>
                <w:sz w:val="20"/>
                <w:szCs w:val="20"/>
                <w:color w:val="auto"/>
              </w:rPr>
            </w:pPr>
            <w:r>
              <w:rPr>
                <w:rFonts w:ascii="Arial" w:cs="Arial" w:eastAsia="Arial" w:hAnsi="Arial"/>
                <w:sz w:val="19"/>
                <w:szCs w:val="19"/>
                <w:b w:val="1"/>
                <w:bCs w:val="1"/>
                <w:color w:val="00407A"/>
              </w:rPr>
              <w:t>$</w:t>
            </w:r>
          </w:p>
        </w:tc>
        <w:tc>
          <w:tcPr>
            <w:tcW w:w="800" w:type="dxa"/>
            <w:vAlign w:val="bottom"/>
          </w:tcPr>
          <w:p>
            <w:pPr>
              <w:jc w:val="right"/>
              <w:spacing w:after="0"/>
              <w:rPr>
                <w:sz w:val="20"/>
                <w:szCs w:val="20"/>
                <w:color w:val="auto"/>
              </w:rPr>
            </w:pPr>
            <w:r>
              <w:rPr>
                <w:rFonts w:ascii="Arial" w:cs="Arial" w:eastAsia="Arial" w:hAnsi="Arial"/>
                <w:sz w:val="19"/>
                <w:szCs w:val="19"/>
                <w:b w:val="1"/>
                <w:bCs w:val="1"/>
                <w:color w:val="00407A"/>
              </w:rPr>
              <w:t>1,700</w:t>
            </w:r>
          </w:p>
        </w:tc>
        <w:tc>
          <w:tcPr>
            <w:tcW w:w="620" w:type="dxa"/>
            <w:vAlign w:val="bottom"/>
          </w:tcPr>
          <w:p>
            <w:pPr>
              <w:ind w:left="480"/>
              <w:spacing w:after="0"/>
              <w:rPr>
                <w:sz w:val="20"/>
                <w:szCs w:val="20"/>
                <w:color w:val="auto"/>
              </w:rPr>
            </w:pPr>
            <w:r>
              <w:rPr>
                <w:rFonts w:ascii="Arial" w:cs="Arial" w:eastAsia="Arial" w:hAnsi="Arial"/>
                <w:sz w:val="19"/>
                <w:szCs w:val="19"/>
                <w:color w:val="auto"/>
              </w:rPr>
              <w:t>$</w:t>
            </w:r>
          </w:p>
        </w:tc>
        <w:tc>
          <w:tcPr>
            <w:tcW w:w="1160" w:type="dxa"/>
            <w:vAlign w:val="bottom"/>
          </w:tcPr>
          <w:p>
            <w:pPr>
              <w:jc w:val="right"/>
              <w:ind w:right="488"/>
              <w:spacing w:after="0"/>
              <w:rPr>
                <w:sz w:val="20"/>
                <w:szCs w:val="20"/>
                <w:color w:val="auto"/>
              </w:rPr>
            </w:pPr>
            <w:r>
              <w:rPr>
                <w:rFonts w:ascii="Arial" w:cs="Arial" w:eastAsia="Arial" w:hAnsi="Arial"/>
                <w:sz w:val="19"/>
                <w:szCs w:val="19"/>
                <w:color w:val="auto"/>
              </w:rPr>
              <w:t>1,713</w:t>
            </w:r>
          </w:p>
        </w:tc>
        <w:tc>
          <w:tcPr>
            <w:tcW w:w="240" w:type="dxa"/>
            <w:vAlign w:val="bottom"/>
          </w:tcPr>
          <w:p>
            <w:pPr>
              <w:jc w:val="right"/>
              <w:spacing w:after="0"/>
              <w:rPr>
                <w:sz w:val="20"/>
                <w:szCs w:val="20"/>
                <w:color w:val="auto"/>
              </w:rPr>
            </w:pPr>
            <w:r>
              <w:rPr>
                <w:rFonts w:ascii="Arial" w:cs="Arial" w:eastAsia="Arial" w:hAnsi="Arial"/>
                <w:sz w:val="19"/>
                <w:szCs w:val="19"/>
                <w:color w:val="auto"/>
              </w:rPr>
              <w:t>$</w:t>
            </w:r>
          </w:p>
        </w:tc>
        <w:tc>
          <w:tcPr>
            <w:tcW w:w="640" w:type="dxa"/>
            <w:vAlign w:val="bottom"/>
            <w:gridSpan w:val="2"/>
          </w:tcPr>
          <w:p>
            <w:pPr>
              <w:jc w:val="right"/>
              <w:ind w:right="20"/>
              <w:spacing w:after="0"/>
              <w:rPr>
                <w:sz w:val="20"/>
                <w:szCs w:val="20"/>
                <w:color w:val="auto"/>
              </w:rPr>
            </w:pPr>
            <w:r>
              <w:rPr>
                <w:rFonts w:ascii="Arial" w:cs="Arial" w:eastAsia="Arial" w:hAnsi="Arial"/>
                <w:sz w:val="19"/>
                <w:szCs w:val="19"/>
                <w:color w:val="auto"/>
              </w:rPr>
              <w:t>1,770</w:t>
            </w:r>
          </w:p>
        </w:tc>
        <w:tc>
          <w:tcPr>
            <w:tcW w:w="0" w:type="dxa"/>
            <w:vAlign w:val="bottom"/>
          </w:tcPr>
          <w:p>
            <w:pPr>
              <w:spacing w:after="0"/>
              <w:rPr>
                <w:sz w:val="1"/>
                <w:szCs w:val="1"/>
                <w:color w:val="auto"/>
              </w:rPr>
            </w:pPr>
          </w:p>
        </w:tc>
      </w:tr>
      <w:tr>
        <w:trPr>
          <w:trHeight w:val="349"/>
        </w:trPr>
        <w:tc>
          <w:tcPr>
            <w:tcW w:w="6020" w:type="dxa"/>
            <w:vAlign w:val="bottom"/>
          </w:tcPr>
          <w:p>
            <w:pPr>
              <w:ind w:left="720"/>
              <w:spacing w:after="0"/>
              <w:rPr>
                <w:sz w:val="20"/>
                <w:szCs w:val="20"/>
                <w:color w:val="auto"/>
              </w:rPr>
            </w:pPr>
            <w:r>
              <w:rPr>
                <w:rFonts w:ascii="Arial" w:cs="Arial" w:eastAsia="Arial" w:hAnsi="Arial"/>
                <w:sz w:val="19"/>
                <w:szCs w:val="19"/>
                <w:color w:val="auto"/>
              </w:rPr>
              <w:t>Total Equity</w:t>
            </w:r>
          </w:p>
        </w:tc>
        <w:tc>
          <w:tcPr>
            <w:tcW w:w="300" w:type="dxa"/>
            <w:vAlign w:val="bottom"/>
          </w:tcPr>
          <w:p>
            <w:pPr>
              <w:jc w:val="right"/>
              <w:spacing w:after="0"/>
              <w:rPr>
                <w:sz w:val="20"/>
                <w:szCs w:val="20"/>
                <w:color w:val="auto"/>
              </w:rPr>
            </w:pPr>
            <w:r>
              <w:rPr>
                <w:rFonts w:ascii="Arial" w:cs="Arial" w:eastAsia="Arial" w:hAnsi="Arial"/>
                <w:sz w:val="19"/>
                <w:szCs w:val="19"/>
                <w:b w:val="1"/>
                <w:bCs w:val="1"/>
                <w:color w:val="00407A"/>
              </w:rPr>
              <w:t>$</w:t>
            </w:r>
          </w:p>
        </w:tc>
        <w:tc>
          <w:tcPr>
            <w:tcW w:w="800" w:type="dxa"/>
            <w:vAlign w:val="bottom"/>
          </w:tcPr>
          <w:p>
            <w:pPr>
              <w:jc w:val="right"/>
              <w:spacing w:after="0"/>
              <w:rPr>
                <w:sz w:val="20"/>
                <w:szCs w:val="20"/>
                <w:color w:val="auto"/>
              </w:rPr>
            </w:pPr>
            <w:r>
              <w:rPr>
                <w:rFonts w:ascii="Arial" w:cs="Arial" w:eastAsia="Arial" w:hAnsi="Arial"/>
                <w:sz w:val="19"/>
                <w:szCs w:val="19"/>
                <w:b w:val="1"/>
                <w:bCs w:val="1"/>
                <w:color w:val="00407A"/>
              </w:rPr>
              <w:t>8,972</w:t>
            </w:r>
          </w:p>
        </w:tc>
        <w:tc>
          <w:tcPr>
            <w:tcW w:w="620" w:type="dxa"/>
            <w:vAlign w:val="bottom"/>
          </w:tcPr>
          <w:p>
            <w:pPr>
              <w:ind w:left="480"/>
              <w:spacing w:after="0"/>
              <w:rPr>
                <w:sz w:val="20"/>
                <w:szCs w:val="20"/>
                <w:color w:val="auto"/>
              </w:rPr>
            </w:pPr>
            <w:r>
              <w:rPr>
                <w:rFonts w:ascii="Arial" w:cs="Arial" w:eastAsia="Arial" w:hAnsi="Arial"/>
                <w:sz w:val="19"/>
                <w:szCs w:val="19"/>
                <w:color w:val="auto"/>
              </w:rPr>
              <w:t>$</w:t>
            </w:r>
          </w:p>
        </w:tc>
        <w:tc>
          <w:tcPr>
            <w:tcW w:w="1160" w:type="dxa"/>
            <w:vAlign w:val="bottom"/>
          </w:tcPr>
          <w:p>
            <w:pPr>
              <w:jc w:val="right"/>
              <w:ind w:right="468"/>
              <w:spacing w:after="0"/>
              <w:rPr>
                <w:sz w:val="20"/>
                <w:szCs w:val="20"/>
                <w:color w:val="auto"/>
              </w:rPr>
            </w:pPr>
            <w:r>
              <w:rPr>
                <w:rFonts w:ascii="Arial" w:cs="Arial" w:eastAsia="Arial" w:hAnsi="Arial"/>
                <w:sz w:val="19"/>
                <w:szCs w:val="19"/>
                <w:color w:val="auto"/>
              </w:rPr>
              <w:t>8,532</w:t>
            </w:r>
          </w:p>
        </w:tc>
        <w:tc>
          <w:tcPr>
            <w:tcW w:w="240" w:type="dxa"/>
            <w:vAlign w:val="bottom"/>
          </w:tcPr>
          <w:p>
            <w:pPr>
              <w:jc w:val="right"/>
              <w:spacing w:after="0"/>
              <w:rPr>
                <w:sz w:val="20"/>
                <w:szCs w:val="20"/>
                <w:color w:val="auto"/>
              </w:rPr>
            </w:pPr>
            <w:r>
              <w:rPr>
                <w:rFonts w:ascii="Arial" w:cs="Arial" w:eastAsia="Arial" w:hAnsi="Arial"/>
                <w:sz w:val="19"/>
                <w:szCs w:val="19"/>
                <w:color w:val="auto"/>
              </w:rPr>
              <w:t>$</w:t>
            </w:r>
          </w:p>
        </w:tc>
        <w:tc>
          <w:tcPr>
            <w:tcW w:w="640" w:type="dxa"/>
            <w:vAlign w:val="bottom"/>
            <w:gridSpan w:val="2"/>
          </w:tcPr>
          <w:p>
            <w:pPr>
              <w:jc w:val="right"/>
              <w:ind w:right="20"/>
              <w:spacing w:after="0"/>
              <w:rPr>
                <w:sz w:val="20"/>
                <w:szCs w:val="20"/>
                <w:color w:val="auto"/>
              </w:rPr>
            </w:pPr>
            <w:r>
              <w:rPr>
                <w:rFonts w:ascii="Arial" w:cs="Arial" w:eastAsia="Arial" w:hAnsi="Arial"/>
                <w:sz w:val="19"/>
                <w:szCs w:val="19"/>
                <w:color w:val="auto"/>
              </w:rPr>
              <w:t>7,460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tbl>
      <w:tblPr>
        <w:tblLayout w:type="fixed"/>
        <w:tblInd w:w="480" w:type="dxa"/>
        <w:tblCellMar>
          <w:top w:w="0" w:type="dxa"/>
          <w:left w:w="0" w:type="dxa"/>
          <w:bottom w:w="0" w:type="dxa"/>
          <w:right w:w="0" w:type="dxa"/>
        </w:tblCellMar>
      </w:tblPr>
      <w:tr>
        <w:trPr>
          <w:trHeight w:val="391"/>
        </w:trPr>
        <w:tc>
          <w:tcPr>
            <w:tcW w:w="1280" w:type="dxa"/>
            <w:vAlign w:val="bottom"/>
            <w:vMerge w:val="restart"/>
          </w:tcPr>
          <w:p>
            <w:pPr>
              <w:spacing w:after="0"/>
              <w:rPr>
                <w:sz w:val="20"/>
                <w:szCs w:val="20"/>
                <w:color w:val="auto"/>
              </w:rPr>
            </w:pPr>
            <w:r>
              <w:rPr>
                <w:rFonts w:ascii="Arial" w:cs="Arial" w:eastAsia="Arial" w:hAnsi="Arial"/>
                <w:sz w:val="17"/>
                <w:szCs w:val="17"/>
                <w:b w:val="1"/>
                <w:bCs w:val="1"/>
                <w:color w:val="auto"/>
              </w:rPr>
              <w:t>TOTAL</w:t>
            </w:r>
          </w:p>
        </w:tc>
        <w:tc>
          <w:tcPr>
            <w:tcW w:w="3020" w:type="dxa"/>
            <w:vAlign w:val="bottom"/>
          </w:tcPr>
          <w:p>
            <w:pPr>
              <w:jc w:val="right"/>
              <w:ind w:right="1726"/>
              <w:spacing w:after="0"/>
              <w:rPr>
                <w:sz w:val="20"/>
                <w:szCs w:val="20"/>
                <w:color w:val="auto"/>
              </w:rPr>
            </w:pPr>
            <w:r>
              <w:rPr>
                <w:rFonts w:ascii="Arial" w:cs="Arial" w:eastAsia="Arial" w:hAnsi="Arial"/>
                <w:sz w:val="21"/>
                <w:szCs w:val="21"/>
                <w:b w:val="1"/>
                <w:bCs w:val="1"/>
                <w:color w:val="00407A"/>
              </w:rPr>
              <w:t>$14,445</w:t>
            </w:r>
          </w:p>
        </w:tc>
        <w:tc>
          <w:tcPr>
            <w:tcW w:w="2100" w:type="dxa"/>
            <w:vAlign w:val="bottom"/>
            <w:vMerge w:val="restart"/>
          </w:tcPr>
          <w:p>
            <w:pPr>
              <w:ind w:left="600"/>
              <w:spacing w:after="0"/>
              <w:rPr>
                <w:sz w:val="20"/>
                <w:szCs w:val="20"/>
                <w:color w:val="auto"/>
              </w:rPr>
            </w:pPr>
            <w:r>
              <w:rPr>
                <w:rFonts w:ascii="Arial" w:cs="Arial" w:eastAsia="Arial" w:hAnsi="Arial"/>
                <w:sz w:val="17"/>
                <w:szCs w:val="17"/>
                <w:b w:val="1"/>
                <w:bCs w:val="1"/>
                <w:color w:val="auto"/>
              </w:rPr>
              <w:t>ADJUSTED</w:t>
            </w:r>
          </w:p>
        </w:tc>
        <w:tc>
          <w:tcPr>
            <w:tcW w:w="960" w:type="dxa"/>
            <w:vAlign w:val="bottom"/>
          </w:tcPr>
          <w:p>
            <w:pPr>
              <w:jc w:val="right"/>
              <w:spacing w:after="0"/>
              <w:rPr>
                <w:sz w:val="20"/>
                <w:szCs w:val="20"/>
                <w:color w:val="auto"/>
              </w:rPr>
            </w:pPr>
            <w:r>
              <w:rPr>
                <w:rFonts w:ascii="Arial" w:cs="Arial" w:eastAsia="Arial" w:hAnsi="Arial"/>
                <w:sz w:val="21"/>
                <w:szCs w:val="21"/>
                <w:b w:val="1"/>
                <w:bCs w:val="1"/>
                <w:color w:val="00407A"/>
              </w:rPr>
              <w:t>15.9%</w:t>
            </w:r>
          </w:p>
        </w:tc>
        <w:tc>
          <w:tcPr>
            <w:tcW w:w="1140" w:type="dxa"/>
            <w:vAlign w:val="bottom"/>
          </w:tcPr>
          <w:p>
            <w:pPr>
              <w:jc w:val="right"/>
              <w:ind w:right="533"/>
              <w:spacing w:after="0"/>
              <w:rPr>
                <w:sz w:val="20"/>
                <w:szCs w:val="20"/>
                <w:color w:val="auto"/>
              </w:rPr>
            </w:pPr>
            <w:r>
              <w:rPr>
                <w:rFonts w:ascii="Arial" w:cs="Arial" w:eastAsia="Arial" w:hAnsi="Arial"/>
                <w:sz w:val="17"/>
                <w:szCs w:val="17"/>
                <w:color w:val="auto"/>
              </w:rPr>
              <w:t>15.1%</w:t>
            </w:r>
          </w:p>
        </w:tc>
        <w:tc>
          <w:tcPr>
            <w:tcW w:w="0" w:type="dxa"/>
            <w:vAlign w:val="bottom"/>
          </w:tcPr>
          <w:p>
            <w:pPr>
              <w:spacing w:after="0"/>
              <w:rPr>
                <w:sz w:val="1"/>
                <w:szCs w:val="1"/>
                <w:color w:val="auto"/>
              </w:rPr>
            </w:pPr>
          </w:p>
        </w:tc>
      </w:tr>
      <w:tr>
        <w:trPr>
          <w:trHeight w:val="88"/>
        </w:trPr>
        <w:tc>
          <w:tcPr>
            <w:tcW w:w="1280" w:type="dxa"/>
            <w:vAlign w:val="bottom"/>
            <w:vMerge w:val="continue"/>
          </w:tcPr>
          <w:p>
            <w:pPr>
              <w:spacing w:after="0"/>
              <w:rPr>
                <w:sz w:val="7"/>
                <w:szCs w:val="7"/>
                <w:color w:val="auto"/>
              </w:rPr>
            </w:pPr>
          </w:p>
        </w:tc>
        <w:tc>
          <w:tcPr>
            <w:tcW w:w="3020" w:type="dxa"/>
            <w:vAlign w:val="bottom"/>
            <w:vMerge w:val="restart"/>
          </w:tcPr>
          <w:p>
            <w:pPr>
              <w:jc w:val="right"/>
              <w:ind w:right="1146"/>
              <w:spacing w:after="0"/>
              <w:rPr>
                <w:sz w:val="20"/>
                <w:szCs w:val="20"/>
                <w:color w:val="auto"/>
              </w:rPr>
            </w:pPr>
            <w:r>
              <w:rPr>
                <w:rFonts w:ascii="Arial" w:cs="Arial" w:eastAsia="Arial" w:hAnsi="Arial"/>
                <w:sz w:val="17"/>
                <w:szCs w:val="17"/>
                <w:color w:val="auto"/>
              </w:rPr>
              <w:t>$13,681</w:t>
            </w:r>
          </w:p>
        </w:tc>
        <w:tc>
          <w:tcPr>
            <w:tcW w:w="2100" w:type="dxa"/>
            <w:vAlign w:val="bottom"/>
            <w:vMerge w:val="continue"/>
          </w:tcPr>
          <w:p>
            <w:pPr>
              <w:spacing w:after="0"/>
              <w:rPr>
                <w:sz w:val="7"/>
                <w:szCs w:val="7"/>
                <w:color w:val="auto"/>
              </w:rPr>
            </w:pPr>
          </w:p>
        </w:tc>
        <w:tc>
          <w:tcPr>
            <w:tcW w:w="96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2"/>
        </w:trPr>
        <w:tc>
          <w:tcPr>
            <w:tcW w:w="1280" w:type="dxa"/>
            <w:vAlign w:val="bottom"/>
          </w:tcPr>
          <w:p>
            <w:pPr>
              <w:spacing w:after="0"/>
              <w:rPr>
                <w:sz w:val="20"/>
                <w:szCs w:val="20"/>
                <w:color w:val="auto"/>
              </w:rPr>
            </w:pPr>
            <w:r>
              <w:rPr>
                <w:rFonts w:ascii="Arial" w:cs="Arial" w:eastAsia="Arial" w:hAnsi="Arial"/>
                <w:sz w:val="17"/>
                <w:szCs w:val="17"/>
                <w:b w:val="1"/>
                <w:bCs w:val="1"/>
                <w:color w:val="auto"/>
              </w:rPr>
              <w:t>REVENUE</w:t>
            </w:r>
          </w:p>
        </w:tc>
        <w:tc>
          <w:tcPr>
            <w:tcW w:w="3020" w:type="dxa"/>
            <w:vAlign w:val="bottom"/>
            <w:vMerge w:val="continue"/>
          </w:tcPr>
          <w:p>
            <w:pPr>
              <w:spacing w:after="0"/>
              <w:rPr>
                <w:sz w:val="23"/>
                <w:szCs w:val="23"/>
                <w:color w:val="auto"/>
              </w:rPr>
            </w:pPr>
          </w:p>
        </w:tc>
        <w:tc>
          <w:tcPr>
            <w:tcW w:w="2100" w:type="dxa"/>
            <w:vAlign w:val="bottom"/>
          </w:tcPr>
          <w:p>
            <w:pPr>
              <w:ind w:left="600"/>
              <w:spacing w:after="0"/>
              <w:rPr>
                <w:sz w:val="20"/>
                <w:szCs w:val="20"/>
                <w:color w:val="auto"/>
              </w:rPr>
            </w:pPr>
            <w:r>
              <w:rPr>
                <w:rFonts w:ascii="Arial" w:cs="Arial" w:eastAsia="Arial" w:hAnsi="Arial"/>
                <w:sz w:val="17"/>
                <w:szCs w:val="17"/>
                <w:b w:val="1"/>
                <w:bCs w:val="1"/>
                <w:color w:val="auto"/>
              </w:rPr>
              <w:t>PRE-TAX</w:t>
            </w:r>
          </w:p>
        </w:tc>
        <w:tc>
          <w:tcPr>
            <w:tcW w:w="960" w:type="dxa"/>
            <w:vAlign w:val="bottom"/>
          </w:tcPr>
          <w:p>
            <w:pPr>
              <w:spacing w:after="0"/>
              <w:rPr>
                <w:sz w:val="23"/>
                <w:szCs w:val="23"/>
                <w:color w:val="auto"/>
              </w:rPr>
            </w:pPr>
          </w:p>
        </w:tc>
        <w:tc>
          <w:tcPr>
            <w:tcW w:w="1140" w:type="dxa"/>
            <w:vAlign w:val="bottom"/>
            <w:vMerge w:val="restart"/>
          </w:tcPr>
          <w:p>
            <w:pPr>
              <w:jc w:val="right"/>
              <w:spacing w:after="0"/>
              <w:rPr>
                <w:sz w:val="20"/>
                <w:szCs w:val="20"/>
                <w:color w:val="auto"/>
              </w:rPr>
            </w:pPr>
            <w:r>
              <w:rPr>
                <w:rFonts w:ascii="Arial" w:cs="Arial" w:eastAsia="Arial" w:hAnsi="Arial"/>
                <w:sz w:val="17"/>
                <w:szCs w:val="17"/>
                <w:color w:val="auto"/>
              </w:rPr>
              <w:t>13.7%</w:t>
            </w:r>
          </w:p>
        </w:tc>
        <w:tc>
          <w:tcPr>
            <w:tcW w:w="0" w:type="dxa"/>
            <w:vAlign w:val="bottom"/>
          </w:tcPr>
          <w:p>
            <w:pPr>
              <w:spacing w:after="0"/>
              <w:rPr>
                <w:sz w:val="1"/>
                <w:szCs w:val="1"/>
                <w:color w:val="auto"/>
              </w:rPr>
            </w:pPr>
          </w:p>
        </w:tc>
      </w:tr>
      <w:tr>
        <w:trPr>
          <w:trHeight w:val="145"/>
        </w:trPr>
        <w:tc>
          <w:tcPr>
            <w:tcW w:w="1280" w:type="dxa"/>
            <w:vAlign w:val="bottom"/>
          </w:tcPr>
          <w:p>
            <w:pPr>
              <w:spacing w:after="0"/>
              <w:rPr>
                <w:sz w:val="12"/>
                <w:szCs w:val="12"/>
                <w:color w:val="auto"/>
              </w:rPr>
            </w:pPr>
          </w:p>
        </w:tc>
        <w:tc>
          <w:tcPr>
            <w:tcW w:w="3020" w:type="dxa"/>
            <w:vAlign w:val="bottom"/>
            <w:vMerge w:val="restart"/>
          </w:tcPr>
          <w:p>
            <w:pPr>
              <w:jc w:val="right"/>
              <w:ind w:right="486"/>
              <w:spacing w:after="0"/>
              <w:rPr>
                <w:sz w:val="20"/>
                <w:szCs w:val="20"/>
                <w:color w:val="auto"/>
              </w:rPr>
            </w:pPr>
            <w:r>
              <w:rPr>
                <w:rFonts w:ascii="Arial" w:cs="Arial" w:eastAsia="Arial" w:hAnsi="Arial"/>
                <w:sz w:val="17"/>
                <w:szCs w:val="17"/>
                <w:color w:val="auto"/>
              </w:rPr>
              <w:t>$11,752</w:t>
            </w:r>
          </w:p>
        </w:tc>
        <w:tc>
          <w:tcPr>
            <w:tcW w:w="2100" w:type="dxa"/>
            <w:vAlign w:val="bottom"/>
            <w:vMerge w:val="restart"/>
          </w:tcPr>
          <w:p>
            <w:pPr>
              <w:ind w:left="600"/>
              <w:spacing w:after="0"/>
              <w:rPr>
                <w:sz w:val="20"/>
                <w:szCs w:val="20"/>
                <w:color w:val="auto"/>
              </w:rPr>
            </w:pPr>
            <w:r>
              <w:rPr>
                <w:rFonts w:ascii="Arial" w:cs="Arial" w:eastAsia="Arial" w:hAnsi="Arial"/>
                <w:sz w:val="17"/>
                <w:szCs w:val="17"/>
                <w:b w:val="1"/>
                <w:bCs w:val="1"/>
                <w:color w:val="auto"/>
              </w:rPr>
              <w:t>TITLE MARGIN</w:t>
            </w:r>
          </w:p>
        </w:tc>
        <w:tc>
          <w:tcPr>
            <w:tcW w:w="96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1280" w:type="dxa"/>
            <w:vAlign w:val="bottom"/>
          </w:tcPr>
          <w:p>
            <w:pPr>
              <w:spacing w:after="0"/>
              <w:rPr>
                <w:sz w:val="13"/>
                <w:szCs w:val="13"/>
                <w:color w:val="auto"/>
              </w:rPr>
            </w:pPr>
          </w:p>
        </w:tc>
        <w:tc>
          <w:tcPr>
            <w:tcW w:w="3020" w:type="dxa"/>
            <w:vAlign w:val="bottom"/>
            <w:vMerge w:val="continue"/>
          </w:tcPr>
          <w:p>
            <w:pPr>
              <w:spacing w:after="0"/>
              <w:rPr>
                <w:sz w:val="13"/>
                <w:szCs w:val="13"/>
                <w:color w:val="auto"/>
              </w:rPr>
            </w:pPr>
          </w:p>
        </w:tc>
        <w:tc>
          <w:tcPr>
            <w:tcW w:w="2100" w:type="dxa"/>
            <w:vAlign w:val="bottom"/>
            <w:vMerge w:val="continue"/>
          </w:tcPr>
          <w:p>
            <w:pPr>
              <w:spacing w:after="0"/>
              <w:rPr>
                <w:sz w:val="13"/>
                <w:szCs w:val="13"/>
                <w:color w:val="auto"/>
              </w:rPr>
            </w:pPr>
          </w:p>
        </w:tc>
        <w:tc>
          <w:tcPr>
            <w:tcW w:w="9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1311910</wp:posOffset>
            </wp:positionH>
            <wp:positionV relativeFrom="paragraph">
              <wp:posOffset>-417830</wp:posOffset>
            </wp:positionV>
            <wp:extent cx="1477010" cy="18307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9">
                      <a:extLst>
                        <a:ext uri="{28A0092B-C50C-407E-A947-70E740481C1C}"/>
                      </a:extLst>
                    </a:blip>
                    <a:srcRect/>
                    <a:stretch>
                      <a:fillRect/>
                    </a:stretch>
                  </pic:blipFill>
                  <pic:spPr bwMode="auto">
                    <a:xfrm>
                      <a:off x="0" y="0"/>
                      <a:ext cx="1477010" cy="183070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-466090</wp:posOffset>
            </wp:positionV>
            <wp:extent cx="1477010" cy="187896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0">
                      <a:extLst>
                        <a:ext uri="{28A0092B-C50C-407E-A947-70E740481C1C}"/>
                      </a:extLst>
                    </a:blip>
                    <a:srcRect/>
                    <a:stretch>
                      <a:fillRect/>
                    </a:stretch>
                  </pic:blipFill>
                  <pic:spPr bwMode="auto">
                    <a:xfrm>
                      <a:off x="0" y="0"/>
                      <a:ext cx="1477010" cy="18789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2320"/>
        <w:spacing w:after="0"/>
        <w:tabs>
          <w:tab w:leader="none" w:pos="3060" w:val="left"/>
          <w:tab w:leader="none" w:pos="3820" w:val="left"/>
          <w:tab w:leader="none" w:pos="7180" w:val="left"/>
          <w:tab w:leader="none" w:pos="7940" w:val="left"/>
          <w:tab w:leader="none" w:pos="8720" w:val="left"/>
        </w:tabs>
        <w:rPr>
          <w:sz w:val="20"/>
          <w:szCs w:val="20"/>
          <w:color w:val="auto"/>
        </w:rPr>
      </w:pPr>
      <w:r>
        <w:rPr>
          <w:rFonts w:ascii="Arial" w:cs="Arial" w:eastAsia="Arial" w:hAnsi="Arial"/>
          <w:sz w:val="17"/>
          <w:szCs w:val="17"/>
          <w:color w:val="FFFFFF"/>
        </w:rPr>
        <w:t>‘25</w:t>
      </w:r>
      <w:r>
        <w:rPr>
          <w:sz w:val="20"/>
          <w:szCs w:val="20"/>
          <w:color w:val="auto"/>
        </w:rPr>
        <w:tab/>
      </w:r>
      <w:r>
        <w:rPr>
          <w:rFonts w:ascii="Arial" w:cs="Arial" w:eastAsia="Arial" w:hAnsi="Arial"/>
          <w:sz w:val="17"/>
          <w:szCs w:val="17"/>
          <w:color w:val="FFFFFF"/>
        </w:rPr>
        <w:t>‘24</w:t>
      </w:r>
      <w:r>
        <w:rPr>
          <w:sz w:val="20"/>
          <w:szCs w:val="20"/>
          <w:color w:val="auto"/>
        </w:rPr>
        <w:tab/>
      </w:r>
      <w:r>
        <w:rPr>
          <w:rFonts w:ascii="Arial" w:cs="Arial" w:eastAsia="Arial" w:hAnsi="Arial"/>
          <w:sz w:val="17"/>
          <w:szCs w:val="17"/>
          <w:color w:val="FFFFFF"/>
        </w:rPr>
        <w:t>‘23</w:t>
      </w:r>
      <w:r>
        <w:rPr>
          <w:sz w:val="20"/>
          <w:szCs w:val="20"/>
          <w:color w:val="auto"/>
        </w:rPr>
        <w:tab/>
      </w:r>
      <w:r>
        <w:rPr>
          <w:rFonts w:ascii="Arial" w:cs="Arial" w:eastAsia="Arial" w:hAnsi="Arial"/>
          <w:sz w:val="17"/>
          <w:szCs w:val="17"/>
          <w:color w:val="FFFFFF"/>
        </w:rPr>
        <w:t>‘25</w:t>
      </w:r>
      <w:r>
        <w:rPr>
          <w:sz w:val="20"/>
          <w:szCs w:val="20"/>
          <w:color w:val="auto"/>
        </w:rPr>
        <w:tab/>
      </w:r>
      <w:r>
        <w:rPr>
          <w:rFonts w:ascii="Arial" w:cs="Arial" w:eastAsia="Arial" w:hAnsi="Arial"/>
          <w:sz w:val="17"/>
          <w:szCs w:val="17"/>
          <w:color w:val="FFFFFF"/>
        </w:rPr>
        <w:t>‘24</w:t>
      </w:r>
      <w:r>
        <w:rPr>
          <w:sz w:val="20"/>
          <w:szCs w:val="20"/>
          <w:color w:val="auto"/>
        </w:rPr>
        <w:tab/>
      </w:r>
      <w:r>
        <w:rPr>
          <w:rFonts w:ascii="Arial" w:cs="Arial" w:eastAsia="Arial" w:hAnsi="Arial"/>
          <w:sz w:val="17"/>
          <w:szCs w:val="17"/>
          <w:color w:val="FFFFFF"/>
        </w:rPr>
        <w:t>‘23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tbl>
      <w:tblPr>
        <w:tblLayout w:type="fixed"/>
        <w:tblInd w:w="480" w:type="dxa"/>
        <w:tblCellMar>
          <w:top w:w="0" w:type="dxa"/>
          <w:left w:w="0" w:type="dxa"/>
          <w:bottom w:w="0" w:type="dxa"/>
          <w:right w:w="0" w:type="dxa"/>
        </w:tblCellMar>
      </w:tblPr>
      <w:tr>
        <w:trPr>
          <w:trHeight w:val="347"/>
        </w:trPr>
        <w:tc>
          <w:tcPr>
            <w:tcW w:w="2440" w:type="dxa"/>
            <w:vAlign w:val="bottom"/>
          </w:tcPr>
          <w:p>
            <w:pPr>
              <w:ind w:left="1760"/>
              <w:spacing w:after="0"/>
              <w:rPr>
                <w:sz w:val="20"/>
                <w:szCs w:val="20"/>
                <w:color w:val="auto"/>
              </w:rPr>
            </w:pPr>
            <w:r>
              <w:rPr>
                <w:rFonts w:ascii="Arial" w:cs="Arial" w:eastAsia="Arial" w:hAnsi="Arial"/>
                <w:sz w:val="21"/>
                <w:szCs w:val="21"/>
                <w:b w:val="1"/>
                <w:bCs w:val="1"/>
                <w:color w:val="00407A"/>
              </w:rPr>
              <w:t>$1,352</w:t>
            </w:r>
          </w:p>
        </w:tc>
        <w:tc>
          <w:tcPr>
            <w:tcW w:w="660" w:type="dxa"/>
            <w:vAlign w:val="bottom"/>
            <w:vMerge w:val="restart"/>
          </w:tcPr>
          <w:p>
            <w:pPr>
              <w:jc w:val="right"/>
              <w:ind w:right="13"/>
              <w:spacing w:after="0"/>
              <w:rPr>
                <w:sz w:val="20"/>
                <w:szCs w:val="20"/>
                <w:color w:val="auto"/>
              </w:rPr>
            </w:pPr>
            <w:r>
              <w:rPr>
                <w:rFonts w:ascii="Arial" w:cs="Arial" w:eastAsia="Arial" w:hAnsi="Arial"/>
                <w:sz w:val="17"/>
                <w:szCs w:val="17"/>
                <w:color w:val="auto"/>
              </w:rPr>
              <w:t>$1,265</w:t>
            </w:r>
          </w:p>
        </w:tc>
        <w:tc>
          <w:tcPr>
            <w:tcW w:w="11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2600" w:type="dxa"/>
            <w:vAlign w:val="bottom"/>
          </w:tcPr>
          <w:p>
            <w:pPr>
              <w:jc w:val="right"/>
              <w:ind w:right="1106"/>
              <w:spacing w:after="0"/>
              <w:rPr>
                <w:sz w:val="20"/>
                <w:szCs w:val="20"/>
                <w:color w:val="auto"/>
              </w:rPr>
            </w:pPr>
            <w:r>
              <w:rPr>
                <w:rFonts w:ascii="Arial" w:cs="Arial" w:eastAsia="Arial" w:hAnsi="Arial"/>
                <w:sz w:val="21"/>
                <w:szCs w:val="21"/>
                <w:b w:val="1"/>
                <w:bCs w:val="1"/>
                <w:color w:val="00407A"/>
              </w:rPr>
              <w:t>$109,014</w:t>
            </w:r>
          </w:p>
        </w:tc>
        <w:tc>
          <w:tcPr>
            <w:tcW w:w="0" w:type="dxa"/>
            <w:vAlign w:val="bottom"/>
          </w:tcPr>
          <w:p>
            <w:pPr>
              <w:spacing w:after="0"/>
              <w:rPr>
                <w:sz w:val="1"/>
                <w:szCs w:val="1"/>
                <w:color w:val="auto"/>
              </w:rPr>
            </w:pPr>
          </w:p>
        </w:tc>
      </w:tr>
      <w:tr>
        <w:trPr>
          <w:trHeight w:val="200"/>
        </w:trPr>
        <w:tc>
          <w:tcPr>
            <w:tcW w:w="2440" w:type="dxa"/>
            <w:vAlign w:val="bottom"/>
            <w:vMerge w:val="restart"/>
          </w:tcPr>
          <w:p>
            <w:pPr>
              <w:spacing w:after="0"/>
              <w:rPr>
                <w:sz w:val="20"/>
                <w:szCs w:val="20"/>
                <w:color w:val="auto"/>
              </w:rPr>
            </w:pPr>
            <w:r>
              <w:rPr>
                <w:rFonts w:ascii="Arial" w:cs="Arial" w:eastAsia="Arial" w:hAnsi="Arial"/>
                <w:sz w:val="17"/>
                <w:szCs w:val="17"/>
                <w:b w:val="1"/>
                <w:bCs w:val="1"/>
                <w:color w:val="auto"/>
              </w:rPr>
              <w:t>ADJUSTED</w:t>
            </w:r>
          </w:p>
        </w:tc>
        <w:tc>
          <w:tcPr>
            <w:tcW w:w="660" w:type="dxa"/>
            <w:vAlign w:val="bottom"/>
            <w:vMerge w:val="continue"/>
          </w:tcPr>
          <w:p>
            <w:pPr>
              <w:spacing w:after="0"/>
              <w:rPr>
                <w:sz w:val="17"/>
                <w:szCs w:val="17"/>
                <w:color w:val="auto"/>
              </w:rPr>
            </w:pPr>
          </w:p>
        </w:tc>
        <w:tc>
          <w:tcPr>
            <w:tcW w:w="1140" w:type="dxa"/>
            <w:vAlign w:val="bottom"/>
          </w:tcPr>
          <w:p>
            <w:pPr>
              <w:spacing w:after="0"/>
              <w:rPr>
                <w:sz w:val="17"/>
                <w:szCs w:val="17"/>
                <w:color w:val="auto"/>
              </w:rPr>
            </w:pPr>
          </w:p>
        </w:tc>
        <w:tc>
          <w:tcPr>
            <w:tcW w:w="1780" w:type="dxa"/>
            <w:vAlign w:val="bottom"/>
            <w:vMerge w:val="restart"/>
          </w:tcPr>
          <w:p>
            <w:pPr>
              <w:ind w:left="680"/>
              <w:spacing w:after="0"/>
              <w:rPr>
                <w:sz w:val="20"/>
                <w:szCs w:val="20"/>
                <w:color w:val="auto"/>
              </w:rPr>
            </w:pPr>
            <w:r>
              <w:rPr>
                <w:rFonts w:ascii="Arial" w:cs="Arial" w:eastAsia="Arial" w:hAnsi="Arial"/>
                <w:sz w:val="17"/>
                <w:szCs w:val="17"/>
                <w:b w:val="1"/>
                <w:bCs w:val="1"/>
                <w:color w:val="auto"/>
              </w:rPr>
              <w:t>TOTAL</w:t>
            </w:r>
          </w:p>
        </w:tc>
        <w:tc>
          <w:tcPr>
            <w:tcW w:w="2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12"/>
        </w:trPr>
        <w:tc>
          <w:tcPr>
            <w:tcW w:w="2440" w:type="dxa"/>
            <w:vAlign w:val="bottom"/>
            <w:vMerge w:val="continue"/>
          </w:tcPr>
          <w:p>
            <w:pPr>
              <w:spacing w:after="0"/>
              <w:rPr>
                <w:sz w:val="9"/>
                <w:szCs w:val="9"/>
                <w:color w:val="auto"/>
              </w:rPr>
            </w:pPr>
          </w:p>
        </w:tc>
        <w:tc>
          <w:tcPr>
            <w:tcW w:w="66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780" w:type="dxa"/>
            <w:vAlign w:val="bottom"/>
            <w:vMerge w:val="continue"/>
          </w:tcPr>
          <w:p>
            <w:pPr>
              <w:spacing w:after="0"/>
              <w:rPr>
                <w:sz w:val="9"/>
                <w:szCs w:val="9"/>
                <w:color w:val="auto"/>
              </w:rPr>
            </w:pPr>
          </w:p>
        </w:tc>
        <w:tc>
          <w:tcPr>
            <w:tcW w:w="2600" w:type="dxa"/>
            <w:vAlign w:val="bottom"/>
            <w:vMerge w:val="restart"/>
          </w:tcPr>
          <w:p>
            <w:pPr>
              <w:jc w:val="right"/>
              <w:ind w:right="566"/>
              <w:spacing w:after="0"/>
              <w:rPr>
                <w:sz w:val="20"/>
                <w:szCs w:val="20"/>
                <w:color w:val="auto"/>
              </w:rPr>
            </w:pPr>
            <w:r>
              <w:rPr>
                <w:rFonts w:ascii="Arial" w:cs="Arial" w:eastAsia="Arial" w:hAnsi="Arial"/>
                <w:sz w:val="17"/>
                <w:szCs w:val="17"/>
                <w:color w:val="auto"/>
              </w:rPr>
              <w:t>$95,263</w:t>
            </w:r>
          </w:p>
        </w:tc>
        <w:tc>
          <w:tcPr>
            <w:tcW w:w="0" w:type="dxa"/>
            <w:vAlign w:val="bottom"/>
          </w:tcPr>
          <w:p>
            <w:pPr>
              <w:spacing w:after="0"/>
              <w:rPr>
                <w:sz w:val="1"/>
                <w:szCs w:val="1"/>
                <w:color w:val="auto"/>
              </w:rPr>
            </w:pPr>
          </w:p>
        </w:tc>
      </w:tr>
      <w:tr>
        <w:trPr>
          <w:trHeight w:val="191"/>
        </w:trPr>
        <w:tc>
          <w:tcPr>
            <w:tcW w:w="2440" w:type="dxa"/>
            <w:vAlign w:val="bottom"/>
            <w:vMerge w:val="restart"/>
          </w:tcPr>
          <w:p>
            <w:pPr>
              <w:spacing w:after="0"/>
              <w:rPr>
                <w:sz w:val="20"/>
                <w:szCs w:val="20"/>
                <w:color w:val="auto"/>
              </w:rPr>
            </w:pPr>
            <w:r>
              <w:rPr>
                <w:rFonts w:ascii="Arial" w:cs="Arial" w:eastAsia="Arial" w:hAnsi="Arial"/>
                <w:sz w:val="17"/>
                <w:szCs w:val="17"/>
                <w:b w:val="1"/>
                <w:bCs w:val="1"/>
                <w:color w:val="auto"/>
              </w:rPr>
              <w:t>NET EARNINGS</w:t>
            </w:r>
          </w:p>
        </w:tc>
        <w:tc>
          <w:tcPr>
            <w:tcW w:w="6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780" w:type="dxa"/>
            <w:vAlign w:val="bottom"/>
            <w:vMerge w:val="restart"/>
          </w:tcPr>
          <w:p>
            <w:pPr>
              <w:ind w:left="680"/>
              <w:spacing w:after="0"/>
              <w:rPr>
                <w:sz w:val="20"/>
                <w:szCs w:val="20"/>
                <w:color w:val="auto"/>
              </w:rPr>
            </w:pPr>
            <w:r>
              <w:rPr>
                <w:rFonts w:ascii="Arial" w:cs="Arial" w:eastAsia="Arial" w:hAnsi="Arial"/>
                <w:sz w:val="17"/>
                <w:szCs w:val="17"/>
                <w:b w:val="1"/>
                <w:bCs w:val="1"/>
                <w:color w:val="auto"/>
              </w:rPr>
              <w:t>ASSETS</w:t>
            </w:r>
          </w:p>
        </w:tc>
        <w:tc>
          <w:tcPr>
            <w:tcW w:w="26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2440" w:type="dxa"/>
            <w:vAlign w:val="bottom"/>
            <w:vMerge w:val="continue"/>
          </w:tcPr>
          <w:p>
            <w:pPr>
              <w:spacing w:after="0"/>
              <w:rPr>
                <w:sz w:val="7"/>
                <w:szCs w:val="7"/>
                <w:color w:val="auto"/>
              </w:rPr>
            </w:pPr>
          </w:p>
        </w:tc>
        <w:tc>
          <w:tcPr>
            <w:tcW w:w="66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780" w:type="dxa"/>
            <w:vAlign w:val="bottom"/>
            <w:vMerge w:val="continue"/>
          </w:tcPr>
          <w:p>
            <w:pPr>
              <w:spacing w:after="0"/>
              <w:rPr>
                <w:sz w:val="7"/>
                <w:szCs w:val="7"/>
                <w:color w:val="auto"/>
              </w:rPr>
            </w:pPr>
          </w:p>
        </w:tc>
        <w:tc>
          <w:tcPr>
            <w:tcW w:w="26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1"/>
        </w:trPr>
        <w:tc>
          <w:tcPr>
            <w:tcW w:w="2440" w:type="dxa"/>
            <w:vAlign w:val="bottom"/>
          </w:tcPr>
          <w:p>
            <w:pPr>
              <w:spacing w:after="0"/>
              <w:rPr>
                <w:sz w:val="20"/>
                <w:szCs w:val="20"/>
                <w:color w:val="auto"/>
              </w:rPr>
            </w:pPr>
            <w:r>
              <w:rPr>
                <w:rFonts w:ascii="Arial" w:cs="Arial" w:eastAsia="Arial" w:hAnsi="Arial"/>
                <w:sz w:val="17"/>
                <w:szCs w:val="17"/>
                <w:b w:val="1"/>
                <w:bCs w:val="1"/>
                <w:color w:val="auto"/>
              </w:rPr>
              <w:t>ATTRIBUTABLE</w:t>
            </w:r>
          </w:p>
        </w:tc>
        <w:tc>
          <w:tcPr>
            <w:tcW w:w="660" w:type="dxa"/>
            <w:vAlign w:val="bottom"/>
          </w:tcPr>
          <w:p>
            <w:pPr>
              <w:spacing w:after="0"/>
              <w:rPr>
                <w:sz w:val="23"/>
                <w:szCs w:val="23"/>
                <w:color w:val="auto"/>
              </w:rPr>
            </w:pPr>
          </w:p>
        </w:tc>
        <w:tc>
          <w:tcPr>
            <w:tcW w:w="1140" w:type="dxa"/>
            <w:vAlign w:val="bottom"/>
            <w:vMerge w:val="restart"/>
          </w:tcPr>
          <w:p>
            <w:pPr>
              <w:jc w:val="right"/>
              <w:ind w:right="593"/>
              <w:spacing w:after="0"/>
              <w:rPr>
                <w:sz w:val="20"/>
                <w:szCs w:val="20"/>
                <w:color w:val="auto"/>
              </w:rPr>
            </w:pPr>
            <w:r>
              <w:rPr>
                <w:rFonts w:ascii="Arial" w:cs="Arial" w:eastAsia="Arial" w:hAnsi="Arial"/>
                <w:sz w:val="17"/>
                <w:szCs w:val="17"/>
                <w:color w:val="auto"/>
              </w:rPr>
              <w:t>$962</w:t>
            </w:r>
          </w:p>
        </w:tc>
        <w:tc>
          <w:tcPr>
            <w:tcW w:w="1780" w:type="dxa"/>
            <w:vAlign w:val="bottom"/>
          </w:tcPr>
          <w:p>
            <w:pPr>
              <w:spacing w:after="0"/>
              <w:rPr>
                <w:sz w:val="23"/>
                <w:szCs w:val="23"/>
                <w:color w:val="auto"/>
              </w:rPr>
            </w:pPr>
          </w:p>
        </w:tc>
        <w:tc>
          <w:tcPr>
            <w:tcW w:w="2600" w:type="dxa"/>
            <w:vAlign w:val="bottom"/>
            <w:vMerge w:val="restart"/>
          </w:tcPr>
          <w:p>
            <w:pPr>
              <w:jc w:val="right"/>
              <w:spacing w:after="0"/>
              <w:rPr>
                <w:sz w:val="20"/>
                <w:szCs w:val="20"/>
                <w:color w:val="auto"/>
              </w:rPr>
            </w:pPr>
            <w:r>
              <w:rPr>
                <w:rFonts w:ascii="Arial" w:cs="Arial" w:eastAsia="Arial" w:hAnsi="Arial"/>
                <w:sz w:val="17"/>
                <w:szCs w:val="17"/>
                <w:color w:val="auto"/>
              </w:rPr>
              <w:t>$80,614</w:t>
            </w:r>
          </w:p>
        </w:tc>
        <w:tc>
          <w:tcPr>
            <w:tcW w:w="0" w:type="dxa"/>
            <w:vAlign w:val="bottom"/>
          </w:tcPr>
          <w:p>
            <w:pPr>
              <w:spacing w:after="0"/>
              <w:rPr>
                <w:sz w:val="1"/>
                <w:szCs w:val="1"/>
                <w:color w:val="auto"/>
              </w:rPr>
            </w:pPr>
          </w:p>
        </w:tc>
      </w:tr>
      <w:tr>
        <w:trPr>
          <w:trHeight w:val="161"/>
        </w:trPr>
        <w:tc>
          <w:tcPr>
            <w:tcW w:w="2440" w:type="dxa"/>
            <w:vAlign w:val="bottom"/>
            <w:vMerge w:val="restart"/>
          </w:tcPr>
          <w:p>
            <w:pPr>
              <w:spacing w:after="0"/>
              <w:rPr>
                <w:sz w:val="20"/>
                <w:szCs w:val="20"/>
                <w:color w:val="auto"/>
              </w:rPr>
            </w:pPr>
            <w:r>
              <w:rPr>
                <w:rFonts w:ascii="Arial" w:cs="Arial" w:eastAsia="Arial" w:hAnsi="Arial"/>
                <w:sz w:val="17"/>
                <w:szCs w:val="17"/>
                <w:b w:val="1"/>
                <w:bCs w:val="1"/>
                <w:color w:val="auto"/>
              </w:rPr>
              <w:t>TO COMMON</w:t>
            </w:r>
          </w:p>
        </w:tc>
        <w:tc>
          <w:tcPr>
            <w:tcW w:w="660" w:type="dxa"/>
            <w:vAlign w:val="bottom"/>
          </w:tcPr>
          <w:p>
            <w:pPr>
              <w:spacing w:after="0"/>
              <w:rPr>
                <w:sz w:val="13"/>
                <w:szCs w:val="13"/>
                <w:color w:val="auto"/>
              </w:rPr>
            </w:pPr>
          </w:p>
        </w:tc>
        <w:tc>
          <w:tcPr>
            <w:tcW w:w="1140" w:type="dxa"/>
            <w:vAlign w:val="bottom"/>
            <w:vMerge w:val="continue"/>
          </w:tcPr>
          <w:p>
            <w:pPr>
              <w:spacing w:after="0"/>
              <w:rPr>
                <w:sz w:val="13"/>
                <w:szCs w:val="13"/>
                <w:color w:val="auto"/>
              </w:rPr>
            </w:pPr>
          </w:p>
        </w:tc>
        <w:tc>
          <w:tcPr>
            <w:tcW w:w="1780" w:type="dxa"/>
            <w:vAlign w:val="bottom"/>
          </w:tcPr>
          <w:p>
            <w:pPr>
              <w:spacing w:after="0"/>
              <w:rPr>
                <w:sz w:val="13"/>
                <w:szCs w:val="13"/>
                <w:color w:val="auto"/>
              </w:rPr>
            </w:pPr>
          </w:p>
        </w:tc>
        <w:tc>
          <w:tcPr>
            <w:tcW w:w="26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1"/>
        </w:trPr>
        <w:tc>
          <w:tcPr>
            <w:tcW w:w="2440" w:type="dxa"/>
            <w:vAlign w:val="bottom"/>
            <w:vMerge w:val="continue"/>
          </w:tcPr>
          <w:p>
            <w:pPr>
              <w:spacing w:after="0"/>
              <w:rPr>
                <w:sz w:val="9"/>
                <w:szCs w:val="9"/>
                <w:color w:val="auto"/>
              </w:rPr>
            </w:pPr>
          </w:p>
        </w:tc>
        <w:tc>
          <w:tcPr>
            <w:tcW w:w="660" w:type="dxa"/>
            <w:vAlign w:val="bottom"/>
          </w:tcPr>
          <w:p>
            <w:pPr>
              <w:spacing w:after="0"/>
              <w:rPr>
                <w:sz w:val="9"/>
                <w:szCs w:val="9"/>
                <w:color w:val="auto"/>
              </w:rPr>
            </w:pPr>
          </w:p>
        </w:tc>
        <w:tc>
          <w:tcPr>
            <w:tcW w:w="1140" w:type="dxa"/>
            <w:vAlign w:val="bottom"/>
            <w:vMerge w:val="continue"/>
          </w:tcPr>
          <w:p>
            <w:pPr>
              <w:spacing w:after="0"/>
              <w:rPr>
                <w:sz w:val="9"/>
                <w:szCs w:val="9"/>
                <w:color w:val="auto"/>
              </w:rPr>
            </w:pPr>
          </w:p>
        </w:tc>
        <w:tc>
          <w:tcPr>
            <w:tcW w:w="1780" w:type="dxa"/>
            <w:vAlign w:val="bottom"/>
          </w:tcPr>
          <w:p>
            <w:pPr>
              <w:spacing w:after="0"/>
              <w:rPr>
                <w:sz w:val="9"/>
                <w:szCs w:val="9"/>
                <w:color w:val="auto"/>
              </w:rPr>
            </w:pPr>
          </w:p>
        </w:tc>
        <w:tc>
          <w:tcPr>
            <w:tcW w:w="26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1311910</wp:posOffset>
            </wp:positionH>
            <wp:positionV relativeFrom="paragraph">
              <wp:posOffset>-732155</wp:posOffset>
            </wp:positionV>
            <wp:extent cx="1477010" cy="20072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1">
                      <a:extLst>
                        <a:ext uri="{28A0092B-C50C-407E-A947-70E740481C1C}"/>
                      </a:extLst>
                    </a:blip>
                    <a:srcRect/>
                    <a:stretch>
                      <a:fillRect/>
                    </a:stretch>
                  </pic:blipFill>
                  <pic:spPr bwMode="auto">
                    <a:xfrm>
                      <a:off x="0" y="0"/>
                      <a:ext cx="1477010" cy="200723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-709930</wp:posOffset>
            </wp:positionV>
            <wp:extent cx="1477010" cy="19850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2">
                      <a:extLst>
                        <a:ext uri="{28A0092B-C50C-407E-A947-70E740481C1C}"/>
                      </a:extLst>
                    </a:blip>
                    <a:srcRect/>
                    <a:stretch>
                      <a:fillRect/>
                    </a:stretch>
                  </pic:blipFill>
                  <pic:spPr bwMode="auto">
                    <a:xfrm>
                      <a:off x="0" y="0"/>
                      <a:ext cx="1477010" cy="1985010"/>
                    </a:xfrm>
                    <a:prstGeom prst="rect">
                      <a:avLst/>
                    </a:prstGeom>
                    <a:noFill/>
                  </pic:spPr>
                </pic:pic>
              </a:graphicData>
            </a:graphic>
          </wp:anchor>
        </w:drawing>
      </w:r>
    </w:p>
    <w:p>
      <w:pPr>
        <w:ind w:left="480"/>
        <w:spacing w:after="0"/>
        <w:rPr>
          <w:sz w:val="20"/>
          <w:szCs w:val="20"/>
          <w:color w:val="auto"/>
        </w:rPr>
      </w:pPr>
      <w:r>
        <w:rPr>
          <w:rFonts w:ascii="Arial" w:cs="Arial" w:eastAsia="Arial" w:hAnsi="Arial"/>
          <w:sz w:val="17"/>
          <w:szCs w:val="17"/>
          <w:b w:val="1"/>
          <w:bCs w:val="1"/>
          <w:color w:val="auto"/>
        </w:rPr>
        <w:t>SHAREHOLDERS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2320"/>
        <w:spacing w:after="0"/>
        <w:tabs>
          <w:tab w:leader="none" w:pos="3060" w:val="left"/>
          <w:tab w:leader="none" w:pos="3820" w:val="left"/>
          <w:tab w:leader="none" w:pos="7180" w:val="left"/>
          <w:tab w:leader="none" w:pos="7940" w:val="left"/>
          <w:tab w:leader="none" w:pos="8720" w:val="left"/>
        </w:tabs>
        <w:rPr>
          <w:sz w:val="20"/>
          <w:szCs w:val="20"/>
          <w:color w:val="auto"/>
        </w:rPr>
      </w:pPr>
      <w:r>
        <w:rPr>
          <w:rFonts w:ascii="Arial" w:cs="Arial" w:eastAsia="Arial" w:hAnsi="Arial"/>
          <w:sz w:val="17"/>
          <w:szCs w:val="17"/>
          <w:color w:val="FFFFFF"/>
        </w:rPr>
        <w:t>‘25</w:t>
      </w:r>
      <w:r>
        <w:rPr>
          <w:sz w:val="20"/>
          <w:szCs w:val="20"/>
          <w:color w:val="auto"/>
        </w:rPr>
        <w:tab/>
      </w:r>
      <w:r>
        <w:rPr>
          <w:rFonts w:ascii="Arial" w:cs="Arial" w:eastAsia="Arial" w:hAnsi="Arial"/>
          <w:sz w:val="17"/>
          <w:szCs w:val="17"/>
          <w:color w:val="FFFFFF"/>
        </w:rPr>
        <w:t>‘24</w:t>
      </w:r>
      <w:r>
        <w:rPr>
          <w:sz w:val="20"/>
          <w:szCs w:val="20"/>
          <w:color w:val="auto"/>
        </w:rPr>
        <w:tab/>
      </w:r>
      <w:r>
        <w:rPr>
          <w:rFonts w:ascii="Arial" w:cs="Arial" w:eastAsia="Arial" w:hAnsi="Arial"/>
          <w:sz w:val="17"/>
          <w:szCs w:val="17"/>
          <w:color w:val="FFFFFF"/>
        </w:rPr>
        <w:t>‘23</w:t>
      </w:r>
      <w:r>
        <w:rPr>
          <w:sz w:val="20"/>
          <w:szCs w:val="20"/>
          <w:color w:val="auto"/>
        </w:rPr>
        <w:tab/>
      </w:r>
      <w:r>
        <w:rPr>
          <w:rFonts w:ascii="Arial" w:cs="Arial" w:eastAsia="Arial" w:hAnsi="Arial"/>
          <w:sz w:val="17"/>
          <w:szCs w:val="17"/>
          <w:color w:val="FFFFFF"/>
        </w:rPr>
        <w:t>‘25</w:t>
      </w:r>
      <w:r>
        <w:rPr>
          <w:sz w:val="20"/>
          <w:szCs w:val="20"/>
          <w:color w:val="auto"/>
        </w:rPr>
        <w:tab/>
      </w:r>
      <w:r>
        <w:rPr>
          <w:rFonts w:ascii="Arial" w:cs="Arial" w:eastAsia="Arial" w:hAnsi="Arial"/>
          <w:sz w:val="17"/>
          <w:szCs w:val="17"/>
          <w:color w:val="FFFFFF"/>
        </w:rPr>
        <w:t>‘24</w:t>
      </w:r>
      <w:r>
        <w:rPr>
          <w:sz w:val="20"/>
          <w:szCs w:val="20"/>
          <w:color w:val="auto"/>
        </w:rPr>
        <w:tab/>
      </w:r>
      <w:r>
        <w:rPr>
          <w:rFonts w:ascii="Arial" w:cs="Arial" w:eastAsia="Arial" w:hAnsi="Arial"/>
          <w:sz w:val="17"/>
          <w:szCs w:val="17"/>
          <w:color w:val="FFFFFF"/>
        </w:rPr>
        <w:t>‘23</w:t>
      </w:r>
    </w:p>
    <w:p>
      <w:pPr>
        <w:sectPr>
          <w:pgSz w:w="11880" w:h="15480" w:orient="portrait"/>
          <w:cols w:equalWidth="0" w:num="1">
            <w:col w:w="10180"/>
          </w:cols>
          <w:pgMar w:left="1000" w:top="1062" w:right="700" w:bottom="0" w:gutter="0" w:footer="0" w:header="0"/>
        </w:sectPr>
      </w:pPr>
    </w:p>
    <w:p>
      <w:pPr>
        <w:spacing w:after="0" w:line="200" w:lineRule="exact"/>
        <w:rPr>
          <w:sz w:val="20"/>
          <w:szCs w:val="20"/>
          <w:color w:val="auto"/>
        </w:rPr>
      </w:pPr>
    </w:p>
    <w:p>
      <w:pPr>
        <w:spacing w:after="0" w:line="376" w:lineRule="exact"/>
        <w:rPr>
          <w:sz w:val="20"/>
          <w:szCs w:val="20"/>
          <w:color w:val="auto"/>
        </w:rPr>
      </w:pPr>
    </w:p>
    <w:p>
      <w:pPr>
        <w:ind w:left="7920"/>
        <w:spacing w:after="0"/>
        <w:rPr>
          <w:sz w:val="20"/>
          <w:szCs w:val="20"/>
          <w:color w:val="auto"/>
        </w:rPr>
      </w:pPr>
      <w:r>
        <w:rPr>
          <w:rFonts w:ascii="Arial" w:cs="Arial" w:eastAsia="Arial" w:hAnsi="Arial"/>
          <w:sz w:val="10"/>
          <w:szCs w:val="10"/>
          <w:color w:val="00083B"/>
        </w:rPr>
        <w:t>FIDELITY NATIONAL FINANCIAL, INC. | 1</w:t>
      </w:r>
    </w:p>
    <w:p>
      <w:pPr>
        <w:sectPr>
          <w:pgSz w:w="11880" w:h="15480" w:orient="portrait"/>
          <w:cols w:equalWidth="0" w:num="1">
            <w:col w:w="10180"/>
          </w:cols>
          <w:pgMar w:left="1000" w:top="1062" w:right="700" w:bottom="0" w:gutter="0" w:footer="0" w:header="0"/>
          <w:type w:val="continuous"/>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543800" cy="98298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3">
                      <a:extLst>
                        <a:ext uri="{28A0092B-C50C-407E-A947-70E740481C1C}"/>
                      </a:extLst>
                    </a:blip>
                    <a:srcRect/>
                    <a:stretch>
                      <a:fillRect/>
                    </a:stretch>
                  </pic:blipFill>
                  <pic:spPr bwMode="auto">
                    <a:xfrm>
                      <a:off x="0" y="0"/>
                      <a:ext cx="7543800" cy="9829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2400"/>
        <w:spacing w:after="0"/>
        <w:tabs>
          <w:tab w:leader="none" w:pos="6520" w:val="left"/>
        </w:tabs>
        <w:rPr>
          <w:sz w:val="20"/>
          <w:szCs w:val="20"/>
          <w:color w:val="auto"/>
        </w:rPr>
      </w:pPr>
      <w:r>
        <w:rPr>
          <w:rFonts w:ascii="Times New Roman" w:cs="Times New Roman" w:eastAsia="Times New Roman" w:hAnsi="Times New Roman"/>
          <w:sz w:val="17"/>
          <w:szCs w:val="17"/>
          <w:b w:val="1"/>
          <w:bCs w:val="1"/>
          <w:i w:val="1"/>
          <w:iCs w:val="1"/>
          <w:color w:val="auto"/>
        </w:rPr>
        <w:t>William P. Foley, II</w:t>
      </w:r>
      <w:r>
        <w:rPr>
          <w:sz w:val="20"/>
          <w:szCs w:val="20"/>
          <w:color w:val="auto"/>
        </w:rPr>
        <w:tab/>
      </w:r>
      <w:r>
        <w:rPr>
          <w:rFonts w:ascii="Times New Roman" w:cs="Times New Roman" w:eastAsia="Times New Roman" w:hAnsi="Times New Roman"/>
          <w:sz w:val="17"/>
          <w:szCs w:val="17"/>
          <w:b w:val="1"/>
          <w:bCs w:val="1"/>
          <w:i w:val="1"/>
          <w:iCs w:val="1"/>
          <w:color w:val="auto"/>
        </w:rPr>
        <w:t>Michael J. Nolan</w:t>
      </w:r>
    </w:p>
    <w:p>
      <w:pPr>
        <w:spacing w:after="0" w:line="17" w:lineRule="exact"/>
        <w:rPr>
          <w:sz w:val="20"/>
          <w:szCs w:val="20"/>
          <w:color w:val="auto"/>
        </w:rPr>
      </w:pPr>
    </w:p>
    <w:p>
      <w:pPr>
        <w:ind w:left="2380"/>
        <w:spacing w:after="0"/>
        <w:tabs>
          <w:tab w:leader="none" w:pos="6400" w:val="left"/>
        </w:tabs>
        <w:rPr>
          <w:sz w:val="20"/>
          <w:szCs w:val="20"/>
          <w:color w:val="auto"/>
        </w:rPr>
      </w:pPr>
      <w:r>
        <w:rPr>
          <w:rFonts w:ascii="Times New Roman" w:cs="Times New Roman" w:eastAsia="Times New Roman" w:hAnsi="Times New Roman"/>
          <w:sz w:val="17"/>
          <w:szCs w:val="17"/>
          <w:i w:val="1"/>
          <w:iCs w:val="1"/>
          <w:color w:val="auto"/>
        </w:rPr>
        <w:t>Chairman of the Board</w:t>
      </w:r>
      <w:r>
        <w:rPr>
          <w:sz w:val="20"/>
          <w:szCs w:val="20"/>
          <w:color w:val="auto"/>
        </w:rPr>
        <w:tab/>
      </w:r>
      <w:r>
        <w:rPr>
          <w:rFonts w:ascii="Arial" w:cs="Arial" w:eastAsia="Arial" w:hAnsi="Arial"/>
          <w:sz w:val="17"/>
          <w:szCs w:val="17"/>
          <w:i w:val="1"/>
          <w:iCs w:val="1"/>
          <w:color w:val="auto"/>
        </w:rPr>
        <w:t>Chief Executive Officer</w:t>
      </w:r>
    </w:p>
    <w:p>
      <w:pPr>
        <w:spacing w:after="0" w:line="200" w:lineRule="exact"/>
        <w:rPr>
          <w:sz w:val="20"/>
          <w:szCs w:val="20"/>
          <w:color w:val="auto"/>
        </w:rPr>
      </w:pPr>
    </w:p>
    <w:p>
      <w:pPr>
        <w:spacing w:after="0" w:line="273" w:lineRule="exact"/>
        <w:rPr>
          <w:sz w:val="20"/>
          <w:szCs w:val="20"/>
          <w:color w:val="auto"/>
        </w:rPr>
      </w:pPr>
    </w:p>
    <w:p>
      <w:pPr>
        <w:ind w:left="1720"/>
        <w:spacing w:after="0"/>
        <w:rPr>
          <w:sz w:val="20"/>
          <w:szCs w:val="20"/>
          <w:color w:val="auto"/>
        </w:rPr>
      </w:pPr>
      <w:r>
        <w:rPr>
          <w:rFonts w:ascii="Arial" w:cs="Arial" w:eastAsia="Arial" w:hAnsi="Arial"/>
          <w:sz w:val="27"/>
          <w:szCs w:val="27"/>
          <w:i w:val="1"/>
          <w:iCs w:val="1"/>
          <w:color w:val="00083B"/>
        </w:rPr>
        <w:t>DEAR FELLOW SHAREHOLDERS,</w:t>
      </w:r>
    </w:p>
    <w:p>
      <w:pPr>
        <w:spacing w:after="0" w:line="281" w:lineRule="exact"/>
        <w:rPr>
          <w:sz w:val="20"/>
          <w:szCs w:val="20"/>
          <w:color w:val="auto"/>
        </w:rPr>
      </w:pPr>
    </w:p>
    <w:p>
      <w:pPr>
        <w:ind w:left="260" w:right="180"/>
        <w:spacing w:after="0" w:line="301" w:lineRule="auto"/>
        <w:rPr>
          <w:sz w:val="20"/>
          <w:szCs w:val="20"/>
          <w:color w:val="auto"/>
        </w:rPr>
      </w:pPr>
      <w:r>
        <w:rPr>
          <w:rFonts w:ascii="Times New Roman" w:cs="Times New Roman" w:eastAsia="Times New Roman" w:hAnsi="Times New Roman"/>
          <w:sz w:val="19"/>
          <w:szCs w:val="19"/>
          <w:color w:val="auto"/>
        </w:rPr>
        <w:t xml:space="preserve">I am proud to report that we delivered another outstanding year, demonstrating the strength and resilience of our dynamic business model that is purpose-built to successfully navigate varying macroeconomic environments. While </w:t>
      </w:r>
      <w:r>
        <w:rPr>
          <w:rFonts w:ascii="Arial" w:cs="Arial" w:eastAsia="Arial" w:hAnsi="Arial"/>
          <w:sz w:val="19"/>
          <w:szCs w:val="19"/>
          <w:color w:val="auto"/>
        </w:rPr>
        <w:t xml:space="preserve">residential purchase and refinance volumes remained at historically low levels, our Title Segment generated industry leading adjusted pre-tax title margins once again this year. Against this backdrop, our F&amp;G Segment achieved one of its best sales years in history and continued to provide an important complement to our Title business. These results are a </w:t>
      </w:r>
      <w:r>
        <w:rPr>
          <w:rFonts w:ascii="Times New Roman" w:cs="Times New Roman" w:eastAsia="Times New Roman" w:hAnsi="Times New Roman"/>
          <w:sz w:val="19"/>
          <w:szCs w:val="19"/>
          <w:color w:val="auto"/>
        </w:rPr>
        <w:t>testament to the dedication and talent of our employees and I would like to extend my profound thanks for all they do to consistently deliver for our customers and shareholders.</w:t>
      </w:r>
    </w:p>
    <w:p>
      <w:pPr>
        <w:spacing w:after="0" w:line="163" w:lineRule="exact"/>
        <w:rPr>
          <w:sz w:val="20"/>
          <w:szCs w:val="20"/>
          <w:color w:val="auto"/>
        </w:rPr>
      </w:pPr>
    </w:p>
    <w:p>
      <w:pPr>
        <w:ind w:left="260"/>
        <w:spacing w:after="0"/>
        <w:rPr>
          <w:sz w:val="20"/>
          <w:szCs w:val="20"/>
          <w:color w:val="auto"/>
        </w:rPr>
      </w:pPr>
      <w:r>
        <w:rPr>
          <w:rFonts w:ascii="Arial" w:cs="Arial" w:eastAsia="Arial" w:hAnsi="Arial"/>
          <w:sz w:val="21"/>
          <w:szCs w:val="21"/>
          <w:b w:val="1"/>
          <w:bCs w:val="1"/>
          <w:color w:val="1A4B82"/>
        </w:rPr>
        <w:t>Title Segment’s Industry-Leading Performance</w:t>
      </w:r>
    </w:p>
    <w:p>
      <w:pPr>
        <w:spacing w:after="0" w:line="343" w:lineRule="exact"/>
        <w:rPr>
          <w:sz w:val="20"/>
          <w:szCs w:val="20"/>
          <w:color w:val="auto"/>
        </w:rPr>
      </w:pPr>
    </w:p>
    <w:p>
      <w:pPr>
        <w:ind w:left="260" w:right="180"/>
        <w:spacing w:after="0" w:line="306" w:lineRule="auto"/>
        <w:rPr>
          <w:sz w:val="20"/>
          <w:szCs w:val="20"/>
          <w:color w:val="auto"/>
        </w:rPr>
      </w:pPr>
      <w:r>
        <w:rPr>
          <w:rFonts w:ascii="Arial" w:cs="Arial" w:eastAsia="Arial" w:hAnsi="Arial"/>
          <w:sz w:val="19"/>
          <w:szCs w:val="19"/>
          <w:color w:val="auto"/>
        </w:rPr>
        <w:t>Our Title Segment delivered outstanding results, generating adjusted pre-tax earnings of $1.4 billion for the full year 2025, a 17% increase over 2024, and an industry leading adjusted pre-tax title margin of 15.9%, up from 15.1% in 2024. These results are even more impressive given the backdrop of a housing market near 30-year transaction lows with persistently elevated mortgage rates. This performance is a direct reflection of the investments we have made over many years in technology, operational efficiency and our people.</w:t>
      </w:r>
    </w:p>
    <w:p>
      <w:pPr>
        <w:spacing w:after="0" w:line="208" w:lineRule="exact"/>
        <w:rPr>
          <w:sz w:val="20"/>
          <w:szCs w:val="20"/>
          <w:color w:val="auto"/>
        </w:rPr>
      </w:pPr>
    </w:p>
    <w:p>
      <w:pPr>
        <w:ind w:left="260"/>
        <w:spacing w:after="0" w:line="305" w:lineRule="auto"/>
        <w:rPr>
          <w:sz w:val="20"/>
          <w:szCs w:val="20"/>
          <w:color w:val="auto"/>
        </w:rPr>
      </w:pPr>
      <w:r>
        <w:rPr>
          <w:rFonts w:ascii="Arial" w:cs="Arial" w:eastAsia="Arial" w:hAnsi="Arial"/>
          <w:sz w:val="19"/>
          <w:szCs w:val="19"/>
          <w:color w:val="auto"/>
        </w:rPr>
        <w:t xml:space="preserve">Our commercial business was a particular standout in 2025. We delivered direct commercial revenue of nearly $1.5 billion for the full year, our third best year on record trailing only the exceptional markets of 2021 and 2022. We saw strength across a broad set of asset classes including industrial, multifamily, affordable housing, retail and energy, and we entered </w:t>
      </w:r>
      <w:r>
        <w:rPr>
          <w:rFonts w:ascii="Times New Roman" w:cs="Times New Roman" w:eastAsia="Times New Roman" w:hAnsi="Times New Roman"/>
          <w:sz w:val="19"/>
          <w:szCs w:val="19"/>
          <w:color w:val="auto"/>
        </w:rPr>
        <w:t xml:space="preserve">2026 with a strong pipeline of commercial deals and continued momentum in order volumes. Additionally, we are seeing </w:t>
      </w:r>
      <w:r>
        <w:rPr>
          <w:rFonts w:ascii="Arial" w:cs="Arial" w:eastAsia="Arial" w:hAnsi="Arial"/>
          <w:sz w:val="19"/>
          <w:szCs w:val="19"/>
          <w:color w:val="auto"/>
        </w:rPr>
        <w:t>early signs of recovery in the office sector that provides optimism looking out over the medium term.</w:t>
      </w:r>
    </w:p>
    <w:p>
      <w:pPr>
        <w:spacing w:after="0" w:line="210" w:lineRule="exact"/>
        <w:rPr>
          <w:sz w:val="20"/>
          <w:szCs w:val="20"/>
          <w:color w:val="auto"/>
        </w:rPr>
      </w:pPr>
    </w:p>
    <w:p>
      <w:pPr>
        <w:ind w:left="260" w:right="40"/>
        <w:spacing w:after="0" w:line="299" w:lineRule="auto"/>
        <w:rPr>
          <w:sz w:val="20"/>
          <w:szCs w:val="20"/>
          <w:color w:val="auto"/>
        </w:rPr>
      </w:pPr>
      <w:r>
        <w:rPr>
          <w:rFonts w:ascii="Times New Roman" w:cs="Times New Roman" w:eastAsia="Times New Roman" w:hAnsi="Times New Roman"/>
          <w:sz w:val="19"/>
          <w:szCs w:val="19"/>
          <w:color w:val="auto"/>
        </w:rPr>
        <w:t xml:space="preserve">Central to our success are the investments we have made in technology over many decades combined with our team’s operational discipline. In 2025, our inHere digital transaction platform scaled to a fully deployed enterprise solution, </w:t>
      </w:r>
      <w:r>
        <w:rPr>
          <w:rFonts w:ascii="Arial" w:cs="Arial" w:eastAsia="Arial" w:hAnsi="Arial"/>
          <w:sz w:val="19"/>
          <w:szCs w:val="19"/>
          <w:color w:val="auto"/>
        </w:rPr>
        <w:t xml:space="preserve">engaging 80% of our residential sale transactions and reaching nearly 2.8 million unique users, demonstrating deep integration into daily workflows and delivering efficiency, transparency and enhanced fraud protection. We also rolled out AI tools enterprise-wide and have begun to deploy practical solutions to streamline workflows, increase productivity and unlock new ways to serve our customers. Our curated data and title automation technology touched over 90% of our total volume, supported by our proprietary title plants and patented automation integrated into our centralized workflows. These technology investments have been critical drivers of our industry leading margins and will continue to support our </w:t>
      </w:r>
      <w:r>
        <w:rPr>
          <w:rFonts w:ascii="Times New Roman" w:cs="Times New Roman" w:eastAsia="Times New Roman" w:hAnsi="Times New Roman"/>
          <w:sz w:val="19"/>
          <w:szCs w:val="19"/>
          <w:color w:val="auto"/>
        </w:rPr>
        <w:t>competitive position for years to come.</w:t>
      </w:r>
    </w:p>
    <w:p>
      <w:pPr>
        <w:spacing w:after="0" w:line="216" w:lineRule="exact"/>
        <w:rPr>
          <w:sz w:val="20"/>
          <w:szCs w:val="20"/>
          <w:color w:val="auto"/>
        </w:rPr>
      </w:pPr>
    </w:p>
    <w:p>
      <w:pPr>
        <w:ind w:left="260" w:right="60"/>
        <w:spacing w:after="0" w:line="343" w:lineRule="auto"/>
        <w:rPr>
          <w:sz w:val="20"/>
          <w:szCs w:val="20"/>
          <w:color w:val="auto"/>
        </w:rPr>
      </w:pPr>
      <w:r>
        <w:rPr>
          <w:rFonts w:ascii="Arial" w:cs="Arial" w:eastAsia="Arial" w:hAnsi="Arial"/>
          <w:sz w:val="18"/>
          <w:szCs w:val="18"/>
          <w:color w:val="auto"/>
        </w:rPr>
        <w:t>Our disciplined operating model consistently generates a steady level of free cash flow, as we manage our headcount and footprint in line with order volume trends. For the full year 2025, we generated $1.3 billion in net cash from operations (excluding F&amp;G), enabling us to invest in our business and technology, pursue acquisitions and return capital to shareholders.</w:t>
      </w:r>
    </w:p>
    <w:p>
      <w:pPr>
        <w:sectPr>
          <w:pgSz w:w="11880" w:h="15480" w:orient="portrait"/>
          <w:cols w:equalWidth="0" w:num="1">
            <w:col w:w="10460"/>
          </w:cols>
          <w:pgMar w:left="700" w:top="1440" w:right="720" w:bottom="0" w:gutter="0" w:footer="0" w:header="0"/>
        </w:sectPr>
      </w:pPr>
    </w:p>
    <w:p>
      <w:pPr>
        <w:spacing w:after="0" w:line="389" w:lineRule="exact"/>
        <w:rPr>
          <w:sz w:val="20"/>
          <w:szCs w:val="20"/>
          <w:color w:val="auto"/>
        </w:rPr>
      </w:pPr>
    </w:p>
    <w:p>
      <w:pPr>
        <w:spacing w:after="0"/>
        <w:rPr>
          <w:sz w:val="20"/>
          <w:szCs w:val="20"/>
          <w:color w:val="auto"/>
        </w:rPr>
      </w:pPr>
      <w:r>
        <w:rPr>
          <w:rFonts w:ascii="Arial" w:cs="Arial" w:eastAsia="Arial" w:hAnsi="Arial"/>
          <w:sz w:val="10"/>
          <w:szCs w:val="10"/>
          <w:color w:val="00083B"/>
        </w:rPr>
        <w:t>2 | FIDELITY NATIONAL FINANCIAL, INC.</w:t>
      </w:r>
    </w:p>
    <w:p>
      <w:pPr>
        <w:sectPr>
          <w:pgSz w:w="11880" w:h="15480" w:orient="portrait"/>
          <w:cols w:equalWidth="0" w:num="1">
            <w:col w:w="10460"/>
          </w:cols>
          <w:pgMar w:left="700" w:top="1440" w:right="720" w:bottom="0" w:gutter="0" w:footer="0" w:header="0"/>
          <w:type w:val="continuous"/>
        </w:sectPr>
      </w:pPr>
    </w:p>
    <w:bookmarkStart w:id="4" w:name="page5"/>
    <w:bookmarkEnd w:id="4"/>
    <w:p>
      <w:pPr>
        <w:spacing w:after="0"/>
        <w:rPr>
          <w:sz w:val="20"/>
          <w:szCs w:val="20"/>
          <w:color w:val="auto"/>
        </w:rPr>
      </w:pPr>
      <w:r>
        <w:rPr>
          <w:rFonts w:ascii="Arial" w:cs="Arial" w:eastAsia="Arial" w:hAnsi="Arial"/>
          <w:sz w:val="21"/>
          <w:szCs w:val="21"/>
          <w:b w:val="1"/>
          <w:bCs w:val="1"/>
          <w:color w:val="1A4B82"/>
        </w:rPr>
        <mc:AlternateContent>
          <mc:Choice Requires="wps">
            <w:drawing>
              <wp:anchor simplePos="0" relativeHeight="251657728" behindDoc="1" locked="0" layoutInCell="0" allowOverlap="1">
                <wp:simplePos x="0" y="0"/>
                <wp:positionH relativeFrom="page">
                  <wp:posOffset>0</wp:posOffset>
                </wp:positionH>
                <wp:positionV relativeFrom="page">
                  <wp:posOffset>0</wp:posOffset>
                </wp:positionV>
                <wp:extent cx="7543800" cy="9829800"/>
                <wp:wrapNone/>
                <wp:docPr id="14" name="Shape 1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543800" cy="9829800"/>
                        </a:xfrm>
                        <a:prstGeom prst="rect">
                          <a:avLst/>
                        </a:prstGeom>
                        <a:solidFill>
                          <a:srgbClr val="EEF0F1"/>
                        </a:solidFill>
                      </wps:spPr>
                      <wps:bodyPr/>
                    </wps:wsp>
                  </a:graphicData>
                </a:graphic>
              </wp:anchor>
            </w:drawing>
          </mc:Choice>
          <mc:Fallback>
            <w:pict>
              <v:rect id="Shape 14" o:spid="_x0000_s1039" style="position:absolute;margin-left:0pt;margin-top:0pt;width:594pt;height:774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EEF0F1" stroked="f">
                <w10:wrap anchorx="page" anchory="page"/>
              </v:rect>
            </w:pict>
          </mc:Fallback>
        </mc:AlternateContent>
        <w:t>F&amp;G Segment Executing on its Strategy</w:t>
      </w:r>
    </w:p>
    <w:p>
      <w:pPr>
        <w:spacing w:after="0" w:line="343" w:lineRule="exact"/>
        <w:rPr>
          <w:sz w:val="20"/>
          <w:szCs w:val="20"/>
          <w:color w:val="auto"/>
        </w:rPr>
      </w:pPr>
    </w:p>
    <w:p>
      <w:pPr>
        <w:ind w:right="240"/>
        <w:spacing w:after="0" w:line="309" w:lineRule="auto"/>
        <w:rPr>
          <w:sz w:val="20"/>
          <w:szCs w:val="20"/>
          <w:color w:val="auto"/>
        </w:rPr>
      </w:pPr>
      <w:r>
        <w:rPr>
          <w:rFonts w:ascii="Arial" w:cs="Arial" w:eastAsia="Arial" w:hAnsi="Arial"/>
          <w:sz w:val="18"/>
          <w:szCs w:val="18"/>
          <w:color w:val="auto"/>
        </w:rPr>
        <w:t>Our majority-owned subsidiary, F&amp;G, continued to execute on its diversified growth strategy in 2025. F&amp;G’s assets under management before flow reinsurance grew to $73.1 billion at year-end, up 12% over the prior year, while retained AUM reached $57.6 billion. To put this growth in longer-term context, gross AUM has achieved a 19% compound annual growth rate (CAGR) over the past six years, from $26.4 billion at year-end 2019 (prior to FNF’s acquisition</w:t>
      </w:r>
    </w:p>
    <w:p>
      <w:pPr>
        <w:spacing w:after="0" w:line="1" w:lineRule="exact"/>
        <w:rPr>
          <w:sz w:val="20"/>
          <w:szCs w:val="20"/>
          <w:color w:val="auto"/>
        </w:rPr>
      </w:pPr>
    </w:p>
    <w:p>
      <w:pPr>
        <w:jc w:val="both"/>
        <w:ind w:right="440"/>
        <w:spacing w:after="0" w:line="319" w:lineRule="auto"/>
        <w:rPr>
          <w:sz w:val="20"/>
          <w:szCs w:val="20"/>
          <w:color w:val="auto"/>
        </w:rPr>
      </w:pPr>
      <w:r>
        <w:rPr>
          <w:rFonts w:ascii="Arial" w:cs="Arial" w:eastAsia="Arial" w:hAnsi="Arial"/>
          <w:sz w:val="19"/>
          <w:szCs w:val="19"/>
          <w:color w:val="auto"/>
        </w:rPr>
        <w:t>in 2020) to $73.1 billion at year-end 2025. Gross sales have achieved a 25% CAGR from $3.9 billion in 2019 to $14.6 billion in 2025. F&amp;G now operates across five distinct channels, compared to a single channel prior to the acquisition. These results are a clear validation of our original investment thesis.</w:t>
      </w:r>
    </w:p>
    <w:p>
      <w:pPr>
        <w:spacing w:after="0" w:line="196" w:lineRule="exact"/>
        <w:rPr>
          <w:sz w:val="20"/>
          <w:szCs w:val="20"/>
          <w:color w:val="auto"/>
        </w:rPr>
      </w:pPr>
    </w:p>
    <w:p>
      <w:pPr>
        <w:ind w:right="180"/>
        <w:spacing w:after="0" w:line="303" w:lineRule="auto"/>
        <w:rPr>
          <w:sz w:val="20"/>
          <w:szCs w:val="20"/>
          <w:color w:val="auto"/>
        </w:rPr>
      </w:pPr>
      <w:r>
        <w:rPr>
          <w:rFonts w:ascii="Arial" w:cs="Arial" w:eastAsia="Arial" w:hAnsi="Arial"/>
          <w:sz w:val="19"/>
          <w:szCs w:val="19"/>
          <w:color w:val="auto"/>
        </w:rPr>
        <w:t xml:space="preserve">F&amp;G’s standalone equity attributable to common shareholders excluding AOCI, was $6.0 billion, or $44.43 per share, as of December 31, 2025. This reflects an increase of $0.78 per share as compared to December 31, 2024, after the effect of the secondary common stock offering in March 2025. Cumulative book value per share excluding AOCI has increased by 62% since FNF’s acquisition in 2020. Importantly, the F&amp;G Segment contributed 30% of FNF’s adjusted net earnings </w:t>
      </w:r>
      <w:r>
        <w:rPr>
          <w:rFonts w:ascii="Times New Roman" w:cs="Times New Roman" w:eastAsia="Times New Roman" w:hAnsi="Times New Roman"/>
          <w:sz w:val="19"/>
          <w:szCs w:val="19"/>
          <w:color w:val="auto"/>
        </w:rPr>
        <w:t xml:space="preserve">in 2025, consistent with its average contribution over the past three years and reinforcing its role as an important and </w:t>
      </w:r>
      <w:r>
        <w:rPr>
          <w:rFonts w:ascii="Arial" w:cs="Arial" w:eastAsia="Arial" w:hAnsi="Arial"/>
          <w:sz w:val="19"/>
          <w:szCs w:val="19"/>
          <w:color w:val="auto"/>
        </w:rPr>
        <w:t>durable complement to our Title business.</w:t>
      </w:r>
    </w:p>
    <w:p>
      <w:pPr>
        <w:spacing w:after="0" w:line="210" w:lineRule="exact"/>
        <w:rPr>
          <w:sz w:val="20"/>
          <w:szCs w:val="20"/>
          <w:color w:val="auto"/>
        </w:rPr>
      </w:pPr>
    </w:p>
    <w:p>
      <w:pPr>
        <w:ind w:right="440"/>
        <w:spacing w:after="0" w:line="300" w:lineRule="auto"/>
        <w:rPr>
          <w:sz w:val="20"/>
          <w:szCs w:val="20"/>
          <w:color w:val="auto"/>
        </w:rPr>
      </w:pPr>
      <w:r>
        <w:rPr>
          <w:rFonts w:ascii="Times New Roman" w:cs="Times New Roman" w:eastAsia="Times New Roman" w:hAnsi="Times New Roman"/>
          <w:sz w:val="19"/>
          <w:szCs w:val="19"/>
          <w:color w:val="auto"/>
        </w:rPr>
        <w:t>Looking forward, F&amp;G is evolving into a more fee-based, higher margin and less capital-intensive business. Fee-</w:t>
      </w:r>
      <w:r>
        <w:rPr>
          <w:rFonts w:ascii="Arial" w:cs="Arial" w:eastAsia="Arial" w:hAnsi="Arial"/>
          <w:sz w:val="19"/>
          <w:szCs w:val="19"/>
          <w:color w:val="auto"/>
        </w:rPr>
        <w:t xml:space="preserve">based strategies, including flow reinsurance, middle market life insurance and owned distribution, now represent approximately 15% of F&amp;G’s standalone adjusted net earnings excluding significant items, up from approximately 5% three years ago. The share of fee-based earnings is expected to grow to approximately 25% over the next three years, which we believe will lead to a higher valuation and benefit FNF shareholders. Additionally, F&amp;G launched a strategic reinsurance sidecar in 2025 in partnership with Blackstone managed funds with approximately $1 billion in capital commitments. This is another meaningful step in F&amp;G’s progress toward a fee-based and less capital intensive model </w:t>
      </w:r>
      <w:r>
        <w:rPr>
          <w:rFonts w:ascii="Times New Roman" w:cs="Times New Roman" w:eastAsia="Times New Roman" w:hAnsi="Times New Roman"/>
          <w:sz w:val="19"/>
          <w:szCs w:val="19"/>
          <w:color w:val="auto"/>
        </w:rPr>
        <w:t>that is set to generate higher returns over time.</w:t>
      </w:r>
    </w:p>
    <w:p>
      <w:pPr>
        <w:spacing w:after="0" w:line="163" w:lineRule="exact"/>
        <w:rPr>
          <w:sz w:val="20"/>
          <w:szCs w:val="20"/>
          <w:color w:val="auto"/>
        </w:rPr>
      </w:pPr>
    </w:p>
    <w:p>
      <w:pPr>
        <w:spacing w:after="0"/>
        <w:rPr>
          <w:sz w:val="20"/>
          <w:szCs w:val="20"/>
          <w:color w:val="auto"/>
        </w:rPr>
      </w:pPr>
      <w:r>
        <w:rPr>
          <w:rFonts w:ascii="Arial" w:cs="Arial" w:eastAsia="Arial" w:hAnsi="Arial"/>
          <w:sz w:val="21"/>
          <w:szCs w:val="21"/>
          <w:b w:val="1"/>
          <w:bCs w:val="1"/>
          <w:color w:val="1A4B82"/>
        </w:rPr>
        <w:t>Returning Capital to Shareholders</w:t>
      </w:r>
    </w:p>
    <w:p>
      <w:pPr>
        <w:spacing w:after="0" w:line="343" w:lineRule="exact"/>
        <w:rPr>
          <w:sz w:val="20"/>
          <w:szCs w:val="20"/>
          <w:color w:val="auto"/>
        </w:rPr>
      </w:pPr>
    </w:p>
    <w:p>
      <w:pPr>
        <w:ind w:right="240"/>
        <w:spacing w:after="0" w:line="306" w:lineRule="auto"/>
        <w:rPr>
          <w:sz w:val="20"/>
          <w:szCs w:val="20"/>
          <w:color w:val="auto"/>
        </w:rPr>
      </w:pPr>
      <w:r>
        <w:rPr>
          <w:rFonts w:ascii="Arial" w:cs="Arial" w:eastAsia="Arial" w:hAnsi="Arial"/>
          <w:sz w:val="19"/>
          <w:szCs w:val="19"/>
          <w:color w:val="auto"/>
        </w:rPr>
        <w:t>Our balanced capital allocation strategy continues to create value for shareholders. In 2025, we returned nearly $800 million of capital through common dividends of $546 million and share repurchases of $251 million. In November, our Board approved a 4% increase in the quarterly cash dividend to $0.52 per common share. We ended the year with $659 million in holding company cash and short-term investments, maintaining a strong and flexible balance sheet with a debt-to-capitalization ratio within our targeted range of 20% to 30%.</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Additionally, to unlock the building value in F&amp;G, our Board of Directors approved the distribution of approximately</w:t>
      </w:r>
    </w:p>
    <w:p>
      <w:pPr>
        <w:spacing w:after="0" w:line="48" w:lineRule="exact"/>
        <w:rPr>
          <w:sz w:val="20"/>
          <w:szCs w:val="20"/>
          <w:color w:val="auto"/>
        </w:rPr>
      </w:pPr>
    </w:p>
    <w:p>
      <w:pPr>
        <w:spacing w:after="0"/>
        <w:rPr>
          <w:sz w:val="20"/>
          <w:szCs w:val="20"/>
          <w:color w:val="auto"/>
        </w:rPr>
      </w:pPr>
      <w:r>
        <w:rPr>
          <w:rFonts w:ascii="Arial" w:cs="Arial" w:eastAsia="Arial" w:hAnsi="Arial"/>
          <w:sz w:val="19"/>
          <w:szCs w:val="19"/>
          <w:color w:val="auto"/>
        </w:rPr>
        <w:t>12% of F&amp;G’s outstanding shares to FNF shareholders in December 2025. This represents an approximate return of</w:t>
      </w:r>
    </w:p>
    <w:p>
      <w:pPr>
        <w:spacing w:after="0" w:line="48" w:lineRule="exact"/>
        <w:rPr>
          <w:sz w:val="20"/>
          <w:szCs w:val="20"/>
          <w:color w:val="auto"/>
        </w:rPr>
      </w:pPr>
    </w:p>
    <w:p>
      <w:pPr>
        <w:spacing w:after="0"/>
        <w:rPr>
          <w:sz w:val="20"/>
          <w:szCs w:val="20"/>
          <w:color w:val="auto"/>
        </w:rPr>
      </w:pPr>
      <w:r>
        <w:rPr>
          <w:rFonts w:ascii="Arial" w:cs="Arial" w:eastAsia="Arial" w:hAnsi="Arial"/>
          <w:sz w:val="19"/>
          <w:szCs w:val="19"/>
          <w:color w:val="auto"/>
        </w:rPr>
        <w:t>$500 million of tangible value to our shareholders while FNF retained majority ownership at approximately 70%. This</w:t>
      </w:r>
    </w:p>
    <w:p>
      <w:pPr>
        <w:spacing w:after="0" w:line="48" w:lineRule="exact"/>
        <w:rPr>
          <w:sz w:val="20"/>
          <w:szCs w:val="20"/>
          <w:color w:val="auto"/>
        </w:rPr>
      </w:pPr>
    </w:p>
    <w:p>
      <w:pPr>
        <w:spacing w:after="0"/>
        <w:rPr>
          <w:sz w:val="20"/>
          <w:szCs w:val="20"/>
          <w:color w:val="auto"/>
        </w:rPr>
      </w:pPr>
      <w:r>
        <w:rPr>
          <w:rFonts w:ascii="Arial" w:cs="Arial" w:eastAsia="Arial" w:hAnsi="Arial"/>
          <w:sz w:val="19"/>
          <w:szCs w:val="19"/>
          <w:color w:val="auto"/>
        </w:rPr>
        <w:t>distribution reflects our confidence in F&amp;G’s long-term prospects and is intended to enhance F&amp;G’s market liquidity and</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broaden institutional investor access and ownership. Going forward, we expect F&amp;G to be a meaningful source of capital</w:t>
      </w:r>
    </w:p>
    <w:p>
      <w:pPr>
        <w:spacing w:after="0" w:line="48" w:lineRule="exact"/>
        <w:rPr>
          <w:sz w:val="20"/>
          <w:szCs w:val="20"/>
          <w:color w:val="auto"/>
        </w:rPr>
      </w:pPr>
    </w:p>
    <w:p>
      <w:pPr>
        <w:spacing w:after="0"/>
        <w:rPr>
          <w:sz w:val="20"/>
          <w:szCs w:val="20"/>
          <w:color w:val="auto"/>
        </w:rPr>
      </w:pPr>
      <w:r>
        <w:rPr>
          <w:rFonts w:ascii="Arial" w:cs="Arial" w:eastAsia="Arial" w:hAnsi="Arial"/>
          <w:sz w:val="19"/>
          <w:szCs w:val="19"/>
          <w:color w:val="auto"/>
        </w:rPr>
        <w:t>to FNF through approximately $112 million in annual common and preferred dividends at our 70% ownership level.</w:t>
      </w:r>
    </w:p>
    <w:p>
      <w:pPr>
        <w:spacing w:after="0" w:line="315" w:lineRule="exact"/>
        <w:rPr>
          <w:sz w:val="20"/>
          <w:szCs w:val="20"/>
          <w:color w:val="auto"/>
        </w:rPr>
      </w:pPr>
    </w:p>
    <w:p>
      <w:pPr>
        <w:ind w:right="340"/>
        <w:spacing w:after="0" w:line="303" w:lineRule="auto"/>
        <w:rPr>
          <w:sz w:val="20"/>
          <w:szCs w:val="20"/>
          <w:color w:val="auto"/>
        </w:rPr>
      </w:pPr>
      <w:r>
        <w:rPr>
          <w:rFonts w:ascii="Arial" w:cs="Arial" w:eastAsia="Arial" w:hAnsi="Arial"/>
          <w:sz w:val="19"/>
          <w:szCs w:val="19"/>
          <w:color w:val="auto"/>
        </w:rPr>
        <w:t xml:space="preserve">We believe the market has been slow to recognize the strength of F&amp;G’s business, financial durability, and our </w:t>
      </w:r>
      <w:r>
        <w:rPr>
          <w:rFonts w:ascii="Times New Roman" w:cs="Times New Roman" w:eastAsia="Times New Roman" w:hAnsi="Times New Roman"/>
          <w:sz w:val="19"/>
          <w:szCs w:val="19"/>
          <w:color w:val="auto"/>
        </w:rPr>
        <w:t xml:space="preserve">transition to a more fee-based, higher margin and less capital intensive model; a disconnect that has been exacerbated </w:t>
      </w:r>
      <w:r>
        <w:rPr>
          <w:rFonts w:ascii="Arial" w:cs="Arial" w:eastAsia="Arial" w:hAnsi="Arial"/>
          <w:sz w:val="19"/>
          <w:szCs w:val="19"/>
          <w:color w:val="auto"/>
        </w:rPr>
        <w:t xml:space="preserve">by the historical low liquidity that has compressed the valuation of the stock. As a result, F&amp;G’s board of directors approved a $100 million, three-year share repurchase plan in March 2026, viewing share repurchases at current levels as a compelling use of capital that underscores the confidence in the results F&amp;G has delivered and the significant </w:t>
      </w:r>
      <w:r>
        <w:rPr>
          <w:rFonts w:ascii="Times New Roman" w:cs="Times New Roman" w:eastAsia="Times New Roman" w:hAnsi="Times New Roman"/>
          <w:sz w:val="19"/>
          <w:szCs w:val="19"/>
          <w:color w:val="auto"/>
        </w:rPr>
        <w:t>opportunities ahead.</w:t>
      </w:r>
    </w:p>
    <w:p>
      <w:pPr>
        <w:sectPr>
          <w:pgSz w:w="11880" w:h="15480" w:orient="portrait"/>
          <w:cols w:equalWidth="0" w:num="1">
            <w:col w:w="10220"/>
          </w:cols>
          <w:pgMar w:left="960" w:top="710" w:right="7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tabs>
          <w:tab w:leader="none" w:pos="7940" w:val="left"/>
        </w:tabs>
        <w:rPr>
          <w:sz w:val="20"/>
          <w:szCs w:val="20"/>
          <w:color w:val="auto"/>
        </w:rPr>
      </w:pPr>
      <w:r>
        <w:rPr>
          <w:rFonts w:ascii="Times New Roman" w:cs="Times New Roman" w:eastAsia="Times New Roman" w:hAnsi="Times New Roman"/>
          <w:sz w:val="16"/>
          <w:szCs w:val="16"/>
          <w:i w:val="1"/>
          <w:iCs w:val="1"/>
          <w:color w:val="auto"/>
        </w:rPr>
        <w:t>(1) See the Non-GAAP Financial Measures page for reconciliations of GAAP to non-GAAP financial measures.</w:t>
      </w:r>
      <w:r>
        <w:rPr>
          <w:sz w:val="20"/>
          <w:szCs w:val="20"/>
          <w:color w:val="auto"/>
        </w:rPr>
        <w:tab/>
      </w:r>
      <w:r>
        <w:rPr>
          <w:rFonts w:ascii="Arial" w:cs="Arial" w:eastAsia="Arial" w:hAnsi="Arial"/>
          <w:sz w:val="10"/>
          <w:szCs w:val="10"/>
          <w:color w:val="00083B"/>
        </w:rPr>
        <w:t>FIDELITY NATIONAL FINANCIAL, INC. | 3</w:t>
      </w:r>
    </w:p>
    <w:p>
      <w:pPr>
        <w:sectPr>
          <w:pgSz w:w="11880" w:h="15480" w:orient="portrait"/>
          <w:cols w:equalWidth="0" w:num="1">
            <w:col w:w="10220"/>
          </w:cols>
          <w:pgMar w:left="960" w:top="710" w:right="700" w:bottom="0" w:gutter="0" w:footer="0" w:header="0"/>
          <w:type w:val="continuous"/>
        </w:sectPr>
      </w:pPr>
    </w:p>
    <w:bookmarkStart w:id="5" w:name="page6"/>
    <w:bookmarkEnd w:id="5"/>
    <w:p>
      <w:pPr>
        <w:ind w:left="260"/>
        <w:spacing w:after="0"/>
        <w:rPr>
          <w:sz w:val="20"/>
          <w:szCs w:val="20"/>
          <w:color w:val="auto"/>
        </w:rPr>
      </w:pPr>
      <w:r>
        <w:rPr>
          <w:rFonts w:ascii="Arial" w:cs="Arial" w:eastAsia="Arial" w:hAnsi="Arial"/>
          <w:sz w:val="21"/>
          <w:szCs w:val="21"/>
          <w:b w:val="1"/>
          <w:bCs w:val="1"/>
          <w:color w:val="1A4B82"/>
        </w:rPr>
        <w:drawing>
          <wp:anchor simplePos="0" relativeHeight="251657728" behindDoc="1" locked="0" layoutInCell="0" allowOverlap="1">
            <wp:simplePos x="0" y="0"/>
            <wp:positionH relativeFrom="page">
              <wp:posOffset>0</wp:posOffset>
            </wp:positionH>
            <wp:positionV relativeFrom="page">
              <wp:posOffset>0</wp:posOffset>
            </wp:positionV>
            <wp:extent cx="7543800" cy="98298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4">
                      <a:extLst>
                        <a:ext uri="{28A0092B-C50C-407E-A947-70E740481C1C}"/>
                      </a:extLst>
                    </a:blip>
                    <a:srcRect/>
                    <a:stretch>
                      <a:fillRect/>
                    </a:stretch>
                  </pic:blipFill>
                  <pic:spPr bwMode="auto">
                    <a:xfrm>
                      <a:off x="0" y="0"/>
                      <a:ext cx="7543800" cy="9829800"/>
                    </a:xfrm>
                    <a:prstGeom prst="rect">
                      <a:avLst/>
                    </a:prstGeom>
                    <a:noFill/>
                  </pic:spPr>
                </pic:pic>
              </a:graphicData>
            </a:graphic>
          </wp:anchor>
        </w:drawing>
        <w:t>Looking to the Year Ahead</w:t>
      </w:r>
    </w:p>
    <w:p>
      <w:pPr>
        <w:spacing w:after="0" w:line="343" w:lineRule="exact"/>
        <w:rPr>
          <w:sz w:val="20"/>
          <w:szCs w:val="20"/>
          <w:color w:val="auto"/>
        </w:rPr>
      </w:pPr>
    </w:p>
    <w:p>
      <w:pPr>
        <w:ind w:left="260"/>
        <w:spacing w:after="0" w:line="301" w:lineRule="auto"/>
        <w:rPr>
          <w:sz w:val="20"/>
          <w:szCs w:val="20"/>
          <w:color w:val="auto"/>
        </w:rPr>
      </w:pPr>
      <w:r>
        <w:rPr>
          <w:rFonts w:ascii="Arial" w:cs="Arial" w:eastAsia="Arial" w:hAnsi="Arial"/>
          <w:sz w:val="19"/>
          <w:szCs w:val="19"/>
          <w:color w:val="auto"/>
        </w:rPr>
        <w:t xml:space="preserve">Overall, 2025 was an excellent year for our Title and F&amp;G businesses, both in terms of results and execution. Looking to the year ahead, I am optimistic. While uncertainty remains and interest rates have been volatile, refinance activity has already shown it can respond quickly to even modest rate improvements and we believe pent up demand for housing </w:t>
      </w:r>
      <w:r>
        <w:rPr>
          <w:rFonts w:ascii="Times New Roman" w:cs="Times New Roman" w:eastAsia="Times New Roman" w:hAnsi="Times New Roman"/>
          <w:sz w:val="19"/>
          <w:szCs w:val="19"/>
          <w:color w:val="auto"/>
        </w:rPr>
        <w:t xml:space="preserve">remains that even modestly lower rates can unlock. Regardless of the precise path mortgage rates take, we are well </w:t>
      </w:r>
      <w:r>
        <w:rPr>
          <w:rFonts w:ascii="Arial" w:cs="Arial" w:eastAsia="Arial" w:hAnsi="Arial"/>
          <w:sz w:val="19"/>
          <w:szCs w:val="19"/>
          <w:color w:val="auto"/>
        </w:rPr>
        <w:t xml:space="preserve">positioned for the current market and poised to benefit meaningfully as volumes recover toward historical norms. Our commercial business enters the year with strong order momentum, and the office sector is beginning to show signs of </w:t>
      </w:r>
      <w:r>
        <w:rPr>
          <w:rFonts w:ascii="Times New Roman" w:cs="Times New Roman" w:eastAsia="Times New Roman" w:hAnsi="Times New Roman"/>
          <w:sz w:val="19"/>
          <w:szCs w:val="19"/>
          <w:color w:val="auto"/>
        </w:rPr>
        <w:t>recovery.</w:t>
      </w:r>
    </w:p>
    <w:p>
      <w:pPr>
        <w:spacing w:after="0" w:line="213" w:lineRule="exact"/>
        <w:rPr>
          <w:sz w:val="20"/>
          <w:szCs w:val="20"/>
          <w:color w:val="auto"/>
        </w:rPr>
      </w:pPr>
    </w:p>
    <w:p>
      <w:pPr>
        <w:ind w:left="260" w:right="80"/>
        <w:spacing w:after="0" w:line="309" w:lineRule="auto"/>
        <w:rPr>
          <w:sz w:val="20"/>
          <w:szCs w:val="20"/>
          <w:color w:val="auto"/>
        </w:rPr>
      </w:pPr>
      <w:r>
        <w:rPr>
          <w:rFonts w:ascii="Arial" w:cs="Arial" w:eastAsia="Arial" w:hAnsi="Arial"/>
          <w:sz w:val="19"/>
          <w:szCs w:val="19"/>
          <w:color w:val="auto"/>
        </w:rPr>
        <w:t xml:space="preserve">Importantly, we are not standing still while we wait for the market to turn. We will continue to invest in our SoftPro </w:t>
      </w:r>
      <w:r>
        <w:rPr>
          <w:rFonts w:ascii="Times New Roman" w:cs="Times New Roman" w:eastAsia="Times New Roman" w:hAnsi="Times New Roman"/>
          <w:sz w:val="19"/>
          <w:szCs w:val="19"/>
          <w:color w:val="auto"/>
        </w:rPr>
        <w:t xml:space="preserve">platform, expand our inHere capabilities and deepen our enterprise-wide AI deployment to drive further operational </w:t>
      </w:r>
      <w:r>
        <w:rPr>
          <w:rFonts w:ascii="Arial" w:cs="Arial" w:eastAsia="Arial" w:hAnsi="Arial"/>
          <w:sz w:val="19"/>
          <w:szCs w:val="19"/>
          <w:color w:val="auto"/>
        </w:rPr>
        <w:t xml:space="preserve">efficiencies and strong incremental margins. We also expect continued opportunities for strategic acquisitions in 2026, </w:t>
      </w:r>
      <w:r>
        <w:rPr>
          <w:rFonts w:ascii="Times New Roman" w:cs="Times New Roman" w:eastAsia="Times New Roman" w:hAnsi="Times New Roman"/>
          <w:sz w:val="19"/>
          <w:szCs w:val="19"/>
          <w:color w:val="auto"/>
        </w:rPr>
        <w:t>particularly in the title agency space.</w:t>
      </w:r>
    </w:p>
    <w:p>
      <w:pPr>
        <w:spacing w:after="0" w:line="206" w:lineRule="exact"/>
        <w:rPr>
          <w:sz w:val="20"/>
          <w:szCs w:val="20"/>
          <w:color w:val="auto"/>
        </w:rPr>
      </w:pPr>
    </w:p>
    <w:p>
      <w:pPr>
        <w:ind w:left="260" w:right="160"/>
        <w:spacing w:after="0" w:line="309" w:lineRule="auto"/>
        <w:rPr>
          <w:sz w:val="20"/>
          <w:szCs w:val="20"/>
          <w:color w:val="auto"/>
        </w:rPr>
      </w:pPr>
      <w:r>
        <w:rPr>
          <w:rFonts w:ascii="Arial" w:cs="Arial" w:eastAsia="Arial" w:hAnsi="Arial"/>
          <w:sz w:val="19"/>
          <w:szCs w:val="19"/>
          <w:color w:val="auto"/>
        </w:rPr>
        <w:t xml:space="preserve">For F&amp;G, the path ahead is equally compelling. F&amp;G continues to benefit from favorable market conditions, a growing and diversified distribution network and a strategic shift toward fee-based earnings that will generate higher returns </w:t>
      </w:r>
      <w:r>
        <w:rPr>
          <w:rFonts w:ascii="Times New Roman" w:cs="Times New Roman" w:eastAsia="Times New Roman" w:hAnsi="Times New Roman"/>
          <w:sz w:val="19"/>
          <w:szCs w:val="19"/>
          <w:color w:val="auto"/>
        </w:rPr>
        <w:t xml:space="preserve">over time. We expect F&amp;G to continue delivering steady earnings growth and to remain an important source of capital </w:t>
      </w:r>
      <w:r>
        <w:rPr>
          <w:rFonts w:ascii="Arial" w:cs="Arial" w:eastAsia="Arial" w:hAnsi="Arial"/>
          <w:sz w:val="19"/>
          <w:szCs w:val="19"/>
          <w:color w:val="auto"/>
        </w:rPr>
        <w:t>and earnings diversification for FNF.</w:t>
      </w:r>
    </w:p>
    <w:p>
      <w:pPr>
        <w:spacing w:after="0" w:line="206" w:lineRule="exact"/>
        <w:rPr>
          <w:sz w:val="20"/>
          <w:szCs w:val="20"/>
          <w:color w:val="auto"/>
        </w:rPr>
      </w:pPr>
    </w:p>
    <w:p>
      <w:pPr>
        <w:jc w:val="both"/>
        <w:ind w:left="260" w:right="540"/>
        <w:spacing w:after="0" w:line="318" w:lineRule="auto"/>
        <w:rPr>
          <w:sz w:val="20"/>
          <w:szCs w:val="20"/>
          <w:color w:val="auto"/>
        </w:rPr>
      </w:pPr>
      <w:r>
        <w:rPr>
          <w:rFonts w:ascii="Arial" w:cs="Arial" w:eastAsia="Arial" w:hAnsi="Arial"/>
          <w:sz w:val="19"/>
          <w:szCs w:val="19"/>
          <w:color w:val="auto"/>
        </w:rPr>
        <w:t xml:space="preserve">To conclude, FNF is well positioned for the future. We have two strong, complementary businesses executing at a </w:t>
      </w:r>
      <w:r>
        <w:rPr>
          <w:rFonts w:ascii="Times New Roman" w:cs="Times New Roman" w:eastAsia="Times New Roman" w:hAnsi="Times New Roman"/>
          <w:sz w:val="19"/>
          <w:szCs w:val="19"/>
          <w:color w:val="auto"/>
        </w:rPr>
        <w:t>high level, a disciplined operating model and multiple avenues to grow and create value. I would like to thank our shareholders for their continued support as we work each day to deliver on that promise.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260"/>
        <w:spacing w:after="0"/>
        <w:rPr>
          <w:sz w:val="20"/>
          <w:szCs w:val="20"/>
          <w:color w:val="auto"/>
        </w:rPr>
      </w:pPr>
      <w:r>
        <w:rPr>
          <w:rFonts w:ascii="Arial" w:cs="Arial" w:eastAsia="Arial" w:hAnsi="Arial"/>
          <w:sz w:val="19"/>
          <w:szCs w:val="19"/>
          <w:color w:val="auto"/>
        </w:rPr>
        <w:t>Michael J. Nolan</w:t>
      </w:r>
    </w:p>
    <w:p>
      <w:pPr>
        <w:spacing w:after="0" w:line="74" w:lineRule="exact"/>
        <w:rPr>
          <w:sz w:val="20"/>
          <w:szCs w:val="20"/>
          <w:color w:val="auto"/>
        </w:rPr>
      </w:pPr>
    </w:p>
    <w:p>
      <w:pPr>
        <w:ind w:left="260"/>
        <w:spacing w:after="0"/>
        <w:rPr>
          <w:sz w:val="20"/>
          <w:szCs w:val="20"/>
          <w:color w:val="auto"/>
        </w:rPr>
      </w:pPr>
      <w:r>
        <w:rPr>
          <w:rFonts w:ascii="Arial" w:cs="Arial" w:eastAsia="Arial" w:hAnsi="Arial"/>
          <w:sz w:val="17"/>
          <w:szCs w:val="17"/>
          <w:i w:val="1"/>
          <w:iCs w:val="1"/>
          <w:color w:val="auto"/>
        </w:rPr>
        <w:t>Chief Executive Officer</w:t>
      </w:r>
    </w:p>
    <w:p>
      <w:pPr>
        <w:sectPr>
          <w:pgSz w:w="11880" w:h="15480" w:orient="portrait"/>
          <w:cols w:equalWidth="0" w:num="1">
            <w:col w:w="10240"/>
          </w:cols>
          <w:pgMar w:left="700" w:top="710"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0"/>
          <w:szCs w:val="10"/>
          <w:color w:val="00083B"/>
        </w:rPr>
        <w:t>4 | FIDELITY NATIONAL FINANCIAL, INC.</w:t>
      </w:r>
    </w:p>
    <w:p>
      <w:pPr>
        <w:sectPr>
          <w:pgSz w:w="11880" w:h="15480" w:orient="portrait"/>
          <w:cols w:equalWidth="0" w:num="1">
            <w:col w:w="10240"/>
          </w:cols>
          <w:pgMar w:left="700" w:top="710" w:right="940" w:bottom="0" w:gutter="0" w:footer="0" w:header="0"/>
          <w:type w:val="continuous"/>
        </w:sectPr>
      </w:pPr>
    </w:p>
    <w:bookmarkStart w:id="6" w:name="page7"/>
    <w:bookmarkEnd w:id="6"/>
    <w:p>
      <w:pPr>
        <w:ind w:left="40"/>
        <w:spacing w:after="0"/>
        <w:rPr>
          <w:sz w:val="20"/>
          <w:szCs w:val="20"/>
          <w:color w:val="auto"/>
        </w:rPr>
      </w:pPr>
      <w:r>
        <w:rPr>
          <w:rFonts w:ascii="Arial" w:cs="Arial" w:eastAsia="Arial" w:hAnsi="Arial"/>
          <w:sz w:val="23"/>
          <w:szCs w:val="23"/>
          <w:b w:val="1"/>
          <w:bCs w:val="1"/>
          <w:color w:val="00407A"/>
        </w:rPr>
        <mc:AlternateContent>
          <mc:Choice Requires="wps">
            <w:drawing>
              <wp:anchor simplePos="0" relativeHeight="251657728" behindDoc="1" locked="0" layoutInCell="0" allowOverlap="1">
                <wp:simplePos x="0" y="0"/>
                <wp:positionH relativeFrom="page">
                  <wp:posOffset>1047115</wp:posOffset>
                </wp:positionH>
                <wp:positionV relativeFrom="page">
                  <wp:posOffset>2830830</wp:posOffset>
                </wp:positionV>
                <wp:extent cx="5925185" cy="199390"/>
                <wp:wrapNone/>
                <wp:docPr id="16" name="Shape 1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25185" cy="199390"/>
                        </a:xfrm>
                        <a:prstGeom prst="rect">
                          <a:avLst/>
                        </a:prstGeom>
                        <a:solidFill>
                          <a:srgbClr val="F3F4F5"/>
                        </a:solidFill>
                      </wps:spPr>
                      <wps:bodyPr/>
                    </wps:wsp>
                  </a:graphicData>
                </a:graphic>
              </wp:anchor>
            </w:drawing>
          </mc:Choice>
          <mc:Fallback>
            <w:pict>
              <v:rect id="Shape 16" o:spid="_x0000_s1041" style="position:absolute;margin-left:82.45pt;margin-top:222.9pt;width:466.55pt;height:15.7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F3F4F5" stroked="f">
                <w10:wrap anchorx="page" anchory="page"/>
              </v:rect>
            </w:pict>
          </mc:Fallback>
        </mc:AlternateContent>
        <mc:AlternateContent>
          <mc:Choice Requires="wps">
            <w:drawing>
              <wp:anchor simplePos="0" relativeHeight="251657728" behindDoc="1" locked="0" layoutInCell="0" allowOverlap="1">
                <wp:simplePos x="0" y="0"/>
                <wp:positionH relativeFrom="page">
                  <wp:posOffset>1047115</wp:posOffset>
                </wp:positionH>
                <wp:positionV relativeFrom="page">
                  <wp:posOffset>1722120</wp:posOffset>
                </wp:positionV>
                <wp:extent cx="5925185" cy="199390"/>
                <wp:wrapNone/>
                <wp:docPr id="17" name="Shape 1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25185" cy="199390"/>
                        </a:xfrm>
                        <a:prstGeom prst="rect">
                          <a:avLst/>
                        </a:prstGeom>
                        <a:solidFill>
                          <a:srgbClr val="F3F4F5"/>
                        </a:solidFill>
                      </wps:spPr>
                      <wps:bodyPr/>
                    </wps:wsp>
                  </a:graphicData>
                </a:graphic>
              </wp:anchor>
            </w:drawing>
          </mc:Choice>
          <mc:Fallback>
            <w:pict>
              <v:rect id="Shape 17" o:spid="_x0000_s1042" style="position:absolute;margin-left:82.45pt;margin-top:135.6pt;width:466.55pt;height:15.7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F3F4F5" stroked="f">
                <w10:wrap anchorx="page" anchory="page"/>
              </v:rect>
            </w:pict>
          </mc:Fallback>
        </mc:AlternateContent>
        <mc:AlternateContent>
          <mc:Choice Requires="wps">
            <w:drawing>
              <wp:anchor simplePos="0" relativeHeight="251657728" behindDoc="1" locked="0" layoutInCell="0" allowOverlap="1">
                <wp:simplePos x="0" y="0"/>
                <wp:positionH relativeFrom="page">
                  <wp:posOffset>1047115</wp:posOffset>
                </wp:positionH>
                <wp:positionV relativeFrom="page">
                  <wp:posOffset>4165600</wp:posOffset>
                </wp:positionV>
                <wp:extent cx="5925185" cy="199390"/>
                <wp:wrapNone/>
                <wp:docPr id="18" name="Shape 1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25185" cy="199390"/>
                        </a:xfrm>
                        <a:prstGeom prst="rect">
                          <a:avLst/>
                        </a:prstGeom>
                        <a:solidFill>
                          <a:srgbClr val="F3F4F5"/>
                        </a:solidFill>
                      </wps:spPr>
                      <wps:bodyPr/>
                    </wps:wsp>
                  </a:graphicData>
                </a:graphic>
              </wp:anchor>
            </w:drawing>
          </mc:Choice>
          <mc:Fallback>
            <w:pict>
              <v:rect id="Shape 18" o:spid="_x0000_s1043" style="position:absolute;margin-left:82.45pt;margin-top:328pt;width:466.55pt;height:15.7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F3F4F5" stroked="f">
                <w10:wrap anchorx="page" anchory="page"/>
              </v:rect>
            </w:pict>
          </mc:Fallback>
        </mc:AlternateContent>
        <mc:AlternateContent>
          <mc:Choice Requires="wps">
            <w:drawing>
              <wp:anchor simplePos="0" relativeHeight="251657728" behindDoc="1" locked="0" layoutInCell="0" allowOverlap="1">
                <wp:simplePos x="0" y="0"/>
                <wp:positionH relativeFrom="page">
                  <wp:posOffset>1047115</wp:posOffset>
                </wp:positionH>
                <wp:positionV relativeFrom="page">
                  <wp:posOffset>5930265</wp:posOffset>
                </wp:positionV>
                <wp:extent cx="5925185" cy="208915"/>
                <wp:wrapNone/>
                <wp:docPr id="19" name="Shape 1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25185" cy="208915"/>
                        </a:xfrm>
                        <a:prstGeom prst="rect">
                          <a:avLst/>
                        </a:prstGeom>
                        <a:solidFill>
                          <a:srgbClr val="F3F4F5"/>
                        </a:solidFill>
                      </wps:spPr>
                      <wps:bodyPr/>
                    </wps:wsp>
                  </a:graphicData>
                </a:graphic>
              </wp:anchor>
            </w:drawing>
          </mc:Choice>
          <mc:Fallback>
            <w:pict>
              <v:rect id="Shape 19" o:spid="_x0000_s1044" style="position:absolute;margin-left:82.45pt;margin-top:466.95pt;width:466.55pt;height:16.45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F3F4F5" stroked="f">
                <w10:wrap anchorx="page" anchory="page"/>
              </v:rect>
            </w:pict>
          </mc:Fallback>
        </mc:AlternateContent>
        <mc:AlternateContent>
          <mc:Choice Requires="wps">
            <w:drawing>
              <wp:anchor simplePos="0" relativeHeight="251657728" behindDoc="1" locked="0" layoutInCell="0" allowOverlap="1">
                <wp:simplePos x="0" y="0"/>
                <wp:positionH relativeFrom="page">
                  <wp:posOffset>1047115</wp:posOffset>
                </wp:positionH>
                <wp:positionV relativeFrom="page">
                  <wp:posOffset>6152515</wp:posOffset>
                </wp:positionV>
                <wp:extent cx="5925185" cy="199390"/>
                <wp:wrapNone/>
                <wp:docPr id="20" name="Shape 2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25185" cy="199390"/>
                        </a:xfrm>
                        <a:prstGeom prst="rect">
                          <a:avLst/>
                        </a:prstGeom>
                        <a:solidFill>
                          <a:srgbClr val="F3F4F5"/>
                        </a:solidFill>
                      </wps:spPr>
                      <wps:bodyPr/>
                    </wps:wsp>
                  </a:graphicData>
                </a:graphic>
              </wp:anchor>
            </w:drawing>
          </mc:Choice>
          <mc:Fallback>
            <w:pict>
              <v:rect id="Shape 20" o:spid="_x0000_s1045" style="position:absolute;margin-left:82.45pt;margin-top:484.45pt;width:466.55pt;height:15.7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F3F4F5" stroked="f">
                <w10:wrap anchorx="page" anchory="page"/>
              </v:rect>
            </w:pict>
          </mc:Fallback>
        </mc:AlternateContent>
        <mc:AlternateContent>
          <mc:Choice Requires="wps">
            <w:drawing>
              <wp:anchor simplePos="0" relativeHeight="251657728" behindDoc="1" locked="0" layoutInCell="0" allowOverlap="1">
                <wp:simplePos x="0" y="0"/>
                <wp:positionH relativeFrom="page">
                  <wp:posOffset>0</wp:posOffset>
                </wp:positionH>
                <wp:positionV relativeFrom="page">
                  <wp:posOffset>0</wp:posOffset>
                </wp:positionV>
                <wp:extent cx="7543800" cy="9829800"/>
                <wp:wrapNone/>
                <wp:docPr id="21" name="Shape 2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543800" cy="9829800"/>
                        </a:xfrm>
                        <a:prstGeom prst="rect">
                          <a:avLst/>
                        </a:prstGeom>
                        <a:solidFill>
                          <a:srgbClr val="FFFFFF"/>
                        </a:solidFill>
                      </wps:spPr>
                      <wps:bodyPr/>
                    </wps:wsp>
                  </a:graphicData>
                </a:graphic>
              </wp:anchor>
            </w:drawing>
          </mc:Choice>
          <mc:Fallback>
            <w:pict>
              <v:rect id="Shape 21" o:spid="_x0000_s1046" style="position:absolute;margin-left:0pt;margin-top:0pt;width:594pt;height:774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FFFFFF" stroked="f">
                <w10:wrap anchorx="page" anchory="page"/>
              </v:rect>
            </w:pict>
          </mc:Fallback>
        </mc:AlternateContent>
        <mc:AlternateContent>
          <mc:Choice Requires="wps">
            <w:drawing>
              <wp:anchor simplePos="0" relativeHeight="251657728" behindDoc="1" locked="0" layoutInCell="0" allowOverlap="1">
                <wp:simplePos x="0" y="0"/>
                <wp:positionH relativeFrom="page">
                  <wp:posOffset>674370</wp:posOffset>
                </wp:positionH>
                <wp:positionV relativeFrom="page">
                  <wp:posOffset>377190</wp:posOffset>
                </wp:positionV>
                <wp:extent cx="658495" cy="205740"/>
                <wp:wrapNone/>
                <wp:docPr id="22" name="Shape 2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8495" cy="205740"/>
                        </a:xfrm>
                        <a:prstGeom prst="rect">
                          <a:avLst/>
                        </a:prstGeom>
                        <a:solidFill>
                          <a:srgbClr val="07275D"/>
                        </a:solidFill>
                      </wps:spPr>
                      <wps:bodyPr/>
                    </wps:wsp>
                  </a:graphicData>
                </a:graphic>
              </wp:anchor>
            </w:drawing>
          </mc:Choice>
          <mc:Fallback>
            <w:pict>
              <v:rect id="Shape 22" o:spid="_x0000_s1047" style="position:absolute;margin-left:53.1pt;margin-top:29.7pt;width:51.85pt;height:16.2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07275D" stroked="f">
                <w10:wrap anchorx="page" anchory="page"/>
              </v:rect>
            </w:pict>
          </mc:Fallback>
        </mc:AlternateContent>
        <mc:AlternateContent>
          <mc:Choice Requires="wps">
            <w:drawing>
              <wp:anchor simplePos="0" relativeHeight="251657728" behindDoc="1" locked="0" layoutInCell="0" allowOverlap="1">
                <wp:simplePos x="0" y="0"/>
                <wp:positionH relativeFrom="page">
                  <wp:posOffset>1409065</wp:posOffset>
                </wp:positionH>
                <wp:positionV relativeFrom="page">
                  <wp:posOffset>377190</wp:posOffset>
                </wp:positionV>
                <wp:extent cx="366395" cy="205740"/>
                <wp:wrapNone/>
                <wp:docPr id="23" name="Shape 2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66395" cy="205740"/>
                        </a:xfrm>
                        <a:prstGeom prst="rect">
                          <a:avLst/>
                        </a:prstGeom>
                        <a:solidFill>
                          <a:srgbClr val="1B4B82"/>
                        </a:solidFill>
                      </wps:spPr>
                      <wps:bodyPr/>
                    </wps:wsp>
                  </a:graphicData>
                </a:graphic>
              </wp:anchor>
            </w:drawing>
          </mc:Choice>
          <mc:Fallback>
            <w:pict>
              <v:rect id="Shape 23" o:spid="_x0000_s1048" style="position:absolute;margin-left:110.95pt;margin-top:29.7pt;width:28.85pt;height:16.2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1B4B82" stroked="f">
                <w10:wrap anchorx="page" anchory="page"/>
              </v:rect>
            </w:pict>
          </mc:Fallback>
        </mc:AlternateContent>
        <mc:AlternateContent>
          <mc:Choice Requires="wps">
            <w:drawing>
              <wp:anchor simplePos="0" relativeHeight="251657728" behindDoc="1" locked="0" layoutInCell="0" allowOverlap="1">
                <wp:simplePos x="0" y="0"/>
                <wp:positionH relativeFrom="page">
                  <wp:posOffset>1849120</wp:posOffset>
                </wp:positionH>
                <wp:positionV relativeFrom="page">
                  <wp:posOffset>377190</wp:posOffset>
                </wp:positionV>
                <wp:extent cx="187960" cy="205740"/>
                <wp:wrapNone/>
                <wp:docPr id="24" name="Shape 2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7960" cy="205740"/>
                        </a:xfrm>
                        <a:prstGeom prst="rect">
                          <a:avLst/>
                        </a:prstGeom>
                        <a:solidFill>
                          <a:srgbClr val="49A1C3"/>
                        </a:solidFill>
                      </wps:spPr>
                      <wps:bodyPr/>
                    </wps:wsp>
                  </a:graphicData>
                </a:graphic>
              </wp:anchor>
            </w:drawing>
          </mc:Choice>
          <mc:Fallback>
            <w:pict>
              <v:rect id="Shape 24" o:spid="_x0000_s1049" style="position:absolute;margin-left:145.6pt;margin-top:29.7pt;width:14.8pt;height:16.2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49A1C3" stroked="f">
                <w10:wrap anchorx="page" anchory="page"/>
              </v:rect>
            </w:pict>
          </mc:Fallback>
        </mc:AlternateContent>
        <mc:AlternateContent>
          <mc:Choice Requires="wps">
            <w:drawing>
              <wp:anchor simplePos="0" relativeHeight="251657728" behindDoc="1" locked="0" layoutInCell="0" allowOverlap="1">
                <wp:simplePos x="0" y="0"/>
                <wp:positionH relativeFrom="page">
                  <wp:posOffset>2106930</wp:posOffset>
                </wp:positionH>
                <wp:positionV relativeFrom="page">
                  <wp:posOffset>377190</wp:posOffset>
                </wp:positionV>
                <wp:extent cx="68580" cy="205105"/>
                <wp:wrapNone/>
                <wp:docPr id="25" name="Shape 2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 cy="205105"/>
                        </a:xfrm>
                        <a:prstGeom prst="rect">
                          <a:avLst/>
                        </a:prstGeom>
                        <a:solidFill>
                          <a:srgbClr val="A8DEE5"/>
                        </a:solidFill>
                      </wps:spPr>
                      <wps:bodyPr/>
                    </wps:wsp>
                  </a:graphicData>
                </a:graphic>
              </wp:anchor>
            </w:drawing>
          </mc:Choice>
          <mc:Fallback>
            <w:pict>
              <v:rect id="Shape 25" o:spid="_x0000_s1050" style="position:absolute;margin-left:165.9pt;margin-top:29.7pt;width:5.4pt;height:16.15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A8DEE5" stroked="f">
                <w10:wrap anchorx="page" anchory="page"/>
              </v:rect>
            </w:pict>
          </mc:Fallback>
        </mc:AlternateContent>
        <w:t>NON-GAAP FINANCIAL MEASURES</w:t>
      </w:r>
    </w:p>
    <w:p>
      <w:pPr>
        <w:spacing w:after="0" w:line="17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00407A"/>
        </w:rPr>
        <w:t>RECONCILIATION OF NET EARNINGS ATTRIBUTABLE TO COMMON SHAREHOLDERS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00" w:type="dxa"/>
            <w:vAlign w:val="bottom"/>
            <w:gridSpan w:val="4"/>
          </w:tcPr>
          <w:p>
            <w:pPr>
              <w:ind w:left="20"/>
              <w:spacing w:after="0"/>
              <w:rPr>
                <w:sz w:val="20"/>
                <w:szCs w:val="20"/>
                <w:color w:val="auto"/>
              </w:rPr>
            </w:pPr>
            <w:r>
              <w:rPr>
                <w:rFonts w:ascii="Arial" w:cs="Arial" w:eastAsia="Arial" w:hAnsi="Arial"/>
                <w:sz w:val="16"/>
                <w:szCs w:val="16"/>
                <w:i w:val="1"/>
                <w:iCs w:val="1"/>
                <w:color w:val="auto"/>
              </w:rPr>
              <w:t>(Dollars in millions)</w:t>
            </w:r>
          </w:p>
        </w:tc>
        <w:tc>
          <w:tcPr>
            <w:tcW w:w="940" w:type="dxa"/>
            <w:vAlign w:val="bottom"/>
            <w:gridSpan w:val="2"/>
          </w:tcPr>
          <w:p>
            <w:pPr>
              <w:ind w:left="240"/>
              <w:spacing w:after="0"/>
              <w:rPr>
                <w:sz w:val="20"/>
                <w:szCs w:val="20"/>
                <w:color w:val="auto"/>
              </w:rPr>
            </w:pPr>
            <w:r>
              <w:rPr>
                <w:rFonts w:ascii="Arial" w:cs="Arial" w:eastAsia="Arial" w:hAnsi="Arial"/>
                <w:sz w:val="14"/>
                <w:szCs w:val="14"/>
                <w:b w:val="1"/>
                <w:bCs w:val="1"/>
                <w:color w:val="00407A"/>
              </w:rPr>
              <w:t>2025</w:t>
            </w:r>
          </w:p>
        </w:tc>
        <w:tc>
          <w:tcPr>
            <w:tcW w:w="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jc w:val="right"/>
              <w:ind w:right="785"/>
              <w:spacing w:after="0"/>
              <w:rPr>
                <w:sz w:val="20"/>
                <w:szCs w:val="20"/>
                <w:color w:val="auto"/>
              </w:rPr>
            </w:pPr>
            <w:r>
              <w:rPr>
                <w:rFonts w:ascii="Arial" w:cs="Arial" w:eastAsia="Arial" w:hAnsi="Arial"/>
                <w:sz w:val="14"/>
                <w:szCs w:val="14"/>
                <w:color w:val="auto"/>
              </w:rPr>
              <w:t>2024</w:t>
            </w:r>
          </w:p>
        </w:tc>
        <w:tc>
          <w:tcPr>
            <w:tcW w:w="200" w:type="dxa"/>
            <w:vAlign w:val="bottom"/>
          </w:tcPr>
          <w:p>
            <w:pPr>
              <w:spacing w:after="0"/>
              <w:rPr>
                <w:sz w:val="20"/>
                <w:szCs w:val="20"/>
                <w:color w:val="auto"/>
              </w:rPr>
            </w:pPr>
          </w:p>
        </w:tc>
        <w:tc>
          <w:tcPr>
            <w:tcW w:w="540" w:type="dxa"/>
            <w:vAlign w:val="bottom"/>
          </w:tcPr>
          <w:p>
            <w:pPr>
              <w:jc w:val="right"/>
              <w:ind w:right="125"/>
              <w:spacing w:after="0"/>
              <w:rPr>
                <w:sz w:val="20"/>
                <w:szCs w:val="20"/>
                <w:color w:val="auto"/>
              </w:rPr>
            </w:pPr>
            <w:r>
              <w:rPr>
                <w:rFonts w:ascii="Arial" w:cs="Arial" w:eastAsia="Arial" w:hAnsi="Arial"/>
                <w:sz w:val="14"/>
                <w:szCs w:val="14"/>
                <w:color w:val="auto"/>
                <w:w w:val="96"/>
              </w:rPr>
              <w:t>2023</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620" w:type="dxa"/>
            <w:vAlign w:val="bottom"/>
            <w:tcBorders>
              <w:bottom w:val="single" w:sz="8" w:color="auto"/>
            </w:tcBorders>
          </w:tcPr>
          <w:p>
            <w:pPr>
              <w:spacing w:after="0"/>
              <w:rPr>
                <w:sz w:val="6"/>
                <w:szCs w:val="6"/>
                <w:color w:val="auto"/>
              </w:rPr>
            </w:pPr>
          </w:p>
        </w:tc>
        <w:tc>
          <w:tcPr>
            <w:tcW w:w="55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128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72"/>
        </w:trPr>
        <w:tc>
          <w:tcPr>
            <w:tcW w:w="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55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880" w:type="dxa"/>
            <w:vAlign w:val="bottom"/>
            <w:gridSpan w:val="4"/>
          </w:tcPr>
          <w:p>
            <w:pPr>
              <w:jc w:val="right"/>
              <w:ind w:right="145"/>
              <w:spacing w:after="0"/>
              <w:rPr>
                <w:sz w:val="20"/>
                <w:szCs w:val="20"/>
                <w:color w:val="auto"/>
              </w:rPr>
            </w:pPr>
            <w:r>
              <w:rPr>
                <w:rFonts w:ascii="Arial" w:cs="Arial" w:eastAsia="Arial" w:hAnsi="Arial"/>
                <w:sz w:val="14"/>
                <w:szCs w:val="14"/>
                <w:color w:val="auto"/>
                <w:w w:val="97"/>
              </w:rPr>
              <w:t>Year Ended December 31,</w:t>
            </w:r>
          </w:p>
        </w:tc>
        <w:tc>
          <w:tcPr>
            <w:tcW w:w="2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15"/>
        </w:trPr>
        <w:tc>
          <w:tcPr>
            <w:tcW w:w="20" w:type="dxa"/>
            <w:vAlign w:val="bottom"/>
          </w:tcPr>
          <w:p>
            <w:pPr>
              <w:spacing w:after="0"/>
              <w:rPr>
                <w:sz w:val="24"/>
                <w:szCs w:val="24"/>
                <w:color w:val="auto"/>
              </w:rPr>
            </w:pPr>
          </w:p>
        </w:tc>
        <w:tc>
          <w:tcPr>
            <w:tcW w:w="6180" w:type="dxa"/>
            <w:vAlign w:val="bottom"/>
            <w:gridSpan w:val="3"/>
          </w:tcPr>
          <w:p>
            <w:pPr>
              <w:ind w:left="40"/>
              <w:spacing w:after="0"/>
              <w:rPr>
                <w:sz w:val="20"/>
                <w:szCs w:val="20"/>
                <w:color w:val="auto"/>
              </w:rPr>
            </w:pPr>
            <w:r>
              <w:rPr>
                <w:rFonts w:ascii="Arial" w:cs="Arial" w:eastAsia="Arial" w:hAnsi="Arial"/>
                <w:sz w:val="19"/>
                <w:szCs w:val="19"/>
                <w:b w:val="1"/>
                <w:bCs w:val="1"/>
                <w:color w:val="00407A"/>
              </w:rPr>
              <w:t>Net Earnings Attributable to Common Shareholders</w:t>
            </w:r>
          </w:p>
        </w:tc>
        <w:tc>
          <w:tcPr>
            <w:tcW w:w="300" w:type="dxa"/>
            <w:vAlign w:val="bottom"/>
          </w:tcPr>
          <w:p>
            <w:pPr>
              <w:jc w:val="right"/>
              <w:spacing w:after="0"/>
              <w:rPr>
                <w:sz w:val="20"/>
                <w:szCs w:val="20"/>
                <w:color w:val="auto"/>
              </w:rPr>
            </w:pPr>
            <w:r>
              <w:rPr>
                <w:rFonts w:ascii="Arial" w:cs="Arial" w:eastAsia="Arial" w:hAnsi="Arial"/>
                <w:sz w:val="19"/>
                <w:szCs w:val="19"/>
                <w:b w:val="1"/>
                <w:bCs w:val="1"/>
                <w:color w:val="00407A"/>
              </w:rPr>
              <w:t>$</w:t>
            </w:r>
          </w:p>
        </w:tc>
        <w:tc>
          <w:tcPr>
            <w:tcW w:w="640" w:type="dxa"/>
            <w:vAlign w:val="bottom"/>
          </w:tcPr>
          <w:p>
            <w:pPr>
              <w:jc w:val="right"/>
              <w:ind w:right="4"/>
              <w:spacing w:after="0"/>
              <w:rPr>
                <w:sz w:val="20"/>
                <w:szCs w:val="20"/>
                <w:color w:val="auto"/>
              </w:rPr>
            </w:pPr>
            <w:r>
              <w:rPr>
                <w:rFonts w:ascii="Arial" w:cs="Arial" w:eastAsia="Arial" w:hAnsi="Arial"/>
                <w:sz w:val="19"/>
                <w:szCs w:val="19"/>
                <w:b w:val="1"/>
                <w:bCs w:val="1"/>
                <w:color w:val="00407A"/>
              </w:rPr>
              <w:t>602</w:t>
            </w:r>
          </w:p>
        </w:tc>
        <w:tc>
          <w:tcPr>
            <w:tcW w:w="600" w:type="dxa"/>
            <w:vAlign w:val="bottom"/>
            <w:gridSpan w:val="3"/>
          </w:tcPr>
          <w:p>
            <w:pPr>
              <w:jc w:val="right"/>
              <w:spacing w:after="0"/>
              <w:rPr>
                <w:sz w:val="20"/>
                <w:szCs w:val="20"/>
                <w:color w:val="auto"/>
              </w:rPr>
            </w:pPr>
            <w:r>
              <w:rPr>
                <w:rFonts w:ascii="Arial" w:cs="Arial" w:eastAsia="Arial" w:hAnsi="Arial"/>
                <w:sz w:val="19"/>
                <w:szCs w:val="19"/>
                <w:color w:val="auto"/>
              </w:rPr>
              <w:t>$</w:t>
            </w:r>
          </w:p>
        </w:tc>
        <w:tc>
          <w:tcPr>
            <w:tcW w:w="1280" w:type="dxa"/>
            <w:vAlign w:val="bottom"/>
          </w:tcPr>
          <w:p>
            <w:pPr>
              <w:jc w:val="right"/>
              <w:ind w:right="585"/>
              <w:spacing w:after="0"/>
              <w:rPr>
                <w:sz w:val="20"/>
                <w:szCs w:val="20"/>
                <w:color w:val="auto"/>
              </w:rPr>
            </w:pPr>
            <w:r>
              <w:rPr>
                <w:rFonts w:ascii="Arial" w:cs="Arial" w:eastAsia="Arial" w:hAnsi="Arial"/>
                <w:sz w:val="19"/>
                <w:szCs w:val="19"/>
                <w:color w:val="auto"/>
              </w:rPr>
              <w:t>1,270</w:t>
            </w:r>
          </w:p>
        </w:tc>
        <w:tc>
          <w:tcPr>
            <w:tcW w:w="200" w:type="dxa"/>
            <w:vAlign w:val="bottom"/>
          </w:tcPr>
          <w:p>
            <w:pPr>
              <w:jc w:val="right"/>
              <w:spacing w:after="0"/>
              <w:rPr>
                <w:sz w:val="20"/>
                <w:szCs w:val="20"/>
                <w:color w:val="auto"/>
              </w:rPr>
            </w:pPr>
            <w:r>
              <w:rPr>
                <w:rFonts w:ascii="Arial" w:cs="Arial" w:eastAsia="Arial" w:hAnsi="Arial"/>
                <w:sz w:val="19"/>
                <w:szCs w:val="19"/>
                <w:color w:val="auto"/>
              </w:rPr>
              <w:t>$</w:t>
            </w:r>
          </w:p>
        </w:tc>
        <w:tc>
          <w:tcPr>
            <w:tcW w:w="540" w:type="dxa"/>
            <w:vAlign w:val="bottom"/>
          </w:tcPr>
          <w:p>
            <w:pPr>
              <w:jc w:val="right"/>
              <w:spacing w:after="0"/>
              <w:rPr>
                <w:sz w:val="20"/>
                <w:szCs w:val="20"/>
                <w:color w:val="auto"/>
              </w:rPr>
            </w:pPr>
            <w:r>
              <w:rPr>
                <w:rFonts w:ascii="Arial" w:cs="Arial" w:eastAsia="Arial" w:hAnsi="Arial"/>
                <w:sz w:val="19"/>
                <w:szCs w:val="19"/>
                <w:color w:val="auto"/>
              </w:rPr>
              <w:t>517</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20" w:type="dxa"/>
            <w:vAlign w:val="bottom"/>
          </w:tcPr>
          <w:p>
            <w:pPr>
              <w:spacing w:after="0"/>
              <w:rPr>
                <w:sz w:val="24"/>
                <w:szCs w:val="24"/>
                <w:color w:val="auto"/>
              </w:rPr>
            </w:pPr>
          </w:p>
        </w:tc>
        <w:tc>
          <w:tcPr>
            <w:tcW w:w="6180" w:type="dxa"/>
            <w:vAlign w:val="bottom"/>
            <w:gridSpan w:val="3"/>
          </w:tcPr>
          <w:p>
            <w:pPr>
              <w:ind w:left="40"/>
              <w:spacing w:after="0"/>
              <w:rPr>
                <w:sz w:val="20"/>
                <w:szCs w:val="20"/>
                <w:color w:val="auto"/>
              </w:rPr>
            </w:pPr>
            <w:r>
              <w:rPr>
                <w:rFonts w:ascii="Arial" w:cs="Arial" w:eastAsia="Arial" w:hAnsi="Arial"/>
                <w:sz w:val="19"/>
                <w:szCs w:val="19"/>
                <w:color w:val="00407A"/>
              </w:rPr>
              <w:t>NON-GAAP ADJUSTMENTS:</w:t>
            </w: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20" w:type="dxa"/>
            <w:vAlign w:val="bottom"/>
          </w:tcPr>
          <w:p>
            <w:pPr>
              <w:spacing w:after="0"/>
              <w:rPr>
                <w:sz w:val="24"/>
                <w:szCs w:val="24"/>
                <w:color w:val="auto"/>
              </w:rPr>
            </w:pPr>
          </w:p>
        </w:tc>
        <w:tc>
          <w:tcPr>
            <w:tcW w:w="6180" w:type="dxa"/>
            <w:vAlign w:val="bottom"/>
            <w:gridSpan w:val="3"/>
          </w:tcPr>
          <w:p>
            <w:pPr>
              <w:ind w:left="360"/>
              <w:spacing w:after="0"/>
              <w:rPr>
                <w:sz w:val="20"/>
                <w:szCs w:val="20"/>
                <w:color w:val="auto"/>
              </w:rPr>
            </w:pPr>
            <w:r>
              <w:rPr>
                <w:rFonts w:ascii="Arial" w:cs="Arial" w:eastAsia="Arial" w:hAnsi="Arial"/>
                <w:sz w:val="19"/>
                <w:szCs w:val="19"/>
                <w:color w:val="auto"/>
              </w:rPr>
              <w:t>Recognized (Gains) and Losses, Net</w:t>
            </w:r>
          </w:p>
        </w:tc>
        <w:tc>
          <w:tcPr>
            <w:tcW w:w="300" w:type="dxa"/>
            <w:vAlign w:val="bottom"/>
          </w:tcPr>
          <w:p>
            <w:pPr>
              <w:spacing w:after="0"/>
              <w:rPr>
                <w:sz w:val="24"/>
                <w:szCs w:val="24"/>
                <w:color w:val="auto"/>
              </w:rPr>
            </w:pPr>
          </w:p>
        </w:tc>
        <w:tc>
          <w:tcPr>
            <w:tcW w:w="640" w:type="dxa"/>
            <w:vAlign w:val="bottom"/>
          </w:tcPr>
          <w:p>
            <w:pPr>
              <w:jc w:val="right"/>
              <w:ind w:right="24"/>
              <w:spacing w:after="0"/>
              <w:rPr>
                <w:sz w:val="20"/>
                <w:szCs w:val="20"/>
                <w:color w:val="auto"/>
              </w:rPr>
            </w:pPr>
            <w:r>
              <w:rPr>
                <w:rFonts w:ascii="Arial" w:cs="Arial" w:eastAsia="Arial" w:hAnsi="Arial"/>
                <w:sz w:val="19"/>
                <w:szCs w:val="19"/>
                <w:b w:val="1"/>
                <w:bCs w:val="1"/>
                <w:color w:val="00407A"/>
              </w:rPr>
              <w:t>250</w:t>
            </w: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jc w:val="right"/>
              <w:ind w:right="585"/>
              <w:spacing w:after="0"/>
              <w:rPr>
                <w:sz w:val="20"/>
                <w:szCs w:val="20"/>
                <w:color w:val="auto"/>
              </w:rPr>
            </w:pPr>
            <w:r>
              <w:rPr>
                <w:rFonts w:ascii="Arial" w:cs="Arial" w:eastAsia="Arial" w:hAnsi="Arial"/>
                <w:sz w:val="19"/>
                <w:szCs w:val="19"/>
                <w:color w:val="auto"/>
              </w:rPr>
              <w:t>28</w:t>
            </w:r>
          </w:p>
        </w:tc>
        <w:tc>
          <w:tcPr>
            <w:tcW w:w="20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9"/>
                <w:szCs w:val="19"/>
                <w:color w:val="auto"/>
              </w:rPr>
              <w:t>254</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0"/>
        </w:trPr>
        <w:tc>
          <w:tcPr>
            <w:tcW w:w="20" w:type="dxa"/>
            <w:vAlign w:val="bottom"/>
          </w:tcPr>
          <w:p>
            <w:pPr>
              <w:spacing w:after="0"/>
              <w:rPr>
                <w:sz w:val="24"/>
                <w:szCs w:val="24"/>
                <w:color w:val="auto"/>
              </w:rPr>
            </w:pPr>
          </w:p>
        </w:tc>
        <w:tc>
          <w:tcPr>
            <w:tcW w:w="6180" w:type="dxa"/>
            <w:vAlign w:val="bottom"/>
            <w:gridSpan w:val="3"/>
          </w:tcPr>
          <w:p>
            <w:pPr>
              <w:ind w:left="360"/>
              <w:spacing w:after="0"/>
              <w:rPr>
                <w:sz w:val="20"/>
                <w:szCs w:val="20"/>
                <w:color w:val="auto"/>
              </w:rPr>
            </w:pPr>
            <w:r>
              <w:rPr>
                <w:rFonts w:ascii="Arial" w:cs="Arial" w:eastAsia="Arial" w:hAnsi="Arial"/>
                <w:sz w:val="19"/>
                <w:szCs w:val="19"/>
                <w:color w:val="auto"/>
              </w:rPr>
              <w:t>Market Related Liability Adjustments</w:t>
            </w:r>
          </w:p>
        </w:tc>
        <w:tc>
          <w:tcPr>
            <w:tcW w:w="300" w:type="dxa"/>
            <w:vAlign w:val="bottom"/>
          </w:tcPr>
          <w:p>
            <w:pPr>
              <w:spacing w:after="0"/>
              <w:rPr>
                <w:sz w:val="24"/>
                <w:szCs w:val="24"/>
                <w:color w:val="auto"/>
              </w:rPr>
            </w:pPr>
          </w:p>
        </w:tc>
        <w:tc>
          <w:tcPr>
            <w:tcW w:w="640" w:type="dxa"/>
            <w:vAlign w:val="bottom"/>
          </w:tcPr>
          <w:p>
            <w:pPr>
              <w:jc w:val="right"/>
              <w:ind w:right="24"/>
              <w:spacing w:after="0"/>
              <w:rPr>
                <w:sz w:val="20"/>
                <w:szCs w:val="20"/>
                <w:color w:val="auto"/>
              </w:rPr>
            </w:pPr>
            <w:r>
              <w:rPr>
                <w:rFonts w:ascii="Arial" w:cs="Arial" w:eastAsia="Arial" w:hAnsi="Arial"/>
                <w:sz w:val="19"/>
                <w:szCs w:val="19"/>
                <w:b w:val="1"/>
                <w:bCs w:val="1"/>
                <w:color w:val="00407A"/>
              </w:rPr>
              <w:t>28</w:t>
            </w: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jc w:val="right"/>
              <w:ind w:right="525"/>
              <w:spacing w:after="0"/>
              <w:rPr>
                <w:sz w:val="20"/>
                <w:szCs w:val="20"/>
                <w:color w:val="auto"/>
              </w:rPr>
            </w:pPr>
            <w:r>
              <w:rPr>
                <w:rFonts w:ascii="Arial" w:cs="Arial" w:eastAsia="Arial" w:hAnsi="Arial"/>
                <w:sz w:val="19"/>
                <w:szCs w:val="19"/>
                <w:color w:val="auto"/>
              </w:rPr>
              <w:t>(214)</w:t>
            </w:r>
          </w:p>
        </w:tc>
        <w:tc>
          <w:tcPr>
            <w:tcW w:w="20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9"/>
                <w:szCs w:val="19"/>
                <w:color w:val="auto"/>
              </w:rPr>
              <w:t>258</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0"/>
        </w:trPr>
        <w:tc>
          <w:tcPr>
            <w:tcW w:w="20" w:type="dxa"/>
            <w:vAlign w:val="bottom"/>
          </w:tcPr>
          <w:p>
            <w:pPr>
              <w:spacing w:after="0"/>
              <w:rPr>
                <w:sz w:val="24"/>
                <w:szCs w:val="24"/>
                <w:color w:val="auto"/>
              </w:rPr>
            </w:pPr>
          </w:p>
        </w:tc>
        <w:tc>
          <w:tcPr>
            <w:tcW w:w="6180" w:type="dxa"/>
            <w:vAlign w:val="bottom"/>
            <w:gridSpan w:val="3"/>
          </w:tcPr>
          <w:p>
            <w:pPr>
              <w:ind w:left="360"/>
              <w:spacing w:after="0"/>
              <w:rPr>
                <w:sz w:val="20"/>
                <w:szCs w:val="20"/>
                <w:color w:val="auto"/>
              </w:rPr>
            </w:pPr>
            <w:r>
              <w:rPr>
                <w:rFonts w:ascii="Arial" w:cs="Arial" w:eastAsia="Arial" w:hAnsi="Arial"/>
                <w:sz w:val="19"/>
                <w:szCs w:val="19"/>
                <w:color w:val="auto"/>
              </w:rPr>
              <w:t>Purchase Price Amortization</w:t>
            </w:r>
          </w:p>
        </w:tc>
        <w:tc>
          <w:tcPr>
            <w:tcW w:w="300" w:type="dxa"/>
            <w:vAlign w:val="bottom"/>
          </w:tcPr>
          <w:p>
            <w:pPr>
              <w:spacing w:after="0"/>
              <w:rPr>
                <w:sz w:val="24"/>
                <w:szCs w:val="24"/>
                <w:color w:val="auto"/>
              </w:rPr>
            </w:pPr>
          </w:p>
        </w:tc>
        <w:tc>
          <w:tcPr>
            <w:tcW w:w="640" w:type="dxa"/>
            <w:vAlign w:val="bottom"/>
          </w:tcPr>
          <w:p>
            <w:pPr>
              <w:jc w:val="right"/>
              <w:ind w:right="24"/>
              <w:spacing w:after="0"/>
              <w:rPr>
                <w:sz w:val="20"/>
                <w:szCs w:val="20"/>
                <w:color w:val="auto"/>
              </w:rPr>
            </w:pPr>
            <w:r>
              <w:rPr>
                <w:rFonts w:ascii="Arial" w:cs="Arial" w:eastAsia="Arial" w:hAnsi="Arial"/>
                <w:sz w:val="19"/>
                <w:szCs w:val="19"/>
                <w:b w:val="1"/>
                <w:bCs w:val="1"/>
                <w:color w:val="00407A"/>
              </w:rPr>
              <w:t>146</w:t>
            </w: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jc w:val="right"/>
              <w:ind w:right="585"/>
              <w:spacing w:after="0"/>
              <w:rPr>
                <w:sz w:val="20"/>
                <w:szCs w:val="20"/>
                <w:color w:val="auto"/>
              </w:rPr>
            </w:pPr>
            <w:r>
              <w:rPr>
                <w:rFonts w:ascii="Arial" w:cs="Arial" w:eastAsia="Arial" w:hAnsi="Arial"/>
                <w:sz w:val="19"/>
                <w:szCs w:val="19"/>
                <w:color w:val="auto"/>
              </w:rPr>
              <w:t>153</w:t>
            </w:r>
          </w:p>
        </w:tc>
        <w:tc>
          <w:tcPr>
            <w:tcW w:w="20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9"/>
                <w:szCs w:val="19"/>
                <w:color w:val="auto"/>
              </w:rPr>
              <w:t>108</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0"/>
        </w:trPr>
        <w:tc>
          <w:tcPr>
            <w:tcW w:w="20" w:type="dxa"/>
            <w:vAlign w:val="bottom"/>
          </w:tcPr>
          <w:p>
            <w:pPr>
              <w:spacing w:after="0"/>
              <w:rPr>
                <w:sz w:val="24"/>
                <w:szCs w:val="24"/>
                <w:color w:val="auto"/>
              </w:rPr>
            </w:pPr>
          </w:p>
        </w:tc>
        <w:tc>
          <w:tcPr>
            <w:tcW w:w="6180" w:type="dxa"/>
            <w:vAlign w:val="bottom"/>
            <w:gridSpan w:val="3"/>
          </w:tcPr>
          <w:p>
            <w:pPr>
              <w:ind w:left="360"/>
              <w:spacing w:after="0"/>
              <w:rPr>
                <w:sz w:val="20"/>
                <w:szCs w:val="20"/>
                <w:color w:val="auto"/>
              </w:rPr>
            </w:pPr>
            <w:r>
              <w:rPr>
                <w:rFonts w:ascii="Arial" w:cs="Arial" w:eastAsia="Arial" w:hAnsi="Arial"/>
                <w:sz w:val="19"/>
                <w:szCs w:val="19"/>
                <w:color w:val="auto"/>
              </w:rPr>
              <w:t>Transaction and Other Costs</w:t>
            </w:r>
          </w:p>
        </w:tc>
        <w:tc>
          <w:tcPr>
            <w:tcW w:w="300" w:type="dxa"/>
            <w:vAlign w:val="bottom"/>
          </w:tcPr>
          <w:p>
            <w:pPr>
              <w:spacing w:after="0"/>
              <w:rPr>
                <w:sz w:val="24"/>
                <w:szCs w:val="24"/>
                <w:color w:val="auto"/>
              </w:rPr>
            </w:pPr>
          </w:p>
        </w:tc>
        <w:tc>
          <w:tcPr>
            <w:tcW w:w="640" w:type="dxa"/>
            <w:vAlign w:val="bottom"/>
          </w:tcPr>
          <w:p>
            <w:pPr>
              <w:jc w:val="right"/>
              <w:ind w:right="24"/>
              <w:spacing w:after="0"/>
              <w:rPr>
                <w:sz w:val="20"/>
                <w:szCs w:val="20"/>
                <w:color w:val="auto"/>
              </w:rPr>
            </w:pPr>
            <w:r>
              <w:rPr>
                <w:rFonts w:ascii="Arial" w:cs="Arial" w:eastAsia="Arial" w:hAnsi="Arial"/>
                <w:sz w:val="19"/>
                <w:szCs w:val="19"/>
                <w:b w:val="1"/>
                <w:bCs w:val="1"/>
                <w:color w:val="00407A"/>
              </w:rPr>
              <w:t>20</w:t>
            </w: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jc w:val="right"/>
              <w:ind w:right="585"/>
              <w:spacing w:after="0"/>
              <w:rPr>
                <w:sz w:val="20"/>
                <w:szCs w:val="20"/>
                <w:color w:val="auto"/>
              </w:rPr>
            </w:pPr>
            <w:r>
              <w:rPr>
                <w:rFonts w:ascii="Arial" w:cs="Arial" w:eastAsia="Arial" w:hAnsi="Arial"/>
                <w:sz w:val="19"/>
                <w:szCs w:val="19"/>
                <w:color w:val="auto"/>
              </w:rPr>
              <w:t>28</w:t>
            </w:r>
          </w:p>
        </w:tc>
        <w:tc>
          <w:tcPr>
            <w:tcW w:w="20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9"/>
                <w:szCs w:val="19"/>
                <w:color w:val="auto"/>
              </w:rPr>
              <w:t>27</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0"/>
        </w:trPr>
        <w:tc>
          <w:tcPr>
            <w:tcW w:w="20" w:type="dxa"/>
            <w:vAlign w:val="bottom"/>
          </w:tcPr>
          <w:p>
            <w:pPr>
              <w:spacing w:after="0"/>
              <w:rPr>
                <w:sz w:val="24"/>
                <w:szCs w:val="24"/>
                <w:color w:val="auto"/>
              </w:rPr>
            </w:pPr>
          </w:p>
        </w:tc>
        <w:tc>
          <w:tcPr>
            <w:tcW w:w="6180" w:type="dxa"/>
            <w:vAlign w:val="bottom"/>
            <w:gridSpan w:val="3"/>
          </w:tcPr>
          <w:p>
            <w:pPr>
              <w:ind w:left="360"/>
              <w:spacing w:after="0"/>
              <w:rPr>
                <w:sz w:val="20"/>
                <w:szCs w:val="20"/>
                <w:color w:val="auto"/>
              </w:rPr>
            </w:pPr>
            <w:r>
              <w:rPr>
                <w:rFonts w:ascii="Arial" w:cs="Arial" w:eastAsia="Arial" w:hAnsi="Arial"/>
                <w:sz w:val="19"/>
                <w:szCs w:val="19"/>
                <w:color w:val="auto"/>
              </w:rPr>
              <w:t>Income Taxes on Non-GAAP Adjustments</w:t>
            </w:r>
          </w:p>
        </w:tc>
        <w:tc>
          <w:tcPr>
            <w:tcW w:w="3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9"/>
                <w:szCs w:val="19"/>
                <w:b w:val="1"/>
                <w:bCs w:val="1"/>
                <w:color w:val="00407A"/>
              </w:rPr>
              <w:t>(95)</w:t>
            </w: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jc w:val="right"/>
              <w:ind w:right="585"/>
              <w:spacing w:after="0"/>
              <w:rPr>
                <w:sz w:val="20"/>
                <w:szCs w:val="20"/>
                <w:color w:val="auto"/>
              </w:rPr>
            </w:pPr>
            <w:r>
              <w:rPr>
                <w:rFonts w:ascii="Arial" w:cs="Arial" w:eastAsia="Arial" w:hAnsi="Arial"/>
                <w:sz w:val="19"/>
                <w:szCs w:val="19"/>
                <w:color w:val="auto"/>
              </w:rPr>
              <w:t>1</w:t>
            </w:r>
          </w:p>
        </w:tc>
        <w:tc>
          <w:tcPr>
            <w:tcW w:w="200" w:type="dxa"/>
            <w:vAlign w:val="bottom"/>
          </w:tcPr>
          <w:p>
            <w:pPr>
              <w:spacing w:after="0"/>
              <w:rPr>
                <w:sz w:val="24"/>
                <w:szCs w:val="24"/>
                <w:color w:val="auto"/>
              </w:rPr>
            </w:pPr>
          </w:p>
        </w:tc>
        <w:tc>
          <w:tcPr>
            <w:tcW w:w="640" w:type="dxa"/>
            <w:vAlign w:val="bottom"/>
            <w:gridSpan w:val="4"/>
          </w:tcPr>
          <w:p>
            <w:pPr>
              <w:jc w:val="right"/>
              <w:ind w:right="40"/>
              <w:spacing w:after="0"/>
              <w:rPr>
                <w:sz w:val="20"/>
                <w:szCs w:val="20"/>
                <w:color w:val="auto"/>
              </w:rPr>
            </w:pPr>
            <w:r>
              <w:rPr>
                <w:rFonts w:ascii="Arial" w:cs="Arial" w:eastAsia="Arial" w:hAnsi="Arial"/>
                <w:sz w:val="19"/>
                <w:szCs w:val="19"/>
                <w:color w:val="auto"/>
              </w:rPr>
              <w:t>(139)</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0"/>
        </w:trPr>
        <w:tc>
          <w:tcPr>
            <w:tcW w:w="20" w:type="dxa"/>
            <w:vAlign w:val="bottom"/>
          </w:tcPr>
          <w:p>
            <w:pPr>
              <w:spacing w:after="0"/>
              <w:rPr>
                <w:sz w:val="24"/>
                <w:szCs w:val="24"/>
                <w:color w:val="auto"/>
              </w:rPr>
            </w:pPr>
          </w:p>
        </w:tc>
        <w:tc>
          <w:tcPr>
            <w:tcW w:w="6180" w:type="dxa"/>
            <w:vAlign w:val="bottom"/>
            <w:gridSpan w:val="3"/>
          </w:tcPr>
          <w:p>
            <w:pPr>
              <w:ind w:left="360"/>
              <w:spacing w:after="0"/>
              <w:rPr>
                <w:sz w:val="20"/>
                <w:szCs w:val="20"/>
                <w:color w:val="auto"/>
              </w:rPr>
            </w:pPr>
            <w:r>
              <w:rPr>
                <w:rFonts w:ascii="Arial" w:cs="Arial" w:eastAsia="Arial" w:hAnsi="Arial"/>
                <w:sz w:val="19"/>
                <w:szCs w:val="19"/>
                <w:color w:val="auto"/>
              </w:rPr>
              <w:t>Deferred Tax Asset Valuation Allowance</w:t>
            </w:r>
          </w:p>
        </w:tc>
        <w:tc>
          <w:tcPr>
            <w:tcW w:w="3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9"/>
                <w:szCs w:val="19"/>
                <w:b w:val="1"/>
                <w:bCs w:val="1"/>
                <w:color w:val="00407A"/>
              </w:rPr>
              <w:t>(22)</w:t>
            </w: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jc w:val="right"/>
              <w:ind w:right="545"/>
              <w:spacing w:after="0"/>
              <w:rPr>
                <w:sz w:val="20"/>
                <w:szCs w:val="20"/>
                <w:color w:val="auto"/>
              </w:rPr>
            </w:pPr>
            <w:r>
              <w:rPr>
                <w:rFonts w:ascii="Arial" w:cs="Arial" w:eastAsia="Arial" w:hAnsi="Arial"/>
                <w:sz w:val="19"/>
                <w:szCs w:val="19"/>
                <w:color w:val="auto"/>
              </w:rPr>
              <w:t>(4)</w:t>
            </w:r>
          </w:p>
        </w:tc>
        <w:tc>
          <w:tcPr>
            <w:tcW w:w="200" w:type="dxa"/>
            <w:vAlign w:val="bottom"/>
          </w:tcPr>
          <w:p>
            <w:pPr>
              <w:spacing w:after="0"/>
              <w:rPr>
                <w:sz w:val="24"/>
                <w:szCs w:val="24"/>
                <w:color w:val="auto"/>
              </w:rPr>
            </w:pPr>
          </w:p>
        </w:tc>
        <w:tc>
          <w:tcPr>
            <w:tcW w:w="760" w:type="dxa"/>
            <w:vAlign w:val="bottom"/>
            <w:gridSpan w:val="5"/>
          </w:tcPr>
          <w:p>
            <w:pPr>
              <w:jc w:val="right"/>
              <w:ind w:right="220"/>
              <w:spacing w:after="0"/>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350"/>
        </w:trPr>
        <w:tc>
          <w:tcPr>
            <w:tcW w:w="20" w:type="dxa"/>
            <w:vAlign w:val="bottom"/>
          </w:tcPr>
          <w:p>
            <w:pPr>
              <w:spacing w:after="0"/>
              <w:rPr>
                <w:sz w:val="24"/>
                <w:szCs w:val="24"/>
                <w:color w:val="auto"/>
              </w:rPr>
            </w:pPr>
          </w:p>
        </w:tc>
        <w:tc>
          <w:tcPr>
            <w:tcW w:w="6180" w:type="dxa"/>
            <w:vAlign w:val="bottom"/>
            <w:gridSpan w:val="3"/>
          </w:tcPr>
          <w:p>
            <w:pPr>
              <w:ind w:left="360"/>
              <w:spacing w:after="0"/>
              <w:rPr>
                <w:sz w:val="20"/>
                <w:szCs w:val="20"/>
                <w:color w:val="auto"/>
              </w:rPr>
            </w:pPr>
            <w:r>
              <w:rPr>
                <w:rFonts w:ascii="Arial" w:cs="Arial" w:eastAsia="Arial" w:hAnsi="Arial"/>
                <w:sz w:val="19"/>
                <w:szCs w:val="19"/>
                <w:color w:val="auto"/>
              </w:rPr>
              <w:t>Distribution of F&amp;G Deferred Tax Adjustment</w:t>
            </w:r>
          </w:p>
        </w:tc>
        <w:tc>
          <w:tcPr>
            <w:tcW w:w="3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9"/>
                <w:szCs w:val="19"/>
                <w:b w:val="1"/>
                <w:bCs w:val="1"/>
                <w:color w:val="00407A"/>
              </w:rPr>
              <w:t>471</w:t>
            </w: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jc w:val="right"/>
              <w:ind w:right="605"/>
              <w:spacing w:after="0"/>
              <w:rPr>
                <w:sz w:val="20"/>
                <w:szCs w:val="20"/>
                <w:color w:val="auto"/>
              </w:rPr>
            </w:pPr>
            <w:r>
              <w:rPr>
                <w:rFonts w:ascii="Arial" w:cs="Arial" w:eastAsia="Arial" w:hAnsi="Arial"/>
                <w:sz w:val="19"/>
                <w:szCs w:val="19"/>
                <w:color w:val="auto"/>
              </w:rPr>
              <w:t>–</w:t>
            </w:r>
          </w:p>
        </w:tc>
        <w:tc>
          <w:tcPr>
            <w:tcW w:w="200" w:type="dxa"/>
            <w:vAlign w:val="bottom"/>
          </w:tcPr>
          <w:p>
            <w:pPr>
              <w:spacing w:after="0"/>
              <w:rPr>
                <w:sz w:val="24"/>
                <w:szCs w:val="24"/>
                <w:color w:val="auto"/>
              </w:rPr>
            </w:pPr>
          </w:p>
        </w:tc>
        <w:tc>
          <w:tcPr>
            <w:tcW w:w="760" w:type="dxa"/>
            <w:vAlign w:val="bottom"/>
            <w:gridSpan w:val="5"/>
          </w:tcPr>
          <w:p>
            <w:pPr>
              <w:jc w:val="right"/>
              <w:ind w:right="220"/>
              <w:spacing w:after="0"/>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350"/>
        </w:trPr>
        <w:tc>
          <w:tcPr>
            <w:tcW w:w="20" w:type="dxa"/>
            <w:vAlign w:val="bottom"/>
          </w:tcPr>
          <w:p>
            <w:pPr>
              <w:spacing w:after="0"/>
              <w:rPr>
                <w:sz w:val="24"/>
                <w:szCs w:val="24"/>
                <w:color w:val="auto"/>
              </w:rPr>
            </w:pPr>
          </w:p>
        </w:tc>
        <w:tc>
          <w:tcPr>
            <w:tcW w:w="6180" w:type="dxa"/>
            <w:vAlign w:val="bottom"/>
            <w:gridSpan w:val="3"/>
          </w:tcPr>
          <w:p>
            <w:pPr>
              <w:ind w:left="360"/>
              <w:spacing w:after="0"/>
              <w:rPr>
                <w:sz w:val="20"/>
                <w:szCs w:val="20"/>
                <w:color w:val="auto"/>
              </w:rPr>
            </w:pPr>
            <w:r>
              <w:rPr>
                <w:rFonts w:ascii="Arial" w:cs="Arial" w:eastAsia="Arial" w:hAnsi="Arial"/>
                <w:sz w:val="19"/>
                <w:szCs w:val="19"/>
                <w:color w:val="auto"/>
              </w:rPr>
              <w:t>Non-Controlling Interest on Non-GAAP Adjustments</w:t>
            </w:r>
          </w:p>
        </w:tc>
        <w:tc>
          <w:tcPr>
            <w:tcW w:w="3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9"/>
                <w:szCs w:val="19"/>
                <w:b w:val="1"/>
                <w:bCs w:val="1"/>
                <w:color w:val="00407A"/>
              </w:rPr>
              <w:t>(48)</w:t>
            </w: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jc w:val="right"/>
              <w:ind w:right="585"/>
              <w:spacing w:after="0"/>
              <w:rPr>
                <w:sz w:val="20"/>
                <w:szCs w:val="20"/>
                <w:color w:val="auto"/>
              </w:rPr>
            </w:pPr>
            <w:r>
              <w:rPr>
                <w:rFonts w:ascii="Arial" w:cs="Arial" w:eastAsia="Arial" w:hAnsi="Arial"/>
                <w:sz w:val="19"/>
                <w:szCs w:val="19"/>
                <w:color w:val="auto"/>
              </w:rPr>
              <w:t>3</w:t>
            </w:r>
          </w:p>
        </w:tc>
        <w:tc>
          <w:tcPr>
            <w:tcW w:w="200" w:type="dxa"/>
            <w:vAlign w:val="bottom"/>
          </w:tcPr>
          <w:p>
            <w:pPr>
              <w:spacing w:after="0"/>
              <w:rPr>
                <w:sz w:val="24"/>
                <w:szCs w:val="24"/>
                <w:color w:val="auto"/>
              </w:rPr>
            </w:pPr>
          </w:p>
        </w:tc>
        <w:tc>
          <w:tcPr>
            <w:tcW w:w="600" w:type="dxa"/>
            <w:vAlign w:val="bottom"/>
            <w:gridSpan w:val="3"/>
          </w:tcPr>
          <w:p>
            <w:pPr>
              <w:jc w:val="right"/>
              <w:spacing w:after="0"/>
              <w:rPr>
                <w:sz w:val="20"/>
                <w:szCs w:val="20"/>
                <w:color w:val="auto"/>
              </w:rPr>
            </w:pPr>
            <w:r>
              <w:rPr>
                <w:rFonts w:ascii="Arial" w:cs="Arial" w:eastAsia="Arial" w:hAnsi="Arial"/>
                <w:sz w:val="19"/>
                <w:szCs w:val="19"/>
                <w:color w:val="auto"/>
              </w:rPr>
              <w:t>(63)</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160" w:type="dxa"/>
            <w:vAlign w:val="bottom"/>
            <w:gridSpan w:val="2"/>
          </w:tcPr>
          <w:p>
            <w:pPr>
              <w:spacing w:after="0"/>
              <w:rPr>
                <w:sz w:val="3"/>
                <w:szCs w:val="3"/>
                <w:color w:val="auto"/>
              </w:rPr>
            </w:pPr>
          </w:p>
        </w:tc>
        <w:tc>
          <w:tcPr>
            <w:tcW w:w="2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0" w:type="dxa"/>
            <w:vAlign w:val="bottom"/>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47"/>
        </w:trPr>
        <w:tc>
          <w:tcPr>
            <w:tcW w:w="20" w:type="dxa"/>
            <w:vAlign w:val="bottom"/>
          </w:tcPr>
          <w:p>
            <w:pPr>
              <w:spacing w:after="0"/>
              <w:rPr>
                <w:sz w:val="24"/>
                <w:szCs w:val="24"/>
                <w:color w:val="auto"/>
              </w:rPr>
            </w:pPr>
          </w:p>
        </w:tc>
        <w:tc>
          <w:tcPr>
            <w:tcW w:w="6180" w:type="dxa"/>
            <w:vAlign w:val="bottom"/>
            <w:gridSpan w:val="3"/>
          </w:tcPr>
          <w:p>
            <w:pPr>
              <w:ind w:left="40"/>
              <w:spacing w:after="0"/>
              <w:rPr>
                <w:sz w:val="20"/>
                <w:szCs w:val="20"/>
                <w:color w:val="auto"/>
              </w:rPr>
            </w:pPr>
            <w:r>
              <w:rPr>
                <w:rFonts w:ascii="Arial" w:cs="Arial" w:eastAsia="Arial" w:hAnsi="Arial"/>
                <w:sz w:val="19"/>
                <w:szCs w:val="19"/>
                <w:color w:val="auto"/>
              </w:rPr>
              <w:t>Total Non-GAAP Adjustments</w:t>
            </w:r>
          </w:p>
        </w:tc>
        <w:tc>
          <w:tcPr>
            <w:tcW w:w="300" w:type="dxa"/>
            <w:vAlign w:val="bottom"/>
          </w:tcPr>
          <w:p>
            <w:pPr>
              <w:spacing w:after="0"/>
              <w:rPr>
                <w:sz w:val="24"/>
                <w:szCs w:val="24"/>
                <w:color w:val="auto"/>
              </w:rPr>
            </w:pPr>
          </w:p>
        </w:tc>
        <w:tc>
          <w:tcPr>
            <w:tcW w:w="640" w:type="dxa"/>
            <w:vAlign w:val="bottom"/>
          </w:tcPr>
          <w:p>
            <w:pPr>
              <w:jc w:val="right"/>
              <w:ind w:right="24"/>
              <w:spacing w:after="0"/>
              <w:rPr>
                <w:sz w:val="20"/>
                <w:szCs w:val="20"/>
                <w:color w:val="auto"/>
              </w:rPr>
            </w:pPr>
            <w:r>
              <w:rPr>
                <w:rFonts w:ascii="Arial" w:cs="Arial" w:eastAsia="Arial" w:hAnsi="Arial"/>
                <w:sz w:val="19"/>
                <w:szCs w:val="19"/>
                <w:b w:val="1"/>
                <w:bCs w:val="1"/>
                <w:color w:val="00407A"/>
              </w:rPr>
              <w:t>750</w:t>
            </w: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jc w:val="right"/>
              <w:ind w:right="525"/>
              <w:spacing w:after="0"/>
              <w:rPr>
                <w:sz w:val="20"/>
                <w:szCs w:val="20"/>
                <w:color w:val="auto"/>
              </w:rPr>
            </w:pPr>
            <w:r>
              <w:rPr>
                <w:rFonts w:ascii="Arial" w:cs="Arial" w:eastAsia="Arial" w:hAnsi="Arial"/>
                <w:sz w:val="19"/>
                <w:szCs w:val="19"/>
                <w:color w:val="auto"/>
              </w:rPr>
              <w:t>(5)</w:t>
            </w:r>
          </w:p>
        </w:tc>
        <w:tc>
          <w:tcPr>
            <w:tcW w:w="20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9"/>
                <w:szCs w:val="19"/>
                <w:color w:val="auto"/>
              </w:rPr>
              <w:t>445</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3"/>
        </w:trPr>
        <w:tc>
          <w:tcPr>
            <w:tcW w:w="20" w:type="dxa"/>
            <w:vAlign w:val="bottom"/>
          </w:tcPr>
          <w:p>
            <w:pPr>
              <w:spacing w:after="0"/>
              <w:rPr>
                <w:sz w:val="24"/>
                <w:szCs w:val="24"/>
                <w:color w:val="auto"/>
              </w:rPr>
            </w:pPr>
          </w:p>
        </w:tc>
        <w:tc>
          <w:tcPr>
            <w:tcW w:w="6180" w:type="dxa"/>
            <w:vAlign w:val="bottom"/>
            <w:gridSpan w:val="3"/>
          </w:tcPr>
          <w:p>
            <w:pPr>
              <w:ind w:left="40"/>
              <w:spacing w:after="0"/>
              <w:rPr>
                <w:sz w:val="20"/>
                <w:szCs w:val="20"/>
                <w:color w:val="auto"/>
              </w:rPr>
            </w:pPr>
            <w:r>
              <w:rPr>
                <w:rFonts w:ascii="Arial" w:cs="Arial" w:eastAsia="Arial" w:hAnsi="Arial"/>
                <w:sz w:val="19"/>
                <w:szCs w:val="19"/>
                <w:b w:val="1"/>
                <w:bCs w:val="1"/>
                <w:color w:val="00407A"/>
              </w:rPr>
              <w:t>Adjusted Net Earnings Attributable to Common Shareholders</w:t>
            </w:r>
          </w:p>
        </w:tc>
        <w:tc>
          <w:tcPr>
            <w:tcW w:w="300" w:type="dxa"/>
            <w:vAlign w:val="bottom"/>
          </w:tcPr>
          <w:p>
            <w:pPr>
              <w:jc w:val="right"/>
              <w:spacing w:after="0"/>
              <w:rPr>
                <w:sz w:val="20"/>
                <w:szCs w:val="20"/>
                <w:color w:val="auto"/>
              </w:rPr>
            </w:pPr>
            <w:r>
              <w:rPr>
                <w:rFonts w:ascii="Arial" w:cs="Arial" w:eastAsia="Arial" w:hAnsi="Arial"/>
                <w:sz w:val="19"/>
                <w:szCs w:val="19"/>
                <w:b w:val="1"/>
                <w:bCs w:val="1"/>
                <w:color w:val="00407A"/>
              </w:rPr>
              <w:t>$</w:t>
            </w:r>
          </w:p>
        </w:tc>
        <w:tc>
          <w:tcPr>
            <w:tcW w:w="640" w:type="dxa"/>
            <w:vAlign w:val="bottom"/>
          </w:tcPr>
          <w:p>
            <w:pPr>
              <w:jc w:val="right"/>
              <w:ind w:right="24"/>
              <w:spacing w:after="0"/>
              <w:rPr>
                <w:sz w:val="20"/>
                <w:szCs w:val="20"/>
                <w:color w:val="auto"/>
              </w:rPr>
            </w:pPr>
            <w:r>
              <w:rPr>
                <w:rFonts w:ascii="Arial" w:cs="Arial" w:eastAsia="Arial" w:hAnsi="Arial"/>
                <w:sz w:val="19"/>
                <w:szCs w:val="19"/>
                <w:b w:val="1"/>
                <w:bCs w:val="1"/>
                <w:color w:val="00407A"/>
              </w:rPr>
              <w:t>1,352</w:t>
            </w:r>
          </w:p>
        </w:tc>
        <w:tc>
          <w:tcPr>
            <w:tcW w:w="600" w:type="dxa"/>
            <w:vAlign w:val="bottom"/>
            <w:gridSpan w:val="3"/>
          </w:tcPr>
          <w:p>
            <w:pPr>
              <w:jc w:val="right"/>
              <w:spacing w:after="0"/>
              <w:rPr>
                <w:sz w:val="20"/>
                <w:szCs w:val="20"/>
                <w:color w:val="auto"/>
              </w:rPr>
            </w:pPr>
            <w:r>
              <w:rPr>
                <w:rFonts w:ascii="Arial" w:cs="Arial" w:eastAsia="Arial" w:hAnsi="Arial"/>
                <w:sz w:val="19"/>
                <w:szCs w:val="19"/>
                <w:color w:val="auto"/>
              </w:rPr>
              <w:t>$</w:t>
            </w:r>
          </w:p>
        </w:tc>
        <w:tc>
          <w:tcPr>
            <w:tcW w:w="1280" w:type="dxa"/>
            <w:vAlign w:val="bottom"/>
          </w:tcPr>
          <w:p>
            <w:pPr>
              <w:jc w:val="right"/>
              <w:ind w:right="565"/>
              <w:spacing w:after="0"/>
              <w:rPr>
                <w:sz w:val="20"/>
                <w:szCs w:val="20"/>
                <w:color w:val="auto"/>
              </w:rPr>
            </w:pPr>
            <w:r>
              <w:rPr>
                <w:rFonts w:ascii="Arial" w:cs="Arial" w:eastAsia="Arial" w:hAnsi="Arial"/>
                <w:sz w:val="19"/>
                <w:szCs w:val="19"/>
                <w:color w:val="auto"/>
              </w:rPr>
              <w:t>1,265</w:t>
            </w:r>
          </w:p>
        </w:tc>
        <w:tc>
          <w:tcPr>
            <w:tcW w:w="200" w:type="dxa"/>
            <w:vAlign w:val="bottom"/>
          </w:tcPr>
          <w:p>
            <w:pPr>
              <w:jc w:val="right"/>
              <w:spacing w:after="0"/>
              <w:rPr>
                <w:sz w:val="20"/>
                <w:szCs w:val="20"/>
                <w:color w:val="auto"/>
              </w:rPr>
            </w:pPr>
            <w:r>
              <w:rPr>
                <w:rFonts w:ascii="Arial" w:cs="Arial" w:eastAsia="Arial" w:hAnsi="Arial"/>
                <w:sz w:val="19"/>
                <w:szCs w:val="19"/>
                <w:color w:val="auto"/>
              </w:rPr>
              <w:t>$</w:t>
            </w:r>
          </w:p>
        </w:tc>
        <w:tc>
          <w:tcPr>
            <w:tcW w:w="580" w:type="dxa"/>
            <w:vAlign w:val="bottom"/>
            <w:gridSpan w:val="2"/>
          </w:tcPr>
          <w:p>
            <w:pPr>
              <w:jc w:val="right"/>
              <w:ind w:right="20"/>
              <w:spacing w:after="0"/>
              <w:rPr>
                <w:sz w:val="20"/>
                <w:szCs w:val="20"/>
                <w:color w:val="auto"/>
              </w:rPr>
            </w:pPr>
            <w:r>
              <w:rPr>
                <w:rFonts w:ascii="Arial" w:cs="Arial" w:eastAsia="Arial" w:hAnsi="Arial"/>
                <w:sz w:val="19"/>
                <w:szCs w:val="19"/>
                <w:color w:val="auto"/>
              </w:rPr>
              <w:t>962</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37"/>
        </w:trPr>
        <w:tc>
          <w:tcPr>
            <w:tcW w:w="20" w:type="dxa"/>
            <w:vAlign w:val="bottom"/>
          </w:tcPr>
          <w:p>
            <w:pPr>
              <w:spacing w:after="0"/>
              <w:rPr>
                <w:sz w:val="24"/>
                <w:szCs w:val="24"/>
                <w:color w:val="auto"/>
              </w:rPr>
            </w:pPr>
          </w:p>
        </w:tc>
        <w:tc>
          <w:tcPr>
            <w:tcW w:w="7120" w:type="dxa"/>
            <w:vAlign w:val="bottom"/>
            <w:gridSpan w:val="5"/>
          </w:tcPr>
          <w:p>
            <w:pPr>
              <w:ind w:left="20"/>
              <w:spacing w:after="0"/>
              <w:rPr>
                <w:sz w:val="20"/>
                <w:szCs w:val="20"/>
                <w:color w:val="auto"/>
              </w:rPr>
            </w:pPr>
            <w:r>
              <w:rPr>
                <w:rFonts w:ascii="Arial" w:cs="Arial" w:eastAsia="Arial" w:hAnsi="Arial"/>
                <w:sz w:val="18"/>
                <w:szCs w:val="18"/>
                <w:b w:val="1"/>
                <w:bCs w:val="1"/>
                <w:color w:val="00407A"/>
              </w:rPr>
              <w:t>RECONCILIATION OF PRE-TAX TITLE EARNINGS AND PRE-TAX TITLE MARGIN</w:t>
            </w: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3"/>
        </w:trPr>
        <w:tc>
          <w:tcPr>
            <w:tcW w:w="20" w:type="dxa"/>
            <w:vAlign w:val="bottom"/>
          </w:tcPr>
          <w:p>
            <w:pPr>
              <w:spacing w:after="0"/>
              <w:rPr>
                <w:sz w:val="23"/>
                <w:szCs w:val="23"/>
                <w:color w:val="auto"/>
              </w:rPr>
            </w:pPr>
          </w:p>
        </w:tc>
        <w:tc>
          <w:tcPr>
            <w:tcW w:w="7120" w:type="dxa"/>
            <w:vAlign w:val="bottom"/>
            <w:gridSpan w:val="5"/>
          </w:tcPr>
          <w:p>
            <w:pPr>
              <w:ind w:left="20"/>
              <w:spacing w:after="0"/>
              <w:rPr>
                <w:sz w:val="20"/>
                <w:szCs w:val="20"/>
                <w:color w:val="auto"/>
              </w:rPr>
            </w:pPr>
            <w:r>
              <w:rPr>
                <w:rFonts w:ascii="Arial" w:cs="Arial" w:eastAsia="Arial" w:hAnsi="Arial"/>
                <w:sz w:val="18"/>
                <w:szCs w:val="18"/>
                <w:b w:val="1"/>
                <w:bCs w:val="1"/>
                <w:color w:val="00407A"/>
                <w:w w:val="97"/>
              </w:rPr>
              <w:t>TO ADJUSTED PRE-TAX TITLE EARNINGS AND ADJUSTED PRE-TAX TITLE MARGIN</w:t>
            </w:r>
          </w:p>
        </w:tc>
        <w:tc>
          <w:tcPr>
            <w:tcW w:w="3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60"/>
        </w:trPr>
        <w:tc>
          <w:tcPr>
            <w:tcW w:w="6200" w:type="dxa"/>
            <w:vAlign w:val="bottom"/>
            <w:gridSpan w:val="4"/>
          </w:tcPr>
          <w:p>
            <w:pPr>
              <w:ind w:left="20"/>
              <w:spacing w:after="0"/>
              <w:rPr>
                <w:sz w:val="20"/>
                <w:szCs w:val="20"/>
                <w:color w:val="auto"/>
              </w:rPr>
            </w:pPr>
            <w:r>
              <w:rPr>
                <w:rFonts w:ascii="Arial" w:cs="Arial" w:eastAsia="Arial" w:hAnsi="Arial"/>
                <w:sz w:val="16"/>
                <w:szCs w:val="16"/>
                <w:i w:val="1"/>
                <w:iCs w:val="1"/>
                <w:color w:val="auto"/>
              </w:rPr>
              <w:t>(Dollars in millions)</w:t>
            </w:r>
          </w:p>
        </w:tc>
        <w:tc>
          <w:tcPr>
            <w:tcW w:w="300" w:type="dxa"/>
            <w:vAlign w:val="bottom"/>
          </w:tcPr>
          <w:p>
            <w:pPr>
              <w:spacing w:after="0"/>
              <w:rPr>
                <w:sz w:val="24"/>
                <w:szCs w:val="24"/>
                <w:color w:val="auto"/>
              </w:rPr>
            </w:pPr>
          </w:p>
        </w:tc>
        <w:tc>
          <w:tcPr>
            <w:tcW w:w="640" w:type="dxa"/>
            <w:vAlign w:val="bottom"/>
          </w:tcPr>
          <w:p>
            <w:pPr>
              <w:jc w:val="right"/>
              <w:ind w:right="144"/>
              <w:spacing w:after="0"/>
              <w:rPr>
                <w:sz w:val="20"/>
                <w:szCs w:val="20"/>
                <w:color w:val="auto"/>
              </w:rPr>
            </w:pPr>
            <w:r>
              <w:rPr>
                <w:rFonts w:ascii="Arial" w:cs="Arial" w:eastAsia="Arial" w:hAnsi="Arial"/>
                <w:sz w:val="14"/>
                <w:szCs w:val="14"/>
                <w:b w:val="1"/>
                <w:bCs w:val="1"/>
                <w:color w:val="00407A"/>
              </w:rPr>
              <w:t>2025</w:t>
            </w: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jc w:val="right"/>
              <w:ind w:right="645"/>
              <w:spacing w:after="0"/>
              <w:rPr>
                <w:sz w:val="20"/>
                <w:szCs w:val="20"/>
                <w:color w:val="auto"/>
              </w:rPr>
            </w:pPr>
            <w:r>
              <w:rPr>
                <w:rFonts w:ascii="Arial" w:cs="Arial" w:eastAsia="Arial" w:hAnsi="Arial"/>
                <w:sz w:val="14"/>
                <w:szCs w:val="14"/>
                <w:color w:val="auto"/>
              </w:rPr>
              <w:t>2024</w:t>
            </w:r>
          </w:p>
        </w:tc>
        <w:tc>
          <w:tcPr>
            <w:tcW w:w="20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2023</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3"/>
        </w:trPr>
        <w:tc>
          <w:tcPr>
            <w:tcW w:w="20" w:type="dxa"/>
            <w:vAlign w:val="bottom"/>
            <w:tcBorders>
              <w:bottom w:val="single" w:sz="8" w:color="auto"/>
            </w:tcBorders>
          </w:tcPr>
          <w:p>
            <w:pPr>
              <w:spacing w:after="0"/>
              <w:rPr>
                <w:sz w:val="6"/>
                <w:szCs w:val="6"/>
                <w:color w:val="auto"/>
              </w:rPr>
            </w:pPr>
          </w:p>
        </w:tc>
        <w:tc>
          <w:tcPr>
            <w:tcW w:w="620" w:type="dxa"/>
            <w:vAlign w:val="bottom"/>
            <w:tcBorders>
              <w:bottom w:val="single" w:sz="8" w:color="auto"/>
            </w:tcBorders>
          </w:tcPr>
          <w:p>
            <w:pPr>
              <w:spacing w:after="0"/>
              <w:rPr>
                <w:sz w:val="6"/>
                <w:szCs w:val="6"/>
                <w:color w:val="auto"/>
              </w:rPr>
            </w:pPr>
          </w:p>
        </w:tc>
        <w:tc>
          <w:tcPr>
            <w:tcW w:w="55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128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86"/>
        </w:trPr>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80" w:type="dxa"/>
            <w:vAlign w:val="bottom"/>
            <w:gridSpan w:val="4"/>
          </w:tcPr>
          <w:p>
            <w:pPr>
              <w:jc w:val="right"/>
              <w:spacing w:after="0"/>
              <w:rPr>
                <w:sz w:val="20"/>
                <w:szCs w:val="20"/>
                <w:color w:val="auto"/>
              </w:rPr>
            </w:pPr>
            <w:r>
              <w:rPr>
                <w:rFonts w:ascii="Arial" w:cs="Arial" w:eastAsia="Arial" w:hAnsi="Arial"/>
                <w:sz w:val="14"/>
                <w:szCs w:val="14"/>
                <w:color w:val="auto"/>
              </w:rPr>
              <w:t>Year Ended December 31,</w:t>
            </w: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9"/>
        </w:trPr>
        <w:tc>
          <w:tcPr>
            <w:tcW w:w="20" w:type="dxa"/>
            <w:vAlign w:val="bottom"/>
            <w:vMerge w:val="restart"/>
          </w:tcPr>
          <w:p>
            <w:pPr>
              <w:spacing w:after="0"/>
              <w:rPr>
                <w:sz w:val="15"/>
                <w:szCs w:val="15"/>
                <w:color w:val="auto"/>
              </w:rPr>
            </w:pPr>
          </w:p>
        </w:tc>
        <w:tc>
          <w:tcPr>
            <w:tcW w:w="620" w:type="dxa"/>
            <w:vAlign w:val="bottom"/>
            <w:vMerge w:val="restart"/>
          </w:tcPr>
          <w:p>
            <w:pPr>
              <w:ind w:left="40"/>
              <w:spacing w:after="0"/>
              <w:rPr>
                <w:sz w:val="20"/>
                <w:szCs w:val="20"/>
                <w:color w:val="auto"/>
              </w:rPr>
            </w:pPr>
            <w:r>
              <w:rPr>
                <w:rFonts w:ascii="Arial" w:cs="Arial" w:eastAsia="Arial" w:hAnsi="Arial"/>
                <w:sz w:val="19"/>
                <w:szCs w:val="19"/>
                <w:b w:val="1"/>
                <w:bCs w:val="1"/>
                <w:color w:val="00407A"/>
                <w:w w:val="70"/>
              </w:rPr>
              <w:t>Revenue</w:t>
            </w:r>
          </w:p>
        </w:tc>
        <w:tc>
          <w:tcPr>
            <w:tcW w:w="5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4"/>
        </w:trPr>
        <w:tc>
          <w:tcPr>
            <w:tcW w:w="20" w:type="dxa"/>
            <w:vAlign w:val="bottom"/>
            <w:vMerge w:val="continue"/>
          </w:tcPr>
          <w:p>
            <w:pPr>
              <w:spacing w:after="0"/>
              <w:rPr>
                <w:sz w:val="24"/>
                <w:szCs w:val="24"/>
                <w:color w:val="auto"/>
              </w:rPr>
            </w:pPr>
          </w:p>
        </w:tc>
        <w:tc>
          <w:tcPr>
            <w:tcW w:w="620" w:type="dxa"/>
            <w:vAlign w:val="bottom"/>
            <w:vMerge w:val="continue"/>
          </w:tcPr>
          <w:p>
            <w:pPr>
              <w:spacing w:after="0"/>
              <w:rPr>
                <w:sz w:val="24"/>
                <w:szCs w:val="24"/>
                <w:color w:val="auto"/>
              </w:rPr>
            </w:pPr>
          </w:p>
        </w:tc>
        <w:tc>
          <w:tcPr>
            <w:tcW w:w="5540" w:type="dxa"/>
            <w:vAlign w:val="bottom"/>
            <w:shd w:val="clear" w:color="auto" w:fill="F3F4F5"/>
          </w:tcPr>
          <w:p>
            <w:pPr>
              <w:spacing w:after="0"/>
              <w:rPr>
                <w:sz w:val="24"/>
                <w:szCs w:val="24"/>
                <w:color w:val="auto"/>
              </w:rPr>
            </w:pPr>
          </w:p>
        </w:tc>
        <w:tc>
          <w:tcPr>
            <w:tcW w:w="20" w:type="dxa"/>
            <w:vAlign w:val="bottom"/>
            <w:shd w:val="clear" w:color="auto" w:fill="F3F4F5"/>
          </w:tcPr>
          <w:p>
            <w:pPr>
              <w:spacing w:after="0"/>
              <w:rPr>
                <w:sz w:val="24"/>
                <w:szCs w:val="24"/>
                <w:color w:val="auto"/>
              </w:rPr>
            </w:pPr>
          </w:p>
        </w:tc>
        <w:tc>
          <w:tcPr>
            <w:tcW w:w="300" w:type="dxa"/>
            <w:vAlign w:val="bottom"/>
            <w:shd w:val="clear" w:color="auto" w:fill="F3F4F5"/>
          </w:tcPr>
          <w:p>
            <w:pPr>
              <w:jc w:val="right"/>
              <w:spacing w:after="0"/>
              <w:rPr>
                <w:sz w:val="20"/>
                <w:szCs w:val="20"/>
                <w:color w:val="auto"/>
              </w:rPr>
            </w:pPr>
            <w:r>
              <w:rPr>
                <w:rFonts w:ascii="Arial" w:cs="Arial" w:eastAsia="Arial" w:hAnsi="Arial"/>
                <w:sz w:val="19"/>
                <w:szCs w:val="19"/>
                <w:b w:val="1"/>
                <w:bCs w:val="1"/>
                <w:color w:val="00407A"/>
              </w:rPr>
              <w:t>$</w:t>
            </w:r>
          </w:p>
        </w:tc>
        <w:tc>
          <w:tcPr>
            <w:tcW w:w="640" w:type="dxa"/>
            <w:vAlign w:val="bottom"/>
            <w:shd w:val="clear" w:color="auto" w:fill="F3F4F5"/>
          </w:tcPr>
          <w:p>
            <w:pPr>
              <w:jc w:val="right"/>
              <w:ind w:right="4"/>
              <w:spacing w:after="0"/>
              <w:rPr>
                <w:sz w:val="20"/>
                <w:szCs w:val="20"/>
                <w:color w:val="auto"/>
              </w:rPr>
            </w:pPr>
            <w:r>
              <w:rPr>
                <w:rFonts w:ascii="Arial" w:cs="Arial" w:eastAsia="Arial" w:hAnsi="Arial"/>
                <w:sz w:val="19"/>
                <w:szCs w:val="19"/>
                <w:b w:val="1"/>
                <w:bCs w:val="1"/>
                <w:color w:val="00407A"/>
              </w:rPr>
              <w:t>8,490</w:t>
            </w:r>
          </w:p>
        </w:tc>
        <w:tc>
          <w:tcPr>
            <w:tcW w:w="600" w:type="dxa"/>
            <w:vAlign w:val="bottom"/>
            <w:gridSpan w:val="3"/>
            <w:shd w:val="clear" w:color="auto" w:fill="F3F4F5"/>
          </w:tcPr>
          <w:p>
            <w:pPr>
              <w:jc w:val="right"/>
              <w:spacing w:after="0"/>
              <w:rPr>
                <w:sz w:val="20"/>
                <w:szCs w:val="20"/>
                <w:color w:val="auto"/>
              </w:rPr>
            </w:pPr>
            <w:r>
              <w:rPr>
                <w:rFonts w:ascii="Arial" w:cs="Arial" w:eastAsia="Arial" w:hAnsi="Arial"/>
                <w:sz w:val="19"/>
                <w:szCs w:val="19"/>
                <w:color w:val="auto"/>
              </w:rPr>
              <w:t>$</w:t>
            </w:r>
          </w:p>
        </w:tc>
        <w:tc>
          <w:tcPr>
            <w:tcW w:w="1280" w:type="dxa"/>
            <w:vAlign w:val="bottom"/>
            <w:shd w:val="clear" w:color="auto" w:fill="F3F4F5"/>
          </w:tcPr>
          <w:p>
            <w:pPr>
              <w:jc w:val="right"/>
              <w:ind w:right="585"/>
              <w:spacing w:after="0"/>
              <w:rPr>
                <w:sz w:val="20"/>
                <w:szCs w:val="20"/>
                <w:color w:val="auto"/>
              </w:rPr>
            </w:pPr>
            <w:r>
              <w:rPr>
                <w:rFonts w:ascii="Arial" w:cs="Arial" w:eastAsia="Arial" w:hAnsi="Arial"/>
                <w:sz w:val="19"/>
                <w:szCs w:val="19"/>
                <w:color w:val="auto"/>
              </w:rPr>
              <w:t>7,702</w:t>
            </w:r>
          </w:p>
        </w:tc>
        <w:tc>
          <w:tcPr>
            <w:tcW w:w="200" w:type="dxa"/>
            <w:vAlign w:val="bottom"/>
            <w:shd w:val="clear" w:color="auto" w:fill="F3F4F5"/>
          </w:tcPr>
          <w:p>
            <w:pPr>
              <w:jc w:val="right"/>
              <w:spacing w:after="0"/>
              <w:rPr>
                <w:sz w:val="20"/>
                <w:szCs w:val="20"/>
                <w:color w:val="auto"/>
              </w:rPr>
            </w:pPr>
            <w:r>
              <w:rPr>
                <w:rFonts w:ascii="Arial" w:cs="Arial" w:eastAsia="Arial" w:hAnsi="Arial"/>
                <w:sz w:val="19"/>
                <w:szCs w:val="19"/>
                <w:color w:val="auto"/>
              </w:rPr>
              <w:t>$</w:t>
            </w:r>
          </w:p>
        </w:tc>
        <w:tc>
          <w:tcPr>
            <w:tcW w:w="540" w:type="dxa"/>
            <w:vAlign w:val="bottom"/>
            <w:shd w:val="clear" w:color="auto" w:fill="F3F4F5"/>
          </w:tcPr>
          <w:p>
            <w:pPr>
              <w:jc w:val="right"/>
              <w:spacing w:after="0"/>
              <w:rPr>
                <w:sz w:val="20"/>
                <w:szCs w:val="20"/>
                <w:color w:val="auto"/>
              </w:rPr>
            </w:pPr>
            <w:r>
              <w:rPr>
                <w:rFonts w:ascii="Arial" w:cs="Arial" w:eastAsia="Arial" w:hAnsi="Arial"/>
                <w:sz w:val="19"/>
                <w:szCs w:val="19"/>
                <w:color w:val="auto"/>
              </w:rPr>
              <w:t>7,038</w:t>
            </w:r>
          </w:p>
        </w:tc>
        <w:tc>
          <w:tcPr>
            <w:tcW w:w="40" w:type="dxa"/>
            <w:vAlign w:val="bottom"/>
            <w:shd w:val="clear" w:color="auto" w:fill="F3F4F5"/>
          </w:tcPr>
          <w:p>
            <w:pPr>
              <w:spacing w:after="0"/>
              <w:rPr>
                <w:sz w:val="24"/>
                <w:szCs w:val="24"/>
                <w:color w:val="auto"/>
              </w:rPr>
            </w:pPr>
          </w:p>
        </w:tc>
        <w:tc>
          <w:tcPr>
            <w:tcW w:w="20" w:type="dxa"/>
            <w:vAlign w:val="bottom"/>
            <w:shd w:val="clear" w:color="auto" w:fill="F3F4F5"/>
          </w:tcPr>
          <w:p>
            <w:pPr>
              <w:spacing w:after="0"/>
              <w:rPr>
                <w:sz w:val="24"/>
                <w:szCs w:val="24"/>
                <w:color w:val="auto"/>
              </w:rPr>
            </w:pPr>
          </w:p>
        </w:tc>
        <w:tc>
          <w:tcPr>
            <w:tcW w:w="40" w:type="dxa"/>
            <w:vAlign w:val="bottom"/>
            <w:shd w:val="clear" w:color="auto" w:fill="F3F4F5"/>
          </w:tcPr>
          <w:p>
            <w:pPr>
              <w:spacing w:after="0"/>
              <w:rPr>
                <w:sz w:val="24"/>
                <w:szCs w:val="24"/>
                <w:color w:val="auto"/>
              </w:rPr>
            </w:pPr>
          </w:p>
        </w:tc>
        <w:tc>
          <w:tcPr>
            <w:tcW w:w="120" w:type="dxa"/>
            <w:vAlign w:val="bottom"/>
            <w:shd w:val="clear" w:color="auto" w:fill="F3F4F5"/>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20" w:type="dxa"/>
            <w:vAlign w:val="bottom"/>
          </w:tcPr>
          <w:p>
            <w:pPr>
              <w:spacing w:after="0"/>
              <w:rPr>
                <w:sz w:val="24"/>
                <w:szCs w:val="24"/>
                <w:color w:val="auto"/>
              </w:rPr>
            </w:pPr>
          </w:p>
        </w:tc>
        <w:tc>
          <w:tcPr>
            <w:tcW w:w="6180" w:type="dxa"/>
            <w:vAlign w:val="bottom"/>
            <w:gridSpan w:val="3"/>
          </w:tcPr>
          <w:p>
            <w:pPr>
              <w:ind w:left="360"/>
              <w:spacing w:after="0"/>
              <w:rPr>
                <w:sz w:val="20"/>
                <w:szCs w:val="20"/>
                <w:color w:val="auto"/>
              </w:rPr>
            </w:pPr>
            <w:r>
              <w:rPr>
                <w:rFonts w:ascii="Arial" w:cs="Arial" w:eastAsia="Arial" w:hAnsi="Arial"/>
                <w:sz w:val="19"/>
                <w:szCs w:val="19"/>
                <w:color w:val="auto"/>
              </w:rPr>
              <w:t>Non-GAAP Adjustments:</w:t>
            </w: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3"/>
        </w:trPr>
        <w:tc>
          <w:tcPr>
            <w:tcW w:w="20" w:type="dxa"/>
            <w:vAlign w:val="bottom"/>
          </w:tcPr>
          <w:p>
            <w:pPr>
              <w:spacing w:after="0"/>
              <w:rPr>
                <w:sz w:val="24"/>
                <w:szCs w:val="24"/>
                <w:color w:val="auto"/>
              </w:rPr>
            </w:pPr>
          </w:p>
        </w:tc>
        <w:tc>
          <w:tcPr>
            <w:tcW w:w="6180" w:type="dxa"/>
            <w:vAlign w:val="bottom"/>
            <w:gridSpan w:val="3"/>
          </w:tcPr>
          <w:p>
            <w:pPr>
              <w:ind w:left="360"/>
              <w:spacing w:after="0"/>
              <w:rPr>
                <w:sz w:val="20"/>
                <w:szCs w:val="20"/>
                <w:color w:val="auto"/>
              </w:rPr>
            </w:pPr>
            <w:r>
              <w:rPr>
                <w:rFonts w:ascii="Arial" w:cs="Arial" w:eastAsia="Arial" w:hAnsi="Arial"/>
                <w:sz w:val="19"/>
                <w:szCs w:val="19"/>
                <w:color w:val="auto"/>
              </w:rPr>
              <w:t>Recognized (Gains) and Losses, Net</w:t>
            </w:r>
          </w:p>
        </w:tc>
        <w:tc>
          <w:tcPr>
            <w:tcW w:w="300" w:type="dxa"/>
            <w:vAlign w:val="bottom"/>
          </w:tcPr>
          <w:p>
            <w:pPr>
              <w:spacing w:after="0"/>
              <w:rPr>
                <w:sz w:val="24"/>
                <w:szCs w:val="24"/>
                <w:color w:val="auto"/>
              </w:rPr>
            </w:pPr>
          </w:p>
        </w:tc>
        <w:tc>
          <w:tcPr>
            <w:tcW w:w="640" w:type="dxa"/>
            <w:vAlign w:val="bottom"/>
          </w:tcPr>
          <w:p>
            <w:pPr>
              <w:jc w:val="right"/>
              <w:ind w:right="4"/>
              <w:spacing w:after="0"/>
              <w:rPr>
                <w:sz w:val="20"/>
                <w:szCs w:val="20"/>
                <w:color w:val="auto"/>
              </w:rPr>
            </w:pPr>
            <w:r>
              <w:rPr>
                <w:rFonts w:ascii="Arial" w:cs="Arial" w:eastAsia="Arial" w:hAnsi="Arial"/>
                <w:sz w:val="19"/>
                <w:szCs w:val="19"/>
                <w:b w:val="1"/>
                <w:bCs w:val="1"/>
                <w:color w:val="00407A"/>
              </w:rPr>
              <w:t>78</w:t>
            </w: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jc w:val="right"/>
              <w:ind w:right="605"/>
              <w:spacing w:after="0"/>
              <w:rPr>
                <w:sz w:val="20"/>
                <w:szCs w:val="20"/>
                <w:color w:val="auto"/>
              </w:rPr>
            </w:pPr>
            <w:r>
              <w:rPr>
                <w:rFonts w:ascii="Arial" w:cs="Arial" w:eastAsia="Arial" w:hAnsi="Arial"/>
                <w:sz w:val="19"/>
                <w:szCs w:val="19"/>
                <w:color w:val="auto"/>
              </w:rPr>
              <w:t>6</w:t>
            </w:r>
          </w:p>
        </w:tc>
        <w:tc>
          <w:tcPr>
            <w:tcW w:w="20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9"/>
                <w:szCs w:val="19"/>
                <w:color w:val="auto"/>
              </w:rPr>
              <w:t>9</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160" w:type="dxa"/>
            <w:vAlign w:val="bottom"/>
            <w:gridSpan w:val="2"/>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2"/>
        </w:trPr>
        <w:tc>
          <w:tcPr>
            <w:tcW w:w="20" w:type="dxa"/>
            <w:vAlign w:val="bottom"/>
          </w:tcPr>
          <w:p>
            <w:pPr>
              <w:spacing w:after="0"/>
              <w:rPr>
                <w:sz w:val="24"/>
                <w:szCs w:val="24"/>
                <w:color w:val="auto"/>
              </w:rPr>
            </w:pPr>
          </w:p>
        </w:tc>
        <w:tc>
          <w:tcPr>
            <w:tcW w:w="6180" w:type="dxa"/>
            <w:vAlign w:val="bottom"/>
            <w:gridSpan w:val="3"/>
          </w:tcPr>
          <w:p>
            <w:pPr>
              <w:ind w:left="40"/>
              <w:spacing w:after="0"/>
              <w:rPr>
                <w:sz w:val="20"/>
                <w:szCs w:val="20"/>
                <w:color w:val="auto"/>
              </w:rPr>
            </w:pPr>
            <w:r>
              <w:rPr>
                <w:rFonts w:ascii="Arial" w:cs="Arial" w:eastAsia="Arial" w:hAnsi="Arial"/>
                <w:sz w:val="19"/>
                <w:szCs w:val="19"/>
                <w:b w:val="1"/>
                <w:bCs w:val="1"/>
                <w:color w:val="00407A"/>
              </w:rPr>
              <w:t>Adjusted Revenue</w:t>
            </w:r>
          </w:p>
        </w:tc>
        <w:tc>
          <w:tcPr>
            <w:tcW w:w="300" w:type="dxa"/>
            <w:vAlign w:val="bottom"/>
          </w:tcPr>
          <w:p>
            <w:pPr>
              <w:jc w:val="right"/>
              <w:spacing w:after="0"/>
              <w:rPr>
                <w:sz w:val="20"/>
                <w:szCs w:val="20"/>
                <w:color w:val="auto"/>
              </w:rPr>
            </w:pPr>
            <w:r>
              <w:rPr>
                <w:rFonts w:ascii="Arial" w:cs="Arial" w:eastAsia="Arial" w:hAnsi="Arial"/>
                <w:sz w:val="19"/>
                <w:szCs w:val="19"/>
                <w:b w:val="1"/>
                <w:bCs w:val="1"/>
                <w:color w:val="00407A"/>
              </w:rPr>
              <w:t>$</w:t>
            </w:r>
          </w:p>
        </w:tc>
        <w:tc>
          <w:tcPr>
            <w:tcW w:w="640" w:type="dxa"/>
            <w:vAlign w:val="bottom"/>
          </w:tcPr>
          <w:p>
            <w:pPr>
              <w:jc w:val="right"/>
              <w:ind w:right="4"/>
              <w:spacing w:after="0"/>
              <w:rPr>
                <w:sz w:val="20"/>
                <w:szCs w:val="20"/>
                <w:color w:val="auto"/>
              </w:rPr>
            </w:pPr>
            <w:r>
              <w:rPr>
                <w:rFonts w:ascii="Arial" w:cs="Arial" w:eastAsia="Arial" w:hAnsi="Arial"/>
                <w:sz w:val="19"/>
                <w:szCs w:val="19"/>
                <w:b w:val="1"/>
                <w:bCs w:val="1"/>
                <w:color w:val="00407A"/>
              </w:rPr>
              <w:t>8,568</w:t>
            </w:r>
          </w:p>
        </w:tc>
        <w:tc>
          <w:tcPr>
            <w:tcW w:w="600" w:type="dxa"/>
            <w:vAlign w:val="bottom"/>
            <w:gridSpan w:val="3"/>
          </w:tcPr>
          <w:p>
            <w:pPr>
              <w:jc w:val="right"/>
              <w:spacing w:after="0"/>
              <w:rPr>
                <w:sz w:val="20"/>
                <w:szCs w:val="20"/>
                <w:color w:val="auto"/>
              </w:rPr>
            </w:pPr>
            <w:r>
              <w:rPr>
                <w:rFonts w:ascii="Arial" w:cs="Arial" w:eastAsia="Arial" w:hAnsi="Arial"/>
                <w:sz w:val="19"/>
                <w:szCs w:val="19"/>
                <w:color w:val="auto"/>
              </w:rPr>
              <w:t>$</w:t>
            </w:r>
          </w:p>
        </w:tc>
        <w:tc>
          <w:tcPr>
            <w:tcW w:w="1280" w:type="dxa"/>
            <w:vAlign w:val="bottom"/>
          </w:tcPr>
          <w:p>
            <w:pPr>
              <w:jc w:val="right"/>
              <w:ind w:right="585"/>
              <w:spacing w:after="0"/>
              <w:rPr>
                <w:sz w:val="20"/>
                <w:szCs w:val="20"/>
                <w:color w:val="auto"/>
              </w:rPr>
            </w:pPr>
            <w:r>
              <w:rPr>
                <w:rFonts w:ascii="Arial" w:cs="Arial" w:eastAsia="Arial" w:hAnsi="Arial"/>
                <w:sz w:val="19"/>
                <w:szCs w:val="19"/>
                <w:color w:val="auto"/>
              </w:rPr>
              <w:t>7,708</w:t>
            </w:r>
          </w:p>
        </w:tc>
        <w:tc>
          <w:tcPr>
            <w:tcW w:w="200" w:type="dxa"/>
            <w:vAlign w:val="bottom"/>
          </w:tcPr>
          <w:p>
            <w:pPr>
              <w:jc w:val="right"/>
              <w:spacing w:after="0"/>
              <w:rPr>
                <w:sz w:val="20"/>
                <w:szCs w:val="20"/>
                <w:color w:val="auto"/>
              </w:rPr>
            </w:pPr>
            <w:r>
              <w:rPr>
                <w:rFonts w:ascii="Arial" w:cs="Arial" w:eastAsia="Arial" w:hAnsi="Arial"/>
                <w:sz w:val="19"/>
                <w:szCs w:val="19"/>
                <w:color w:val="auto"/>
              </w:rPr>
              <w:t>$</w:t>
            </w:r>
          </w:p>
        </w:tc>
        <w:tc>
          <w:tcPr>
            <w:tcW w:w="540" w:type="dxa"/>
            <w:vAlign w:val="bottom"/>
          </w:tcPr>
          <w:p>
            <w:pPr>
              <w:jc w:val="right"/>
              <w:spacing w:after="0"/>
              <w:rPr>
                <w:sz w:val="20"/>
                <w:szCs w:val="20"/>
                <w:color w:val="auto"/>
              </w:rPr>
            </w:pPr>
            <w:r>
              <w:rPr>
                <w:rFonts w:ascii="Arial" w:cs="Arial" w:eastAsia="Arial" w:hAnsi="Arial"/>
                <w:sz w:val="19"/>
                <w:szCs w:val="19"/>
                <w:color w:val="auto"/>
              </w:rPr>
              <w:t>7,047</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01"/>
        </w:trPr>
        <w:tc>
          <w:tcPr>
            <w:tcW w:w="20" w:type="dxa"/>
            <w:vAlign w:val="bottom"/>
          </w:tcPr>
          <w:p>
            <w:pPr>
              <w:spacing w:after="0"/>
              <w:rPr>
                <w:sz w:val="24"/>
                <w:szCs w:val="24"/>
                <w:color w:val="auto"/>
              </w:rPr>
            </w:pPr>
          </w:p>
        </w:tc>
        <w:tc>
          <w:tcPr>
            <w:tcW w:w="6180" w:type="dxa"/>
            <w:vAlign w:val="bottom"/>
            <w:gridSpan w:val="3"/>
          </w:tcPr>
          <w:p>
            <w:pPr>
              <w:ind w:left="40"/>
              <w:spacing w:after="0"/>
              <w:rPr>
                <w:sz w:val="20"/>
                <w:szCs w:val="20"/>
                <w:color w:val="auto"/>
              </w:rPr>
            </w:pPr>
            <w:r>
              <w:rPr>
                <w:rFonts w:ascii="Arial" w:cs="Arial" w:eastAsia="Arial" w:hAnsi="Arial"/>
                <w:sz w:val="19"/>
                <w:szCs w:val="19"/>
                <w:b w:val="1"/>
                <w:bCs w:val="1"/>
                <w:color w:val="00407A"/>
              </w:rPr>
              <w:t>Pre-Tax Earnings</w:t>
            </w:r>
          </w:p>
        </w:tc>
        <w:tc>
          <w:tcPr>
            <w:tcW w:w="300" w:type="dxa"/>
            <w:vAlign w:val="bottom"/>
          </w:tcPr>
          <w:p>
            <w:pPr>
              <w:jc w:val="right"/>
              <w:spacing w:after="0"/>
              <w:rPr>
                <w:sz w:val="20"/>
                <w:szCs w:val="20"/>
                <w:color w:val="auto"/>
              </w:rPr>
            </w:pPr>
            <w:r>
              <w:rPr>
                <w:rFonts w:ascii="Arial" w:cs="Arial" w:eastAsia="Arial" w:hAnsi="Arial"/>
                <w:sz w:val="19"/>
                <w:szCs w:val="19"/>
                <w:b w:val="1"/>
                <w:bCs w:val="1"/>
                <w:color w:val="00407A"/>
              </w:rPr>
              <w:t>$</w:t>
            </w:r>
          </w:p>
        </w:tc>
        <w:tc>
          <w:tcPr>
            <w:tcW w:w="640" w:type="dxa"/>
            <w:vAlign w:val="bottom"/>
          </w:tcPr>
          <w:p>
            <w:pPr>
              <w:jc w:val="right"/>
              <w:ind w:right="4"/>
              <w:spacing w:after="0"/>
              <w:rPr>
                <w:sz w:val="20"/>
                <w:szCs w:val="20"/>
                <w:color w:val="auto"/>
              </w:rPr>
            </w:pPr>
            <w:r>
              <w:rPr>
                <w:rFonts w:ascii="Arial" w:cs="Arial" w:eastAsia="Arial" w:hAnsi="Arial"/>
                <w:sz w:val="19"/>
                <w:szCs w:val="19"/>
                <w:b w:val="1"/>
                <w:bCs w:val="1"/>
                <w:color w:val="00407A"/>
              </w:rPr>
              <w:t>1,227</w:t>
            </w:r>
          </w:p>
        </w:tc>
        <w:tc>
          <w:tcPr>
            <w:tcW w:w="600" w:type="dxa"/>
            <w:vAlign w:val="bottom"/>
            <w:gridSpan w:val="3"/>
          </w:tcPr>
          <w:p>
            <w:pPr>
              <w:jc w:val="right"/>
              <w:spacing w:after="0"/>
              <w:rPr>
                <w:sz w:val="20"/>
                <w:szCs w:val="20"/>
                <w:color w:val="auto"/>
              </w:rPr>
            </w:pPr>
            <w:r>
              <w:rPr>
                <w:rFonts w:ascii="Arial" w:cs="Arial" w:eastAsia="Arial" w:hAnsi="Arial"/>
                <w:sz w:val="19"/>
                <w:szCs w:val="19"/>
                <w:color w:val="auto"/>
              </w:rPr>
              <w:t>$</w:t>
            </w:r>
          </w:p>
        </w:tc>
        <w:tc>
          <w:tcPr>
            <w:tcW w:w="1280" w:type="dxa"/>
            <w:vAlign w:val="bottom"/>
          </w:tcPr>
          <w:p>
            <w:pPr>
              <w:jc w:val="right"/>
              <w:ind w:right="585"/>
              <w:spacing w:after="0"/>
              <w:rPr>
                <w:sz w:val="20"/>
                <w:szCs w:val="20"/>
                <w:color w:val="auto"/>
              </w:rPr>
            </w:pPr>
            <w:r>
              <w:rPr>
                <w:rFonts w:ascii="Arial" w:cs="Arial" w:eastAsia="Arial" w:hAnsi="Arial"/>
                <w:sz w:val="19"/>
                <w:szCs w:val="19"/>
                <w:color w:val="auto"/>
              </w:rPr>
              <w:t>1,096</w:t>
            </w:r>
          </w:p>
        </w:tc>
        <w:tc>
          <w:tcPr>
            <w:tcW w:w="200" w:type="dxa"/>
            <w:vAlign w:val="bottom"/>
          </w:tcPr>
          <w:p>
            <w:pPr>
              <w:jc w:val="right"/>
              <w:spacing w:after="0"/>
              <w:rPr>
                <w:sz w:val="20"/>
                <w:szCs w:val="20"/>
                <w:color w:val="auto"/>
              </w:rPr>
            </w:pPr>
            <w:r>
              <w:rPr>
                <w:rFonts w:ascii="Arial" w:cs="Arial" w:eastAsia="Arial" w:hAnsi="Arial"/>
                <w:sz w:val="19"/>
                <w:szCs w:val="19"/>
                <w:color w:val="auto"/>
              </w:rPr>
              <w:t>$</w:t>
            </w:r>
          </w:p>
        </w:tc>
        <w:tc>
          <w:tcPr>
            <w:tcW w:w="540" w:type="dxa"/>
            <w:vAlign w:val="bottom"/>
          </w:tcPr>
          <w:p>
            <w:pPr>
              <w:jc w:val="right"/>
              <w:spacing w:after="0"/>
              <w:rPr>
                <w:sz w:val="20"/>
                <w:szCs w:val="20"/>
                <w:color w:val="auto"/>
              </w:rPr>
            </w:pPr>
            <w:r>
              <w:rPr>
                <w:rFonts w:ascii="Arial" w:cs="Arial" w:eastAsia="Arial" w:hAnsi="Arial"/>
                <w:sz w:val="19"/>
                <w:szCs w:val="19"/>
                <w:color w:val="auto"/>
              </w:rPr>
              <w:t>883</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20" w:type="dxa"/>
            <w:vAlign w:val="bottom"/>
          </w:tcPr>
          <w:p>
            <w:pPr>
              <w:spacing w:after="0"/>
              <w:rPr>
                <w:sz w:val="24"/>
                <w:szCs w:val="24"/>
                <w:color w:val="auto"/>
              </w:rPr>
            </w:pPr>
          </w:p>
        </w:tc>
        <w:tc>
          <w:tcPr>
            <w:tcW w:w="6180" w:type="dxa"/>
            <w:vAlign w:val="bottom"/>
            <w:gridSpan w:val="3"/>
          </w:tcPr>
          <w:p>
            <w:pPr>
              <w:ind w:left="360"/>
              <w:spacing w:after="0"/>
              <w:rPr>
                <w:sz w:val="20"/>
                <w:szCs w:val="20"/>
                <w:color w:val="auto"/>
              </w:rPr>
            </w:pPr>
            <w:r>
              <w:rPr>
                <w:rFonts w:ascii="Arial" w:cs="Arial" w:eastAsia="Arial" w:hAnsi="Arial"/>
                <w:sz w:val="19"/>
                <w:szCs w:val="19"/>
                <w:color w:val="auto"/>
              </w:rPr>
              <w:t>Non-GAAP Adjustments:</w:t>
            </w: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20" w:type="dxa"/>
            <w:vAlign w:val="bottom"/>
          </w:tcPr>
          <w:p>
            <w:pPr>
              <w:spacing w:after="0"/>
              <w:rPr>
                <w:sz w:val="24"/>
                <w:szCs w:val="24"/>
                <w:color w:val="auto"/>
              </w:rPr>
            </w:pPr>
          </w:p>
        </w:tc>
        <w:tc>
          <w:tcPr>
            <w:tcW w:w="6180" w:type="dxa"/>
            <w:vAlign w:val="bottom"/>
            <w:gridSpan w:val="3"/>
          </w:tcPr>
          <w:p>
            <w:pPr>
              <w:ind w:left="360"/>
              <w:spacing w:after="0"/>
              <w:rPr>
                <w:sz w:val="20"/>
                <w:szCs w:val="20"/>
                <w:color w:val="auto"/>
              </w:rPr>
            </w:pPr>
            <w:r>
              <w:rPr>
                <w:rFonts w:ascii="Arial" w:cs="Arial" w:eastAsia="Arial" w:hAnsi="Arial"/>
                <w:sz w:val="19"/>
                <w:szCs w:val="19"/>
                <w:color w:val="auto"/>
              </w:rPr>
              <w:t>Recognized (Gains) and Losses, Net</w:t>
            </w:r>
          </w:p>
        </w:tc>
        <w:tc>
          <w:tcPr>
            <w:tcW w:w="300" w:type="dxa"/>
            <w:vAlign w:val="bottom"/>
          </w:tcPr>
          <w:p>
            <w:pPr>
              <w:spacing w:after="0"/>
              <w:rPr>
                <w:sz w:val="24"/>
                <w:szCs w:val="24"/>
                <w:color w:val="auto"/>
              </w:rPr>
            </w:pPr>
          </w:p>
        </w:tc>
        <w:tc>
          <w:tcPr>
            <w:tcW w:w="640" w:type="dxa"/>
            <w:vAlign w:val="bottom"/>
          </w:tcPr>
          <w:p>
            <w:pPr>
              <w:jc w:val="right"/>
              <w:ind w:right="24"/>
              <w:spacing w:after="0"/>
              <w:rPr>
                <w:sz w:val="20"/>
                <w:szCs w:val="20"/>
                <w:color w:val="auto"/>
              </w:rPr>
            </w:pPr>
            <w:r>
              <w:rPr>
                <w:rFonts w:ascii="Arial" w:cs="Arial" w:eastAsia="Arial" w:hAnsi="Arial"/>
                <w:sz w:val="19"/>
                <w:szCs w:val="19"/>
                <w:b w:val="1"/>
                <w:bCs w:val="1"/>
                <w:color w:val="00407A"/>
              </w:rPr>
              <w:t>78</w:t>
            </w: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jc w:val="right"/>
              <w:ind w:right="605"/>
              <w:spacing w:after="0"/>
              <w:rPr>
                <w:sz w:val="20"/>
                <w:szCs w:val="20"/>
                <w:color w:val="auto"/>
              </w:rPr>
            </w:pPr>
            <w:r>
              <w:rPr>
                <w:rFonts w:ascii="Arial" w:cs="Arial" w:eastAsia="Arial" w:hAnsi="Arial"/>
                <w:sz w:val="19"/>
                <w:szCs w:val="19"/>
                <w:color w:val="auto"/>
              </w:rPr>
              <w:t>6</w:t>
            </w:r>
          </w:p>
        </w:tc>
        <w:tc>
          <w:tcPr>
            <w:tcW w:w="20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9"/>
                <w:szCs w:val="19"/>
                <w:color w:val="auto"/>
              </w:rPr>
              <w:t>9</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0"/>
        </w:trPr>
        <w:tc>
          <w:tcPr>
            <w:tcW w:w="20" w:type="dxa"/>
            <w:vAlign w:val="bottom"/>
          </w:tcPr>
          <w:p>
            <w:pPr>
              <w:spacing w:after="0"/>
              <w:rPr>
                <w:sz w:val="24"/>
                <w:szCs w:val="24"/>
                <w:color w:val="auto"/>
              </w:rPr>
            </w:pPr>
          </w:p>
        </w:tc>
        <w:tc>
          <w:tcPr>
            <w:tcW w:w="6180" w:type="dxa"/>
            <w:vAlign w:val="bottom"/>
            <w:gridSpan w:val="3"/>
          </w:tcPr>
          <w:p>
            <w:pPr>
              <w:ind w:left="360"/>
              <w:spacing w:after="0"/>
              <w:rPr>
                <w:sz w:val="20"/>
                <w:szCs w:val="20"/>
                <w:color w:val="auto"/>
              </w:rPr>
            </w:pPr>
            <w:r>
              <w:rPr>
                <w:rFonts w:ascii="Arial" w:cs="Arial" w:eastAsia="Arial" w:hAnsi="Arial"/>
                <w:sz w:val="19"/>
                <w:szCs w:val="19"/>
                <w:color w:val="auto"/>
              </w:rPr>
              <w:t>Purchase Price Amortization</w:t>
            </w:r>
          </w:p>
        </w:tc>
        <w:tc>
          <w:tcPr>
            <w:tcW w:w="300" w:type="dxa"/>
            <w:vAlign w:val="bottom"/>
          </w:tcPr>
          <w:p>
            <w:pPr>
              <w:spacing w:after="0"/>
              <w:rPr>
                <w:sz w:val="24"/>
                <w:szCs w:val="24"/>
                <w:color w:val="auto"/>
              </w:rPr>
            </w:pPr>
          </w:p>
        </w:tc>
        <w:tc>
          <w:tcPr>
            <w:tcW w:w="640" w:type="dxa"/>
            <w:vAlign w:val="bottom"/>
          </w:tcPr>
          <w:p>
            <w:pPr>
              <w:jc w:val="right"/>
              <w:ind w:right="24"/>
              <w:spacing w:after="0"/>
              <w:rPr>
                <w:sz w:val="20"/>
                <w:szCs w:val="20"/>
                <w:color w:val="auto"/>
              </w:rPr>
            </w:pPr>
            <w:r>
              <w:rPr>
                <w:rFonts w:ascii="Arial" w:cs="Arial" w:eastAsia="Arial" w:hAnsi="Arial"/>
                <w:sz w:val="19"/>
                <w:szCs w:val="19"/>
                <w:b w:val="1"/>
                <w:bCs w:val="1"/>
                <w:color w:val="00407A"/>
              </w:rPr>
              <w:t>54</w:t>
            </w: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jc w:val="right"/>
              <w:ind w:right="605"/>
              <w:spacing w:after="0"/>
              <w:rPr>
                <w:sz w:val="20"/>
                <w:szCs w:val="20"/>
                <w:color w:val="auto"/>
              </w:rPr>
            </w:pPr>
            <w:r>
              <w:rPr>
                <w:rFonts w:ascii="Arial" w:cs="Arial" w:eastAsia="Arial" w:hAnsi="Arial"/>
                <w:sz w:val="19"/>
                <w:szCs w:val="19"/>
                <w:color w:val="auto"/>
              </w:rPr>
              <w:t>59</w:t>
            </w:r>
          </w:p>
        </w:tc>
        <w:tc>
          <w:tcPr>
            <w:tcW w:w="20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9"/>
                <w:szCs w:val="19"/>
                <w:color w:val="auto"/>
              </w:rPr>
              <w:t>72</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6160" w:type="dxa"/>
            <w:vAlign w:val="bottom"/>
            <w:gridSpan w:val="2"/>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gridSpan w:val="2"/>
          </w:tcPr>
          <w:p>
            <w:pPr>
              <w:spacing w:after="0"/>
              <w:rPr>
                <w:sz w:val="4"/>
                <w:szCs w:val="4"/>
                <w:color w:val="auto"/>
              </w:rPr>
            </w:pPr>
          </w:p>
        </w:tc>
        <w:tc>
          <w:tcPr>
            <w:tcW w:w="200" w:type="dxa"/>
            <w:vAlign w:val="bottom"/>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8"/>
        </w:trPr>
        <w:tc>
          <w:tcPr>
            <w:tcW w:w="20" w:type="dxa"/>
            <w:vAlign w:val="bottom"/>
          </w:tcPr>
          <w:p>
            <w:pPr>
              <w:spacing w:after="0"/>
              <w:rPr>
                <w:sz w:val="24"/>
                <w:szCs w:val="24"/>
                <w:color w:val="auto"/>
              </w:rPr>
            </w:pPr>
          </w:p>
        </w:tc>
        <w:tc>
          <w:tcPr>
            <w:tcW w:w="6180" w:type="dxa"/>
            <w:vAlign w:val="bottom"/>
            <w:gridSpan w:val="3"/>
          </w:tcPr>
          <w:p>
            <w:pPr>
              <w:ind w:left="40"/>
              <w:spacing w:after="0"/>
              <w:rPr>
                <w:sz w:val="20"/>
                <w:szCs w:val="20"/>
                <w:color w:val="auto"/>
              </w:rPr>
            </w:pPr>
            <w:r>
              <w:rPr>
                <w:rFonts w:ascii="Arial" w:cs="Arial" w:eastAsia="Arial" w:hAnsi="Arial"/>
                <w:sz w:val="19"/>
                <w:szCs w:val="19"/>
                <w:b w:val="1"/>
                <w:bCs w:val="1"/>
                <w:color w:val="00407A"/>
              </w:rPr>
              <w:t>Adjusted Pre-Tax Earnings</w:t>
            </w:r>
          </w:p>
        </w:tc>
        <w:tc>
          <w:tcPr>
            <w:tcW w:w="300" w:type="dxa"/>
            <w:vAlign w:val="bottom"/>
          </w:tcPr>
          <w:p>
            <w:pPr>
              <w:jc w:val="right"/>
              <w:spacing w:after="0"/>
              <w:rPr>
                <w:sz w:val="20"/>
                <w:szCs w:val="20"/>
                <w:color w:val="auto"/>
              </w:rPr>
            </w:pPr>
            <w:r>
              <w:rPr>
                <w:rFonts w:ascii="Arial" w:cs="Arial" w:eastAsia="Arial" w:hAnsi="Arial"/>
                <w:sz w:val="19"/>
                <w:szCs w:val="19"/>
                <w:b w:val="1"/>
                <w:bCs w:val="1"/>
                <w:color w:val="00407A"/>
              </w:rPr>
              <w:t>$</w:t>
            </w:r>
          </w:p>
        </w:tc>
        <w:tc>
          <w:tcPr>
            <w:tcW w:w="640" w:type="dxa"/>
            <w:vAlign w:val="bottom"/>
          </w:tcPr>
          <w:p>
            <w:pPr>
              <w:jc w:val="right"/>
              <w:ind w:right="24"/>
              <w:spacing w:after="0"/>
              <w:rPr>
                <w:sz w:val="20"/>
                <w:szCs w:val="20"/>
                <w:color w:val="auto"/>
              </w:rPr>
            </w:pPr>
            <w:r>
              <w:rPr>
                <w:rFonts w:ascii="Arial" w:cs="Arial" w:eastAsia="Arial" w:hAnsi="Arial"/>
                <w:sz w:val="19"/>
                <w:szCs w:val="19"/>
                <w:b w:val="1"/>
                <w:bCs w:val="1"/>
                <w:color w:val="00407A"/>
              </w:rPr>
              <w:t>1,359</w:t>
            </w:r>
          </w:p>
        </w:tc>
        <w:tc>
          <w:tcPr>
            <w:tcW w:w="600" w:type="dxa"/>
            <w:vAlign w:val="bottom"/>
            <w:gridSpan w:val="3"/>
          </w:tcPr>
          <w:p>
            <w:pPr>
              <w:jc w:val="right"/>
              <w:spacing w:after="0"/>
              <w:rPr>
                <w:sz w:val="20"/>
                <w:szCs w:val="20"/>
                <w:color w:val="auto"/>
              </w:rPr>
            </w:pPr>
            <w:r>
              <w:rPr>
                <w:rFonts w:ascii="Arial" w:cs="Arial" w:eastAsia="Arial" w:hAnsi="Arial"/>
                <w:sz w:val="19"/>
                <w:szCs w:val="19"/>
                <w:color w:val="auto"/>
              </w:rPr>
              <w:t>$</w:t>
            </w:r>
          </w:p>
        </w:tc>
        <w:tc>
          <w:tcPr>
            <w:tcW w:w="1280" w:type="dxa"/>
            <w:vAlign w:val="bottom"/>
          </w:tcPr>
          <w:p>
            <w:pPr>
              <w:jc w:val="right"/>
              <w:ind w:right="585"/>
              <w:spacing w:after="0"/>
              <w:rPr>
                <w:sz w:val="20"/>
                <w:szCs w:val="20"/>
                <w:color w:val="auto"/>
              </w:rPr>
            </w:pPr>
            <w:r>
              <w:rPr>
                <w:rFonts w:ascii="Arial" w:cs="Arial" w:eastAsia="Arial" w:hAnsi="Arial"/>
                <w:sz w:val="19"/>
                <w:szCs w:val="19"/>
                <w:color w:val="auto"/>
              </w:rPr>
              <w:t>1,161</w:t>
            </w:r>
          </w:p>
        </w:tc>
        <w:tc>
          <w:tcPr>
            <w:tcW w:w="200" w:type="dxa"/>
            <w:vAlign w:val="bottom"/>
          </w:tcPr>
          <w:p>
            <w:pPr>
              <w:jc w:val="right"/>
              <w:spacing w:after="0"/>
              <w:rPr>
                <w:sz w:val="20"/>
                <w:szCs w:val="20"/>
                <w:color w:val="auto"/>
              </w:rPr>
            </w:pPr>
            <w:r>
              <w:rPr>
                <w:rFonts w:ascii="Arial" w:cs="Arial" w:eastAsia="Arial" w:hAnsi="Arial"/>
                <w:sz w:val="19"/>
                <w:szCs w:val="19"/>
                <w:color w:val="auto"/>
              </w:rPr>
              <w:t>$</w:t>
            </w:r>
          </w:p>
        </w:tc>
        <w:tc>
          <w:tcPr>
            <w:tcW w:w="540" w:type="dxa"/>
            <w:vAlign w:val="bottom"/>
          </w:tcPr>
          <w:p>
            <w:pPr>
              <w:jc w:val="right"/>
              <w:spacing w:after="0"/>
              <w:rPr>
                <w:sz w:val="20"/>
                <w:szCs w:val="20"/>
                <w:color w:val="auto"/>
              </w:rPr>
            </w:pPr>
            <w:r>
              <w:rPr>
                <w:rFonts w:ascii="Arial" w:cs="Arial" w:eastAsia="Arial" w:hAnsi="Arial"/>
                <w:sz w:val="19"/>
                <w:szCs w:val="19"/>
                <w:color w:val="auto"/>
              </w:rPr>
              <w:t>964</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59"/>
        </w:trPr>
        <w:tc>
          <w:tcPr>
            <w:tcW w:w="20" w:type="dxa"/>
            <w:vAlign w:val="bottom"/>
          </w:tcPr>
          <w:p>
            <w:pPr>
              <w:spacing w:after="0"/>
              <w:rPr>
                <w:sz w:val="24"/>
                <w:szCs w:val="24"/>
                <w:color w:val="auto"/>
              </w:rPr>
            </w:pPr>
          </w:p>
        </w:tc>
        <w:tc>
          <w:tcPr>
            <w:tcW w:w="6180" w:type="dxa"/>
            <w:vAlign w:val="bottom"/>
            <w:gridSpan w:val="3"/>
          </w:tcPr>
          <w:p>
            <w:pPr>
              <w:ind w:left="360"/>
              <w:spacing w:after="0"/>
              <w:rPr>
                <w:sz w:val="20"/>
                <w:szCs w:val="20"/>
                <w:color w:val="auto"/>
              </w:rPr>
            </w:pPr>
            <w:r>
              <w:rPr>
                <w:rFonts w:ascii="Arial" w:cs="Arial" w:eastAsia="Arial" w:hAnsi="Arial"/>
                <w:sz w:val="19"/>
                <w:szCs w:val="19"/>
                <w:color w:val="auto"/>
              </w:rPr>
              <w:t>Pre-Tax Margin</w:t>
            </w:r>
          </w:p>
        </w:tc>
        <w:tc>
          <w:tcPr>
            <w:tcW w:w="940" w:type="dxa"/>
            <w:vAlign w:val="bottom"/>
            <w:gridSpan w:val="2"/>
          </w:tcPr>
          <w:p>
            <w:pPr>
              <w:ind w:left="240"/>
              <w:spacing w:after="0"/>
              <w:rPr>
                <w:sz w:val="20"/>
                <w:szCs w:val="20"/>
                <w:color w:val="auto"/>
              </w:rPr>
            </w:pPr>
            <w:r>
              <w:rPr>
                <w:rFonts w:ascii="Arial" w:cs="Arial" w:eastAsia="Arial" w:hAnsi="Arial"/>
                <w:sz w:val="19"/>
                <w:szCs w:val="19"/>
                <w:b w:val="1"/>
                <w:bCs w:val="1"/>
                <w:color w:val="00407A"/>
              </w:rPr>
              <w:t>14.5%</w:t>
            </w: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jc w:val="right"/>
              <w:ind w:right="565"/>
              <w:spacing w:after="0"/>
              <w:rPr>
                <w:sz w:val="20"/>
                <w:szCs w:val="20"/>
                <w:color w:val="auto"/>
              </w:rPr>
            </w:pPr>
            <w:r>
              <w:rPr>
                <w:rFonts w:ascii="Arial" w:cs="Arial" w:eastAsia="Arial" w:hAnsi="Arial"/>
                <w:sz w:val="19"/>
                <w:szCs w:val="19"/>
                <w:color w:val="auto"/>
              </w:rPr>
              <w:t>14.2%</w:t>
            </w:r>
          </w:p>
        </w:tc>
        <w:tc>
          <w:tcPr>
            <w:tcW w:w="200" w:type="dxa"/>
            <w:vAlign w:val="bottom"/>
          </w:tcPr>
          <w:p>
            <w:pPr>
              <w:spacing w:after="0"/>
              <w:rPr>
                <w:sz w:val="24"/>
                <w:szCs w:val="24"/>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9"/>
                <w:szCs w:val="19"/>
                <w:color w:val="auto"/>
                <w:w w:val="96"/>
              </w:rPr>
              <w:t>12.5%</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0"/>
        </w:trPr>
        <w:tc>
          <w:tcPr>
            <w:tcW w:w="20" w:type="dxa"/>
            <w:vAlign w:val="bottom"/>
          </w:tcPr>
          <w:p>
            <w:pPr>
              <w:spacing w:after="0"/>
              <w:rPr>
                <w:sz w:val="24"/>
                <w:szCs w:val="24"/>
                <w:color w:val="auto"/>
              </w:rPr>
            </w:pPr>
          </w:p>
        </w:tc>
        <w:tc>
          <w:tcPr>
            <w:tcW w:w="6180" w:type="dxa"/>
            <w:vAlign w:val="bottom"/>
            <w:gridSpan w:val="3"/>
          </w:tcPr>
          <w:p>
            <w:pPr>
              <w:ind w:left="360"/>
              <w:spacing w:after="0"/>
              <w:rPr>
                <w:sz w:val="20"/>
                <w:szCs w:val="20"/>
                <w:color w:val="auto"/>
              </w:rPr>
            </w:pPr>
            <w:r>
              <w:rPr>
                <w:rFonts w:ascii="Arial" w:cs="Arial" w:eastAsia="Arial" w:hAnsi="Arial"/>
                <w:sz w:val="19"/>
                <w:szCs w:val="19"/>
                <w:color w:val="auto"/>
              </w:rPr>
              <w:t>Adjusted Pre-Tax Margin</w:t>
            </w:r>
          </w:p>
        </w:tc>
        <w:tc>
          <w:tcPr>
            <w:tcW w:w="940" w:type="dxa"/>
            <w:vAlign w:val="bottom"/>
            <w:gridSpan w:val="2"/>
          </w:tcPr>
          <w:p>
            <w:pPr>
              <w:ind w:left="240"/>
              <w:spacing w:after="0"/>
              <w:rPr>
                <w:sz w:val="20"/>
                <w:szCs w:val="20"/>
                <w:color w:val="auto"/>
              </w:rPr>
            </w:pPr>
            <w:r>
              <w:rPr>
                <w:rFonts w:ascii="Arial" w:cs="Arial" w:eastAsia="Arial" w:hAnsi="Arial"/>
                <w:sz w:val="19"/>
                <w:szCs w:val="19"/>
                <w:b w:val="1"/>
                <w:bCs w:val="1"/>
                <w:color w:val="00407A"/>
              </w:rPr>
              <w:t>15.9%</w:t>
            </w: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jc w:val="right"/>
              <w:ind w:right="585"/>
              <w:spacing w:after="0"/>
              <w:rPr>
                <w:sz w:val="20"/>
                <w:szCs w:val="20"/>
                <w:color w:val="auto"/>
              </w:rPr>
            </w:pPr>
            <w:r>
              <w:rPr>
                <w:rFonts w:ascii="Arial" w:cs="Arial" w:eastAsia="Arial" w:hAnsi="Arial"/>
                <w:sz w:val="19"/>
                <w:szCs w:val="19"/>
                <w:color w:val="auto"/>
              </w:rPr>
              <w:t>15.1%</w:t>
            </w:r>
          </w:p>
        </w:tc>
        <w:tc>
          <w:tcPr>
            <w:tcW w:w="20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9"/>
                <w:szCs w:val="19"/>
                <w:color w:val="auto"/>
                <w:w w:val="96"/>
              </w:rPr>
              <w:t>13.7%</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880" w:h="15480" w:orient="portrait"/>
          <w:cols w:equalWidth="0" w:num="1">
            <w:col w:w="10180"/>
          </w:cols>
          <w:pgMar w:left="1000" w:top="1105" w:right="7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7920"/>
        <w:spacing w:after="0"/>
        <w:rPr>
          <w:sz w:val="20"/>
          <w:szCs w:val="20"/>
          <w:color w:val="auto"/>
        </w:rPr>
      </w:pPr>
      <w:r>
        <w:rPr>
          <w:rFonts w:ascii="Arial" w:cs="Arial" w:eastAsia="Arial" w:hAnsi="Arial"/>
          <w:sz w:val="10"/>
          <w:szCs w:val="10"/>
          <w:color w:val="00083B"/>
        </w:rPr>
        <w:t>FIDELITY NATIONAL FINANCIAL, INC. | 5</w:t>
      </w:r>
    </w:p>
    <w:p>
      <w:pPr>
        <w:sectPr>
          <w:pgSz w:w="11880" w:h="15480" w:orient="portrait"/>
          <w:cols w:equalWidth="0" w:num="1">
            <w:col w:w="10180"/>
          </w:cols>
          <w:pgMar w:left="1000" w:top="1105" w:right="700" w:bottom="0" w:gutter="0" w:footer="0" w:header="0"/>
          <w:type w:val="continuous"/>
        </w:sectPr>
      </w:pPr>
    </w:p>
    <w:bookmarkStart w:id="7" w:name="page8"/>
    <w:bookmarkEnd w:id="7"/>
    <w:p>
      <w:pPr>
        <w:ind w:left="360"/>
        <w:spacing w:after="0"/>
        <w:rPr>
          <w:sz w:val="20"/>
          <w:szCs w:val="20"/>
          <w:color w:val="auto"/>
        </w:rPr>
      </w:pPr>
      <w:r>
        <w:rPr>
          <w:rFonts w:ascii="Arial" w:cs="Arial" w:eastAsia="Arial" w:hAnsi="Arial"/>
          <w:sz w:val="19"/>
          <w:szCs w:val="19"/>
          <w:b w:val="1"/>
          <w:bCs w:val="1"/>
          <w:color w:val="00407A"/>
        </w:rPr>
        <w:t>Assets Under Management (AUM)</w:t>
      </w:r>
    </w:p>
    <w:p>
      <w:pPr>
        <w:spacing w:after="0" w:line="6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AUM is comprised of the following components and is reported net of reinsurance assets ceded in accordance with GAAP:</w:t>
      </w:r>
    </w:p>
    <w:p>
      <w:pPr>
        <w:spacing w:after="0" w:line="143" w:lineRule="exact"/>
        <w:rPr>
          <w:sz w:val="20"/>
          <w:szCs w:val="20"/>
          <w:color w:val="auto"/>
        </w:rPr>
      </w:pPr>
    </w:p>
    <w:p>
      <w:pPr>
        <w:ind w:left="600" w:hanging="249"/>
        <w:spacing w:after="0"/>
        <w:tabs>
          <w:tab w:leader="none" w:pos="600" w:val="left"/>
        </w:tabs>
        <w:numPr>
          <w:ilvl w:val="0"/>
          <w:numId w:val="1"/>
        </w:numPr>
        <w:rPr>
          <w:rFonts w:ascii="Arial" w:cs="Arial" w:eastAsia="Arial" w:hAnsi="Arial"/>
          <w:sz w:val="17"/>
          <w:szCs w:val="17"/>
          <w:color w:val="auto"/>
        </w:rPr>
      </w:pPr>
      <w:r>
        <w:rPr>
          <w:rFonts w:ascii="Arial" w:cs="Arial" w:eastAsia="Arial" w:hAnsi="Arial"/>
          <w:sz w:val="17"/>
          <w:szCs w:val="17"/>
          <w:color w:val="auto"/>
        </w:rPr>
        <w:t>total invested assets at amortized cost, excluding investments in unconsolidated affiliates, owned distribution and derivatives;</w:t>
      </w:r>
    </w:p>
    <w:p>
      <w:pPr>
        <w:spacing w:after="0" w:line="93" w:lineRule="exact"/>
        <w:rPr>
          <w:rFonts w:ascii="Arial" w:cs="Arial" w:eastAsia="Arial" w:hAnsi="Arial"/>
          <w:sz w:val="17"/>
          <w:szCs w:val="17"/>
          <w:color w:val="auto"/>
        </w:rPr>
      </w:pPr>
    </w:p>
    <w:p>
      <w:pPr>
        <w:ind w:left="600" w:hanging="249"/>
        <w:spacing w:after="0"/>
        <w:tabs>
          <w:tab w:leader="none" w:pos="600" w:val="left"/>
        </w:tabs>
        <w:numPr>
          <w:ilvl w:val="0"/>
          <w:numId w:val="1"/>
        </w:numPr>
        <w:rPr>
          <w:rFonts w:ascii="Arial" w:cs="Arial" w:eastAsia="Arial" w:hAnsi="Arial"/>
          <w:sz w:val="19"/>
          <w:szCs w:val="19"/>
          <w:color w:val="auto"/>
        </w:rPr>
      </w:pPr>
      <w:r>
        <w:rPr>
          <w:rFonts w:ascii="Arial" w:cs="Arial" w:eastAsia="Arial" w:hAnsi="Arial"/>
          <w:sz w:val="19"/>
          <w:szCs w:val="19"/>
          <w:color w:val="auto"/>
        </w:rPr>
        <w:t>investments in unconsolidated affiliates at carrying value;</w:t>
      </w:r>
    </w:p>
    <w:p>
      <w:pPr>
        <w:spacing w:after="0" w:line="70" w:lineRule="exact"/>
        <w:rPr>
          <w:rFonts w:ascii="Arial" w:cs="Arial" w:eastAsia="Arial" w:hAnsi="Arial"/>
          <w:sz w:val="19"/>
          <w:szCs w:val="19"/>
          <w:color w:val="auto"/>
        </w:rPr>
      </w:pPr>
    </w:p>
    <w:p>
      <w:pPr>
        <w:ind w:left="600" w:hanging="249"/>
        <w:spacing w:after="0"/>
        <w:tabs>
          <w:tab w:leader="none" w:pos="600" w:val="left"/>
        </w:tabs>
        <w:numPr>
          <w:ilvl w:val="0"/>
          <w:numId w:val="1"/>
        </w:numPr>
        <w:rPr>
          <w:rFonts w:ascii="Arial" w:cs="Arial" w:eastAsia="Arial" w:hAnsi="Arial"/>
          <w:sz w:val="19"/>
          <w:szCs w:val="19"/>
          <w:color w:val="auto"/>
        </w:rPr>
      </w:pPr>
      <w:r>
        <w:rPr>
          <w:rFonts w:ascii="Arial" w:cs="Arial" w:eastAsia="Arial" w:hAnsi="Arial"/>
          <w:sz w:val="19"/>
          <w:szCs w:val="19"/>
          <w:color w:val="auto"/>
        </w:rPr>
        <w:t>related party loans and investments;</w:t>
      </w:r>
    </w:p>
    <w:p>
      <w:pPr>
        <w:spacing w:after="0" w:line="70" w:lineRule="exact"/>
        <w:rPr>
          <w:rFonts w:ascii="Arial" w:cs="Arial" w:eastAsia="Arial" w:hAnsi="Arial"/>
          <w:sz w:val="19"/>
          <w:szCs w:val="19"/>
          <w:color w:val="auto"/>
        </w:rPr>
      </w:pPr>
    </w:p>
    <w:p>
      <w:pPr>
        <w:ind w:left="600" w:hanging="249"/>
        <w:spacing w:after="0"/>
        <w:tabs>
          <w:tab w:leader="none" w:pos="600" w:val="left"/>
        </w:tabs>
        <w:numPr>
          <w:ilvl w:val="0"/>
          <w:numId w:val="1"/>
        </w:numPr>
        <w:rPr>
          <w:rFonts w:ascii="Arial" w:cs="Arial" w:eastAsia="Arial" w:hAnsi="Arial"/>
          <w:sz w:val="19"/>
          <w:szCs w:val="19"/>
          <w:color w:val="auto"/>
        </w:rPr>
      </w:pPr>
      <w:r>
        <w:rPr>
          <w:rFonts w:ascii="Arial" w:cs="Arial" w:eastAsia="Arial" w:hAnsi="Arial"/>
          <w:sz w:val="19"/>
          <w:szCs w:val="19"/>
          <w:color w:val="auto"/>
        </w:rPr>
        <w:t>accrued investment income;</w:t>
      </w:r>
    </w:p>
    <w:p>
      <w:pPr>
        <w:spacing w:after="0" w:line="70" w:lineRule="exact"/>
        <w:rPr>
          <w:rFonts w:ascii="Arial" w:cs="Arial" w:eastAsia="Arial" w:hAnsi="Arial"/>
          <w:sz w:val="19"/>
          <w:szCs w:val="19"/>
          <w:color w:val="auto"/>
        </w:rPr>
      </w:pPr>
    </w:p>
    <w:p>
      <w:pPr>
        <w:ind w:left="600" w:hanging="249"/>
        <w:spacing w:after="0"/>
        <w:tabs>
          <w:tab w:leader="none" w:pos="600" w:val="left"/>
        </w:tabs>
        <w:numPr>
          <w:ilvl w:val="0"/>
          <w:numId w:val="1"/>
        </w:numPr>
        <w:rPr>
          <w:rFonts w:ascii="Arial" w:cs="Arial" w:eastAsia="Arial" w:hAnsi="Arial"/>
          <w:sz w:val="19"/>
          <w:szCs w:val="19"/>
          <w:color w:val="auto"/>
        </w:rPr>
      </w:pPr>
      <w:r>
        <w:rPr>
          <w:rFonts w:ascii="Arial" w:cs="Arial" w:eastAsia="Arial" w:hAnsi="Arial"/>
          <w:sz w:val="19"/>
          <w:szCs w:val="19"/>
          <w:color w:val="auto"/>
        </w:rPr>
        <w:t>the net payable/receivable for the purchase/sale of investments; and</w:t>
      </w:r>
    </w:p>
    <w:p>
      <w:pPr>
        <w:spacing w:after="0" w:line="70" w:lineRule="exact"/>
        <w:rPr>
          <w:rFonts w:ascii="Arial" w:cs="Arial" w:eastAsia="Arial" w:hAnsi="Arial"/>
          <w:sz w:val="19"/>
          <w:szCs w:val="19"/>
          <w:color w:val="auto"/>
        </w:rPr>
      </w:pPr>
    </w:p>
    <w:p>
      <w:pPr>
        <w:ind w:left="600" w:hanging="249"/>
        <w:spacing w:after="0"/>
        <w:tabs>
          <w:tab w:leader="none" w:pos="600" w:val="left"/>
        </w:tabs>
        <w:numPr>
          <w:ilvl w:val="0"/>
          <w:numId w:val="1"/>
        </w:numPr>
        <w:rPr>
          <w:rFonts w:ascii="Arial" w:cs="Arial" w:eastAsia="Arial" w:hAnsi="Arial"/>
          <w:sz w:val="19"/>
          <w:szCs w:val="19"/>
          <w:color w:val="auto"/>
        </w:rPr>
      </w:pPr>
      <w:r>
        <w:rPr>
          <w:rFonts w:ascii="Arial" w:cs="Arial" w:eastAsia="Arial" w:hAnsi="Arial"/>
          <w:sz w:val="19"/>
          <w:szCs w:val="19"/>
          <w:color w:val="auto"/>
        </w:rPr>
        <w:t>cash and cash equivalents excluding derivative collateral at the end of the period.</w:t>
      </w:r>
    </w:p>
    <w:p>
      <w:pPr>
        <w:spacing w:after="0" w:line="248" w:lineRule="exact"/>
        <w:rPr>
          <w:sz w:val="20"/>
          <w:szCs w:val="20"/>
          <w:color w:val="auto"/>
        </w:rPr>
      </w:pPr>
    </w:p>
    <w:p>
      <w:pPr>
        <w:ind w:left="360" w:right="840"/>
        <w:spacing w:after="0" w:line="318" w:lineRule="auto"/>
        <w:rPr>
          <w:sz w:val="20"/>
          <w:szCs w:val="20"/>
          <w:color w:val="auto"/>
        </w:rPr>
      </w:pPr>
      <w:r>
        <w:rPr>
          <w:rFonts w:ascii="Arial" w:cs="Arial" w:eastAsia="Arial" w:hAnsi="Arial"/>
          <w:sz w:val="19"/>
          <w:szCs w:val="19"/>
          <w:color w:val="auto"/>
        </w:rPr>
        <w:t>Management considers this non-GAAP financial measure to be useful internally and to investors and analysts when assessing the size of our F&amp;G segment investment portfolio that is retained.</w:t>
      </w:r>
    </w:p>
    <w:p>
      <w:pPr>
        <w:spacing w:after="0" w:line="94" w:lineRule="exact"/>
        <w:rPr>
          <w:sz w:val="20"/>
          <w:szCs w:val="20"/>
          <w:color w:val="auto"/>
        </w:rPr>
      </w:pPr>
    </w:p>
    <w:p>
      <w:pPr>
        <w:ind w:left="360"/>
        <w:spacing w:after="0"/>
        <w:rPr>
          <w:sz w:val="20"/>
          <w:szCs w:val="20"/>
          <w:color w:val="auto"/>
        </w:rPr>
      </w:pPr>
      <w:r>
        <w:rPr>
          <w:rFonts w:ascii="Arial" w:cs="Arial" w:eastAsia="Arial" w:hAnsi="Arial"/>
          <w:sz w:val="19"/>
          <w:szCs w:val="19"/>
          <w:b w:val="1"/>
          <w:bCs w:val="1"/>
          <w:color w:val="00407A"/>
        </w:rPr>
        <w:t>AUM Before Flow Reinsurance</w:t>
      </w:r>
    </w:p>
    <w:p>
      <w:pPr>
        <w:spacing w:after="0" w:line="6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AUM before Flow Reinsurance is comprised of components consistent with AUM, but also includes flow reinsured assets.</w:t>
      </w:r>
    </w:p>
    <w:p>
      <w:pPr>
        <w:spacing w:after="0" w:line="305" w:lineRule="exact"/>
        <w:rPr>
          <w:sz w:val="20"/>
          <w:szCs w:val="20"/>
          <w:color w:val="auto"/>
        </w:rPr>
      </w:pPr>
    </w:p>
    <w:p>
      <w:pPr>
        <w:ind w:left="360" w:right="60"/>
        <w:spacing w:after="0" w:line="318" w:lineRule="auto"/>
        <w:rPr>
          <w:sz w:val="20"/>
          <w:szCs w:val="20"/>
          <w:color w:val="auto"/>
        </w:rPr>
      </w:pPr>
      <w:r>
        <w:rPr>
          <w:rFonts w:ascii="Arial" w:cs="Arial" w:eastAsia="Arial" w:hAnsi="Arial"/>
          <w:sz w:val="19"/>
          <w:szCs w:val="19"/>
          <w:color w:val="auto"/>
        </w:rPr>
        <w:t>Management considers this non-GAAP financial measure to be useful internally and to investors and analysts when assessing the size of our F&amp;G segment investment portfolio including reinsured assets.</w:t>
      </w:r>
    </w:p>
    <w:p>
      <w:pPr>
        <w:spacing w:after="0" w:line="134" w:lineRule="exact"/>
        <w:rPr>
          <w:sz w:val="20"/>
          <w:szCs w:val="20"/>
          <w:color w:val="auto"/>
        </w:rPr>
      </w:pPr>
    </w:p>
    <w:p>
      <w:pPr>
        <w:ind w:left="340"/>
        <w:spacing w:after="0"/>
        <w:rPr>
          <w:sz w:val="20"/>
          <w:szCs w:val="20"/>
          <w:color w:val="auto"/>
        </w:rPr>
      </w:pPr>
      <w:r>
        <w:rPr>
          <w:rFonts w:ascii="Arial" w:cs="Arial" w:eastAsia="Arial" w:hAnsi="Arial"/>
          <w:sz w:val="19"/>
          <w:szCs w:val="19"/>
          <w:b w:val="1"/>
          <w:bCs w:val="1"/>
          <w:color w:val="00407A"/>
        </w:rPr>
        <w:t>Use of Non-GAAP Financial Information</w:t>
      </w:r>
    </w:p>
    <w:p>
      <w:pPr>
        <w:spacing w:after="0" w:line="66" w:lineRule="exact"/>
        <w:rPr>
          <w:sz w:val="20"/>
          <w:szCs w:val="20"/>
          <w:color w:val="auto"/>
        </w:rPr>
      </w:pPr>
    </w:p>
    <w:p>
      <w:pPr>
        <w:ind w:left="340"/>
        <w:spacing w:after="0" w:line="256" w:lineRule="auto"/>
        <w:rPr>
          <w:sz w:val="20"/>
          <w:szCs w:val="20"/>
          <w:color w:val="auto"/>
        </w:rPr>
      </w:pPr>
      <w:r>
        <w:rPr>
          <w:rFonts w:ascii="Arial" w:cs="Arial" w:eastAsia="Arial" w:hAnsi="Arial"/>
          <w:sz w:val="19"/>
          <w:szCs w:val="19"/>
          <w:color w:val="auto"/>
        </w:rPr>
        <w:t>Generally Accepted Accounting Principles (GAAP) is the term used to refer to the standard framework of guidelines for financial accounting. GAAP includes the standards, conventions, and rules accountants follow in recording and summarizing transactions and in the preparation of financial statements. In addition to reporting financial results in accordance with GAAP, FNF has provided non-GAAP financial measures, which it believes are useful to help investors better understand its financial performance, competitive position and prospects for the future. These non-GAAP measures include adjusted pre-tax title margin, adjusted net earnings attributable to common shareholders, assets under management and assets under manage-ment before flow reinsurance.</w:t>
      </w:r>
    </w:p>
    <w:p>
      <w:pPr>
        <w:spacing w:after="0" w:line="151" w:lineRule="exact"/>
        <w:rPr>
          <w:sz w:val="20"/>
          <w:szCs w:val="20"/>
          <w:color w:val="auto"/>
        </w:rPr>
      </w:pPr>
    </w:p>
    <w:p>
      <w:pPr>
        <w:jc w:val="both"/>
        <w:ind w:left="340" w:right="140"/>
        <w:spacing w:after="0" w:line="269" w:lineRule="auto"/>
        <w:rPr>
          <w:sz w:val="20"/>
          <w:szCs w:val="20"/>
          <w:color w:val="auto"/>
        </w:rPr>
      </w:pPr>
      <w:r>
        <w:rPr>
          <w:rFonts w:ascii="Arial" w:cs="Arial" w:eastAsia="Arial" w:hAnsi="Arial"/>
          <w:sz w:val="19"/>
          <w:szCs w:val="19"/>
          <w:color w:val="auto"/>
        </w:rPr>
        <w:t>Any non-GAAP measures should be considered in context with the GAAP financial presentation and should not be consid-ered in isolation or as a substitute for GAAP net earnings. Further, FNF's non-GAAP measures may be calculated differently from similarly titled measures of other companies. Reconciliations of these non-GAAP measures to related GAAP measures are provided above.</w:t>
      </w:r>
    </w:p>
    <w:p>
      <w:pPr>
        <w:spacing w:after="0" w:line="139" w:lineRule="exact"/>
        <w:rPr>
          <w:sz w:val="20"/>
          <w:szCs w:val="20"/>
          <w:color w:val="auto"/>
        </w:rPr>
      </w:pPr>
    </w:p>
    <w:p>
      <w:pPr>
        <w:ind w:left="340"/>
        <w:spacing w:after="0"/>
        <w:rPr>
          <w:sz w:val="20"/>
          <w:szCs w:val="20"/>
          <w:color w:val="auto"/>
        </w:rPr>
      </w:pPr>
      <w:r>
        <w:rPr>
          <w:rFonts w:ascii="Arial" w:cs="Arial" w:eastAsia="Arial" w:hAnsi="Arial"/>
          <w:sz w:val="19"/>
          <w:szCs w:val="19"/>
          <w:b w:val="1"/>
          <w:bCs w:val="1"/>
          <w:color w:val="00407A"/>
        </w:rPr>
        <w:t>Forward-Looking Statements</w:t>
      </w:r>
    </w:p>
    <w:p>
      <w:pPr>
        <w:spacing w:after="0" w:line="66" w:lineRule="exact"/>
        <w:rPr>
          <w:sz w:val="20"/>
          <w:szCs w:val="20"/>
          <w:color w:val="auto"/>
        </w:rPr>
      </w:pPr>
    </w:p>
    <w:p>
      <w:pPr>
        <w:ind w:left="340"/>
        <w:spacing w:after="0" w:line="264" w:lineRule="auto"/>
        <w:rPr>
          <w:sz w:val="20"/>
          <w:szCs w:val="20"/>
          <w:color w:val="auto"/>
        </w:rPr>
      </w:pPr>
      <w:r>
        <w:rPr>
          <w:rFonts w:ascii="Arial" w:cs="Arial" w:eastAsia="Arial" w:hAnsi="Arial"/>
          <w:sz w:val="18"/>
          <w:szCs w:val="18"/>
          <w:color w:val="auto"/>
        </w:rPr>
        <w:t>This annual report contains forward-looking statements that involve a number of risks and uncertainties. Statements that are not historical facts, including statements regarding our expectations, hopes, intentions or strategies regarding the future are forward-looking statements. Forward-looking statements are based on management's beliefs, as well as assumptions made by, and information currently available to, management. Because such statements are based on expectations as to future financial and operating results and are not statements of fact, actual results may differ materially from those projected. We undertake no obligation to update any forward-looking statements, whether as a result of new information, future events or otherwise. The risks and uncertainties which forward-looking statements are subject to include, but are not limited to: changes in general economic, business, political crisis, war and pandemic conditions, including ongoing geopolitical conflicts; weakness or adverse changes in the level of real estate activity, which may be caused by, among other things, high or increasing interest rates, a limited supply of mortgage funding or a weak U.S. economy; our potential inability to find suitable acquisition candidates; our dependence on distributions from our title insurance underwriters as a main source of cash flow; significant competition that F&amp;G and our operating subsidiaries face; compliance with extensive government regulation of our operating subsidiaries, including regulation of title insurance and services and privacy and data protection laws; systems damage, failures, interruptions, cyberattacks and intrusions, or unauthorized data disclosures; and other risks detailed in the "Statement Regarding Forward-Looking Information," "Risk Factors" and other sections of FNF's Form 10-K and other filings with the Securities and Exchange Commission.</w:t>
      </w:r>
    </w:p>
    <w:p>
      <w:pPr>
        <w:sectPr>
          <w:pgSz w:w="11880" w:h="15480" w:orient="portrait"/>
          <w:cols w:equalWidth="0" w:num="1">
            <w:col w:w="10180"/>
          </w:cols>
          <w:pgMar w:left="720" w:top="1204"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0"/>
          <w:szCs w:val="10"/>
          <w:color w:val="00083B"/>
        </w:rPr>
        <w:t>6 | FIDELITY NATIONAL FINANCIAL, INC.</w:t>
      </w:r>
    </w:p>
    <w:p>
      <w:pPr>
        <w:sectPr>
          <w:pgSz w:w="11880" w:h="15480" w:orient="portrait"/>
          <w:cols w:equalWidth="0" w:num="1">
            <w:col w:w="10180"/>
          </w:cols>
          <w:pgMar w:left="720" w:top="1204" w:right="980" w:bottom="0" w:gutter="0" w:footer="0" w:header="0"/>
          <w:type w:val="continuous"/>
        </w:sectPr>
      </w:pPr>
    </w:p>
    <w:bookmarkStart w:id="8" w:name="page9"/>
    <w:bookmarkEnd w:id="8"/>
    <w:p>
      <w:pPr>
        <w:spacing w:after="0" w:line="20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page">
                  <wp:posOffset>0</wp:posOffset>
                </wp:positionH>
                <wp:positionV relativeFrom="page">
                  <wp:posOffset>0</wp:posOffset>
                </wp:positionV>
                <wp:extent cx="7543800" cy="9829800"/>
                <wp:wrapNone/>
                <wp:docPr id="26" name="Shape 2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543800" cy="9829800"/>
                        </a:xfrm>
                        <a:prstGeom prst="rect">
                          <a:avLst/>
                        </a:prstGeom>
                        <a:solidFill>
                          <a:srgbClr val="3171AE"/>
                        </a:solidFill>
                      </wps:spPr>
                      <wps:bodyPr/>
                    </wps:wsp>
                  </a:graphicData>
                </a:graphic>
              </wp:anchor>
            </w:drawing>
          </mc:Choice>
          <mc:Fallback>
            <w:pict>
              <v:rect id="Shape 26" o:spid="_x0000_s1051" style="position:absolute;margin-left:0pt;margin-top:0pt;width:594pt;height:774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3171AE" stroked="f">
                <w10:wrap anchorx="page" anchory="page"/>
              </v:rect>
            </w:pict>
          </mc:Fallback>
        </mc:AlternateContent>
      </w:r>
    </w:p>
    <w:p>
      <w:pPr>
        <w:spacing w:after="0" w:line="200" w:lineRule="exact"/>
        <w:rPr>
          <w:sz w:val="20"/>
          <w:szCs w:val="20"/>
          <w:color w:val="auto"/>
        </w:rPr>
      </w:pPr>
    </w:p>
    <w:p>
      <w:pPr>
        <w:spacing w:after="0" w:line="23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35"/>
          <w:szCs w:val="35"/>
          <w:color w:val="FFFFFF"/>
        </w:rPr>
        <w:t>FIDELITY NATIONAL FINANCIAL, INC.</w:t>
      </w:r>
    </w:p>
    <w:p>
      <w:pPr>
        <w:sectPr>
          <w:pgSz w:w="11880" w:h="15480" w:orient="portrait"/>
          <w:cols w:equalWidth="0" w:num="1">
            <w:col w:w="9000"/>
          </w:cols>
          <w:pgMar w:left="14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139"/>
        <w:spacing w:after="0"/>
        <w:rPr>
          <w:sz w:val="20"/>
          <w:szCs w:val="20"/>
          <w:color w:val="auto"/>
        </w:rPr>
      </w:pPr>
      <w:r>
        <w:rPr>
          <w:rFonts w:ascii="Arial" w:cs="Arial" w:eastAsia="Arial" w:hAnsi="Arial"/>
          <w:sz w:val="60"/>
          <w:szCs w:val="60"/>
          <w:color w:val="FFFFFF"/>
        </w:rPr>
        <w:t>F O R M</w:t>
      </w:r>
    </w:p>
    <w:p>
      <w:pPr>
        <w:jc w:val="center"/>
        <w:spacing w:after="0"/>
        <w:rPr>
          <w:sz w:val="20"/>
          <w:szCs w:val="20"/>
          <w:color w:val="auto"/>
        </w:rPr>
      </w:pPr>
      <w:r>
        <w:rPr>
          <w:rFonts w:ascii="Arial" w:cs="Arial" w:eastAsia="Arial" w:hAnsi="Arial"/>
          <w:sz w:val="116"/>
          <w:szCs w:val="116"/>
          <w:color w:val="FFFFFF"/>
        </w:rPr>
        <w:t>1OK</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2155825</wp:posOffset>
                </wp:positionH>
                <wp:positionV relativeFrom="paragraph">
                  <wp:posOffset>292735</wp:posOffset>
                </wp:positionV>
                <wp:extent cx="658495" cy="205105"/>
                <wp:wrapNone/>
                <wp:docPr id="27" name="Shape 2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8495" cy="205105"/>
                        </a:xfrm>
                        <a:prstGeom prst="rect">
                          <a:avLst/>
                        </a:prstGeom>
                        <a:solidFill>
                          <a:srgbClr val="07275D"/>
                        </a:solidFill>
                      </wps:spPr>
                      <wps:bodyPr/>
                    </wps:wsp>
                  </a:graphicData>
                </a:graphic>
              </wp:anchor>
            </w:drawing>
          </mc:Choice>
          <mc:Fallback>
            <w:pict>
              <v:rect id="Shape 27" o:spid="_x0000_s1052" style="position:absolute;margin-left:169.75pt;margin-top:23.05pt;width:51.85pt;height:16.1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7275D" stroked="f"/>
            </w:pict>
          </mc:Fallback>
        </mc:AlternateContent>
        <mc:AlternateContent>
          <mc:Choice Requires="wps">
            <w:drawing>
              <wp:anchor simplePos="0" relativeHeight="251657728" behindDoc="1" locked="0" layoutInCell="0" allowOverlap="1">
                <wp:simplePos x="0" y="0"/>
                <wp:positionH relativeFrom="column">
                  <wp:posOffset>2891155</wp:posOffset>
                </wp:positionH>
                <wp:positionV relativeFrom="paragraph">
                  <wp:posOffset>292735</wp:posOffset>
                </wp:positionV>
                <wp:extent cx="365760" cy="205105"/>
                <wp:wrapNone/>
                <wp:docPr id="28" name="Shape 2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65760" cy="205105"/>
                        </a:xfrm>
                        <a:prstGeom prst="rect">
                          <a:avLst/>
                        </a:prstGeom>
                        <a:solidFill>
                          <a:srgbClr val="1A4B81"/>
                        </a:solidFill>
                      </wps:spPr>
                      <wps:bodyPr/>
                    </wps:wsp>
                  </a:graphicData>
                </a:graphic>
              </wp:anchor>
            </w:drawing>
          </mc:Choice>
          <mc:Fallback>
            <w:pict>
              <v:rect id="Shape 28" o:spid="_x0000_s1053" style="position:absolute;margin-left:227.65pt;margin-top:23.05pt;width:28.8pt;height:16.1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1A4B81" stroked="f"/>
            </w:pict>
          </mc:Fallback>
        </mc:AlternateContent>
        <mc:AlternateContent>
          <mc:Choice Requires="wps">
            <w:drawing>
              <wp:anchor simplePos="0" relativeHeight="251657728" behindDoc="1" locked="0" layoutInCell="0" allowOverlap="1">
                <wp:simplePos x="0" y="0"/>
                <wp:positionH relativeFrom="column">
                  <wp:posOffset>3330575</wp:posOffset>
                </wp:positionH>
                <wp:positionV relativeFrom="paragraph">
                  <wp:posOffset>292735</wp:posOffset>
                </wp:positionV>
                <wp:extent cx="187960" cy="205105"/>
                <wp:wrapNone/>
                <wp:docPr id="29" name="Shape 2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7960" cy="205105"/>
                        </a:xfrm>
                        <a:prstGeom prst="rect">
                          <a:avLst/>
                        </a:prstGeom>
                        <a:solidFill>
                          <a:srgbClr val="49A1C3"/>
                        </a:solidFill>
                      </wps:spPr>
                      <wps:bodyPr/>
                    </wps:wsp>
                  </a:graphicData>
                </a:graphic>
              </wp:anchor>
            </w:drawing>
          </mc:Choice>
          <mc:Fallback>
            <w:pict>
              <v:rect id="Shape 29" o:spid="_x0000_s1054" style="position:absolute;margin-left:262.25pt;margin-top:23.05pt;width:14.8pt;height:16.1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49A1C3" stroked="f"/>
            </w:pict>
          </mc:Fallback>
        </mc:AlternateContent>
        <mc:AlternateContent>
          <mc:Choice Requires="wps">
            <w:drawing>
              <wp:anchor simplePos="0" relativeHeight="251657728" behindDoc="1" locked="0" layoutInCell="0" allowOverlap="1">
                <wp:simplePos x="0" y="0"/>
                <wp:positionH relativeFrom="column">
                  <wp:posOffset>3588385</wp:posOffset>
                </wp:positionH>
                <wp:positionV relativeFrom="paragraph">
                  <wp:posOffset>292100</wp:posOffset>
                </wp:positionV>
                <wp:extent cx="69215" cy="205105"/>
                <wp:wrapNone/>
                <wp:docPr id="30" name="Shape 3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9215" cy="205105"/>
                        </a:xfrm>
                        <a:prstGeom prst="rect">
                          <a:avLst/>
                        </a:prstGeom>
                        <a:solidFill>
                          <a:srgbClr val="80CEE3"/>
                        </a:solidFill>
                      </wps:spPr>
                      <wps:bodyPr/>
                    </wps:wsp>
                  </a:graphicData>
                </a:graphic>
              </wp:anchor>
            </w:drawing>
          </mc:Choice>
          <mc:Fallback>
            <w:pict>
              <v:rect id="Shape 30" o:spid="_x0000_s1055" style="position:absolute;margin-left:282.55pt;margin-top:23pt;width:5.45pt;height:16.1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80CEE3" stroked="f"/>
            </w:pict>
          </mc:Fallback>
        </mc:AlternateContent>
      </w:r>
    </w:p>
    <w:p>
      <w:pPr>
        <w:sectPr>
          <w:pgSz w:w="11880" w:h="15480" w:orient="portrait"/>
          <w:cols w:equalWidth="0" w:num="1">
            <w:col w:w="9000"/>
          </w:cols>
          <w:pgMar w:left="1440" w:top="1440" w:right="1440" w:bottom="1440" w:gutter="0" w:footer="0" w:header="0"/>
          <w:type w:val="continuous"/>
        </w:sectPr>
      </w:pPr>
    </w:p>
    <w:bookmarkStart w:id="9" w:name="page10"/>
    <w:bookmarkEnd w:id="9"/>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page">
                  <wp:posOffset>0</wp:posOffset>
                </wp:positionH>
                <wp:positionV relativeFrom="page">
                  <wp:posOffset>0</wp:posOffset>
                </wp:positionV>
                <wp:extent cx="7543800" cy="9829800"/>
                <wp:wrapNone/>
                <wp:docPr id="31" name="Shape 3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543800" cy="9829800"/>
                        </a:xfrm>
                        <a:prstGeom prst="rect">
                          <a:avLst/>
                        </a:prstGeom>
                        <a:solidFill>
                          <a:srgbClr val="3170AE"/>
                        </a:solidFill>
                      </wps:spPr>
                      <wps:bodyPr/>
                    </wps:wsp>
                  </a:graphicData>
                </a:graphic>
              </wp:anchor>
            </w:drawing>
          </mc:Choice>
          <mc:Fallback>
            <w:pict>
              <v:rect id="Shape 31" o:spid="_x0000_s1056" style="position:absolute;margin-left:0pt;margin-top:0pt;width:594pt;height:774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3170AE" stroked="f">
                <w10:wrap anchorx="page" anchory="page"/>
              </v:rect>
            </w:pict>
          </mc:Fallback>
        </mc:AlternateContent>
      </w:r>
    </w:p>
    <w:p>
      <w:pPr>
        <w:sectPr>
          <w:pgSz w:w="11880" w:h="15480" w:orient="portrait"/>
          <w:cols w:equalWidth="1" w:num="1" w:space="0"/>
          <w:pgMar w:left="1440" w:top="1440" w:right="1440" w:bottom="875" w:gutter="0" w:footer="0" w:header="0"/>
        </w:sectPr>
      </w:pPr>
    </w:p>
    <w:bookmarkStart w:id="10" w:name="page11"/>
    <w:bookmarkEnd w:id="10"/>
    <w:p>
      <w:pPr>
        <w:spacing w:after="0" w:line="224" w:lineRule="auto"/>
        <w:framePr w:w="4060" w:h="140" w:wrap="auto" w:vAnchor="page" w:hAnchor="page" w:x="880" w:y="11989"/>
        <w:rPr>
          <w:rFonts w:ascii="Arial" w:cs="Arial" w:eastAsia="Arial" w:hAnsi="Arial"/>
          <w:sz w:val="13"/>
          <w:szCs w:val="13"/>
          <w:color w:val="auto"/>
        </w:rPr>
      </w:pPr>
      <w:r>
        <w:rPr>
          <w:rFonts w:ascii="Arial" w:cs="Arial" w:eastAsia="Arial" w:hAnsi="Arial"/>
          <w:sz w:val="13"/>
          <w:szCs w:val="13"/>
          <w:color w:val="auto"/>
        </w:rPr>
        <w:t>Securities registered pursuant to Section 12(g) of the Act: None</w:t>
      </w:r>
    </w:p>
    <w:p>
      <w:pPr>
        <w:jc w:val="center"/>
        <w:ind w:right="20"/>
        <w:spacing w:after="0"/>
        <w:rPr>
          <w:sz w:val="20"/>
          <w:szCs w:val="20"/>
          <w:color w:val="auto"/>
        </w:rPr>
      </w:pPr>
      <w:r>
        <w:rPr>
          <w:rFonts w:ascii="Arial" w:cs="Arial" w:eastAsia="Arial" w:hAnsi="Arial"/>
          <w:sz w:val="31"/>
          <w:szCs w:val="31"/>
          <w:b w:val="1"/>
          <w:bCs w:val="1"/>
          <w:color w:val="auto"/>
        </w:rPr>
        <mc:AlternateContent>
          <mc:Choice Requires="wps">
            <w:drawing>
              <wp:anchor simplePos="0" relativeHeight="251657728" behindDoc="1" locked="0" layoutInCell="0" allowOverlap="1">
                <wp:simplePos x="0" y="0"/>
                <wp:positionH relativeFrom="page">
                  <wp:posOffset>579120</wp:posOffset>
                </wp:positionH>
                <wp:positionV relativeFrom="page">
                  <wp:posOffset>601980</wp:posOffset>
                </wp:positionV>
                <wp:extent cx="6384925" cy="0"/>
                <wp:wrapNone/>
                <wp:docPr id="32" name="Shape 3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492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32" o:spid="_x0000_s1057"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45.6pt,47.4pt" to="548.35pt,47.4pt" o:allowincell="f" strokecolor="#000000" strokeweight="1pt">
                <w10:wrap anchorx="page" anchory="page"/>
              </v:line>
            </w:pict>
          </mc:Fallback>
        </mc:AlternateContent>
        <w:t>UNITED STATES</w:t>
      </w:r>
    </w:p>
    <w:p>
      <w:pPr>
        <w:spacing w:after="0" w:line="20" w:lineRule="exact"/>
        <w:rPr>
          <w:rFonts w:ascii="Arial" w:cs="Arial" w:eastAsia="Arial" w:hAnsi="Arial"/>
          <w:sz w:val="13"/>
          <w:szCs w:val="13"/>
          <w:color w:val="auto"/>
        </w:rPr>
      </w:pPr>
      <w:r>
        <w:rPr>
          <w:rFonts w:ascii="Arial" w:cs="Arial" w:eastAsia="Arial" w:hAnsi="Arial"/>
          <w:sz w:val="13"/>
          <w:szCs w:val="13"/>
          <w:color w:val="auto"/>
        </w:rPr>
        <mc:AlternateContent>
          <mc:Choice Requires="wps">
            <w:drawing>
              <wp:anchor simplePos="0" relativeHeight="251657728" behindDoc="1" locked="0" layoutInCell="0" allowOverlap="1">
                <wp:simplePos x="0" y="0"/>
                <wp:positionH relativeFrom="column">
                  <wp:posOffset>-4445</wp:posOffset>
                </wp:positionH>
                <wp:positionV relativeFrom="paragraph">
                  <wp:posOffset>-219075</wp:posOffset>
                </wp:positionV>
                <wp:extent cx="6384290" cy="0"/>
                <wp:wrapNone/>
                <wp:docPr id="33" name="Shape 3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429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33" o:spid="_x0000_s105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499pt,-17.2499pt" to="502.35pt,-17.2499pt" o:allowincell="f" strokecolor="#000000" strokeweight="1pt"/>
            </w:pict>
          </mc:Fallback>
        </mc:AlternateContent>
      </w:r>
    </w:p>
    <w:p>
      <w:pPr>
        <w:spacing w:after="0" w:line="39" w:lineRule="exact"/>
        <w:rPr>
          <w:rFonts w:ascii="Arial" w:cs="Arial" w:eastAsia="Arial" w:hAnsi="Arial"/>
          <w:sz w:val="13"/>
          <w:szCs w:val="13"/>
          <w:color w:val="auto"/>
        </w:rPr>
      </w:pPr>
    </w:p>
    <w:p>
      <w:pPr>
        <w:jc w:val="center"/>
        <w:ind w:right="20"/>
        <w:spacing w:after="0"/>
        <w:rPr>
          <w:sz w:val="20"/>
          <w:szCs w:val="20"/>
          <w:color w:val="auto"/>
        </w:rPr>
      </w:pPr>
      <w:r>
        <w:rPr>
          <w:rFonts w:ascii="Arial" w:cs="Arial" w:eastAsia="Arial" w:hAnsi="Arial"/>
          <w:sz w:val="31"/>
          <w:szCs w:val="31"/>
          <w:b w:val="1"/>
          <w:bCs w:val="1"/>
          <w:color w:val="auto"/>
        </w:rPr>
        <w:t>SECURITIES AND EXCHANGE COMMISSION</w:t>
      </w:r>
    </w:p>
    <w:p>
      <w:pPr>
        <w:spacing w:after="0" w:line="20" w:lineRule="exact"/>
        <w:rPr>
          <w:rFonts w:ascii="Arial" w:cs="Arial" w:eastAsia="Arial" w:hAnsi="Arial"/>
          <w:sz w:val="13"/>
          <w:szCs w:val="13"/>
          <w:color w:val="auto"/>
        </w:rPr>
      </w:pPr>
    </w:p>
    <w:p>
      <w:pPr>
        <w:jc w:val="center"/>
        <w:ind w:right="20"/>
        <w:spacing w:after="0"/>
        <w:rPr>
          <w:sz w:val="20"/>
          <w:szCs w:val="20"/>
          <w:color w:val="auto"/>
        </w:rPr>
      </w:pPr>
      <w:r>
        <w:rPr>
          <w:rFonts w:ascii="Arial" w:cs="Arial" w:eastAsia="Arial" w:hAnsi="Arial"/>
          <w:sz w:val="24"/>
          <w:szCs w:val="24"/>
          <w:b w:val="1"/>
          <w:bCs w:val="1"/>
          <w:color w:val="auto"/>
        </w:rPr>
        <w:t>Washington, D.C. 20549</w:t>
      </w:r>
    </w:p>
    <w:p>
      <w:pPr>
        <w:spacing w:after="0" w:line="20" w:lineRule="exact"/>
        <w:rPr>
          <w:rFonts w:ascii="Arial" w:cs="Arial" w:eastAsia="Arial" w:hAnsi="Arial"/>
          <w:sz w:val="13"/>
          <w:szCs w:val="13"/>
          <w:color w:val="auto"/>
        </w:rPr>
      </w:pPr>
      <w:r>
        <w:rPr>
          <w:rFonts w:ascii="Arial" w:cs="Arial" w:eastAsia="Arial" w:hAnsi="Arial"/>
          <w:sz w:val="13"/>
          <w:szCs w:val="13"/>
          <w:color w:val="auto"/>
        </w:rPr>
        <mc:AlternateContent>
          <mc:Choice Requires="wps">
            <w:drawing>
              <wp:anchor simplePos="0" relativeHeight="251657728" behindDoc="1" locked="0" layoutInCell="0" allowOverlap="1">
                <wp:simplePos x="0" y="0"/>
                <wp:positionH relativeFrom="column">
                  <wp:posOffset>2123440</wp:posOffset>
                </wp:positionH>
                <wp:positionV relativeFrom="paragraph">
                  <wp:posOffset>110490</wp:posOffset>
                </wp:positionV>
                <wp:extent cx="2127885" cy="0"/>
                <wp:wrapNone/>
                <wp:docPr id="34" name="Shape 3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12788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34" o:spid="_x0000_s105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67.2pt,8.7pt" to="334.75pt,8.7pt" o:allowincell="f" strokecolor="#000000" strokeweight="1pt"/>
            </w:pict>
          </mc:Fallback>
        </mc:AlternateContent>
      </w:r>
    </w:p>
    <w:p>
      <w:pPr>
        <w:spacing w:after="0" w:line="217" w:lineRule="exact"/>
        <w:rPr>
          <w:rFonts w:ascii="Arial" w:cs="Arial" w:eastAsia="Arial" w:hAnsi="Arial"/>
          <w:sz w:val="13"/>
          <w:szCs w:val="13"/>
          <w:color w:val="auto"/>
        </w:rPr>
      </w:pPr>
    </w:p>
    <w:p>
      <w:pPr>
        <w:jc w:val="center"/>
        <w:ind w:right="20"/>
        <w:spacing w:after="0"/>
        <w:rPr>
          <w:sz w:val="20"/>
          <w:szCs w:val="20"/>
          <w:color w:val="auto"/>
        </w:rPr>
      </w:pPr>
      <w:r>
        <w:rPr>
          <w:rFonts w:ascii="Arial" w:cs="Arial" w:eastAsia="Arial" w:hAnsi="Arial"/>
          <w:sz w:val="31"/>
          <w:szCs w:val="31"/>
          <w:b w:val="1"/>
          <w:bCs w:val="1"/>
          <w:color w:val="auto"/>
        </w:rPr>
        <w:t>Form 10-K</w:t>
      </w:r>
    </w:p>
    <w:p>
      <w:pPr>
        <w:spacing w:after="0" w:line="20" w:lineRule="exact"/>
        <w:rPr>
          <w:rFonts w:ascii="Arial" w:cs="Arial" w:eastAsia="Arial" w:hAnsi="Arial"/>
          <w:sz w:val="13"/>
          <w:szCs w:val="13"/>
          <w:color w:val="auto"/>
        </w:rPr>
      </w:pPr>
      <w:r>
        <w:rPr>
          <w:rFonts w:ascii="Arial" w:cs="Arial" w:eastAsia="Arial" w:hAnsi="Arial"/>
          <w:sz w:val="13"/>
          <w:szCs w:val="13"/>
          <w:color w:val="auto"/>
        </w:rPr>
        <mc:AlternateContent>
          <mc:Choice Requires="wps">
            <w:drawing>
              <wp:anchor simplePos="0" relativeHeight="251657728" behindDoc="1" locked="0" layoutInCell="0" allowOverlap="1">
                <wp:simplePos x="0" y="0"/>
                <wp:positionH relativeFrom="column">
                  <wp:posOffset>2123440</wp:posOffset>
                </wp:positionH>
                <wp:positionV relativeFrom="paragraph">
                  <wp:posOffset>143510</wp:posOffset>
                </wp:positionV>
                <wp:extent cx="2127885" cy="0"/>
                <wp:wrapNone/>
                <wp:docPr id="35" name="Shape 3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12788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35" o:spid="_x0000_s106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67.2pt,11.3pt" to="334.75pt,11.3pt" o:allowincell="f" strokecolor="#000000" strokeweight="1pt"/>
            </w:pict>
          </mc:Fallback>
        </mc:AlternateContent>
      </w:r>
    </w:p>
    <w:p>
      <w:pPr>
        <w:spacing w:after="0" w:line="318" w:lineRule="exact"/>
        <w:rPr>
          <w:rFonts w:ascii="Arial" w:cs="Arial" w:eastAsia="Arial" w:hAnsi="Arial"/>
          <w:sz w:val="13"/>
          <w:szCs w:val="13"/>
          <w:color w:val="auto"/>
        </w:rPr>
      </w:pPr>
    </w:p>
    <w:p>
      <w:pPr>
        <w:spacing w:after="0"/>
        <w:rPr>
          <w:sz w:val="20"/>
          <w:szCs w:val="20"/>
          <w:color w:val="auto"/>
        </w:rPr>
      </w:pPr>
      <w:r>
        <w:rPr>
          <w:rFonts w:ascii="Arial" w:cs="Arial" w:eastAsia="Arial" w:hAnsi="Arial"/>
          <w:sz w:val="20"/>
          <w:szCs w:val="20"/>
          <w:color w:val="auto"/>
        </w:rPr>
        <w:t>(Mark One)</w:t>
      </w:r>
    </w:p>
    <w:p>
      <w:pPr>
        <w:spacing w:after="0" w:line="212" w:lineRule="exact"/>
        <w:rPr>
          <w:rFonts w:ascii="Arial" w:cs="Arial" w:eastAsia="Arial" w:hAnsi="Arial"/>
          <w:sz w:val="13"/>
          <w:szCs w:val="13"/>
          <w:color w:val="auto"/>
        </w:rPr>
      </w:pPr>
    </w:p>
    <w:p>
      <w:pPr>
        <w:ind w:left="440" w:right="1000" w:hanging="396"/>
        <w:spacing w:after="0" w:line="236" w:lineRule="auto"/>
        <w:tabs>
          <w:tab w:leader="none" w:pos="440" w:val="left"/>
        </w:tabs>
        <w:numPr>
          <w:ilvl w:val="0"/>
          <w:numId w:val="2"/>
        </w:numPr>
        <w:rPr>
          <w:rFonts w:ascii="MS PGothic" w:cs="MS PGothic" w:eastAsia="MS PGothic" w:hAnsi="MS PGothic"/>
          <w:sz w:val="24"/>
          <w:szCs w:val="24"/>
          <w:b w:val="1"/>
          <w:bCs w:val="1"/>
          <w:color w:val="auto"/>
        </w:rPr>
      </w:pPr>
      <w:r>
        <w:rPr>
          <w:rFonts w:ascii="Arial" w:cs="Arial" w:eastAsia="Arial" w:hAnsi="Arial"/>
          <w:sz w:val="24"/>
          <w:szCs w:val="24"/>
          <w:b w:val="1"/>
          <w:bCs w:val="1"/>
          <w:color w:val="auto"/>
        </w:rPr>
        <w:t>ANNUAL REPORT PURSUANT TO SECTION 13 OR 15(d) OF THE SECURITIES EXCHANGE ACT OF 1934</w:t>
      </w:r>
    </w:p>
    <w:p>
      <w:pPr>
        <w:spacing w:after="0" w:line="42" w:lineRule="exact"/>
        <w:rPr>
          <w:rFonts w:ascii="Arial" w:cs="Arial" w:eastAsia="Arial" w:hAnsi="Arial"/>
          <w:sz w:val="13"/>
          <w:szCs w:val="13"/>
          <w:color w:val="auto"/>
        </w:rPr>
      </w:pPr>
    </w:p>
    <w:p>
      <w:pPr>
        <w:jc w:val="center"/>
        <w:ind w:right="20"/>
        <w:spacing w:after="0"/>
        <w:rPr>
          <w:sz w:val="20"/>
          <w:szCs w:val="20"/>
          <w:color w:val="auto"/>
        </w:rPr>
      </w:pPr>
      <w:r>
        <w:rPr>
          <w:rFonts w:ascii="Arial" w:cs="Arial" w:eastAsia="Arial" w:hAnsi="Arial"/>
          <w:sz w:val="20"/>
          <w:szCs w:val="20"/>
          <w:b w:val="1"/>
          <w:bCs w:val="1"/>
          <w:color w:val="auto"/>
        </w:rPr>
        <w:t>For the Fiscal Year Ended December 31, 2025</w:t>
      </w:r>
    </w:p>
    <w:p>
      <w:pPr>
        <w:spacing w:after="0" w:line="103" w:lineRule="exact"/>
        <w:rPr>
          <w:rFonts w:ascii="Arial" w:cs="Arial" w:eastAsia="Arial" w:hAnsi="Arial"/>
          <w:sz w:val="13"/>
          <w:szCs w:val="13"/>
          <w:color w:val="auto"/>
        </w:rPr>
      </w:pPr>
    </w:p>
    <w:p>
      <w:pPr>
        <w:jc w:val="center"/>
        <w:ind w:right="20"/>
        <w:spacing w:after="0"/>
        <w:rPr>
          <w:sz w:val="20"/>
          <w:szCs w:val="20"/>
          <w:color w:val="auto"/>
        </w:rPr>
      </w:pPr>
      <w:r>
        <w:rPr>
          <w:rFonts w:ascii="Arial" w:cs="Arial" w:eastAsia="Arial" w:hAnsi="Arial"/>
          <w:sz w:val="20"/>
          <w:szCs w:val="20"/>
          <w:b w:val="1"/>
          <w:bCs w:val="1"/>
          <w:color w:val="auto"/>
        </w:rPr>
        <w:t>OR</w:t>
      </w:r>
    </w:p>
    <w:p>
      <w:pPr>
        <w:spacing w:after="0" w:line="258" w:lineRule="exact"/>
        <w:rPr>
          <w:rFonts w:ascii="Arial" w:cs="Arial" w:eastAsia="Arial" w:hAnsi="Arial"/>
          <w:sz w:val="13"/>
          <w:szCs w:val="13"/>
          <w:color w:val="auto"/>
        </w:rPr>
      </w:pPr>
    </w:p>
    <w:p>
      <w:pPr>
        <w:ind w:left="440" w:right="520" w:hanging="335"/>
        <w:spacing w:after="0" w:line="236" w:lineRule="auto"/>
        <w:tabs>
          <w:tab w:leader="none" w:pos="440" w:val="left"/>
        </w:tabs>
        <w:numPr>
          <w:ilvl w:val="0"/>
          <w:numId w:val="3"/>
        </w:numPr>
        <w:rPr>
          <w:rFonts w:ascii="MS PGothic" w:cs="MS PGothic" w:eastAsia="MS PGothic" w:hAnsi="MS PGothic"/>
          <w:sz w:val="24"/>
          <w:szCs w:val="24"/>
          <w:b w:val="1"/>
          <w:bCs w:val="1"/>
          <w:color w:val="auto"/>
        </w:rPr>
      </w:pPr>
      <w:r>
        <w:rPr>
          <w:rFonts w:ascii="Arial" w:cs="Arial" w:eastAsia="Arial" w:hAnsi="Arial"/>
          <w:sz w:val="24"/>
          <w:szCs w:val="24"/>
          <w:b w:val="1"/>
          <w:bCs w:val="1"/>
          <w:color w:val="auto"/>
        </w:rPr>
        <w:t>TRANSITION REPORT PURSUANT TO SECTION 13 OR 15(d) OF THE SECURITIES EXCHANGE ACT OF 1934</w:t>
      </w:r>
    </w:p>
    <w:p>
      <w:pPr>
        <w:spacing w:after="0" w:line="42" w:lineRule="exact"/>
        <w:rPr>
          <w:rFonts w:ascii="Arial" w:cs="Arial" w:eastAsia="Arial" w:hAnsi="Arial"/>
          <w:sz w:val="13"/>
          <w:szCs w:val="13"/>
          <w:color w:val="auto"/>
        </w:rPr>
      </w:pPr>
    </w:p>
    <w:p>
      <w:pPr>
        <w:jc w:val="center"/>
        <w:ind w:right="20"/>
        <w:spacing w:after="0"/>
        <w:rPr>
          <w:sz w:val="20"/>
          <w:szCs w:val="20"/>
          <w:color w:val="auto"/>
        </w:rPr>
      </w:pPr>
      <w:r>
        <w:rPr>
          <w:rFonts w:ascii="Arial" w:cs="Arial" w:eastAsia="Arial" w:hAnsi="Arial"/>
          <w:sz w:val="20"/>
          <w:szCs w:val="20"/>
          <w:b w:val="1"/>
          <w:bCs w:val="1"/>
          <w:color w:val="auto"/>
        </w:rPr>
        <w:t>Commission File Number: 001-32630</w:t>
      </w:r>
    </w:p>
    <w:p>
      <w:pPr>
        <w:spacing w:after="0" w:line="20" w:lineRule="exact"/>
        <w:rPr>
          <w:rFonts w:ascii="Arial" w:cs="Arial" w:eastAsia="Arial" w:hAnsi="Arial"/>
          <w:sz w:val="13"/>
          <w:szCs w:val="13"/>
          <w:color w:val="auto"/>
        </w:rPr>
      </w:pPr>
      <w:r>
        <w:rPr>
          <w:rFonts w:ascii="Arial" w:cs="Arial" w:eastAsia="Arial" w:hAnsi="Arial"/>
          <w:sz w:val="13"/>
          <w:szCs w:val="13"/>
          <w:color w:val="auto"/>
        </w:rPr>
        <mc:AlternateContent>
          <mc:Choice Requires="wps">
            <w:drawing>
              <wp:anchor simplePos="0" relativeHeight="251657728" behindDoc="1" locked="0" layoutInCell="0" allowOverlap="1">
                <wp:simplePos x="0" y="0"/>
                <wp:positionH relativeFrom="column">
                  <wp:posOffset>1549400</wp:posOffset>
                </wp:positionH>
                <wp:positionV relativeFrom="paragraph">
                  <wp:posOffset>108585</wp:posOffset>
                </wp:positionV>
                <wp:extent cx="3275965" cy="0"/>
                <wp:wrapNone/>
                <wp:docPr id="36" name="Shape 3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27596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36" o:spid="_x0000_s106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22pt,8.55pt" to="379.95pt,8.55pt" o:allowincell="f" strokecolor="#000000" strokeweight="1pt"/>
            </w:pict>
          </mc:Fallback>
        </mc:AlternateContent>
        <w:drawing>
          <wp:anchor simplePos="0" relativeHeight="251657728" behindDoc="1" locked="0" layoutInCell="0" allowOverlap="1">
            <wp:simplePos x="0" y="0"/>
            <wp:positionH relativeFrom="column">
              <wp:posOffset>2254250</wp:posOffset>
            </wp:positionH>
            <wp:positionV relativeFrom="paragraph">
              <wp:posOffset>217805</wp:posOffset>
            </wp:positionV>
            <wp:extent cx="1866900" cy="7747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15">
                      <a:extLst>
                        <a:ext uri="{28A0092B-C50C-407E-A947-70E740481C1C}"/>
                      </a:extLst>
                    </a:blip>
                    <a:srcRect/>
                    <a:stretch>
                      <a:fillRect/>
                    </a:stretch>
                  </pic:blipFill>
                  <pic:spPr bwMode="auto">
                    <a:xfrm>
                      <a:off x="0" y="0"/>
                      <a:ext cx="1866900" cy="774700"/>
                    </a:xfrm>
                    <a:prstGeom prst="rect">
                      <a:avLst/>
                    </a:prstGeom>
                    <a:noFill/>
                  </pic:spPr>
                </pic:pic>
              </a:graphicData>
            </a:graphic>
          </wp:anchor>
        </w:drawing>
      </w:r>
    </w:p>
    <w:p>
      <w:pPr>
        <w:spacing w:after="0" w:line="200" w:lineRule="exact"/>
        <w:rPr>
          <w:rFonts w:ascii="Arial" w:cs="Arial" w:eastAsia="Arial" w:hAnsi="Arial"/>
          <w:sz w:val="13"/>
          <w:szCs w:val="13"/>
          <w:color w:val="auto"/>
        </w:rPr>
      </w:pPr>
    </w:p>
    <w:p>
      <w:pPr>
        <w:spacing w:after="0" w:line="200" w:lineRule="exact"/>
        <w:rPr>
          <w:rFonts w:ascii="Arial" w:cs="Arial" w:eastAsia="Arial" w:hAnsi="Arial"/>
          <w:sz w:val="13"/>
          <w:szCs w:val="13"/>
          <w:color w:val="auto"/>
        </w:rPr>
      </w:pPr>
    </w:p>
    <w:p>
      <w:pPr>
        <w:spacing w:after="0" w:line="200" w:lineRule="exact"/>
        <w:rPr>
          <w:rFonts w:ascii="Arial" w:cs="Arial" w:eastAsia="Arial" w:hAnsi="Arial"/>
          <w:sz w:val="13"/>
          <w:szCs w:val="13"/>
          <w:color w:val="auto"/>
        </w:rPr>
      </w:pPr>
    </w:p>
    <w:p>
      <w:pPr>
        <w:spacing w:after="0" w:line="200" w:lineRule="exact"/>
        <w:rPr>
          <w:rFonts w:ascii="Arial" w:cs="Arial" w:eastAsia="Arial" w:hAnsi="Arial"/>
          <w:sz w:val="13"/>
          <w:szCs w:val="13"/>
          <w:color w:val="auto"/>
        </w:rPr>
      </w:pPr>
    </w:p>
    <w:p>
      <w:pPr>
        <w:spacing w:after="0" w:line="200" w:lineRule="exact"/>
        <w:rPr>
          <w:rFonts w:ascii="Arial" w:cs="Arial" w:eastAsia="Arial" w:hAnsi="Arial"/>
          <w:sz w:val="13"/>
          <w:szCs w:val="13"/>
          <w:color w:val="auto"/>
        </w:rPr>
      </w:pPr>
    </w:p>
    <w:p>
      <w:pPr>
        <w:spacing w:after="0" w:line="200" w:lineRule="exact"/>
        <w:rPr>
          <w:rFonts w:ascii="Arial" w:cs="Arial" w:eastAsia="Arial" w:hAnsi="Arial"/>
          <w:sz w:val="13"/>
          <w:szCs w:val="13"/>
          <w:color w:val="auto"/>
        </w:rPr>
      </w:pPr>
    </w:p>
    <w:p>
      <w:pPr>
        <w:spacing w:after="0" w:line="200" w:lineRule="exact"/>
        <w:rPr>
          <w:rFonts w:ascii="Arial" w:cs="Arial" w:eastAsia="Arial" w:hAnsi="Arial"/>
          <w:sz w:val="13"/>
          <w:szCs w:val="13"/>
          <w:color w:val="auto"/>
        </w:rPr>
      </w:pPr>
    </w:p>
    <w:p>
      <w:pPr>
        <w:spacing w:after="0" w:line="294" w:lineRule="exact"/>
        <w:rPr>
          <w:rFonts w:ascii="Arial" w:cs="Arial" w:eastAsia="Arial" w:hAnsi="Arial"/>
          <w:sz w:val="13"/>
          <w:szCs w:val="13"/>
          <w:color w:val="auto"/>
        </w:rPr>
      </w:pPr>
    </w:p>
    <w:p>
      <w:pPr>
        <w:jc w:val="center"/>
        <w:spacing w:after="0"/>
        <w:rPr>
          <w:sz w:val="20"/>
          <w:szCs w:val="20"/>
          <w:color w:val="auto"/>
        </w:rPr>
      </w:pPr>
      <w:r>
        <w:rPr>
          <w:rFonts w:ascii="Arial" w:cs="Arial" w:eastAsia="Arial" w:hAnsi="Arial"/>
          <w:sz w:val="24"/>
          <w:szCs w:val="24"/>
          <w:b w:val="1"/>
          <w:bCs w:val="1"/>
          <w:color w:val="auto"/>
        </w:rPr>
        <w:t>FIDELITY NATIONAL FINANCIAL, INC.</w:t>
      </w:r>
    </w:p>
    <w:p>
      <w:pPr>
        <w:spacing w:after="0" w:line="160" w:lineRule="exact"/>
        <w:rPr>
          <w:rFonts w:ascii="Arial" w:cs="Arial" w:eastAsia="Arial" w:hAnsi="Arial"/>
          <w:sz w:val="13"/>
          <w:szCs w:val="13"/>
          <w:color w:val="auto"/>
        </w:rPr>
      </w:pPr>
    </w:p>
    <w:p>
      <w:pPr>
        <w:jc w:val="center"/>
        <w:ind w:right="20"/>
        <w:spacing w:after="0"/>
        <w:rPr>
          <w:sz w:val="20"/>
          <w:szCs w:val="20"/>
          <w:color w:val="auto"/>
        </w:rPr>
      </w:pPr>
      <w:r>
        <w:rPr>
          <w:rFonts w:ascii="Arial" w:cs="Arial" w:eastAsia="Arial" w:hAnsi="Arial"/>
          <w:sz w:val="20"/>
          <w:szCs w:val="20"/>
          <w:b w:val="1"/>
          <w:bCs w:val="1"/>
          <w:color w:val="auto"/>
        </w:rPr>
        <w:t>(Exact name of registrant as specified in its charter)</w:t>
      </w:r>
    </w:p>
    <w:p>
      <w:pPr>
        <w:spacing w:after="0" w:line="20" w:lineRule="exact"/>
        <w:rPr>
          <w:rFonts w:ascii="Arial" w:cs="Arial" w:eastAsia="Arial" w:hAnsi="Arial"/>
          <w:sz w:val="13"/>
          <w:szCs w:val="13"/>
          <w:color w:val="auto"/>
        </w:rPr>
      </w:pPr>
      <w:r>
        <w:rPr>
          <w:rFonts w:ascii="Arial" w:cs="Arial" w:eastAsia="Arial" w:hAnsi="Arial"/>
          <w:sz w:val="13"/>
          <w:szCs w:val="13"/>
          <w:color w:val="auto"/>
        </w:rPr>
        <mc:AlternateContent>
          <mc:Choice Requires="wps">
            <w:drawing>
              <wp:anchor simplePos="0" relativeHeight="251657728" behindDoc="1" locked="0" layoutInCell="0" allowOverlap="1">
                <wp:simplePos x="0" y="0"/>
                <wp:positionH relativeFrom="column">
                  <wp:posOffset>1549400</wp:posOffset>
                </wp:positionH>
                <wp:positionV relativeFrom="paragraph">
                  <wp:posOffset>108585</wp:posOffset>
                </wp:positionV>
                <wp:extent cx="3275965" cy="0"/>
                <wp:wrapNone/>
                <wp:docPr id="38" name="Shape 3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27596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38" o:spid="_x0000_s106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22pt,8.55pt" to="379.95pt,8.55pt" o:allowincell="f" strokecolor="#000000" strokeweight="1pt"/>
            </w:pict>
          </mc:Fallback>
        </mc:AlternateContent>
      </w:r>
    </w:p>
    <w:p>
      <w:pPr>
        <w:spacing w:after="0" w:line="328" w:lineRule="exact"/>
        <w:rPr>
          <w:rFonts w:ascii="Arial" w:cs="Arial" w:eastAsia="Arial" w:hAnsi="Arial"/>
          <w:sz w:val="13"/>
          <w:szCs w:val="13"/>
          <w:color w:val="auto"/>
        </w:rPr>
      </w:pPr>
    </w:p>
    <w:tbl>
      <w:tblPr>
        <w:tblLayout w:type="fixed"/>
        <w:tblInd w:w="500" w:type="dxa"/>
        <w:tblCellMar>
          <w:top w:w="0" w:type="dxa"/>
          <w:left w:w="0" w:type="dxa"/>
          <w:bottom w:w="0" w:type="dxa"/>
          <w:right w:w="0" w:type="dxa"/>
        </w:tblCellMar>
      </w:tblPr>
      <w:tr>
        <w:trPr>
          <w:trHeight w:val="259"/>
        </w:trPr>
        <w:tc>
          <w:tcPr>
            <w:tcW w:w="620" w:type="dxa"/>
            <w:vAlign w:val="bottom"/>
          </w:tcPr>
          <w:p>
            <w:pPr>
              <w:spacing w:after="0"/>
              <w:rPr>
                <w:sz w:val="22"/>
                <w:szCs w:val="22"/>
                <w:color w:val="auto"/>
              </w:rPr>
            </w:pPr>
          </w:p>
        </w:tc>
        <w:tc>
          <w:tcPr>
            <w:tcW w:w="1920" w:type="dxa"/>
            <w:vAlign w:val="bottom"/>
            <w:gridSpan w:val="3"/>
          </w:tcPr>
          <w:p>
            <w:pPr>
              <w:jc w:val="center"/>
              <w:ind w:right="1040"/>
              <w:spacing w:after="0"/>
              <w:rPr>
                <w:sz w:val="20"/>
                <w:szCs w:val="20"/>
                <w:color w:val="auto"/>
              </w:rPr>
            </w:pPr>
            <w:r>
              <w:rPr>
                <w:rFonts w:ascii="Arial" w:cs="Arial" w:eastAsia="Arial" w:hAnsi="Arial"/>
                <w:sz w:val="20"/>
                <w:szCs w:val="20"/>
                <w:b w:val="1"/>
                <w:bCs w:val="1"/>
                <w:color w:val="auto"/>
                <w:w w:val="89"/>
              </w:rPr>
              <w:t>Nevada</w:t>
            </w:r>
          </w:p>
        </w:tc>
        <w:tc>
          <w:tcPr>
            <w:tcW w:w="7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3060" w:type="dxa"/>
            <w:vAlign w:val="bottom"/>
            <w:gridSpan w:val="2"/>
          </w:tcPr>
          <w:p>
            <w:pPr>
              <w:jc w:val="center"/>
              <w:ind w:left="1755"/>
              <w:spacing w:after="0"/>
              <w:rPr>
                <w:sz w:val="20"/>
                <w:szCs w:val="20"/>
                <w:color w:val="auto"/>
              </w:rPr>
            </w:pPr>
            <w:r>
              <w:rPr>
                <w:rFonts w:ascii="Arial" w:cs="Arial" w:eastAsia="Arial" w:hAnsi="Arial"/>
                <w:sz w:val="20"/>
                <w:szCs w:val="20"/>
                <w:b w:val="1"/>
                <w:bCs w:val="1"/>
                <w:color w:val="auto"/>
                <w:w w:val="88"/>
              </w:rPr>
              <w:t>16-1725106</w:t>
            </w:r>
          </w:p>
        </w:tc>
      </w:tr>
      <w:tr>
        <w:trPr>
          <w:trHeight w:val="195"/>
        </w:trPr>
        <w:tc>
          <w:tcPr>
            <w:tcW w:w="2540" w:type="dxa"/>
            <w:vAlign w:val="bottom"/>
            <w:gridSpan w:val="4"/>
          </w:tcPr>
          <w:p>
            <w:pPr>
              <w:jc w:val="center"/>
              <w:ind w:right="420"/>
              <w:spacing w:after="0"/>
              <w:rPr>
                <w:sz w:val="20"/>
                <w:szCs w:val="20"/>
                <w:color w:val="auto"/>
              </w:rPr>
            </w:pPr>
            <w:r>
              <w:rPr>
                <w:rFonts w:ascii="Arial" w:cs="Arial" w:eastAsia="Arial" w:hAnsi="Arial"/>
                <w:sz w:val="16"/>
                <w:szCs w:val="16"/>
                <w:b w:val="1"/>
                <w:bCs w:val="1"/>
                <w:color w:val="auto"/>
                <w:w w:val="89"/>
              </w:rPr>
              <w:t>(State or other jurisdiction of</w:t>
            </w:r>
          </w:p>
        </w:tc>
        <w:tc>
          <w:tcPr>
            <w:tcW w:w="7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480" w:type="dxa"/>
            <w:vAlign w:val="bottom"/>
          </w:tcPr>
          <w:p>
            <w:pPr>
              <w:jc w:val="center"/>
              <w:ind w:left="182"/>
              <w:spacing w:after="0"/>
              <w:rPr>
                <w:sz w:val="20"/>
                <w:szCs w:val="20"/>
                <w:color w:val="auto"/>
              </w:rPr>
            </w:pPr>
            <w:r>
              <w:rPr>
                <w:rFonts w:ascii="Arial" w:cs="Arial" w:eastAsia="Arial" w:hAnsi="Arial"/>
                <w:sz w:val="16"/>
                <w:szCs w:val="16"/>
                <w:b w:val="1"/>
                <w:bCs w:val="1"/>
                <w:color w:val="auto"/>
                <w:w w:val="92"/>
              </w:rPr>
              <w:t>(I.R.S. Employer</w:t>
            </w:r>
          </w:p>
        </w:tc>
      </w:tr>
      <w:tr>
        <w:trPr>
          <w:trHeight w:val="206"/>
        </w:trPr>
        <w:tc>
          <w:tcPr>
            <w:tcW w:w="2540" w:type="dxa"/>
            <w:vAlign w:val="bottom"/>
            <w:gridSpan w:val="4"/>
          </w:tcPr>
          <w:p>
            <w:pPr>
              <w:jc w:val="center"/>
              <w:ind w:right="420"/>
              <w:spacing w:after="0"/>
              <w:rPr>
                <w:sz w:val="20"/>
                <w:szCs w:val="20"/>
                <w:color w:val="auto"/>
              </w:rPr>
            </w:pPr>
            <w:r>
              <w:rPr>
                <w:rFonts w:ascii="Arial" w:cs="Arial" w:eastAsia="Arial" w:hAnsi="Arial"/>
                <w:sz w:val="16"/>
                <w:szCs w:val="16"/>
                <w:b w:val="1"/>
                <w:bCs w:val="1"/>
                <w:color w:val="auto"/>
                <w:w w:val="89"/>
              </w:rPr>
              <w:t>incorporation or organization)</w:t>
            </w:r>
          </w:p>
        </w:tc>
        <w:tc>
          <w:tcPr>
            <w:tcW w:w="7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480" w:type="dxa"/>
            <w:vAlign w:val="bottom"/>
          </w:tcPr>
          <w:p>
            <w:pPr>
              <w:jc w:val="center"/>
              <w:ind w:left="182"/>
              <w:spacing w:after="0"/>
              <w:rPr>
                <w:sz w:val="20"/>
                <w:szCs w:val="20"/>
                <w:color w:val="auto"/>
              </w:rPr>
            </w:pPr>
            <w:r>
              <w:rPr>
                <w:rFonts w:ascii="Arial" w:cs="Arial" w:eastAsia="Arial" w:hAnsi="Arial"/>
                <w:sz w:val="16"/>
                <w:szCs w:val="16"/>
                <w:b w:val="1"/>
                <w:bCs w:val="1"/>
                <w:color w:val="auto"/>
                <w:w w:val="90"/>
              </w:rPr>
              <w:t>Identification No.)</w:t>
            </w:r>
          </w:p>
        </w:tc>
      </w:tr>
      <w:tr>
        <w:trPr>
          <w:trHeight w:val="512"/>
        </w:trPr>
        <w:tc>
          <w:tcPr>
            <w:tcW w:w="6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80" w:type="dxa"/>
            <w:vAlign w:val="bottom"/>
            <w:gridSpan w:val="2"/>
          </w:tcPr>
          <w:p>
            <w:pPr>
              <w:jc w:val="center"/>
              <w:ind w:left="192"/>
              <w:spacing w:after="0"/>
              <w:rPr>
                <w:sz w:val="20"/>
                <w:szCs w:val="20"/>
                <w:color w:val="auto"/>
              </w:rPr>
            </w:pPr>
            <w:r>
              <w:rPr>
                <w:rFonts w:ascii="Arial" w:cs="Arial" w:eastAsia="Arial" w:hAnsi="Arial"/>
                <w:sz w:val="20"/>
                <w:szCs w:val="20"/>
                <w:b w:val="1"/>
                <w:bCs w:val="1"/>
                <w:color w:val="auto"/>
                <w:w w:val="87"/>
              </w:rPr>
              <w:t>601 Riverside Avenue</w:t>
            </w:r>
          </w:p>
        </w:tc>
        <w:tc>
          <w:tcPr>
            <w:tcW w:w="158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49"/>
        </w:trPr>
        <w:tc>
          <w:tcPr>
            <w:tcW w:w="6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340" w:type="dxa"/>
            <w:vAlign w:val="bottom"/>
            <w:gridSpan w:val="4"/>
          </w:tcPr>
          <w:p>
            <w:pPr>
              <w:jc w:val="center"/>
              <w:ind w:right="2702"/>
              <w:spacing w:after="0"/>
              <w:rPr>
                <w:sz w:val="20"/>
                <w:szCs w:val="20"/>
                <w:color w:val="auto"/>
              </w:rPr>
            </w:pPr>
            <w:r>
              <w:rPr>
                <w:rFonts w:ascii="Arial" w:cs="Arial" w:eastAsia="Arial" w:hAnsi="Arial"/>
                <w:sz w:val="20"/>
                <w:szCs w:val="20"/>
                <w:b w:val="1"/>
                <w:bCs w:val="1"/>
                <w:color w:val="auto"/>
                <w:w w:val="88"/>
              </w:rPr>
              <w:t>Jacksonville, Florida, 32204</w:t>
            </w:r>
          </w:p>
        </w:tc>
      </w:tr>
      <w:tr>
        <w:trPr>
          <w:trHeight w:val="206"/>
        </w:trPr>
        <w:tc>
          <w:tcPr>
            <w:tcW w:w="6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40" w:type="dxa"/>
            <w:vAlign w:val="bottom"/>
            <w:gridSpan w:val="5"/>
          </w:tcPr>
          <w:p>
            <w:pPr>
              <w:jc w:val="center"/>
              <w:ind w:right="2002"/>
              <w:spacing w:after="0"/>
              <w:rPr>
                <w:sz w:val="20"/>
                <w:szCs w:val="20"/>
                <w:color w:val="auto"/>
              </w:rPr>
            </w:pPr>
            <w:r>
              <w:rPr>
                <w:rFonts w:ascii="Arial" w:cs="Arial" w:eastAsia="Arial" w:hAnsi="Arial"/>
                <w:sz w:val="16"/>
                <w:szCs w:val="16"/>
                <w:b w:val="1"/>
                <w:bCs w:val="1"/>
                <w:color w:val="auto"/>
                <w:w w:val="86"/>
              </w:rPr>
              <w:t>(Address of principal executive offices, including zip code)</w:t>
            </w:r>
          </w:p>
        </w:tc>
      </w:tr>
      <w:tr>
        <w:trPr>
          <w:trHeight w:val="462"/>
        </w:trPr>
        <w:tc>
          <w:tcPr>
            <w:tcW w:w="6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980" w:type="dxa"/>
            <w:vAlign w:val="bottom"/>
            <w:gridSpan w:val="3"/>
          </w:tcPr>
          <w:p>
            <w:pPr>
              <w:jc w:val="center"/>
              <w:ind w:left="897"/>
              <w:spacing w:after="0"/>
              <w:rPr>
                <w:sz w:val="20"/>
                <w:szCs w:val="20"/>
                <w:color w:val="auto"/>
              </w:rPr>
            </w:pPr>
            <w:r>
              <w:rPr>
                <w:rFonts w:ascii="Arial" w:cs="Arial" w:eastAsia="Arial" w:hAnsi="Arial"/>
                <w:sz w:val="20"/>
                <w:szCs w:val="20"/>
                <w:b w:val="1"/>
                <w:bCs w:val="1"/>
                <w:color w:val="auto"/>
                <w:w w:val="90"/>
              </w:rPr>
              <w:t>(904) 854-8100</w:t>
            </w:r>
          </w:p>
        </w:tc>
        <w:tc>
          <w:tcPr>
            <w:tcW w:w="158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55"/>
        </w:trPr>
        <w:tc>
          <w:tcPr>
            <w:tcW w:w="6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040" w:type="dxa"/>
            <w:vAlign w:val="bottom"/>
            <w:gridSpan w:val="5"/>
          </w:tcPr>
          <w:p>
            <w:pPr>
              <w:jc w:val="center"/>
              <w:ind w:right="2002"/>
              <w:spacing w:after="0"/>
              <w:rPr>
                <w:sz w:val="20"/>
                <w:szCs w:val="20"/>
                <w:color w:val="auto"/>
              </w:rPr>
            </w:pPr>
            <w:r>
              <w:rPr>
                <w:rFonts w:ascii="Arial" w:cs="Arial" w:eastAsia="Arial" w:hAnsi="Arial"/>
                <w:sz w:val="16"/>
                <w:szCs w:val="16"/>
                <w:b w:val="1"/>
                <w:bCs w:val="1"/>
                <w:color w:val="auto"/>
                <w:w w:val="87"/>
              </w:rPr>
              <w:t>(Registrant’s telephone number, including area code)</w:t>
            </w:r>
          </w:p>
        </w:tc>
      </w:tr>
      <w:tr>
        <w:trPr>
          <w:trHeight w:val="376"/>
        </w:trPr>
        <w:tc>
          <w:tcPr>
            <w:tcW w:w="6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40" w:type="dxa"/>
            <w:vAlign w:val="bottom"/>
            <w:gridSpan w:val="5"/>
          </w:tcPr>
          <w:p>
            <w:pPr>
              <w:jc w:val="center"/>
              <w:ind w:right="2002"/>
              <w:spacing w:after="0"/>
              <w:rPr>
                <w:sz w:val="20"/>
                <w:szCs w:val="20"/>
                <w:color w:val="auto"/>
              </w:rPr>
            </w:pPr>
            <w:r>
              <w:rPr>
                <w:rFonts w:ascii="Arial" w:cs="Arial" w:eastAsia="Arial" w:hAnsi="Arial"/>
                <w:sz w:val="16"/>
                <w:szCs w:val="16"/>
                <w:b w:val="1"/>
                <w:bCs w:val="1"/>
                <w:color w:val="auto"/>
                <w:w w:val="87"/>
              </w:rPr>
              <w:t>Securities registered pursuant to Section 12(b) of the Act:</w:t>
            </w:r>
          </w:p>
        </w:tc>
      </w:tr>
      <w:tr>
        <w:trPr>
          <w:trHeight w:val="265"/>
        </w:trPr>
        <w:tc>
          <w:tcPr>
            <w:tcW w:w="620" w:type="dxa"/>
            <w:vAlign w:val="bottom"/>
          </w:tcPr>
          <w:p>
            <w:pPr>
              <w:spacing w:after="0"/>
              <w:rPr>
                <w:sz w:val="23"/>
                <w:szCs w:val="23"/>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Title of Each Class</w:t>
            </w:r>
          </w:p>
        </w:tc>
        <w:tc>
          <w:tcPr>
            <w:tcW w:w="660" w:type="dxa"/>
            <w:vAlign w:val="bottom"/>
            <w:gridSpan w:val="2"/>
          </w:tcPr>
          <w:p>
            <w:pPr>
              <w:spacing w:after="0"/>
              <w:rPr>
                <w:sz w:val="23"/>
                <w:szCs w:val="23"/>
                <w:color w:val="auto"/>
              </w:rPr>
            </w:pPr>
          </w:p>
        </w:tc>
        <w:tc>
          <w:tcPr>
            <w:tcW w:w="700" w:type="dxa"/>
            <w:vAlign w:val="bottom"/>
          </w:tcPr>
          <w:p>
            <w:pPr>
              <w:spacing w:after="0"/>
              <w:rPr>
                <w:sz w:val="23"/>
                <w:szCs w:val="23"/>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0"/>
              </w:rPr>
              <w:t>Trading Symbol</w:t>
            </w:r>
          </w:p>
        </w:tc>
        <w:tc>
          <w:tcPr>
            <w:tcW w:w="1180" w:type="dxa"/>
            <w:vAlign w:val="bottom"/>
          </w:tcPr>
          <w:p>
            <w:pPr>
              <w:spacing w:after="0"/>
              <w:rPr>
                <w:sz w:val="23"/>
                <w:szCs w:val="23"/>
                <w:color w:val="auto"/>
              </w:rPr>
            </w:pPr>
          </w:p>
        </w:tc>
        <w:tc>
          <w:tcPr>
            <w:tcW w:w="306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w w:val="87"/>
              </w:rPr>
              <w:t>Name of Each Exchange on Which Registered</w:t>
            </w:r>
          </w:p>
        </w:tc>
      </w:tr>
      <w:tr>
        <w:trPr>
          <w:trHeight w:val="258"/>
        </w:trPr>
        <w:tc>
          <w:tcPr>
            <w:tcW w:w="2540" w:type="dxa"/>
            <w:vAlign w:val="bottom"/>
            <w:gridSpan w:val="4"/>
          </w:tcPr>
          <w:p>
            <w:pPr>
              <w:jc w:val="center"/>
              <w:ind w:right="40"/>
              <w:spacing w:after="0"/>
              <w:rPr>
                <w:sz w:val="20"/>
                <w:szCs w:val="20"/>
                <w:color w:val="auto"/>
              </w:rPr>
            </w:pPr>
            <w:r>
              <w:rPr>
                <w:rFonts w:ascii="Arial" w:cs="Arial" w:eastAsia="Arial" w:hAnsi="Arial"/>
                <w:sz w:val="16"/>
                <w:szCs w:val="16"/>
                <w:color w:val="auto"/>
                <w:w w:val="88"/>
              </w:rPr>
              <w:t>FNF Common Stock, $0.0001 par value</w:t>
            </w:r>
          </w:p>
        </w:tc>
        <w:tc>
          <w:tcPr>
            <w:tcW w:w="700" w:type="dxa"/>
            <w:vAlign w:val="bottom"/>
          </w:tcPr>
          <w:p>
            <w:pPr>
              <w:spacing w:after="0"/>
              <w:rPr>
                <w:sz w:val="22"/>
                <w:szCs w:val="22"/>
                <w:color w:val="auto"/>
              </w:rPr>
            </w:pPr>
          </w:p>
        </w:tc>
        <w:tc>
          <w:tcPr>
            <w:tcW w:w="2280" w:type="dxa"/>
            <w:vAlign w:val="bottom"/>
            <w:gridSpan w:val="2"/>
          </w:tcPr>
          <w:p>
            <w:pPr>
              <w:jc w:val="center"/>
              <w:ind w:right="1180"/>
              <w:spacing w:after="0"/>
              <w:rPr>
                <w:sz w:val="20"/>
                <w:szCs w:val="20"/>
                <w:color w:val="auto"/>
              </w:rPr>
            </w:pPr>
            <w:r>
              <w:rPr>
                <w:rFonts w:ascii="Arial" w:cs="Arial" w:eastAsia="Arial" w:hAnsi="Arial"/>
                <w:sz w:val="16"/>
                <w:szCs w:val="16"/>
                <w:color w:val="auto"/>
                <w:w w:val="96"/>
              </w:rPr>
              <w:t>FNF</w:t>
            </w:r>
          </w:p>
        </w:tc>
        <w:tc>
          <w:tcPr>
            <w:tcW w:w="3060" w:type="dxa"/>
            <w:vAlign w:val="bottom"/>
            <w:gridSpan w:val="2"/>
          </w:tcPr>
          <w:p>
            <w:pPr>
              <w:jc w:val="center"/>
              <w:spacing w:after="0"/>
              <w:rPr>
                <w:sz w:val="20"/>
                <w:szCs w:val="20"/>
                <w:color w:val="auto"/>
              </w:rPr>
            </w:pPr>
            <w:r>
              <w:rPr>
                <w:rFonts w:ascii="Arial" w:cs="Arial" w:eastAsia="Arial" w:hAnsi="Arial"/>
                <w:sz w:val="16"/>
                <w:szCs w:val="16"/>
                <w:color w:val="auto"/>
                <w:w w:val="89"/>
              </w:rPr>
              <w:t>New York Stock Exchange</w:t>
            </w:r>
          </w:p>
        </w:tc>
      </w:tr>
      <w:tr>
        <w:trPr>
          <w:trHeight w:val="174"/>
        </w:trPr>
        <w:tc>
          <w:tcPr>
            <w:tcW w:w="6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tcPr>
          <w:p>
            <w:pPr>
              <w:spacing w:after="0"/>
              <w:rPr>
                <w:sz w:val="15"/>
                <w:szCs w:val="15"/>
                <w:color w:val="auto"/>
              </w:rPr>
            </w:pPr>
          </w:p>
        </w:tc>
        <w:tc>
          <w:tcPr>
            <w:tcW w:w="1480" w:type="dxa"/>
            <w:vAlign w:val="bottom"/>
          </w:tcPr>
          <w:p>
            <w:pPr>
              <w:spacing w:after="0"/>
              <w:rPr>
                <w:sz w:val="15"/>
                <w:szCs w:val="15"/>
                <w:color w:val="auto"/>
              </w:rPr>
            </w:pPr>
          </w:p>
        </w:tc>
      </w:tr>
    </w:tbl>
    <w:p>
      <w:pPr>
        <w:spacing w:after="0" w:line="290" w:lineRule="exact"/>
        <w:rPr>
          <w:rFonts w:ascii="Arial" w:cs="Arial" w:eastAsia="Arial" w:hAnsi="Arial"/>
          <w:sz w:val="13"/>
          <w:szCs w:val="13"/>
          <w:color w:val="auto"/>
        </w:rPr>
      </w:pPr>
    </w:p>
    <w:p>
      <w:pPr>
        <w:ind w:right="1600"/>
        <w:spacing w:after="0" w:line="294" w:lineRule="exact"/>
        <w:rPr>
          <w:sz w:val="20"/>
          <w:szCs w:val="20"/>
          <w:color w:val="auto"/>
        </w:rPr>
      </w:pPr>
      <w:r>
        <w:rPr>
          <w:rFonts w:ascii="Arial" w:cs="Arial" w:eastAsia="Arial" w:hAnsi="Arial"/>
          <w:sz w:val="14"/>
          <w:szCs w:val="14"/>
          <w:color w:val="auto"/>
        </w:rPr>
        <w:t xml:space="preserve">Indicate by check mark if the registrant is a well-known seasoned issuer, as defined in Rule 405 of the Securities Act. Yes </w:t>
      </w:r>
      <w:r>
        <w:rPr>
          <w:rFonts w:ascii="MS PGothic" w:cs="MS PGothic" w:eastAsia="MS PGothic" w:hAnsi="MS PGothic"/>
          <w:sz w:val="21"/>
          <w:szCs w:val="21"/>
          <w:b w:val="1"/>
          <w:bCs w:val="1"/>
          <w:color w:val="auto"/>
        </w:rPr>
        <w:t>☒</w:t>
      </w:r>
      <w:r>
        <w:rPr>
          <w:rFonts w:ascii="Arial" w:cs="Arial" w:eastAsia="Arial" w:hAnsi="Arial"/>
          <w:sz w:val="14"/>
          <w:szCs w:val="14"/>
          <w:color w:val="auto"/>
        </w:rPr>
        <w:t xml:space="preserve"> No </w:t>
      </w:r>
      <w:r>
        <w:rPr>
          <w:rFonts w:ascii="MS PGothic" w:cs="MS PGothic" w:eastAsia="MS PGothic" w:hAnsi="MS PGothic"/>
          <w:sz w:val="21"/>
          <w:szCs w:val="21"/>
          <w:b w:val="1"/>
          <w:bCs w:val="1"/>
          <w:color w:val="auto"/>
        </w:rPr>
        <w:t>☐</w:t>
      </w:r>
      <w:r>
        <w:rPr>
          <w:rFonts w:ascii="Arial" w:cs="Arial" w:eastAsia="Arial" w:hAnsi="Arial"/>
          <w:sz w:val="14"/>
          <w:szCs w:val="14"/>
          <w:color w:val="auto"/>
        </w:rPr>
        <w:t xml:space="preserve"> Indicate by check mark if the registrant is not required to file reports pursuant to Section 13 or Section 15(d) of the Act. Yes </w:t>
      </w:r>
      <w:r>
        <w:rPr>
          <w:rFonts w:ascii="MS PGothic" w:cs="MS PGothic" w:eastAsia="MS PGothic" w:hAnsi="MS PGothic"/>
          <w:sz w:val="21"/>
          <w:szCs w:val="21"/>
          <w:b w:val="1"/>
          <w:bCs w:val="1"/>
          <w:color w:val="auto"/>
        </w:rPr>
        <w:t>☐</w:t>
      </w:r>
      <w:r>
        <w:rPr>
          <w:rFonts w:ascii="Arial" w:cs="Arial" w:eastAsia="Arial" w:hAnsi="Arial"/>
          <w:sz w:val="14"/>
          <w:szCs w:val="14"/>
          <w:color w:val="auto"/>
        </w:rPr>
        <w:t xml:space="preserve"> No </w:t>
      </w:r>
      <w:r>
        <w:rPr>
          <w:rFonts w:ascii="MS PGothic" w:cs="MS PGothic" w:eastAsia="MS PGothic" w:hAnsi="MS PGothic"/>
          <w:sz w:val="21"/>
          <w:szCs w:val="21"/>
          <w:b w:val="1"/>
          <w:bCs w:val="1"/>
          <w:color w:val="auto"/>
        </w:rPr>
        <w:t>☒</w:t>
      </w:r>
    </w:p>
    <w:p>
      <w:pPr>
        <w:spacing w:after="0" w:line="85" w:lineRule="exact"/>
        <w:rPr>
          <w:rFonts w:ascii="Arial" w:cs="Arial" w:eastAsia="Arial" w:hAnsi="Arial"/>
          <w:sz w:val="13"/>
          <w:szCs w:val="13"/>
          <w:color w:val="auto"/>
        </w:rPr>
      </w:pPr>
    </w:p>
    <w:p>
      <w:pPr>
        <w:spacing w:after="0"/>
        <w:rPr>
          <w:sz w:val="20"/>
          <w:szCs w:val="20"/>
          <w:color w:val="auto"/>
        </w:rPr>
      </w:pPr>
      <w:r>
        <w:rPr>
          <w:rFonts w:ascii="Arial" w:cs="Arial" w:eastAsia="Arial" w:hAnsi="Arial"/>
          <w:sz w:val="13"/>
          <w:szCs w:val="13"/>
          <w:color w:val="auto"/>
        </w:rPr>
        <w:t>Indicate by check mark whether the registrant (1) has filed all reports required to be filed by Section 13 or 15(d) of the Securities Exchange Act of 1934 during</w:t>
      </w:r>
    </w:p>
    <w:p>
      <w:pPr>
        <w:spacing w:after="0" w:line="54" w:lineRule="exact"/>
        <w:rPr>
          <w:rFonts w:ascii="Arial" w:cs="Arial" w:eastAsia="Arial" w:hAnsi="Arial"/>
          <w:sz w:val="13"/>
          <w:szCs w:val="13"/>
          <w:color w:val="auto"/>
        </w:rPr>
      </w:pPr>
    </w:p>
    <w:p>
      <w:pPr>
        <w:spacing w:after="0"/>
        <w:rPr>
          <w:sz w:val="20"/>
          <w:szCs w:val="20"/>
          <w:color w:val="auto"/>
        </w:rPr>
      </w:pPr>
      <w:r>
        <w:rPr>
          <w:rFonts w:ascii="Arial" w:cs="Arial" w:eastAsia="Arial" w:hAnsi="Arial"/>
          <w:sz w:val="13"/>
          <w:szCs w:val="13"/>
          <w:color w:val="auto"/>
        </w:rPr>
        <w:t>the preceding 12 months (or for such shorter period that the registrant was required to file such reports), and (2) has been subject to such filing requirements for</w:t>
      </w:r>
    </w:p>
    <w:p>
      <w:pPr>
        <w:spacing w:after="0" w:line="55" w:lineRule="exact"/>
        <w:rPr>
          <w:rFonts w:ascii="Arial" w:cs="Arial" w:eastAsia="Arial" w:hAnsi="Arial"/>
          <w:sz w:val="13"/>
          <w:szCs w:val="13"/>
          <w:color w:val="auto"/>
        </w:rPr>
      </w:pPr>
    </w:p>
    <w:p>
      <w:pPr>
        <w:spacing w:after="0" w:line="265" w:lineRule="exact"/>
        <w:tabs>
          <w:tab w:leader="none" w:pos="1180" w:val="left"/>
          <w:tab w:leader="none" w:pos="1780" w:val="left"/>
          <w:tab w:leader="none" w:pos="2080" w:val="left"/>
        </w:tabs>
        <w:rPr>
          <w:sz w:val="20"/>
          <w:szCs w:val="20"/>
          <w:color w:val="auto"/>
        </w:rPr>
      </w:pPr>
      <w:r>
        <w:rPr>
          <w:rFonts w:ascii="Arial" w:cs="Arial" w:eastAsia="Arial" w:hAnsi="Arial"/>
          <w:sz w:val="16"/>
          <w:szCs w:val="16"/>
          <w:color w:val="auto"/>
        </w:rPr>
        <w:t>the past 90 days.</w:t>
        <w:tab/>
        <w:t xml:space="preserve">Yes </w:t>
      </w:r>
      <w:r>
        <w:rPr>
          <w:rFonts w:ascii="MS PGothic" w:cs="MS PGothic" w:eastAsia="MS PGothic" w:hAnsi="MS PGothic"/>
          <w:sz w:val="23"/>
          <w:szCs w:val="23"/>
          <w:b w:val="1"/>
          <w:bCs w:val="1"/>
          <w:color w:val="auto"/>
        </w:rPr>
        <w:t>☒</w:t>
      </w:r>
      <w:r>
        <w:rPr>
          <w:rFonts w:ascii="Arial" w:cs="Arial" w:eastAsia="Arial" w:hAnsi="Arial"/>
          <w:sz w:val="16"/>
          <w:szCs w:val="16"/>
          <w:color w:val="auto"/>
        </w:rPr>
        <w:tab/>
        <w:t>or</w:t>
      </w:r>
      <w:r>
        <w:rPr>
          <w:sz w:val="20"/>
          <w:szCs w:val="20"/>
          <w:color w:val="auto"/>
        </w:rPr>
        <w:tab/>
      </w:r>
      <w:r>
        <w:rPr>
          <w:rFonts w:ascii="Arial" w:cs="Arial" w:eastAsia="Arial" w:hAnsi="Arial"/>
          <w:sz w:val="13"/>
          <w:szCs w:val="13"/>
          <w:color w:val="auto"/>
        </w:rPr>
        <w:t xml:space="preserve">No </w:t>
      </w:r>
      <w:r>
        <w:rPr>
          <w:rFonts w:ascii="MS PGothic" w:cs="MS PGothic" w:eastAsia="MS PGothic" w:hAnsi="MS PGothic"/>
          <w:sz w:val="19"/>
          <w:szCs w:val="19"/>
          <w:b w:val="1"/>
          <w:bCs w:val="1"/>
          <w:color w:val="auto"/>
        </w:rPr>
        <w:t>☐</w:t>
      </w:r>
    </w:p>
    <w:p>
      <w:pPr>
        <w:spacing w:after="0" w:line="84" w:lineRule="exact"/>
        <w:rPr>
          <w:rFonts w:ascii="Arial" w:cs="Arial" w:eastAsia="Arial" w:hAnsi="Arial"/>
          <w:sz w:val="13"/>
          <w:szCs w:val="13"/>
          <w:color w:val="auto"/>
        </w:rPr>
      </w:pPr>
    </w:p>
    <w:p>
      <w:pPr>
        <w:jc w:val="both"/>
        <w:ind w:right="20"/>
        <w:spacing w:after="0" w:line="265" w:lineRule="auto"/>
        <w:rPr>
          <w:sz w:val="20"/>
          <w:szCs w:val="20"/>
          <w:color w:val="auto"/>
        </w:rPr>
      </w:pPr>
      <w:r>
        <w:rPr>
          <w:rFonts w:ascii="Arial" w:cs="Arial" w:eastAsia="Arial" w:hAnsi="Arial"/>
          <w:sz w:val="14"/>
          <w:szCs w:val="14"/>
          <w:color w:val="auto"/>
        </w:rPr>
        <w:t>Indicate by check mark whether the registrant has submitted electronically every Interactive Data File required to be submitted pursuant to Rule 405 of Regulation S-T (</w:t>
      </w:r>
      <w:r>
        <w:rPr>
          <w:rFonts w:ascii="Arial" w:cs="Arial" w:eastAsia="Arial" w:hAnsi="Arial"/>
          <w:sz w:val="15"/>
          <w:szCs w:val="15"/>
          <w:color w:val="auto"/>
        </w:rPr>
        <w:t>§</w:t>
      </w:r>
      <w:r>
        <w:rPr>
          <w:rFonts w:ascii="Arial" w:cs="Arial" w:eastAsia="Arial" w:hAnsi="Arial"/>
          <w:sz w:val="14"/>
          <w:szCs w:val="14"/>
          <w:color w:val="auto"/>
        </w:rPr>
        <w:t xml:space="preserve"> 232.405 of this chapter) during the preceding 12 months (or for such shorter period that the registrant was required to submit such files).</w:t>
      </w:r>
    </w:p>
    <w:p>
      <w:pPr>
        <w:spacing w:after="0" w:line="265" w:lineRule="exact"/>
        <w:rPr>
          <w:sz w:val="20"/>
          <w:szCs w:val="20"/>
          <w:color w:val="auto"/>
        </w:rPr>
      </w:pPr>
      <w:r>
        <w:rPr>
          <w:rFonts w:ascii="Arial" w:cs="Arial" w:eastAsia="Arial" w:hAnsi="Arial"/>
          <w:sz w:val="16"/>
          <w:szCs w:val="16"/>
          <w:color w:val="auto"/>
        </w:rPr>
        <w:t xml:space="preserve">Yes </w:t>
      </w:r>
      <w:r>
        <w:rPr>
          <w:rFonts w:ascii="MS PGothic" w:cs="MS PGothic" w:eastAsia="MS PGothic" w:hAnsi="MS PGothic"/>
          <w:sz w:val="23"/>
          <w:szCs w:val="23"/>
          <w:b w:val="1"/>
          <w:bCs w:val="1"/>
          <w:color w:val="auto"/>
        </w:rPr>
        <w:t>☒</w:t>
      </w:r>
      <w:r>
        <w:rPr>
          <w:rFonts w:ascii="Arial" w:cs="Arial" w:eastAsia="Arial" w:hAnsi="Arial"/>
          <w:sz w:val="16"/>
          <w:szCs w:val="16"/>
          <w:color w:val="auto"/>
        </w:rPr>
        <w:t xml:space="preserve"> or No </w:t>
      </w:r>
      <w:r>
        <w:rPr>
          <w:rFonts w:ascii="Arial" w:cs="Arial" w:eastAsia="Arial" w:hAnsi="Arial"/>
          <w:sz w:val="16"/>
          <w:szCs w:val="16"/>
          <w:b w:val="1"/>
          <w:bCs w:val="1"/>
          <w:color w:val="auto"/>
        </w:rPr>
        <w:t>¨</w:t>
      </w:r>
    </w:p>
    <w:p>
      <w:pPr>
        <w:sectPr>
          <w:pgSz w:w="11880" w:h="15480" w:orient="portrait"/>
          <w:cols w:equalWidth="0" w:num="1">
            <w:col w:w="10060"/>
          </w:cols>
          <w:pgMar w:left="920" w:top="1010" w:right="900" w:bottom="704" w:gutter="0" w:footer="0" w:header="0"/>
        </w:sectPr>
      </w:pPr>
    </w:p>
    <w:bookmarkStart w:id="11" w:name="page12"/>
    <w:bookmarkEnd w:id="11"/>
    <w:p>
      <w:pPr>
        <w:jc w:val="both"/>
        <w:spacing w:after="0" w:line="258"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880" w:h="15480" w:orient="portrait"/>
          <w:cols w:equalWidth="0" w:num="1">
            <w:col w:w="10060"/>
          </w:cols>
          <w:pgMar w:left="920" w:top="899" w:right="900" w:bottom="1440" w:gutter="0" w:footer="0" w:header="0"/>
        </w:sectPr>
      </w:pPr>
    </w:p>
    <w:p>
      <w:pPr>
        <w:spacing w:after="0" w:line="334" w:lineRule="exact"/>
        <w:rPr>
          <w:sz w:val="20"/>
          <w:szCs w:val="20"/>
          <w:color w:val="auto"/>
        </w:rPr>
      </w:pPr>
    </w:p>
    <w:p>
      <w:pPr>
        <w:ind w:left="1240"/>
        <w:spacing w:after="0"/>
        <w:rPr>
          <w:sz w:val="20"/>
          <w:szCs w:val="20"/>
          <w:color w:val="auto"/>
        </w:rPr>
      </w:pPr>
      <w:r>
        <w:rPr>
          <w:rFonts w:ascii="Arial" w:cs="Arial" w:eastAsia="Arial" w:hAnsi="Arial"/>
          <w:sz w:val="13"/>
          <w:szCs w:val="13"/>
          <w:color w:val="auto"/>
        </w:rPr>
        <w:t>Large Accelerated Filer</w:t>
      </w:r>
    </w:p>
    <w:p>
      <w:pPr>
        <w:spacing w:after="0" w:line="189" w:lineRule="exact"/>
        <w:rPr>
          <w:sz w:val="20"/>
          <w:szCs w:val="20"/>
          <w:color w:val="auto"/>
        </w:rPr>
      </w:pPr>
    </w:p>
    <w:p>
      <w:pPr>
        <w:ind w:left="1240"/>
        <w:spacing w:after="0"/>
        <w:rPr>
          <w:sz w:val="20"/>
          <w:szCs w:val="20"/>
          <w:color w:val="auto"/>
        </w:rPr>
      </w:pPr>
      <w:r>
        <w:rPr>
          <w:rFonts w:ascii="Arial" w:cs="Arial" w:eastAsia="Arial" w:hAnsi="Arial"/>
          <w:sz w:val="15"/>
          <w:szCs w:val="15"/>
          <w:color w:val="auto"/>
        </w:rPr>
        <w:t>Non-accelerated Filer</w:t>
      </w:r>
    </w:p>
    <w:p>
      <w:pPr>
        <w:spacing w:after="0" w:line="20" w:lineRule="exact"/>
        <w:rPr>
          <w:sz w:val="20"/>
          <w:szCs w:val="20"/>
          <w:color w:val="auto"/>
        </w:rPr>
      </w:pPr>
      <w:r>
        <w:rPr>
          <w:sz w:val="20"/>
          <w:szCs w:val="20"/>
          <w:color w:val="auto"/>
        </w:rPr>
        <w:br w:type="column"/>
      </w:r>
    </w:p>
    <w:p>
      <w:pPr>
        <w:spacing w:after="0" w:line="202" w:lineRule="exact"/>
        <w:rPr>
          <w:sz w:val="20"/>
          <w:szCs w:val="20"/>
          <w:color w:val="auto"/>
        </w:rPr>
      </w:pPr>
    </w:p>
    <w:p>
      <w:pPr>
        <w:spacing w:after="0" w:line="221" w:lineRule="exact"/>
        <w:rPr>
          <w:sz w:val="20"/>
          <w:szCs w:val="20"/>
          <w:color w:val="auto"/>
        </w:rPr>
      </w:pPr>
      <w:r>
        <w:rPr>
          <w:rFonts w:ascii="MS PGothic" w:cs="MS PGothic" w:eastAsia="MS PGothic" w:hAnsi="MS PGothic"/>
          <w:sz w:val="22"/>
          <w:szCs w:val="22"/>
          <w:b w:val="1"/>
          <w:bCs w:val="1"/>
          <w:color w:val="auto"/>
        </w:rPr>
        <w:t>☒</w:t>
      </w:r>
    </w:p>
    <w:p>
      <w:pPr>
        <w:spacing w:after="0" w:line="118" w:lineRule="exact"/>
        <w:rPr>
          <w:sz w:val="20"/>
          <w:szCs w:val="20"/>
          <w:color w:val="auto"/>
        </w:rPr>
      </w:pPr>
    </w:p>
    <w:p>
      <w:pPr>
        <w:jc w:val="right"/>
        <w:spacing w:after="0" w:line="221" w:lineRule="exact"/>
        <w:rPr>
          <w:sz w:val="20"/>
          <w:szCs w:val="20"/>
          <w:color w:val="auto"/>
        </w:rPr>
      </w:pPr>
      <w:r>
        <w:rPr>
          <w:rFonts w:ascii="MS PGothic" w:cs="MS PGothic" w:eastAsia="MS PGothic" w:hAnsi="MS PGothic"/>
          <w:sz w:val="22"/>
          <w:szCs w:val="22"/>
          <w:b w:val="1"/>
          <w:bCs w:val="1"/>
          <w:color w:val="auto"/>
        </w:rPr>
        <w:t>☐</w:t>
      </w:r>
    </w:p>
    <w:p>
      <w:pPr>
        <w:spacing w:after="0" w:line="20" w:lineRule="exact"/>
        <w:rPr>
          <w:sz w:val="20"/>
          <w:szCs w:val="20"/>
          <w:color w:val="auto"/>
        </w:rPr>
      </w:pPr>
      <w:r>
        <w:rPr>
          <w:sz w:val="20"/>
          <w:szCs w:val="20"/>
          <w:color w:val="auto"/>
        </w:rPr>
        <w:br w:type="column"/>
      </w:r>
    </w:p>
    <w:p>
      <w:pPr>
        <w:spacing w:after="0" w:line="314" w:lineRule="exact"/>
        <w:rPr>
          <w:sz w:val="20"/>
          <w:szCs w:val="20"/>
          <w:color w:val="auto"/>
        </w:rPr>
      </w:pPr>
    </w:p>
    <w:p>
      <w:pPr>
        <w:spacing w:after="0"/>
        <w:rPr>
          <w:sz w:val="20"/>
          <w:szCs w:val="20"/>
          <w:color w:val="auto"/>
        </w:rPr>
      </w:pPr>
      <w:r>
        <w:rPr>
          <w:rFonts w:ascii="Arial" w:cs="Arial" w:eastAsia="Arial" w:hAnsi="Arial"/>
          <w:sz w:val="16"/>
          <w:szCs w:val="16"/>
          <w:color w:val="auto"/>
        </w:rPr>
        <w:t>Accelerated Filer</w:t>
      </w:r>
    </w:p>
    <w:p>
      <w:pPr>
        <w:spacing w:after="0" w:line="154" w:lineRule="exact"/>
        <w:rPr>
          <w:sz w:val="20"/>
          <w:szCs w:val="20"/>
          <w:color w:val="auto"/>
        </w:rPr>
      </w:pPr>
    </w:p>
    <w:p>
      <w:pPr>
        <w:spacing w:after="0"/>
        <w:rPr>
          <w:sz w:val="20"/>
          <w:szCs w:val="20"/>
          <w:color w:val="auto"/>
        </w:rPr>
      </w:pPr>
      <w:r>
        <w:rPr>
          <w:rFonts w:ascii="Arial" w:cs="Arial" w:eastAsia="Arial" w:hAnsi="Arial"/>
          <w:sz w:val="13"/>
          <w:szCs w:val="13"/>
          <w:color w:val="auto"/>
        </w:rPr>
        <w:t>Smaller reporting Company</w:t>
      </w:r>
    </w:p>
    <w:p>
      <w:pPr>
        <w:spacing w:after="0" w:line="189" w:lineRule="exact"/>
        <w:rPr>
          <w:sz w:val="20"/>
          <w:szCs w:val="20"/>
          <w:color w:val="auto"/>
        </w:rPr>
      </w:pPr>
    </w:p>
    <w:p>
      <w:pPr>
        <w:spacing w:after="0"/>
        <w:rPr>
          <w:sz w:val="20"/>
          <w:szCs w:val="20"/>
          <w:color w:val="auto"/>
        </w:rPr>
      </w:pPr>
      <w:r>
        <w:rPr>
          <w:rFonts w:ascii="Arial" w:cs="Arial" w:eastAsia="Arial" w:hAnsi="Arial"/>
          <w:sz w:val="13"/>
          <w:szCs w:val="13"/>
          <w:color w:val="auto"/>
        </w:rPr>
        <w:t>Emerging growth company</w:t>
      </w:r>
    </w:p>
    <w:p>
      <w:pPr>
        <w:spacing w:after="0" w:line="20" w:lineRule="exact"/>
        <w:rPr>
          <w:sz w:val="20"/>
          <w:szCs w:val="20"/>
          <w:color w:val="auto"/>
        </w:rPr>
      </w:pPr>
      <w:r>
        <w:rPr>
          <w:sz w:val="20"/>
          <w:szCs w:val="20"/>
          <w:color w:val="auto"/>
        </w:rPr>
        <w:br w:type="column"/>
      </w:r>
    </w:p>
    <w:p>
      <w:pPr>
        <w:spacing w:after="0" w:line="202" w:lineRule="exact"/>
        <w:rPr>
          <w:sz w:val="20"/>
          <w:szCs w:val="20"/>
          <w:color w:val="auto"/>
        </w:rPr>
      </w:pPr>
    </w:p>
    <w:p>
      <w:pPr>
        <w:spacing w:after="0" w:line="181" w:lineRule="exact"/>
        <w:rPr>
          <w:sz w:val="20"/>
          <w:szCs w:val="20"/>
          <w:color w:val="auto"/>
        </w:rPr>
      </w:pPr>
      <w:r>
        <w:rPr>
          <w:rFonts w:ascii="MS PGothic" w:cs="MS PGothic" w:eastAsia="MS PGothic" w:hAnsi="MS PGothic"/>
          <w:sz w:val="18"/>
          <w:szCs w:val="18"/>
          <w:b w:val="1"/>
          <w:bCs w:val="1"/>
          <w:color w:val="auto"/>
        </w:rPr>
        <w:t>☐</w:t>
      </w:r>
    </w:p>
    <w:p>
      <w:pPr>
        <w:spacing w:after="0" w:line="158" w:lineRule="exact"/>
        <w:rPr>
          <w:sz w:val="20"/>
          <w:szCs w:val="20"/>
          <w:color w:val="auto"/>
        </w:rPr>
      </w:pPr>
    </w:p>
    <w:p>
      <w:pPr>
        <w:spacing w:after="0" w:line="181" w:lineRule="exact"/>
        <w:rPr>
          <w:sz w:val="20"/>
          <w:szCs w:val="20"/>
          <w:color w:val="auto"/>
        </w:rPr>
      </w:pPr>
      <w:r>
        <w:rPr>
          <w:rFonts w:ascii="MS PGothic" w:cs="MS PGothic" w:eastAsia="MS PGothic" w:hAnsi="MS PGothic"/>
          <w:sz w:val="18"/>
          <w:szCs w:val="18"/>
          <w:b w:val="1"/>
          <w:bCs w:val="1"/>
          <w:color w:val="auto"/>
        </w:rPr>
        <w:t>☐</w:t>
      </w:r>
    </w:p>
    <w:p>
      <w:pPr>
        <w:spacing w:after="0" w:line="158" w:lineRule="exact"/>
        <w:rPr>
          <w:sz w:val="20"/>
          <w:szCs w:val="20"/>
          <w:color w:val="auto"/>
        </w:rPr>
      </w:pPr>
    </w:p>
    <w:p>
      <w:pPr>
        <w:spacing w:after="0" w:line="181" w:lineRule="exact"/>
        <w:rPr>
          <w:sz w:val="20"/>
          <w:szCs w:val="20"/>
          <w:color w:val="auto"/>
        </w:rPr>
      </w:pPr>
      <w:r>
        <w:rPr>
          <w:rFonts w:ascii="MS PGothic" w:cs="MS PGothic" w:eastAsia="MS PGothic" w:hAnsi="MS PGothic"/>
          <w:sz w:val="18"/>
          <w:szCs w:val="18"/>
          <w:b w:val="1"/>
          <w:bCs w:val="1"/>
          <w:color w:val="auto"/>
        </w:rPr>
        <w:t>☐</w:t>
      </w:r>
    </w:p>
    <w:p>
      <w:pPr>
        <w:spacing w:after="0" w:line="220" w:lineRule="exact"/>
        <w:rPr>
          <w:sz w:val="20"/>
          <w:szCs w:val="20"/>
          <w:color w:val="auto"/>
        </w:rPr>
      </w:pPr>
    </w:p>
    <w:p>
      <w:pPr>
        <w:sectPr>
          <w:pgSz w:w="11880" w:h="15480" w:orient="portrait"/>
          <w:cols w:equalWidth="0" w:num="4">
            <w:col w:w="3640" w:space="720"/>
            <w:col w:w="220" w:space="500"/>
            <w:col w:w="2460" w:space="720"/>
            <w:col w:w="1800"/>
          </w:cols>
          <w:pgMar w:left="920" w:top="899" w:right="900" w:bottom="1440" w:gutter="0" w:footer="0" w:header="0"/>
          <w:type w:val="continuous"/>
        </w:sectPr>
      </w:pPr>
    </w:p>
    <w:p>
      <w:pPr>
        <w:ind w:right="240"/>
        <w:spacing w:after="0" w:line="242"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23"/>
          <w:szCs w:val="23"/>
          <w:b w:val="1"/>
          <w:bCs w:val="1"/>
          <w:color w:val="auto"/>
        </w:rPr>
        <w:t>☐</w:t>
      </w:r>
    </w:p>
    <w:p>
      <w:pPr>
        <w:spacing w:after="0" w:line="104" w:lineRule="exact"/>
        <w:rPr>
          <w:sz w:val="20"/>
          <w:szCs w:val="20"/>
          <w:color w:val="auto"/>
        </w:rPr>
      </w:pPr>
    </w:p>
    <w:p>
      <w:pPr>
        <w:ind w:right="20"/>
        <w:spacing w:after="0" w:line="277" w:lineRule="auto"/>
        <w:rPr>
          <w:sz w:val="20"/>
          <w:szCs w:val="20"/>
          <w:color w:val="auto"/>
        </w:rPr>
      </w:pPr>
      <w:r>
        <w:rPr>
          <w:rFonts w:ascii="Arial" w:cs="Arial" w:eastAsia="Arial" w:hAnsi="Arial"/>
          <w:sz w:val="13"/>
          <w:szCs w:val="13"/>
          <w:color w:val="auto"/>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w:t>
      </w:r>
    </w:p>
    <w:p>
      <w:pPr>
        <w:spacing w:after="0" w:line="1" w:lineRule="exact"/>
        <w:rPr>
          <w:sz w:val="20"/>
          <w:szCs w:val="20"/>
          <w:color w:val="auto"/>
        </w:rPr>
      </w:pPr>
    </w:p>
    <w:p>
      <w:pPr>
        <w:spacing w:after="0" w:line="265" w:lineRule="exact"/>
        <w:tabs>
          <w:tab w:leader="none" w:pos="1460" w:val="left"/>
        </w:tabs>
        <w:rPr>
          <w:sz w:val="20"/>
          <w:szCs w:val="20"/>
          <w:color w:val="auto"/>
        </w:rPr>
      </w:pPr>
      <w:r>
        <w:rPr>
          <w:rFonts w:ascii="Arial" w:cs="Arial" w:eastAsia="Arial" w:hAnsi="Arial"/>
          <w:sz w:val="16"/>
          <w:szCs w:val="16"/>
          <w:color w:val="auto"/>
        </w:rPr>
        <w:t xml:space="preserve">audit report. Yes </w:t>
      </w:r>
      <w:r>
        <w:rPr>
          <w:rFonts w:ascii="MS PGothic" w:cs="MS PGothic" w:eastAsia="MS PGothic" w:hAnsi="MS PGothic"/>
          <w:sz w:val="23"/>
          <w:szCs w:val="23"/>
          <w:b w:val="1"/>
          <w:bCs w:val="1"/>
          <w:color w:val="auto"/>
        </w:rPr>
        <w:t>☒</w:t>
      </w:r>
      <w:r>
        <w:rPr>
          <w:sz w:val="20"/>
          <w:szCs w:val="20"/>
          <w:color w:val="auto"/>
        </w:rPr>
        <w:tab/>
      </w:r>
      <w:r>
        <w:rPr>
          <w:rFonts w:ascii="Arial" w:cs="Arial" w:eastAsia="Arial" w:hAnsi="Arial"/>
          <w:sz w:val="15"/>
          <w:szCs w:val="15"/>
          <w:color w:val="auto"/>
        </w:rPr>
        <w:t xml:space="preserve">No </w:t>
      </w:r>
      <w:r>
        <w:rPr>
          <w:rFonts w:ascii="MS PGothic" w:cs="MS PGothic" w:eastAsia="MS PGothic" w:hAnsi="MS PGothic"/>
          <w:sz w:val="22"/>
          <w:szCs w:val="22"/>
          <w:b w:val="1"/>
          <w:bCs w:val="1"/>
          <w:color w:val="auto"/>
        </w:rPr>
        <w:t>☐</w:t>
      </w:r>
    </w:p>
    <w:p>
      <w:pPr>
        <w:spacing w:after="0" w:line="62" w:lineRule="exact"/>
        <w:rPr>
          <w:sz w:val="20"/>
          <w:szCs w:val="20"/>
          <w:color w:val="auto"/>
        </w:rPr>
      </w:pPr>
    </w:p>
    <w:p>
      <w:pPr>
        <w:spacing w:after="0" w:line="235" w:lineRule="exact"/>
        <w:rPr>
          <w:sz w:val="20"/>
          <w:szCs w:val="20"/>
          <w:color w:val="auto"/>
        </w:rPr>
      </w:pPr>
      <w:r>
        <w:rPr>
          <w:rFonts w:ascii="Arial" w:cs="Arial" w:eastAsia="Arial" w:hAnsi="Arial"/>
          <w:sz w:val="16"/>
          <w:szCs w:val="16"/>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23"/>
          <w:szCs w:val="23"/>
          <w:b w:val="1"/>
          <w:bCs w:val="1"/>
          <w:color w:val="auto"/>
        </w:rPr>
        <w:t>☐</w:t>
      </w:r>
    </w:p>
    <w:p>
      <w:pPr>
        <w:spacing w:after="0" w:line="1" w:lineRule="exact"/>
        <w:rPr>
          <w:sz w:val="20"/>
          <w:szCs w:val="20"/>
          <w:color w:val="auto"/>
        </w:rPr>
      </w:pPr>
    </w:p>
    <w:p>
      <w:pPr>
        <w:ind w:right="20" w:firstLine="176"/>
        <w:spacing w:after="0" w:line="235" w:lineRule="exact"/>
        <w:rPr>
          <w:sz w:val="20"/>
          <w:szCs w:val="20"/>
          <w:color w:val="auto"/>
        </w:rPr>
      </w:pPr>
      <w:r>
        <w:rPr>
          <w:rFonts w:ascii="Arial" w:cs="Arial" w:eastAsia="Arial" w:hAnsi="Arial"/>
          <w:sz w:val="16"/>
          <w:szCs w:val="16"/>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23"/>
          <w:szCs w:val="23"/>
          <w:b w:val="1"/>
          <w:bCs w:val="1"/>
          <w:color w:val="auto"/>
        </w:rPr>
        <w:t>☐</w:t>
      </w:r>
    </w:p>
    <w:p>
      <w:pPr>
        <w:spacing w:after="0" w:line="52" w:lineRule="exact"/>
        <w:rPr>
          <w:sz w:val="20"/>
          <w:szCs w:val="20"/>
          <w:color w:val="auto"/>
        </w:rPr>
      </w:pPr>
    </w:p>
    <w:p>
      <w:pPr>
        <w:spacing w:after="0" w:line="265" w:lineRule="exact"/>
        <w:tabs>
          <w:tab w:leader="none" w:pos="7260" w:val="left"/>
          <w:tab w:leader="none" w:pos="7980" w:val="left"/>
        </w:tabs>
        <w:rPr>
          <w:sz w:val="20"/>
          <w:szCs w:val="20"/>
          <w:color w:val="auto"/>
        </w:rPr>
      </w:pPr>
      <w:r>
        <w:rPr>
          <w:rFonts w:ascii="Arial" w:cs="Arial" w:eastAsia="Arial" w:hAnsi="Arial"/>
          <w:sz w:val="15"/>
          <w:szCs w:val="15"/>
          <w:color w:val="auto"/>
        </w:rPr>
        <w:t>Indicate by check mark whether the registrant is a shell company (as defined in Rule 12b-2 of the Exchange Act).</w:t>
      </w:r>
      <w:r>
        <w:rPr>
          <w:sz w:val="20"/>
          <w:szCs w:val="20"/>
          <w:color w:val="auto"/>
        </w:rPr>
        <w:tab/>
      </w:r>
      <w:r>
        <w:rPr>
          <w:rFonts w:ascii="Arial" w:cs="Arial" w:eastAsia="Arial" w:hAnsi="Arial"/>
          <w:sz w:val="16"/>
          <w:szCs w:val="16"/>
          <w:color w:val="auto"/>
        </w:rPr>
        <w:t xml:space="preserve">Yes </w:t>
      </w:r>
      <w:r>
        <w:rPr>
          <w:rFonts w:ascii="MS PGothic" w:cs="MS PGothic" w:eastAsia="MS PGothic" w:hAnsi="MS PGothic"/>
          <w:sz w:val="23"/>
          <w:szCs w:val="23"/>
          <w:b w:val="1"/>
          <w:bCs w:val="1"/>
          <w:color w:val="auto"/>
        </w:rPr>
        <w:t>☐</w:t>
      </w:r>
      <w:r>
        <w:rPr>
          <w:sz w:val="20"/>
          <w:szCs w:val="20"/>
          <w:color w:val="auto"/>
        </w:rPr>
        <w:tab/>
      </w:r>
      <w:r>
        <w:rPr>
          <w:rFonts w:ascii="Arial" w:cs="Arial" w:eastAsia="Arial" w:hAnsi="Arial"/>
          <w:sz w:val="14"/>
          <w:szCs w:val="14"/>
          <w:color w:val="auto"/>
        </w:rPr>
        <w:t xml:space="preserve">No </w:t>
      </w:r>
      <w:r>
        <w:rPr>
          <w:rFonts w:ascii="MS PGothic" w:cs="MS PGothic" w:eastAsia="MS PGothic" w:hAnsi="MS PGothic"/>
          <w:sz w:val="21"/>
          <w:szCs w:val="21"/>
          <w:b w:val="1"/>
          <w:bCs w:val="1"/>
          <w:color w:val="auto"/>
        </w:rPr>
        <w:t>☒</w:t>
      </w:r>
    </w:p>
    <w:p>
      <w:pPr>
        <w:spacing w:after="0" w:line="16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aggregate market value of the shares of FNF common stock held by non-affiliates of the registrant as of June 30, 2025</w:t>
      </w:r>
    </w:p>
    <w:p>
      <w:pPr>
        <w:spacing w:after="0" w:line="122" w:lineRule="exact"/>
        <w:rPr>
          <w:sz w:val="20"/>
          <w:szCs w:val="20"/>
          <w:color w:val="auto"/>
        </w:rPr>
      </w:pPr>
    </w:p>
    <w:p>
      <w:pPr>
        <w:ind w:left="380"/>
        <w:spacing w:after="0"/>
        <w:rPr>
          <w:sz w:val="20"/>
          <w:szCs w:val="20"/>
          <w:color w:val="auto"/>
        </w:rPr>
      </w:pPr>
      <w:r>
        <w:rPr>
          <w:rFonts w:ascii="Arial" w:cs="Arial" w:eastAsia="Arial" w:hAnsi="Arial"/>
          <w:sz w:val="16"/>
          <w:szCs w:val="16"/>
          <w:color w:val="auto"/>
        </w:rPr>
        <w:t>was $13,873,627,890 based on the closing price of $54.06 as reported by The New York Stock Exchange.</w:t>
      </w:r>
    </w:p>
    <w:p>
      <w:pPr>
        <w:spacing w:after="0" w:line="12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number of shares outstanding of the Registrant's common stock as of January 31, 2026 were:</w:t>
      </w:r>
    </w:p>
    <w:p>
      <w:pPr>
        <w:spacing w:after="0" w:line="12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FNF Common Stock  271,137,574</w:t>
      </w:r>
    </w:p>
    <w:p>
      <w:pPr>
        <w:spacing w:after="0" w:line="122" w:lineRule="exact"/>
        <w:rPr>
          <w:sz w:val="20"/>
          <w:szCs w:val="20"/>
          <w:color w:val="auto"/>
        </w:rPr>
      </w:pPr>
    </w:p>
    <w:p>
      <w:pPr>
        <w:ind w:right="240" w:firstLine="353"/>
        <w:spacing w:after="0" w:line="271" w:lineRule="auto"/>
        <w:rPr>
          <w:sz w:val="20"/>
          <w:szCs w:val="20"/>
          <w:color w:val="auto"/>
        </w:rPr>
      </w:pPr>
      <w:r>
        <w:rPr>
          <w:rFonts w:ascii="Arial" w:cs="Arial" w:eastAsia="Arial" w:hAnsi="Arial"/>
          <w:sz w:val="16"/>
          <w:szCs w:val="16"/>
          <w:color w:val="auto"/>
        </w:rPr>
        <w:t>The information in Part III hereof for the fiscal year ended December 31, 2025, will be filed within 120 days after the close of the fiscal year that is the subject of this Report</w:t>
      </w:r>
      <w:r>
        <w:rPr>
          <w:rFonts w:ascii="Arial" w:cs="Arial" w:eastAsia="Arial" w:hAnsi="Arial"/>
          <w:sz w:val="19"/>
          <w:szCs w:val="19"/>
          <w:color w:val="auto"/>
        </w:rPr>
        <w:t>.</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-4445</wp:posOffset>
                </wp:positionH>
                <wp:positionV relativeFrom="paragraph">
                  <wp:posOffset>73660</wp:posOffset>
                </wp:positionV>
                <wp:extent cx="6384290" cy="0"/>
                <wp:wrapNone/>
                <wp:docPr id="39" name="Shape 3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429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39" o:spid="_x0000_s106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499pt,5.8pt" to="502.35pt,5.8pt" o:allowincell="f" strokecolor="#000000" strokeweight="1pt"/>
            </w:pict>
          </mc:Fallback>
        </mc:AlternateContent>
        <mc:AlternateContent>
          <mc:Choice Requires="wps">
            <w:drawing>
              <wp:anchor simplePos="0" relativeHeight="251657728" behindDoc="1" locked="0" layoutInCell="0" allowOverlap="1">
                <wp:simplePos x="0" y="0"/>
                <wp:positionH relativeFrom="column">
                  <wp:posOffset>-4445</wp:posOffset>
                </wp:positionH>
                <wp:positionV relativeFrom="paragraph">
                  <wp:posOffset>120015</wp:posOffset>
                </wp:positionV>
                <wp:extent cx="6384290" cy="0"/>
                <wp:wrapNone/>
                <wp:docPr id="40" name="Shape 4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429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40" o:spid="_x0000_s106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499pt,9.45pt" to="502.35pt,9.45pt" o:allowincell="f" strokecolor="#000000" strokeweight="1pt"/>
            </w:pict>
          </mc:Fallback>
        </mc:AlternateContent>
      </w:r>
    </w:p>
    <w:p>
      <w:pPr>
        <w:sectPr>
          <w:pgSz w:w="11880" w:h="15480" w:orient="portrait"/>
          <w:cols w:equalWidth="0" w:num="1">
            <w:col w:w="10060"/>
          </w:cols>
          <w:pgMar w:left="920" w:top="899" w:right="900" w:bottom="1440" w:gutter="0" w:footer="0" w:header="0"/>
          <w:type w:val="continuous"/>
        </w:sectPr>
      </w:pPr>
    </w:p>
    <w:bookmarkStart w:id="12" w:name="page13"/>
    <w:bookmarkEnd w:id="1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Item 1.</w:t>
      </w:r>
    </w:p>
    <w:p>
      <w:pPr>
        <w:spacing w:after="0" w:line="64"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1A.</w:t>
      </w:r>
    </w:p>
    <w:p>
      <w:pPr>
        <w:spacing w:after="0" w:line="9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1B.</w:t>
      </w:r>
    </w:p>
    <w:p>
      <w:pPr>
        <w:spacing w:after="0" w:line="9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1C.</w:t>
      </w:r>
    </w:p>
    <w:p>
      <w:pPr>
        <w:spacing w:after="0" w:line="99"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Item 2.</w:t>
      </w:r>
    </w:p>
    <w:p>
      <w:pPr>
        <w:spacing w:after="0" w:line="64"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Item 3.</w:t>
      </w:r>
    </w:p>
    <w:p>
      <w:pPr>
        <w:spacing w:after="0" w:line="92"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Item 4.</w:t>
      </w:r>
    </w:p>
    <w:p>
      <w:pPr>
        <w:spacing w:after="0" w:line="374"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Item 5.</w:t>
      </w:r>
    </w:p>
    <w:p>
      <w:pPr>
        <w:spacing w:after="0" w:line="255"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Item 6.</w:t>
      </w:r>
    </w:p>
    <w:p>
      <w:pPr>
        <w:spacing w:after="0" w:line="64"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Item 7.</w:t>
      </w:r>
    </w:p>
    <w:p>
      <w:pPr>
        <w:spacing w:after="0" w:line="64"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7A.</w:t>
      </w:r>
    </w:p>
    <w:p>
      <w:pPr>
        <w:spacing w:after="0" w:line="99"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Item 8.</w:t>
      </w:r>
    </w:p>
    <w:p>
      <w:pPr>
        <w:spacing w:after="0" w:line="64"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Item 9.</w:t>
      </w:r>
    </w:p>
    <w:p>
      <w:pPr>
        <w:spacing w:after="0" w:line="64"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9A.</w:t>
      </w:r>
    </w:p>
    <w:p>
      <w:pPr>
        <w:spacing w:after="0" w:line="9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9B.</w:t>
      </w:r>
    </w:p>
    <w:p>
      <w:pPr>
        <w:spacing w:after="0" w:line="97"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9C.</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9"/>
          <w:szCs w:val="19"/>
          <w:u w:val="single" w:color="auto"/>
          <w:color w:val="auto"/>
        </w:rPr>
        <w:t>Item 10.</w:t>
      </w:r>
    </w:p>
    <w:p>
      <w:pPr>
        <w:spacing w:after="0" w:line="76" w:lineRule="exact"/>
        <w:rPr>
          <w:sz w:val="20"/>
          <w:szCs w:val="20"/>
          <w:color w:val="auto"/>
        </w:rPr>
      </w:pPr>
    </w:p>
    <w:p>
      <w:pPr>
        <w:spacing w:after="0"/>
        <w:rPr>
          <w:sz w:val="20"/>
          <w:szCs w:val="20"/>
          <w:color w:val="auto"/>
        </w:rPr>
      </w:pPr>
      <w:r>
        <w:rPr>
          <w:rFonts w:ascii="Arial" w:cs="Arial" w:eastAsia="Arial" w:hAnsi="Arial"/>
          <w:sz w:val="19"/>
          <w:szCs w:val="19"/>
          <w:u w:val="single" w:color="auto"/>
          <w:color w:val="auto"/>
        </w:rPr>
        <w:t>Item 11.</w:t>
      </w:r>
    </w:p>
    <w:p>
      <w:pPr>
        <w:spacing w:after="0" w:line="76" w:lineRule="exact"/>
        <w:rPr>
          <w:sz w:val="20"/>
          <w:szCs w:val="20"/>
          <w:color w:val="auto"/>
        </w:rPr>
      </w:pPr>
    </w:p>
    <w:p>
      <w:pPr>
        <w:spacing w:after="0"/>
        <w:rPr>
          <w:sz w:val="20"/>
          <w:szCs w:val="20"/>
          <w:color w:val="auto"/>
        </w:rPr>
      </w:pPr>
      <w:r>
        <w:rPr>
          <w:rFonts w:ascii="Arial" w:cs="Arial" w:eastAsia="Arial" w:hAnsi="Arial"/>
          <w:sz w:val="19"/>
          <w:szCs w:val="19"/>
          <w:u w:val="single" w:color="auto"/>
          <w:color w:val="auto"/>
        </w:rPr>
        <w:t>Item 12.</w:t>
      </w:r>
    </w:p>
    <w:p>
      <w:pPr>
        <w:spacing w:after="0" w:line="267" w:lineRule="exact"/>
        <w:rPr>
          <w:sz w:val="20"/>
          <w:szCs w:val="20"/>
          <w:color w:val="auto"/>
        </w:rPr>
      </w:pPr>
    </w:p>
    <w:p>
      <w:pPr>
        <w:spacing w:after="0"/>
        <w:rPr>
          <w:sz w:val="20"/>
          <w:szCs w:val="20"/>
          <w:color w:val="auto"/>
        </w:rPr>
      </w:pPr>
      <w:r>
        <w:rPr>
          <w:rFonts w:ascii="Arial" w:cs="Arial" w:eastAsia="Arial" w:hAnsi="Arial"/>
          <w:sz w:val="19"/>
          <w:szCs w:val="19"/>
          <w:u w:val="single" w:color="auto"/>
          <w:color w:val="auto"/>
        </w:rPr>
        <w:t>Item 13.</w:t>
      </w:r>
    </w:p>
    <w:p>
      <w:pPr>
        <w:spacing w:after="0" w:line="76" w:lineRule="exact"/>
        <w:rPr>
          <w:sz w:val="20"/>
          <w:szCs w:val="20"/>
          <w:color w:val="auto"/>
        </w:rPr>
      </w:pPr>
    </w:p>
    <w:p>
      <w:pPr>
        <w:spacing w:after="0"/>
        <w:rPr>
          <w:sz w:val="20"/>
          <w:szCs w:val="20"/>
          <w:color w:val="auto"/>
        </w:rPr>
      </w:pPr>
      <w:r>
        <w:rPr>
          <w:rFonts w:ascii="Arial" w:cs="Arial" w:eastAsia="Arial" w:hAnsi="Arial"/>
          <w:sz w:val="19"/>
          <w:szCs w:val="19"/>
          <w:u w:val="single" w:color="auto"/>
          <w:color w:val="auto"/>
        </w:rPr>
        <w:t>Item 14.</w:t>
      </w:r>
    </w:p>
    <w:p>
      <w:pPr>
        <w:spacing w:after="0" w:line="399" w:lineRule="exact"/>
        <w:rPr>
          <w:sz w:val="20"/>
          <w:szCs w:val="20"/>
          <w:color w:val="auto"/>
        </w:rPr>
      </w:pPr>
    </w:p>
    <w:p>
      <w:pPr>
        <w:spacing w:after="0"/>
        <w:rPr>
          <w:sz w:val="20"/>
          <w:szCs w:val="20"/>
          <w:color w:val="auto"/>
        </w:rPr>
      </w:pPr>
      <w:r>
        <w:rPr>
          <w:rFonts w:ascii="Arial" w:cs="Arial" w:eastAsia="Arial" w:hAnsi="Arial"/>
          <w:sz w:val="19"/>
          <w:szCs w:val="19"/>
          <w:u w:val="single" w:color="auto"/>
          <w:color w:val="auto"/>
        </w:rPr>
        <w:t>Item 15.</w:t>
      </w:r>
    </w:p>
    <w:p>
      <w:pPr>
        <w:spacing w:after="0" w:line="76" w:lineRule="exact"/>
        <w:rPr>
          <w:sz w:val="20"/>
          <w:szCs w:val="20"/>
          <w:color w:val="auto"/>
        </w:rPr>
      </w:pPr>
    </w:p>
    <w:p>
      <w:pPr>
        <w:spacing w:after="0"/>
        <w:rPr>
          <w:sz w:val="20"/>
          <w:szCs w:val="20"/>
          <w:color w:val="auto"/>
        </w:rPr>
      </w:pPr>
      <w:r>
        <w:rPr>
          <w:rFonts w:ascii="Arial" w:cs="Arial" w:eastAsia="Arial" w:hAnsi="Arial"/>
          <w:sz w:val="19"/>
          <w:szCs w:val="19"/>
          <w:u w:val="single" w:color="auto"/>
          <w:color w:val="auto"/>
        </w:rPr>
        <w:t>Item 16.</w:t>
      </w:r>
    </w:p>
    <w:p>
      <w:pPr>
        <w:spacing w:after="0" w:line="20" w:lineRule="exact"/>
        <w:rPr>
          <w:sz w:val="20"/>
          <w:szCs w:val="20"/>
          <w:color w:val="auto"/>
        </w:rPr>
      </w:pPr>
      <w:r>
        <w:rPr>
          <w:sz w:val="20"/>
          <w:szCs w:val="20"/>
          <w:color w:val="auto"/>
        </w:rPr>
        <w:br w:type="column"/>
      </w:r>
    </w:p>
    <w:p>
      <w:pPr>
        <w:ind w:left="2040"/>
        <w:spacing w:after="0"/>
        <w:rPr>
          <w:sz w:val="20"/>
          <w:szCs w:val="20"/>
          <w:color w:val="auto"/>
        </w:rPr>
      </w:pPr>
      <w:r>
        <w:rPr>
          <w:rFonts w:ascii="Arial" w:cs="Arial" w:eastAsia="Arial" w:hAnsi="Arial"/>
          <w:sz w:val="20"/>
          <w:szCs w:val="20"/>
          <w:b w:val="1"/>
          <w:bCs w:val="1"/>
          <w:color w:val="auto"/>
        </w:rPr>
        <w:t>FIDELITY NATIONAL FINANCIAL, INC.</w:t>
      </w:r>
    </w:p>
    <w:p>
      <w:pPr>
        <w:spacing w:after="0" w:line="29" w:lineRule="exact"/>
        <w:rPr>
          <w:sz w:val="20"/>
          <w:szCs w:val="20"/>
          <w:color w:val="auto"/>
        </w:rPr>
      </w:pPr>
    </w:p>
    <w:p>
      <w:pPr>
        <w:ind w:left="3360"/>
        <w:spacing w:after="0"/>
        <w:rPr>
          <w:sz w:val="20"/>
          <w:szCs w:val="20"/>
          <w:color w:val="auto"/>
        </w:rPr>
      </w:pPr>
      <w:r>
        <w:rPr>
          <w:rFonts w:ascii="Arial" w:cs="Arial" w:eastAsia="Arial" w:hAnsi="Arial"/>
          <w:sz w:val="20"/>
          <w:szCs w:val="20"/>
          <w:b w:val="1"/>
          <w:bCs w:val="1"/>
          <w:color w:val="auto"/>
        </w:rPr>
        <w:t>FORM 10-K</w:t>
      </w:r>
    </w:p>
    <w:p>
      <w:pPr>
        <w:spacing w:after="0" w:line="5" w:lineRule="exact"/>
        <w:rPr>
          <w:sz w:val="20"/>
          <w:szCs w:val="20"/>
          <w:color w:val="auto"/>
        </w:rPr>
      </w:pPr>
    </w:p>
    <w:p>
      <w:pPr>
        <w:ind w:left="2840"/>
        <w:spacing w:after="0"/>
        <w:rPr>
          <w:sz w:val="20"/>
          <w:szCs w:val="20"/>
          <w:color w:val="auto"/>
        </w:rPr>
      </w:pPr>
      <w:r>
        <w:rPr>
          <w:rFonts w:ascii="Arial" w:cs="Arial" w:eastAsia="Arial" w:hAnsi="Arial"/>
          <w:sz w:val="20"/>
          <w:szCs w:val="20"/>
          <w:b w:val="1"/>
          <w:bCs w:val="1"/>
          <w:color w:val="auto"/>
        </w:rPr>
        <w:t>TABLE OF CONTENTS</w:t>
      </w:r>
    </w:p>
    <w:p>
      <w:pPr>
        <w:spacing w:after="0" w:line="30" w:lineRule="exact"/>
        <w:rPr>
          <w:sz w:val="20"/>
          <w:szCs w:val="20"/>
          <w:color w:val="auto"/>
        </w:rPr>
      </w:pPr>
    </w:p>
    <w:p>
      <w:pPr>
        <w:ind w:left="8200"/>
        <w:spacing w:after="0"/>
        <w:rPr>
          <w:sz w:val="20"/>
          <w:szCs w:val="20"/>
          <w:color w:val="auto"/>
        </w:rPr>
      </w:pPr>
      <w:r>
        <w:rPr>
          <w:rFonts w:ascii="Arial" w:cs="Arial" w:eastAsia="Arial" w:hAnsi="Arial"/>
          <w:sz w:val="18"/>
          <w:szCs w:val="18"/>
          <w:b w:val="1"/>
          <w:bCs w:val="1"/>
          <w:color w:val="auto"/>
        </w:rPr>
        <w:t>Page</w:t>
      </w:r>
    </w:p>
    <w:p>
      <w:pPr>
        <w:jc w:val="right"/>
        <w:spacing w:after="0"/>
        <w:rPr>
          <w:sz w:val="20"/>
          <w:szCs w:val="20"/>
          <w:color w:val="auto"/>
        </w:rPr>
      </w:pPr>
      <w:r>
        <w:rPr>
          <w:rFonts w:ascii="Arial" w:cs="Arial" w:eastAsia="Arial" w:hAnsi="Arial"/>
          <w:sz w:val="18"/>
          <w:szCs w:val="18"/>
          <w:b w:val="1"/>
          <w:bCs w:val="1"/>
          <w:color w:val="auto"/>
        </w:rPr>
        <w:t>Number</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5005705</wp:posOffset>
                </wp:positionH>
                <wp:positionV relativeFrom="paragraph">
                  <wp:posOffset>10795</wp:posOffset>
                </wp:positionV>
                <wp:extent cx="644525" cy="0"/>
                <wp:wrapNone/>
                <wp:docPr id="41" name="Shape 4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452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41" o:spid="_x0000_s106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94.15pt,0.85pt" to="444.9pt,0.85pt" o:allowincell="f" strokecolor="#000000" strokeweight="1pt"/>
            </w:pict>
          </mc:Fallback>
        </mc:AlternateContent>
      </w:r>
    </w:p>
    <w:p>
      <w:pPr>
        <w:spacing w:after="0" w:line="49" w:lineRule="exact"/>
        <w:rPr>
          <w:sz w:val="20"/>
          <w:szCs w:val="20"/>
          <w:color w:val="auto"/>
        </w:rPr>
      </w:pPr>
    </w:p>
    <w:p>
      <w:pPr>
        <w:ind w:left="3560"/>
        <w:spacing w:after="0"/>
        <w:rPr>
          <w:sz w:val="20"/>
          <w:szCs w:val="20"/>
          <w:color w:val="auto"/>
        </w:rPr>
      </w:pPr>
      <w:r>
        <w:rPr>
          <w:rFonts w:ascii="Arial" w:cs="Arial" w:eastAsia="Arial" w:hAnsi="Arial"/>
          <w:sz w:val="20"/>
          <w:szCs w:val="20"/>
          <w:b w:val="1"/>
          <w:bCs w:val="1"/>
          <w:u w:val="single" w:color="auto"/>
          <w:color w:val="auto"/>
        </w:rPr>
        <w:t>PART I</w:t>
      </w:r>
    </w:p>
    <w:p>
      <w:pPr>
        <w:spacing w:after="0" w:line="68" w:lineRule="exact"/>
        <w:rPr>
          <w:sz w:val="20"/>
          <w:szCs w:val="20"/>
          <w:color w:val="auto"/>
        </w:rPr>
      </w:pPr>
    </w:p>
    <w:p>
      <w:pPr>
        <w:spacing w:after="0"/>
        <w:tabs>
          <w:tab w:leader="dot" w:pos="8320" w:val="left"/>
        </w:tabs>
        <w:rPr>
          <w:sz w:val="20"/>
          <w:szCs w:val="20"/>
          <w:color w:val="auto"/>
        </w:rPr>
      </w:pPr>
      <w:r>
        <w:rPr>
          <w:rFonts w:ascii="Arial" w:cs="Arial" w:eastAsia="Arial" w:hAnsi="Arial"/>
          <w:sz w:val="20"/>
          <w:szCs w:val="20"/>
          <w:u w:val="single" w:color="auto"/>
          <w:color w:val="auto"/>
        </w:rPr>
        <w:t>Business</w:t>
      </w:r>
      <w:r>
        <w:rPr>
          <w:sz w:val="20"/>
          <w:szCs w:val="20"/>
          <w:color w:val="auto"/>
        </w:rPr>
        <w:tab/>
      </w:r>
      <w:r>
        <w:rPr>
          <w:rFonts w:ascii="Arial" w:cs="Arial" w:eastAsia="Arial" w:hAnsi="Arial"/>
          <w:sz w:val="17"/>
          <w:szCs w:val="17"/>
          <w:u w:val="single" w:color="auto"/>
          <w:color w:val="auto"/>
        </w:rPr>
        <w:t>4</w:t>
      </w:r>
    </w:p>
    <w:p>
      <w:pPr>
        <w:spacing w:after="0" w:line="64" w:lineRule="exact"/>
        <w:rPr>
          <w:sz w:val="20"/>
          <w:szCs w:val="20"/>
          <w:color w:val="auto"/>
        </w:rPr>
      </w:pPr>
    </w:p>
    <w:p>
      <w:pPr>
        <w:spacing w:after="0"/>
        <w:tabs>
          <w:tab w:leader="dot" w:pos="8280" w:val="left"/>
        </w:tabs>
        <w:rPr>
          <w:sz w:val="20"/>
          <w:szCs w:val="20"/>
          <w:color w:val="auto"/>
        </w:rPr>
      </w:pPr>
      <w:r>
        <w:rPr>
          <w:rFonts w:ascii="Arial" w:cs="Arial" w:eastAsia="Arial" w:hAnsi="Arial"/>
          <w:sz w:val="20"/>
          <w:szCs w:val="20"/>
          <w:u w:val="single" w:color="auto"/>
          <w:color w:val="auto"/>
        </w:rPr>
        <w:t>Risk Factors</w:t>
      </w:r>
      <w:r>
        <w:rPr>
          <w:sz w:val="20"/>
          <w:szCs w:val="20"/>
          <w:color w:val="auto"/>
        </w:rPr>
        <w:tab/>
      </w:r>
      <w:r>
        <w:rPr>
          <w:rFonts w:ascii="Arial" w:cs="Arial" w:eastAsia="Arial" w:hAnsi="Arial"/>
          <w:sz w:val="16"/>
          <w:szCs w:val="16"/>
          <w:u w:val="single" w:color="auto"/>
          <w:color w:val="auto"/>
        </w:rPr>
        <w:t>37</w:t>
      </w:r>
    </w:p>
    <w:p>
      <w:pPr>
        <w:spacing w:after="0" w:line="64" w:lineRule="exact"/>
        <w:rPr>
          <w:sz w:val="20"/>
          <w:szCs w:val="20"/>
          <w:color w:val="auto"/>
        </w:rPr>
      </w:pPr>
    </w:p>
    <w:p>
      <w:pPr>
        <w:spacing w:after="0"/>
        <w:tabs>
          <w:tab w:leader="dot" w:pos="8280" w:val="left"/>
        </w:tabs>
        <w:rPr>
          <w:sz w:val="20"/>
          <w:szCs w:val="20"/>
          <w:color w:val="auto"/>
        </w:rPr>
      </w:pPr>
      <w:r>
        <w:rPr>
          <w:rFonts w:ascii="Arial" w:cs="Arial" w:eastAsia="Arial" w:hAnsi="Arial"/>
          <w:sz w:val="20"/>
          <w:szCs w:val="20"/>
          <w:u w:val="single" w:color="auto"/>
          <w:color w:val="auto"/>
        </w:rPr>
        <w:t>Unresolved Staff Comments</w:t>
      </w:r>
      <w:r>
        <w:rPr>
          <w:sz w:val="20"/>
          <w:szCs w:val="20"/>
          <w:color w:val="auto"/>
        </w:rPr>
        <w:tab/>
      </w:r>
      <w:r>
        <w:rPr>
          <w:rFonts w:ascii="Arial" w:cs="Arial" w:eastAsia="Arial" w:hAnsi="Arial"/>
          <w:sz w:val="16"/>
          <w:szCs w:val="16"/>
          <w:u w:val="single" w:color="auto"/>
          <w:color w:val="auto"/>
        </w:rPr>
        <w:t>53</w:t>
      </w:r>
    </w:p>
    <w:p>
      <w:pPr>
        <w:spacing w:after="0" w:line="64" w:lineRule="exact"/>
        <w:rPr>
          <w:sz w:val="20"/>
          <w:szCs w:val="20"/>
          <w:color w:val="auto"/>
        </w:rPr>
      </w:pPr>
    </w:p>
    <w:p>
      <w:pPr>
        <w:spacing w:after="0"/>
        <w:tabs>
          <w:tab w:leader="dot" w:pos="8280" w:val="left"/>
        </w:tabs>
        <w:rPr>
          <w:sz w:val="20"/>
          <w:szCs w:val="20"/>
          <w:color w:val="auto"/>
        </w:rPr>
      </w:pPr>
      <w:r>
        <w:rPr>
          <w:rFonts w:ascii="Arial" w:cs="Arial" w:eastAsia="Arial" w:hAnsi="Arial"/>
          <w:sz w:val="20"/>
          <w:szCs w:val="20"/>
          <w:u w:val="single" w:color="auto"/>
          <w:color w:val="auto"/>
        </w:rPr>
        <w:t>Cybersecurity</w:t>
      </w:r>
      <w:r>
        <w:rPr>
          <w:sz w:val="20"/>
          <w:szCs w:val="20"/>
          <w:color w:val="auto"/>
        </w:rPr>
        <w:tab/>
      </w:r>
      <w:r>
        <w:rPr>
          <w:rFonts w:ascii="Arial" w:cs="Arial" w:eastAsia="Arial" w:hAnsi="Arial"/>
          <w:sz w:val="16"/>
          <w:szCs w:val="16"/>
          <w:u w:val="single" w:color="auto"/>
          <w:color w:val="auto"/>
        </w:rPr>
        <w:t>54</w:t>
      </w:r>
    </w:p>
    <w:p>
      <w:pPr>
        <w:spacing w:after="0" w:line="64" w:lineRule="exact"/>
        <w:rPr>
          <w:sz w:val="20"/>
          <w:szCs w:val="20"/>
          <w:color w:val="auto"/>
        </w:rPr>
      </w:pPr>
    </w:p>
    <w:p>
      <w:pPr>
        <w:spacing w:after="0"/>
        <w:tabs>
          <w:tab w:leader="dot" w:pos="8280" w:val="left"/>
        </w:tabs>
        <w:rPr>
          <w:sz w:val="20"/>
          <w:szCs w:val="20"/>
          <w:color w:val="auto"/>
        </w:rPr>
      </w:pPr>
      <w:r>
        <w:rPr>
          <w:rFonts w:ascii="Arial" w:cs="Arial" w:eastAsia="Arial" w:hAnsi="Arial"/>
          <w:sz w:val="20"/>
          <w:szCs w:val="20"/>
          <w:u w:val="single" w:color="auto"/>
          <w:color w:val="auto"/>
        </w:rPr>
        <w:t>Properties</w:t>
      </w:r>
      <w:r>
        <w:rPr>
          <w:sz w:val="20"/>
          <w:szCs w:val="20"/>
          <w:color w:val="auto"/>
        </w:rPr>
        <w:tab/>
      </w:r>
      <w:r>
        <w:rPr>
          <w:rFonts w:ascii="Arial" w:cs="Arial" w:eastAsia="Arial" w:hAnsi="Arial"/>
          <w:sz w:val="16"/>
          <w:szCs w:val="16"/>
          <w:u w:val="single" w:color="auto"/>
          <w:color w:val="auto"/>
        </w:rPr>
        <w:t>55</w:t>
      </w:r>
    </w:p>
    <w:p>
      <w:pPr>
        <w:spacing w:after="0" w:line="64" w:lineRule="exact"/>
        <w:rPr>
          <w:sz w:val="20"/>
          <w:szCs w:val="20"/>
          <w:color w:val="auto"/>
        </w:rPr>
      </w:pPr>
    </w:p>
    <w:p>
      <w:pPr>
        <w:spacing w:after="0"/>
        <w:tabs>
          <w:tab w:leader="dot" w:pos="8280" w:val="left"/>
        </w:tabs>
        <w:rPr>
          <w:sz w:val="20"/>
          <w:szCs w:val="20"/>
          <w:color w:val="auto"/>
        </w:rPr>
      </w:pPr>
      <w:r>
        <w:rPr>
          <w:rFonts w:ascii="Arial" w:cs="Arial" w:eastAsia="Arial" w:hAnsi="Arial"/>
          <w:sz w:val="20"/>
          <w:szCs w:val="20"/>
          <w:u w:val="single" w:color="auto"/>
          <w:color w:val="auto"/>
        </w:rPr>
        <w:t>Legal Proceedings</w:t>
      </w:r>
      <w:r>
        <w:rPr>
          <w:sz w:val="20"/>
          <w:szCs w:val="20"/>
          <w:color w:val="auto"/>
        </w:rPr>
        <w:tab/>
      </w:r>
      <w:r>
        <w:rPr>
          <w:rFonts w:ascii="Arial" w:cs="Arial" w:eastAsia="Arial" w:hAnsi="Arial"/>
          <w:sz w:val="16"/>
          <w:szCs w:val="16"/>
          <w:u w:val="single" w:color="auto"/>
          <w:color w:val="auto"/>
        </w:rPr>
        <w:t>55</w:t>
      </w:r>
    </w:p>
    <w:p>
      <w:pPr>
        <w:spacing w:after="0" w:line="79" w:lineRule="exact"/>
        <w:rPr>
          <w:sz w:val="20"/>
          <w:szCs w:val="20"/>
          <w:color w:val="auto"/>
        </w:rPr>
      </w:pPr>
    </w:p>
    <w:p>
      <w:pPr>
        <w:spacing w:after="0"/>
        <w:tabs>
          <w:tab w:leader="dot" w:pos="8280" w:val="left"/>
        </w:tabs>
        <w:rPr>
          <w:sz w:val="20"/>
          <w:szCs w:val="20"/>
          <w:color w:val="auto"/>
        </w:rPr>
      </w:pPr>
      <w:r>
        <w:rPr>
          <w:rFonts w:ascii="Arial" w:cs="Arial" w:eastAsia="Arial" w:hAnsi="Arial"/>
          <w:sz w:val="20"/>
          <w:szCs w:val="20"/>
          <w:u w:val="single" w:color="auto"/>
          <w:color w:val="auto"/>
        </w:rPr>
        <w:t>Mine Safety Disclosures</w:t>
      </w:r>
      <w:r>
        <w:rPr>
          <w:sz w:val="20"/>
          <w:szCs w:val="20"/>
          <w:color w:val="auto"/>
        </w:rPr>
        <w:tab/>
      </w:r>
      <w:r>
        <w:rPr>
          <w:rFonts w:ascii="Arial" w:cs="Arial" w:eastAsia="Arial" w:hAnsi="Arial"/>
          <w:sz w:val="16"/>
          <w:szCs w:val="16"/>
          <w:u w:val="single" w:color="auto"/>
          <w:color w:val="auto"/>
        </w:rPr>
        <w:t>55</w:t>
      </w:r>
    </w:p>
    <w:p>
      <w:pPr>
        <w:spacing w:after="0" w:line="89" w:lineRule="exact"/>
        <w:rPr>
          <w:sz w:val="20"/>
          <w:szCs w:val="20"/>
          <w:color w:val="auto"/>
        </w:rPr>
      </w:pPr>
    </w:p>
    <w:p>
      <w:pPr>
        <w:ind w:left="3520"/>
        <w:spacing w:after="0"/>
        <w:rPr>
          <w:sz w:val="20"/>
          <w:szCs w:val="20"/>
          <w:color w:val="auto"/>
        </w:rPr>
      </w:pPr>
      <w:r>
        <w:rPr>
          <w:rFonts w:ascii="Arial" w:cs="Arial" w:eastAsia="Arial" w:hAnsi="Arial"/>
          <w:sz w:val="20"/>
          <w:szCs w:val="20"/>
          <w:b w:val="1"/>
          <w:bCs w:val="1"/>
          <w:u w:val="single" w:color="auto"/>
          <w:color w:val="auto"/>
        </w:rPr>
        <w:t>PART II</w:t>
      </w:r>
    </w:p>
    <w:p>
      <w:pPr>
        <w:spacing w:after="0" w:line="51"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Market for Registrant’s Common Equity, Related Stockholder Matters and Issuer Purchases of</w:t>
      </w:r>
    </w:p>
    <w:p>
      <w:pPr>
        <w:spacing w:after="0"/>
        <w:tabs>
          <w:tab w:leader="dot" w:pos="8280" w:val="left"/>
        </w:tabs>
        <w:rPr>
          <w:sz w:val="20"/>
          <w:szCs w:val="20"/>
          <w:color w:val="auto"/>
        </w:rPr>
      </w:pPr>
      <w:r>
        <w:rPr>
          <w:rFonts w:ascii="Arial" w:cs="Arial" w:eastAsia="Arial" w:hAnsi="Arial"/>
          <w:sz w:val="20"/>
          <w:szCs w:val="20"/>
          <w:u w:val="single" w:color="auto"/>
          <w:color w:val="auto"/>
        </w:rPr>
        <w:t>Equity Securities</w:t>
      </w:r>
      <w:r>
        <w:rPr>
          <w:sz w:val="20"/>
          <w:szCs w:val="20"/>
          <w:color w:val="auto"/>
        </w:rPr>
        <w:tab/>
      </w:r>
      <w:r>
        <w:rPr>
          <w:rFonts w:ascii="Arial" w:cs="Arial" w:eastAsia="Arial" w:hAnsi="Arial"/>
          <w:sz w:val="16"/>
          <w:szCs w:val="16"/>
          <w:u w:val="single" w:color="auto"/>
          <w:color w:val="auto"/>
        </w:rPr>
        <w:t>55</w:t>
      </w:r>
    </w:p>
    <w:p>
      <w:pPr>
        <w:spacing w:after="0" w:line="42" w:lineRule="exact"/>
        <w:rPr>
          <w:sz w:val="20"/>
          <w:szCs w:val="20"/>
          <w:color w:val="auto"/>
        </w:rPr>
      </w:pPr>
    </w:p>
    <w:p>
      <w:pPr>
        <w:spacing w:after="0"/>
        <w:tabs>
          <w:tab w:leader="dot" w:pos="8280" w:val="left"/>
        </w:tabs>
        <w:rPr>
          <w:sz w:val="20"/>
          <w:szCs w:val="20"/>
          <w:color w:val="auto"/>
        </w:rPr>
      </w:pPr>
      <w:r>
        <w:rPr>
          <w:rFonts w:ascii="Arial" w:cs="Arial" w:eastAsia="Arial" w:hAnsi="Arial"/>
          <w:sz w:val="20"/>
          <w:szCs w:val="20"/>
          <w:u w:val="single" w:color="auto"/>
          <w:color w:val="auto"/>
        </w:rPr>
        <w:t>Reserved</w:t>
      </w:r>
      <w:r>
        <w:rPr>
          <w:sz w:val="20"/>
          <w:szCs w:val="20"/>
          <w:color w:val="auto"/>
        </w:rPr>
        <w:tab/>
      </w:r>
      <w:r>
        <w:rPr>
          <w:rFonts w:ascii="Arial" w:cs="Arial" w:eastAsia="Arial" w:hAnsi="Arial"/>
          <w:sz w:val="16"/>
          <w:szCs w:val="16"/>
          <w:u w:val="single" w:color="auto"/>
          <w:color w:val="auto"/>
        </w:rPr>
        <w:t>57</w:t>
      </w:r>
    </w:p>
    <w:p>
      <w:pPr>
        <w:spacing w:after="0" w:line="64" w:lineRule="exact"/>
        <w:rPr>
          <w:sz w:val="20"/>
          <w:szCs w:val="20"/>
          <w:color w:val="auto"/>
        </w:rPr>
      </w:pPr>
    </w:p>
    <w:p>
      <w:pPr>
        <w:spacing w:after="0"/>
        <w:tabs>
          <w:tab w:leader="dot" w:pos="8280" w:val="left"/>
        </w:tabs>
        <w:rPr>
          <w:sz w:val="20"/>
          <w:szCs w:val="20"/>
          <w:color w:val="auto"/>
        </w:rPr>
      </w:pPr>
      <w:r>
        <w:rPr>
          <w:rFonts w:ascii="Arial" w:cs="Arial" w:eastAsia="Arial" w:hAnsi="Arial"/>
          <w:sz w:val="20"/>
          <w:szCs w:val="20"/>
          <w:u w:val="single" w:color="auto"/>
          <w:color w:val="auto"/>
        </w:rPr>
        <w:t>Management’s Discussion and Analysis of Financial Condition and Results of Operations</w:t>
      </w:r>
      <w:r>
        <w:rPr>
          <w:sz w:val="20"/>
          <w:szCs w:val="20"/>
          <w:color w:val="auto"/>
        </w:rPr>
        <w:tab/>
      </w:r>
      <w:r>
        <w:rPr>
          <w:rFonts w:ascii="Arial" w:cs="Arial" w:eastAsia="Arial" w:hAnsi="Arial"/>
          <w:sz w:val="16"/>
          <w:szCs w:val="16"/>
          <w:u w:val="single" w:color="auto"/>
          <w:color w:val="auto"/>
        </w:rPr>
        <w:t>58</w:t>
      </w:r>
    </w:p>
    <w:p>
      <w:pPr>
        <w:spacing w:after="0" w:line="64" w:lineRule="exact"/>
        <w:rPr>
          <w:sz w:val="20"/>
          <w:szCs w:val="20"/>
          <w:color w:val="auto"/>
        </w:rPr>
      </w:pPr>
    </w:p>
    <w:p>
      <w:pPr>
        <w:spacing w:after="0"/>
        <w:tabs>
          <w:tab w:leader="dot" w:pos="8280" w:val="left"/>
        </w:tabs>
        <w:rPr>
          <w:sz w:val="20"/>
          <w:szCs w:val="20"/>
          <w:color w:val="auto"/>
        </w:rPr>
      </w:pPr>
      <w:r>
        <w:rPr>
          <w:rFonts w:ascii="Arial" w:cs="Arial" w:eastAsia="Arial" w:hAnsi="Arial"/>
          <w:sz w:val="20"/>
          <w:szCs w:val="20"/>
          <w:u w:val="single" w:color="auto"/>
          <w:color w:val="auto"/>
        </w:rPr>
        <w:t>Quantitative and Qualitative Disclosure About Market Risk</w:t>
      </w:r>
      <w:r>
        <w:rPr>
          <w:sz w:val="20"/>
          <w:szCs w:val="20"/>
          <w:color w:val="auto"/>
        </w:rPr>
        <w:tab/>
      </w:r>
      <w:r>
        <w:rPr>
          <w:rFonts w:ascii="Arial" w:cs="Arial" w:eastAsia="Arial" w:hAnsi="Arial"/>
          <w:sz w:val="16"/>
          <w:szCs w:val="16"/>
          <w:u w:val="single" w:color="auto"/>
          <w:color w:val="auto"/>
        </w:rPr>
        <w:t>92</w:t>
      </w:r>
    </w:p>
    <w:p>
      <w:pPr>
        <w:spacing w:after="0" w:line="64" w:lineRule="exact"/>
        <w:rPr>
          <w:sz w:val="20"/>
          <w:szCs w:val="20"/>
          <w:color w:val="auto"/>
        </w:rPr>
      </w:pPr>
    </w:p>
    <w:p>
      <w:pPr>
        <w:spacing w:after="0"/>
        <w:tabs>
          <w:tab w:leader="dot" w:pos="8280" w:val="left"/>
        </w:tabs>
        <w:rPr>
          <w:sz w:val="20"/>
          <w:szCs w:val="20"/>
          <w:color w:val="auto"/>
        </w:rPr>
      </w:pPr>
      <w:r>
        <w:rPr>
          <w:rFonts w:ascii="Arial" w:cs="Arial" w:eastAsia="Arial" w:hAnsi="Arial"/>
          <w:sz w:val="20"/>
          <w:szCs w:val="20"/>
          <w:u w:val="single" w:color="auto"/>
          <w:color w:val="auto"/>
        </w:rPr>
        <w:t>Financial Statements and Supplementary Data</w:t>
      </w:r>
      <w:r>
        <w:rPr>
          <w:sz w:val="20"/>
          <w:szCs w:val="20"/>
          <w:color w:val="auto"/>
        </w:rPr>
        <w:tab/>
      </w:r>
      <w:r>
        <w:rPr>
          <w:rFonts w:ascii="Arial" w:cs="Arial" w:eastAsia="Arial" w:hAnsi="Arial"/>
          <w:sz w:val="16"/>
          <w:szCs w:val="16"/>
          <w:u w:val="single" w:color="auto"/>
          <w:color w:val="auto"/>
        </w:rPr>
        <w:t>97</w:t>
      </w:r>
    </w:p>
    <w:p>
      <w:pPr>
        <w:spacing w:after="0" w:line="64" w:lineRule="exact"/>
        <w:rPr>
          <w:sz w:val="20"/>
          <w:szCs w:val="20"/>
          <w:color w:val="auto"/>
        </w:rPr>
      </w:pPr>
    </w:p>
    <w:p>
      <w:pPr>
        <w:spacing w:after="0"/>
        <w:tabs>
          <w:tab w:leader="dot" w:pos="8220" w:val="left"/>
        </w:tabs>
        <w:rPr>
          <w:sz w:val="20"/>
          <w:szCs w:val="20"/>
          <w:color w:val="auto"/>
        </w:rPr>
      </w:pPr>
      <w:r>
        <w:rPr>
          <w:rFonts w:ascii="Arial" w:cs="Arial" w:eastAsia="Arial" w:hAnsi="Arial"/>
          <w:sz w:val="20"/>
          <w:szCs w:val="20"/>
          <w:u w:val="single" w:color="auto"/>
          <w:color w:val="auto"/>
        </w:rPr>
        <w:t>Changes in and Disagreements With Accountants on Accounting and Financial Disclosure</w:t>
      </w:r>
      <w:r>
        <w:rPr>
          <w:sz w:val="20"/>
          <w:szCs w:val="20"/>
          <w:color w:val="auto"/>
        </w:rPr>
        <w:tab/>
      </w:r>
      <w:r>
        <w:rPr>
          <w:rFonts w:ascii="Arial" w:cs="Arial" w:eastAsia="Arial" w:hAnsi="Arial"/>
          <w:sz w:val="17"/>
          <w:szCs w:val="17"/>
          <w:u w:val="single" w:color="auto"/>
          <w:color w:val="auto"/>
        </w:rPr>
        <w:t>191</w:t>
      </w:r>
    </w:p>
    <w:p>
      <w:pPr>
        <w:spacing w:after="0" w:line="64" w:lineRule="exact"/>
        <w:rPr>
          <w:sz w:val="20"/>
          <w:szCs w:val="20"/>
          <w:color w:val="auto"/>
        </w:rPr>
      </w:pPr>
    </w:p>
    <w:p>
      <w:pPr>
        <w:spacing w:after="0"/>
        <w:tabs>
          <w:tab w:leader="dot" w:pos="8220" w:val="left"/>
        </w:tabs>
        <w:rPr>
          <w:sz w:val="20"/>
          <w:szCs w:val="20"/>
          <w:color w:val="auto"/>
        </w:rPr>
      </w:pPr>
      <w:r>
        <w:rPr>
          <w:rFonts w:ascii="Arial" w:cs="Arial" w:eastAsia="Arial" w:hAnsi="Arial"/>
          <w:sz w:val="20"/>
          <w:szCs w:val="20"/>
          <w:u w:val="single" w:color="auto"/>
          <w:color w:val="auto"/>
        </w:rPr>
        <w:t>Controls and Procedures</w:t>
      </w:r>
      <w:r>
        <w:rPr>
          <w:sz w:val="20"/>
          <w:szCs w:val="20"/>
          <w:color w:val="auto"/>
        </w:rPr>
        <w:tab/>
      </w:r>
      <w:r>
        <w:rPr>
          <w:rFonts w:ascii="Arial" w:cs="Arial" w:eastAsia="Arial" w:hAnsi="Arial"/>
          <w:sz w:val="17"/>
          <w:szCs w:val="17"/>
          <w:u w:val="single" w:color="auto"/>
          <w:color w:val="auto"/>
        </w:rPr>
        <w:t>191</w:t>
      </w:r>
    </w:p>
    <w:p>
      <w:pPr>
        <w:spacing w:after="0" w:line="64" w:lineRule="exact"/>
        <w:rPr>
          <w:sz w:val="20"/>
          <w:szCs w:val="20"/>
          <w:color w:val="auto"/>
        </w:rPr>
      </w:pPr>
    </w:p>
    <w:p>
      <w:pPr>
        <w:spacing w:after="0"/>
        <w:tabs>
          <w:tab w:leader="dot" w:pos="8220" w:val="left"/>
        </w:tabs>
        <w:rPr>
          <w:sz w:val="20"/>
          <w:szCs w:val="20"/>
          <w:color w:val="auto"/>
        </w:rPr>
      </w:pPr>
      <w:r>
        <w:rPr>
          <w:rFonts w:ascii="Arial" w:cs="Arial" w:eastAsia="Arial" w:hAnsi="Arial"/>
          <w:sz w:val="20"/>
          <w:szCs w:val="20"/>
          <w:u w:val="single" w:color="auto"/>
          <w:color w:val="auto"/>
        </w:rPr>
        <w:t>Other Information</w:t>
      </w:r>
      <w:r>
        <w:rPr>
          <w:sz w:val="20"/>
          <w:szCs w:val="20"/>
          <w:color w:val="auto"/>
        </w:rPr>
        <w:tab/>
      </w:r>
      <w:r>
        <w:rPr>
          <w:rFonts w:ascii="Arial" w:cs="Arial" w:eastAsia="Arial" w:hAnsi="Arial"/>
          <w:sz w:val="17"/>
          <w:szCs w:val="17"/>
          <w:u w:val="single" w:color="auto"/>
          <w:color w:val="auto"/>
        </w:rPr>
        <w:t>191</w:t>
      </w:r>
    </w:p>
    <w:p>
      <w:pPr>
        <w:spacing w:after="0" w:line="49" w:lineRule="exact"/>
        <w:rPr>
          <w:sz w:val="20"/>
          <w:szCs w:val="20"/>
          <w:color w:val="auto"/>
        </w:rPr>
      </w:pPr>
    </w:p>
    <w:p>
      <w:pPr>
        <w:spacing w:after="0"/>
        <w:tabs>
          <w:tab w:leader="dot" w:pos="8220" w:val="left"/>
        </w:tabs>
        <w:rPr>
          <w:sz w:val="20"/>
          <w:szCs w:val="20"/>
          <w:color w:val="auto"/>
        </w:rPr>
      </w:pPr>
      <w:r>
        <w:rPr>
          <w:rFonts w:ascii="Arial" w:cs="Arial" w:eastAsia="Arial" w:hAnsi="Arial"/>
          <w:sz w:val="20"/>
          <w:szCs w:val="20"/>
          <w:u w:val="single" w:color="auto"/>
          <w:color w:val="auto"/>
        </w:rPr>
        <w:t>Disclosure Regarding Foreign Jurisdictions that Prevent Inspections</w:t>
      </w:r>
      <w:r>
        <w:rPr>
          <w:sz w:val="20"/>
          <w:szCs w:val="20"/>
          <w:color w:val="auto"/>
        </w:rPr>
        <w:tab/>
      </w:r>
      <w:r>
        <w:rPr>
          <w:rFonts w:ascii="Arial" w:cs="Arial" w:eastAsia="Arial" w:hAnsi="Arial"/>
          <w:sz w:val="17"/>
          <w:szCs w:val="17"/>
          <w:u w:val="single" w:color="auto"/>
          <w:color w:val="auto"/>
        </w:rPr>
        <w:t>191</w:t>
      </w:r>
    </w:p>
    <w:p>
      <w:pPr>
        <w:spacing w:after="0" w:line="89" w:lineRule="exact"/>
        <w:rPr>
          <w:sz w:val="20"/>
          <w:szCs w:val="20"/>
          <w:color w:val="auto"/>
        </w:rPr>
      </w:pPr>
    </w:p>
    <w:p>
      <w:pPr>
        <w:ind w:left="3480"/>
        <w:spacing w:after="0"/>
        <w:rPr>
          <w:sz w:val="20"/>
          <w:szCs w:val="20"/>
          <w:color w:val="auto"/>
        </w:rPr>
      </w:pPr>
      <w:r>
        <w:rPr>
          <w:rFonts w:ascii="Arial" w:cs="Arial" w:eastAsia="Arial" w:hAnsi="Arial"/>
          <w:sz w:val="20"/>
          <w:szCs w:val="20"/>
          <w:b w:val="1"/>
          <w:bCs w:val="1"/>
          <w:u w:val="single" w:color="auto"/>
          <w:color w:val="auto"/>
        </w:rPr>
        <w:t>PART III</w:t>
      </w:r>
    </w:p>
    <w:p>
      <w:pPr>
        <w:spacing w:after="0" w:line="68" w:lineRule="exact"/>
        <w:rPr>
          <w:sz w:val="20"/>
          <w:szCs w:val="20"/>
          <w:color w:val="auto"/>
        </w:rPr>
      </w:pPr>
    </w:p>
    <w:p>
      <w:pPr>
        <w:spacing w:after="0"/>
        <w:tabs>
          <w:tab w:leader="dot" w:pos="8220" w:val="left"/>
        </w:tabs>
        <w:rPr>
          <w:sz w:val="20"/>
          <w:szCs w:val="20"/>
          <w:color w:val="auto"/>
        </w:rPr>
      </w:pPr>
      <w:r>
        <w:rPr>
          <w:rFonts w:ascii="Arial" w:cs="Arial" w:eastAsia="Arial" w:hAnsi="Arial"/>
          <w:sz w:val="20"/>
          <w:szCs w:val="20"/>
          <w:u w:val="single" w:color="auto"/>
          <w:color w:val="auto"/>
        </w:rPr>
        <w:t>Directors and Executive Officers of the Registrant</w:t>
      </w:r>
      <w:r>
        <w:rPr>
          <w:sz w:val="20"/>
          <w:szCs w:val="20"/>
          <w:color w:val="auto"/>
        </w:rPr>
        <w:tab/>
      </w:r>
      <w:r>
        <w:rPr>
          <w:rFonts w:ascii="Arial" w:cs="Arial" w:eastAsia="Arial" w:hAnsi="Arial"/>
          <w:sz w:val="17"/>
          <w:szCs w:val="17"/>
          <w:u w:val="single" w:color="auto"/>
          <w:color w:val="auto"/>
        </w:rPr>
        <w:t>192</w:t>
      </w:r>
    </w:p>
    <w:p>
      <w:pPr>
        <w:spacing w:after="0" w:line="64" w:lineRule="exact"/>
        <w:rPr>
          <w:sz w:val="20"/>
          <w:szCs w:val="20"/>
          <w:color w:val="auto"/>
        </w:rPr>
      </w:pPr>
    </w:p>
    <w:p>
      <w:pPr>
        <w:spacing w:after="0"/>
        <w:tabs>
          <w:tab w:leader="dot" w:pos="8220" w:val="left"/>
        </w:tabs>
        <w:rPr>
          <w:sz w:val="20"/>
          <w:szCs w:val="20"/>
          <w:color w:val="auto"/>
        </w:rPr>
      </w:pPr>
      <w:r>
        <w:rPr>
          <w:rFonts w:ascii="Arial" w:cs="Arial" w:eastAsia="Arial" w:hAnsi="Arial"/>
          <w:sz w:val="20"/>
          <w:szCs w:val="20"/>
          <w:u w:val="single" w:color="auto"/>
          <w:color w:val="auto"/>
        </w:rPr>
        <w:t>Executive Compensation</w:t>
      </w:r>
      <w:r>
        <w:rPr>
          <w:sz w:val="20"/>
          <w:szCs w:val="20"/>
          <w:color w:val="auto"/>
        </w:rPr>
        <w:tab/>
      </w:r>
      <w:r>
        <w:rPr>
          <w:rFonts w:ascii="Arial" w:cs="Arial" w:eastAsia="Arial" w:hAnsi="Arial"/>
          <w:sz w:val="17"/>
          <w:szCs w:val="17"/>
          <w:u w:val="single" w:color="auto"/>
          <w:color w:val="auto"/>
        </w:rPr>
        <w:t>192</w:t>
      </w:r>
    </w:p>
    <w:p>
      <w:pPr>
        <w:spacing w:after="0" w:line="47"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Security Ownership of Certain Beneficial Owners and Management and Related Stockholder</w:t>
      </w:r>
    </w:p>
    <w:p>
      <w:pPr>
        <w:spacing w:after="0"/>
        <w:tabs>
          <w:tab w:leader="dot" w:pos="8220" w:val="left"/>
        </w:tabs>
        <w:rPr>
          <w:sz w:val="20"/>
          <w:szCs w:val="20"/>
          <w:color w:val="auto"/>
        </w:rPr>
      </w:pPr>
      <w:r>
        <w:rPr>
          <w:rFonts w:ascii="Arial" w:cs="Arial" w:eastAsia="Arial" w:hAnsi="Arial"/>
          <w:sz w:val="20"/>
          <w:szCs w:val="20"/>
          <w:u w:val="single" w:color="auto"/>
          <w:color w:val="auto"/>
        </w:rPr>
        <w:t>Matters</w:t>
      </w:r>
      <w:r>
        <w:rPr>
          <w:sz w:val="20"/>
          <w:szCs w:val="20"/>
          <w:color w:val="auto"/>
        </w:rPr>
        <w:tab/>
      </w:r>
      <w:r>
        <w:rPr>
          <w:rFonts w:ascii="Arial" w:cs="Arial" w:eastAsia="Arial" w:hAnsi="Arial"/>
          <w:sz w:val="17"/>
          <w:szCs w:val="17"/>
          <w:u w:val="single" w:color="auto"/>
          <w:color w:val="auto"/>
        </w:rPr>
        <w:t>192</w:t>
      </w:r>
    </w:p>
    <w:p>
      <w:pPr>
        <w:spacing w:after="0" w:line="42" w:lineRule="exact"/>
        <w:rPr>
          <w:sz w:val="20"/>
          <w:szCs w:val="20"/>
          <w:color w:val="auto"/>
        </w:rPr>
      </w:pPr>
    </w:p>
    <w:p>
      <w:pPr>
        <w:spacing w:after="0"/>
        <w:tabs>
          <w:tab w:leader="dot" w:pos="8220" w:val="left"/>
        </w:tabs>
        <w:rPr>
          <w:sz w:val="20"/>
          <w:szCs w:val="20"/>
          <w:color w:val="auto"/>
        </w:rPr>
      </w:pPr>
      <w:r>
        <w:rPr>
          <w:rFonts w:ascii="Arial" w:cs="Arial" w:eastAsia="Arial" w:hAnsi="Arial"/>
          <w:sz w:val="20"/>
          <w:szCs w:val="20"/>
          <w:u w:val="single" w:color="auto"/>
          <w:color w:val="auto"/>
        </w:rPr>
        <w:t>Certain Relationships and Related Transactions, and Director Independence</w:t>
      </w:r>
      <w:r>
        <w:rPr>
          <w:sz w:val="20"/>
          <w:szCs w:val="20"/>
          <w:color w:val="auto"/>
        </w:rPr>
        <w:tab/>
      </w:r>
      <w:r>
        <w:rPr>
          <w:rFonts w:ascii="Arial" w:cs="Arial" w:eastAsia="Arial" w:hAnsi="Arial"/>
          <w:sz w:val="17"/>
          <w:szCs w:val="17"/>
          <w:u w:val="single" w:color="auto"/>
          <w:color w:val="auto"/>
        </w:rPr>
        <w:t>192</w:t>
      </w:r>
    </w:p>
    <w:p>
      <w:pPr>
        <w:spacing w:after="0" w:line="64" w:lineRule="exact"/>
        <w:rPr>
          <w:sz w:val="20"/>
          <w:szCs w:val="20"/>
          <w:color w:val="auto"/>
        </w:rPr>
      </w:pPr>
    </w:p>
    <w:p>
      <w:pPr>
        <w:spacing w:after="0"/>
        <w:tabs>
          <w:tab w:leader="dot" w:pos="8220" w:val="left"/>
        </w:tabs>
        <w:rPr>
          <w:sz w:val="20"/>
          <w:szCs w:val="20"/>
          <w:color w:val="auto"/>
        </w:rPr>
      </w:pPr>
      <w:r>
        <w:rPr>
          <w:rFonts w:ascii="Arial" w:cs="Arial" w:eastAsia="Arial" w:hAnsi="Arial"/>
          <w:sz w:val="20"/>
          <w:szCs w:val="20"/>
          <w:u w:val="single" w:color="auto"/>
          <w:color w:val="auto"/>
        </w:rPr>
        <w:t>Principal Accounting Fees and Services</w:t>
      </w:r>
      <w:r>
        <w:rPr>
          <w:sz w:val="20"/>
          <w:szCs w:val="20"/>
          <w:color w:val="auto"/>
        </w:rPr>
        <w:tab/>
      </w:r>
      <w:r>
        <w:rPr>
          <w:rFonts w:ascii="Arial" w:cs="Arial" w:eastAsia="Arial" w:hAnsi="Arial"/>
          <w:sz w:val="17"/>
          <w:szCs w:val="17"/>
          <w:u w:val="single" w:color="auto"/>
          <w:color w:val="auto"/>
        </w:rPr>
        <w:t>192</w:t>
      </w:r>
    </w:p>
    <w:p>
      <w:pPr>
        <w:spacing w:after="0" w:line="89" w:lineRule="exact"/>
        <w:rPr>
          <w:sz w:val="20"/>
          <w:szCs w:val="20"/>
          <w:color w:val="auto"/>
        </w:rPr>
      </w:pPr>
    </w:p>
    <w:p>
      <w:pPr>
        <w:ind w:left="3480"/>
        <w:spacing w:after="0"/>
        <w:rPr>
          <w:sz w:val="20"/>
          <w:szCs w:val="20"/>
          <w:color w:val="auto"/>
        </w:rPr>
      </w:pPr>
      <w:r>
        <w:rPr>
          <w:rFonts w:ascii="Arial" w:cs="Arial" w:eastAsia="Arial" w:hAnsi="Arial"/>
          <w:sz w:val="20"/>
          <w:szCs w:val="20"/>
          <w:b w:val="1"/>
          <w:bCs w:val="1"/>
          <w:u w:val="single" w:color="auto"/>
          <w:color w:val="auto"/>
        </w:rPr>
        <w:t>PART IV</w:t>
      </w:r>
    </w:p>
    <w:p>
      <w:pPr>
        <w:spacing w:after="0" w:line="68" w:lineRule="exact"/>
        <w:rPr>
          <w:sz w:val="20"/>
          <w:szCs w:val="20"/>
          <w:color w:val="auto"/>
        </w:rPr>
      </w:pPr>
    </w:p>
    <w:p>
      <w:pPr>
        <w:spacing w:after="0"/>
        <w:tabs>
          <w:tab w:leader="dot" w:pos="8220" w:val="left"/>
        </w:tabs>
        <w:rPr>
          <w:sz w:val="20"/>
          <w:szCs w:val="20"/>
          <w:color w:val="auto"/>
        </w:rPr>
      </w:pPr>
      <w:r>
        <w:rPr>
          <w:rFonts w:ascii="Arial" w:cs="Arial" w:eastAsia="Arial" w:hAnsi="Arial"/>
          <w:sz w:val="20"/>
          <w:szCs w:val="20"/>
          <w:u w:val="single" w:color="auto"/>
          <w:color w:val="auto"/>
        </w:rPr>
        <w:t>Exhibits, Financial Statement Schedules</w:t>
      </w:r>
      <w:r>
        <w:rPr>
          <w:sz w:val="20"/>
          <w:szCs w:val="20"/>
          <w:color w:val="auto"/>
        </w:rPr>
        <w:tab/>
      </w:r>
      <w:r>
        <w:rPr>
          <w:rFonts w:ascii="Arial" w:cs="Arial" w:eastAsia="Arial" w:hAnsi="Arial"/>
          <w:sz w:val="17"/>
          <w:szCs w:val="17"/>
          <w:u w:val="single" w:color="auto"/>
          <w:color w:val="auto"/>
        </w:rPr>
        <w:t>193</w:t>
      </w:r>
    </w:p>
    <w:p>
      <w:pPr>
        <w:spacing w:after="0" w:line="49" w:lineRule="exact"/>
        <w:rPr>
          <w:sz w:val="20"/>
          <w:szCs w:val="20"/>
          <w:color w:val="auto"/>
        </w:rPr>
      </w:pPr>
    </w:p>
    <w:p>
      <w:pPr>
        <w:spacing w:after="0"/>
        <w:tabs>
          <w:tab w:leader="dot" w:pos="8220" w:val="left"/>
        </w:tabs>
        <w:rPr>
          <w:sz w:val="20"/>
          <w:szCs w:val="20"/>
          <w:color w:val="auto"/>
        </w:rPr>
      </w:pPr>
      <w:r>
        <w:rPr>
          <w:rFonts w:ascii="Arial" w:cs="Arial" w:eastAsia="Arial" w:hAnsi="Arial"/>
          <w:sz w:val="20"/>
          <w:szCs w:val="20"/>
          <w:u w:val="single" w:color="auto"/>
          <w:color w:val="auto"/>
        </w:rPr>
        <w:t>Summary</w:t>
      </w:r>
      <w:r>
        <w:rPr>
          <w:sz w:val="20"/>
          <w:szCs w:val="20"/>
          <w:color w:val="auto"/>
        </w:rPr>
        <w:tab/>
      </w:r>
      <w:r>
        <w:rPr>
          <w:rFonts w:ascii="Arial" w:cs="Arial" w:eastAsia="Arial" w:hAnsi="Arial"/>
          <w:sz w:val="17"/>
          <w:szCs w:val="17"/>
          <w:u w:val="single" w:color="auto"/>
          <w:color w:val="auto"/>
        </w:rPr>
        <w:t>199</w:t>
      </w:r>
    </w:p>
    <w:p>
      <w:pPr>
        <w:spacing w:after="0" w:line="200" w:lineRule="exact"/>
        <w:rPr>
          <w:sz w:val="20"/>
          <w:szCs w:val="20"/>
          <w:color w:val="auto"/>
        </w:rPr>
      </w:pPr>
    </w:p>
    <w:p>
      <w:pPr>
        <w:sectPr>
          <w:pgSz w:w="11880" w:h="15480" w:orient="portrait"/>
          <w:cols w:equalWidth="0" w:num="2">
            <w:col w:w="700" w:space="380"/>
            <w:col w:w="8700"/>
          </w:cols>
          <w:pgMar w:left="960" w:top="633" w:right="11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179"/>
        <w:spacing w:after="0"/>
        <w:rPr>
          <w:sz w:val="20"/>
          <w:szCs w:val="20"/>
          <w:color w:val="auto"/>
        </w:rPr>
      </w:pPr>
      <w:r>
        <w:rPr>
          <w:rFonts w:ascii="Arial" w:cs="Arial" w:eastAsia="Arial" w:hAnsi="Arial"/>
          <w:sz w:val="14"/>
          <w:szCs w:val="14"/>
          <w:color w:val="auto"/>
        </w:rPr>
        <w:t>1</w:t>
      </w:r>
    </w:p>
    <w:p>
      <w:pPr>
        <w:sectPr>
          <w:pgSz w:w="11880" w:h="15480" w:orient="portrait"/>
          <w:cols w:equalWidth="0" w:num="1">
            <w:col w:w="9780"/>
          </w:cols>
          <w:pgMar w:left="960" w:top="633" w:right="1140" w:bottom="0" w:gutter="0" w:footer="0" w:header="0"/>
          <w:type w:val="continuous"/>
        </w:sectPr>
      </w:pPr>
    </w:p>
    <w:bookmarkStart w:id="13" w:name="page14"/>
    <w:bookmarkEnd w:id="13"/>
    <w:p>
      <w:pPr>
        <w:jc w:val="center"/>
        <w:spacing w:after="0"/>
        <w:rPr>
          <w:sz w:val="20"/>
          <w:szCs w:val="20"/>
          <w:color w:val="auto"/>
        </w:rPr>
      </w:pPr>
      <w:r>
        <w:rPr>
          <w:rFonts w:ascii="Arial" w:cs="Arial" w:eastAsia="Arial" w:hAnsi="Arial"/>
          <w:sz w:val="20"/>
          <w:szCs w:val="20"/>
          <w:b w:val="1"/>
          <w:bCs w:val="1"/>
          <w:color w:val="auto"/>
        </w:rPr>
        <w:t>PART I</w:t>
      </w:r>
    </w:p>
    <w:p>
      <w:pPr>
        <w:spacing w:after="0" w:line="12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Risk Factor Summary</w:t>
      </w:r>
    </w:p>
    <w:p>
      <w:pPr>
        <w:spacing w:after="0" w:line="123" w:lineRule="exact"/>
        <w:rPr>
          <w:sz w:val="20"/>
          <w:szCs w:val="20"/>
          <w:color w:val="auto"/>
        </w:rPr>
      </w:pPr>
    </w:p>
    <w:p>
      <w:pPr>
        <w:ind w:left="340"/>
        <w:spacing w:after="0"/>
        <w:rPr>
          <w:sz w:val="20"/>
          <w:szCs w:val="20"/>
          <w:color w:val="auto"/>
        </w:rPr>
      </w:pPr>
      <w:r>
        <w:rPr>
          <w:rFonts w:ascii="Arial" w:cs="Arial" w:eastAsia="Arial" w:hAnsi="Arial"/>
          <w:sz w:val="20"/>
          <w:szCs w:val="20"/>
          <w:b w:val="1"/>
          <w:bCs w:val="1"/>
          <w:i w:val="1"/>
          <w:iCs w:val="1"/>
          <w:color w:val="auto"/>
        </w:rPr>
        <w:t>Risk Factors Relating to Market Conditions</w:t>
      </w:r>
    </w:p>
    <w:p>
      <w:pPr>
        <w:spacing w:after="0" w:line="130" w:lineRule="exact"/>
        <w:rPr>
          <w:sz w:val="20"/>
          <w:szCs w:val="20"/>
          <w:color w:val="auto"/>
        </w:rPr>
      </w:pPr>
    </w:p>
    <w:p>
      <w:pPr>
        <w:ind w:left="700" w:hanging="355"/>
        <w:spacing w:after="0" w:line="271" w:lineRule="auto"/>
        <w:tabs>
          <w:tab w:leader="none" w:pos="700" w:val="left"/>
        </w:tabs>
        <w:numPr>
          <w:ilvl w:val="0"/>
          <w:numId w:val="4"/>
        </w:numPr>
        <w:rPr>
          <w:rFonts w:ascii="Arial" w:cs="Arial" w:eastAsia="Arial" w:hAnsi="Arial"/>
          <w:sz w:val="20"/>
          <w:szCs w:val="20"/>
          <w:color w:val="auto"/>
        </w:rPr>
      </w:pPr>
      <w:r>
        <w:rPr>
          <w:rFonts w:ascii="Arial" w:cs="Arial" w:eastAsia="Arial" w:hAnsi="Arial"/>
          <w:sz w:val="20"/>
          <w:szCs w:val="20"/>
          <w:color w:val="auto"/>
        </w:rPr>
        <w:t>If economic and credit market conditions deteriorate, it could have a material adverse impact on our investment portfolio and could also cause our stock price to fluctuate significantly.</w:t>
      </w:r>
    </w:p>
    <w:p>
      <w:pPr>
        <w:spacing w:after="0" w:line="68" w:lineRule="exact"/>
        <w:rPr>
          <w:rFonts w:ascii="Arial" w:cs="Arial" w:eastAsia="Arial" w:hAnsi="Arial"/>
          <w:sz w:val="20"/>
          <w:szCs w:val="20"/>
          <w:color w:val="auto"/>
        </w:rPr>
      </w:pPr>
    </w:p>
    <w:p>
      <w:pPr>
        <w:ind w:left="700" w:hanging="355"/>
        <w:spacing w:after="0"/>
        <w:tabs>
          <w:tab w:leader="none" w:pos="700" w:val="left"/>
        </w:tabs>
        <w:numPr>
          <w:ilvl w:val="0"/>
          <w:numId w:val="4"/>
        </w:numPr>
        <w:rPr>
          <w:rFonts w:ascii="Arial" w:cs="Arial" w:eastAsia="Arial" w:hAnsi="Arial"/>
          <w:sz w:val="17"/>
          <w:szCs w:val="17"/>
          <w:color w:val="auto"/>
        </w:rPr>
      </w:pPr>
      <w:r>
        <w:rPr>
          <w:rFonts w:ascii="Arial" w:cs="Arial" w:eastAsia="Arial" w:hAnsi="Arial"/>
          <w:sz w:val="17"/>
          <w:szCs w:val="17"/>
          <w:color w:val="auto"/>
        </w:rPr>
        <w:t>Conditions in the economy generally could adversely affect our business, results of operations, and financial condition.</w:t>
      </w:r>
    </w:p>
    <w:p>
      <w:pPr>
        <w:spacing w:after="0" w:line="157" w:lineRule="exact"/>
        <w:rPr>
          <w:rFonts w:ascii="Arial" w:cs="Arial" w:eastAsia="Arial" w:hAnsi="Arial"/>
          <w:sz w:val="17"/>
          <w:szCs w:val="17"/>
          <w:color w:val="auto"/>
        </w:rPr>
      </w:pPr>
    </w:p>
    <w:p>
      <w:pPr>
        <w:ind w:left="700" w:hanging="355"/>
        <w:spacing w:after="0" w:line="271" w:lineRule="auto"/>
        <w:tabs>
          <w:tab w:leader="none" w:pos="700" w:val="left"/>
        </w:tabs>
        <w:numPr>
          <w:ilvl w:val="0"/>
          <w:numId w:val="4"/>
        </w:numPr>
        <w:rPr>
          <w:rFonts w:ascii="Arial" w:cs="Arial" w:eastAsia="Arial" w:hAnsi="Arial"/>
          <w:sz w:val="20"/>
          <w:szCs w:val="20"/>
          <w:color w:val="auto"/>
        </w:rPr>
      </w:pPr>
      <w:r>
        <w:rPr>
          <w:rFonts w:ascii="Arial" w:cs="Arial" w:eastAsia="Arial" w:hAnsi="Arial"/>
          <w:sz w:val="20"/>
          <w:szCs w:val="20"/>
          <w:color w:val="auto"/>
        </w:rPr>
        <w:t>Our investments are subject to market and credit risks. These risks could be heightened during periods of extreme volatility or disruption in financial and credit markets.</w:t>
      </w:r>
    </w:p>
    <w:p>
      <w:pPr>
        <w:spacing w:after="0" w:line="68" w:lineRule="exact"/>
        <w:rPr>
          <w:rFonts w:ascii="Arial" w:cs="Arial" w:eastAsia="Arial" w:hAnsi="Arial"/>
          <w:sz w:val="20"/>
          <w:szCs w:val="20"/>
          <w:color w:val="auto"/>
        </w:rPr>
      </w:pPr>
    </w:p>
    <w:p>
      <w:pPr>
        <w:ind w:left="700" w:hanging="355"/>
        <w:spacing w:after="0"/>
        <w:tabs>
          <w:tab w:leader="none" w:pos="700" w:val="left"/>
        </w:tabs>
        <w:numPr>
          <w:ilvl w:val="0"/>
          <w:numId w:val="4"/>
        </w:numPr>
        <w:rPr>
          <w:rFonts w:ascii="Arial" w:cs="Arial" w:eastAsia="Arial" w:hAnsi="Arial"/>
          <w:sz w:val="20"/>
          <w:szCs w:val="20"/>
          <w:color w:val="auto"/>
        </w:rPr>
      </w:pPr>
      <w:r>
        <w:rPr>
          <w:rFonts w:ascii="Arial" w:cs="Arial" w:eastAsia="Arial" w:hAnsi="Arial"/>
          <w:sz w:val="20"/>
          <w:szCs w:val="20"/>
          <w:color w:val="auto"/>
        </w:rPr>
        <w:t>If adverse changes in the levels of real estate activity occur, our revenues may decline.</w:t>
      </w:r>
    </w:p>
    <w:p>
      <w:pPr>
        <w:spacing w:after="0" w:line="122" w:lineRule="exact"/>
        <w:rPr>
          <w:rFonts w:ascii="Arial" w:cs="Arial" w:eastAsia="Arial" w:hAnsi="Arial"/>
          <w:sz w:val="20"/>
          <w:szCs w:val="20"/>
          <w:color w:val="auto"/>
        </w:rPr>
      </w:pPr>
    </w:p>
    <w:p>
      <w:pPr>
        <w:ind w:left="700" w:hanging="355"/>
        <w:spacing w:after="0" w:line="271" w:lineRule="auto"/>
        <w:tabs>
          <w:tab w:leader="none" w:pos="700" w:val="left"/>
        </w:tabs>
        <w:numPr>
          <w:ilvl w:val="0"/>
          <w:numId w:val="4"/>
        </w:numPr>
        <w:rPr>
          <w:rFonts w:ascii="Arial" w:cs="Arial" w:eastAsia="Arial" w:hAnsi="Arial"/>
          <w:sz w:val="20"/>
          <w:szCs w:val="20"/>
          <w:color w:val="auto"/>
        </w:rPr>
      </w:pPr>
      <w:r>
        <w:rPr>
          <w:rFonts w:ascii="Arial" w:cs="Arial" w:eastAsia="Arial" w:hAnsi="Arial"/>
          <w:sz w:val="20"/>
          <w:szCs w:val="20"/>
          <w:color w:val="auto"/>
        </w:rPr>
        <w:t>Interest rate fluctuations could adversely affect our business, financial condition, liquidity, results of operations, and cash flows.</w:t>
      </w:r>
    </w:p>
    <w:p>
      <w:pPr>
        <w:spacing w:after="0" w:line="61" w:lineRule="exact"/>
        <w:rPr>
          <w:sz w:val="20"/>
          <w:szCs w:val="20"/>
          <w:color w:val="auto"/>
        </w:rPr>
      </w:pPr>
    </w:p>
    <w:p>
      <w:pPr>
        <w:ind w:left="340"/>
        <w:spacing w:after="0"/>
        <w:rPr>
          <w:sz w:val="20"/>
          <w:szCs w:val="20"/>
          <w:color w:val="auto"/>
        </w:rPr>
      </w:pPr>
      <w:r>
        <w:rPr>
          <w:rFonts w:ascii="Arial" w:cs="Arial" w:eastAsia="Arial" w:hAnsi="Arial"/>
          <w:sz w:val="20"/>
          <w:szCs w:val="20"/>
          <w:b w:val="1"/>
          <w:bCs w:val="1"/>
          <w:i w:val="1"/>
          <w:iCs w:val="1"/>
          <w:color w:val="auto"/>
        </w:rPr>
        <w:t>Risk Factors Relating to Our Business</w:t>
      </w:r>
    </w:p>
    <w:p>
      <w:pPr>
        <w:spacing w:after="0" w:line="130" w:lineRule="exact"/>
        <w:rPr>
          <w:sz w:val="20"/>
          <w:szCs w:val="20"/>
          <w:color w:val="auto"/>
        </w:rPr>
      </w:pPr>
    </w:p>
    <w:p>
      <w:pPr>
        <w:ind w:left="700" w:hanging="355"/>
        <w:spacing w:after="0" w:line="271" w:lineRule="auto"/>
        <w:tabs>
          <w:tab w:leader="none" w:pos="700" w:val="left"/>
        </w:tabs>
        <w:numPr>
          <w:ilvl w:val="0"/>
          <w:numId w:val="5"/>
        </w:numPr>
        <w:rPr>
          <w:rFonts w:ascii="Arial" w:cs="Arial" w:eastAsia="Arial" w:hAnsi="Arial"/>
          <w:sz w:val="20"/>
          <w:szCs w:val="20"/>
          <w:color w:val="auto"/>
        </w:rPr>
      </w:pPr>
      <w:r>
        <w:rPr>
          <w:rFonts w:ascii="Arial" w:cs="Arial" w:eastAsia="Arial" w:hAnsi="Arial"/>
          <w:sz w:val="20"/>
          <w:szCs w:val="20"/>
          <w:color w:val="auto"/>
        </w:rPr>
        <w:t>We have recorded goodwill as a result of prior acquisitions, and an economic downturn could cause these balances to become impaired, requiring write-downs that would reduce our operating income.</w:t>
      </w:r>
    </w:p>
    <w:p>
      <w:pPr>
        <w:spacing w:after="0" w:line="68" w:lineRule="exact"/>
        <w:rPr>
          <w:rFonts w:ascii="Arial" w:cs="Arial" w:eastAsia="Arial" w:hAnsi="Arial"/>
          <w:sz w:val="20"/>
          <w:szCs w:val="20"/>
          <w:color w:val="auto"/>
        </w:rPr>
      </w:pPr>
    </w:p>
    <w:p>
      <w:pPr>
        <w:jc w:val="both"/>
        <w:ind w:left="700" w:hanging="355"/>
        <w:spacing w:after="0" w:line="258" w:lineRule="auto"/>
        <w:tabs>
          <w:tab w:leader="none" w:pos="700" w:val="left"/>
        </w:tabs>
        <w:numPr>
          <w:ilvl w:val="0"/>
          <w:numId w:val="5"/>
        </w:numPr>
        <w:rPr>
          <w:rFonts w:ascii="Arial" w:cs="Arial" w:eastAsia="Arial" w:hAnsi="Arial"/>
          <w:sz w:val="20"/>
          <w:szCs w:val="20"/>
          <w:color w:val="auto"/>
        </w:rPr>
      </w:pPr>
      <w:r>
        <w:rPr>
          <w:rFonts w:ascii="Arial" w:cs="Arial" w:eastAsia="Arial" w:hAnsi="Arial"/>
          <w:sz w:val="20"/>
          <w:szCs w:val="20"/>
          <w:color w:val="auto"/>
        </w:rPr>
        <w:t>Our substantial indebtedness could adversely affect our ability to raise additional capital to fund our operations, limit our ability to react to changes in the economy or our industry and prevent us from meeting our obligations under our indebtedness.</w:t>
      </w:r>
    </w:p>
    <w:p>
      <w:pPr>
        <w:spacing w:after="0" w:line="81" w:lineRule="exact"/>
        <w:rPr>
          <w:rFonts w:ascii="Arial" w:cs="Arial" w:eastAsia="Arial" w:hAnsi="Arial"/>
          <w:sz w:val="20"/>
          <w:szCs w:val="20"/>
          <w:color w:val="auto"/>
        </w:rPr>
      </w:pPr>
    </w:p>
    <w:p>
      <w:pPr>
        <w:ind w:left="700" w:hanging="355"/>
        <w:spacing w:after="0"/>
        <w:tabs>
          <w:tab w:leader="none" w:pos="700" w:val="left"/>
        </w:tabs>
        <w:numPr>
          <w:ilvl w:val="0"/>
          <w:numId w:val="5"/>
        </w:numPr>
        <w:rPr>
          <w:rFonts w:ascii="Arial" w:cs="Arial" w:eastAsia="Arial" w:hAnsi="Arial"/>
          <w:sz w:val="20"/>
          <w:szCs w:val="20"/>
          <w:color w:val="auto"/>
        </w:rPr>
      </w:pPr>
      <w:r>
        <w:rPr>
          <w:rFonts w:ascii="Arial" w:cs="Arial" w:eastAsia="Arial" w:hAnsi="Arial"/>
          <w:sz w:val="20"/>
          <w:szCs w:val="20"/>
          <w:color w:val="auto"/>
        </w:rPr>
        <w:t>We may face losses if our actual experience differs significantly from our reserve assumptions.</w:t>
      </w:r>
    </w:p>
    <w:p>
      <w:pPr>
        <w:spacing w:after="0" w:line="122" w:lineRule="exact"/>
        <w:rPr>
          <w:rFonts w:ascii="Arial" w:cs="Arial" w:eastAsia="Arial" w:hAnsi="Arial"/>
          <w:sz w:val="20"/>
          <w:szCs w:val="20"/>
          <w:color w:val="auto"/>
        </w:rPr>
      </w:pPr>
    </w:p>
    <w:p>
      <w:pPr>
        <w:ind w:left="700" w:hanging="355"/>
        <w:spacing w:after="0" w:line="271" w:lineRule="auto"/>
        <w:tabs>
          <w:tab w:leader="none" w:pos="700" w:val="left"/>
        </w:tabs>
        <w:numPr>
          <w:ilvl w:val="0"/>
          <w:numId w:val="5"/>
        </w:numPr>
        <w:rPr>
          <w:rFonts w:ascii="Arial" w:cs="Arial" w:eastAsia="Arial" w:hAnsi="Arial"/>
          <w:sz w:val="20"/>
          <w:szCs w:val="20"/>
          <w:color w:val="auto"/>
        </w:rPr>
      </w:pPr>
      <w:r>
        <w:rPr>
          <w:rFonts w:ascii="Arial" w:cs="Arial" w:eastAsia="Arial" w:hAnsi="Arial"/>
          <w:sz w:val="20"/>
          <w:szCs w:val="20"/>
          <w:color w:val="auto"/>
        </w:rPr>
        <w:t>If we are unable to attract and retain national marketing organizations and independent agents, sales of our products may be reduced.</w:t>
      </w:r>
    </w:p>
    <w:p>
      <w:pPr>
        <w:spacing w:after="0" w:line="68" w:lineRule="exact"/>
        <w:rPr>
          <w:rFonts w:ascii="Arial" w:cs="Arial" w:eastAsia="Arial" w:hAnsi="Arial"/>
          <w:sz w:val="20"/>
          <w:szCs w:val="20"/>
          <w:color w:val="auto"/>
        </w:rPr>
      </w:pPr>
    </w:p>
    <w:p>
      <w:pPr>
        <w:ind w:left="700" w:hanging="355"/>
        <w:spacing w:after="0" w:line="271" w:lineRule="auto"/>
        <w:tabs>
          <w:tab w:leader="none" w:pos="700" w:val="left"/>
        </w:tabs>
        <w:numPr>
          <w:ilvl w:val="0"/>
          <w:numId w:val="5"/>
        </w:numPr>
        <w:rPr>
          <w:rFonts w:ascii="Arial" w:cs="Arial" w:eastAsia="Arial" w:hAnsi="Arial"/>
          <w:sz w:val="20"/>
          <w:szCs w:val="20"/>
          <w:color w:val="auto"/>
        </w:rPr>
      </w:pPr>
      <w:r>
        <w:rPr>
          <w:rFonts w:ascii="Arial" w:cs="Arial" w:eastAsia="Arial" w:hAnsi="Arial"/>
          <w:sz w:val="20"/>
          <w:szCs w:val="20"/>
          <w:color w:val="auto"/>
        </w:rPr>
        <w:t>Failure of our enterprise-wide risk management processes could result in unexpected monetary losses, damage to our reputation, additional costs or impairment of our ability to conduct business effectively.</w:t>
      </w:r>
    </w:p>
    <w:p>
      <w:pPr>
        <w:spacing w:after="0" w:line="68" w:lineRule="exact"/>
        <w:rPr>
          <w:rFonts w:ascii="Arial" w:cs="Arial" w:eastAsia="Arial" w:hAnsi="Arial"/>
          <w:sz w:val="20"/>
          <w:szCs w:val="20"/>
          <w:color w:val="auto"/>
        </w:rPr>
      </w:pPr>
    </w:p>
    <w:p>
      <w:pPr>
        <w:ind w:left="700" w:hanging="355"/>
        <w:spacing w:after="0" w:line="360" w:lineRule="auto"/>
        <w:tabs>
          <w:tab w:leader="none" w:pos="700" w:val="left"/>
        </w:tabs>
        <w:numPr>
          <w:ilvl w:val="0"/>
          <w:numId w:val="5"/>
        </w:numPr>
        <w:rPr>
          <w:rFonts w:ascii="Arial" w:cs="Arial" w:eastAsia="Arial" w:hAnsi="Arial"/>
          <w:sz w:val="17"/>
          <w:szCs w:val="17"/>
          <w:color w:val="auto"/>
        </w:rPr>
      </w:pPr>
      <w:r>
        <w:rPr>
          <w:rFonts w:ascii="Arial" w:cs="Arial" w:eastAsia="Arial" w:hAnsi="Arial"/>
          <w:sz w:val="17"/>
          <w:szCs w:val="17"/>
          <w:color w:val="auto"/>
        </w:rPr>
        <w:t>If we experience changes in the rate or severity of title insurance claims, it may be necessary for us to record additional charges to our claim loss reserve. This may result in lower net earnings and the potential for earnings volatility.</w:t>
      </w:r>
    </w:p>
    <w:p>
      <w:pPr>
        <w:spacing w:after="0" w:line="1" w:lineRule="exact"/>
        <w:rPr>
          <w:rFonts w:ascii="Arial" w:cs="Arial" w:eastAsia="Arial" w:hAnsi="Arial"/>
          <w:sz w:val="17"/>
          <w:szCs w:val="17"/>
          <w:color w:val="auto"/>
        </w:rPr>
      </w:pPr>
    </w:p>
    <w:p>
      <w:pPr>
        <w:ind w:left="700" w:hanging="355"/>
        <w:spacing w:after="0" w:line="271" w:lineRule="auto"/>
        <w:tabs>
          <w:tab w:leader="none" w:pos="700" w:val="left"/>
        </w:tabs>
        <w:numPr>
          <w:ilvl w:val="0"/>
          <w:numId w:val="5"/>
        </w:numPr>
        <w:rPr>
          <w:rFonts w:ascii="Arial" w:cs="Arial" w:eastAsia="Arial" w:hAnsi="Arial"/>
          <w:sz w:val="20"/>
          <w:szCs w:val="20"/>
          <w:color w:val="auto"/>
        </w:rPr>
      </w:pPr>
      <w:r>
        <w:rPr>
          <w:rFonts w:ascii="Arial" w:cs="Arial" w:eastAsia="Arial" w:hAnsi="Arial"/>
          <w:sz w:val="20"/>
          <w:szCs w:val="20"/>
          <w:color w:val="auto"/>
        </w:rPr>
        <w:t>Changes in the Company’s dealings with large mortgage lenders, servicers, or government-sponsored enterprises could adversely affect our title insurance and mortgage servicing subsidiaries.</w:t>
      </w:r>
    </w:p>
    <w:p>
      <w:pPr>
        <w:spacing w:after="0" w:line="68" w:lineRule="exact"/>
        <w:rPr>
          <w:rFonts w:ascii="Arial" w:cs="Arial" w:eastAsia="Arial" w:hAnsi="Arial"/>
          <w:sz w:val="20"/>
          <w:szCs w:val="20"/>
          <w:color w:val="auto"/>
        </w:rPr>
      </w:pPr>
    </w:p>
    <w:p>
      <w:pPr>
        <w:ind w:left="700" w:hanging="355"/>
        <w:spacing w:after="0" w:line="271" w:lineRule="auto"/>
        <w:tabs>
          <w:tab w:leader="none" w:pos="700" w:val="left"/>
        </w:tabs>
        <w:numPr>
          <w:ilvl w:val="0"/>
          <w:numId w:val="5"/>
        </w:numPr>
        <w:rPr>
          <w:rFonts w:ascii="Arial" w:cs="Arial" w:eastAsia="Arial" w:hAnsi="Arial"/>
          <w:sz w:val="20"/>
          <w:szCs w:val="20"/>
          <w:color w:val="auto"/>
        </w:rPr>
      </w:pPr>
      <w:r>
        <w:rPr>
          <w:rFonts w:ascii="Arial" w:cs="Arial" w:eastAsia="Arial" w:hAnsi="Arial"/>
          <w:sz w:val="20"/>
          <w:szCs w:val="20"/>
          <w:color w:val="auto"/>
        </w:rPr>
        <w:t>If the rating agencies downgrade our insurance companies, our results of operations and financial condition may suffer.</w:t>
      </w:r>
    </w:p>
    <w:p>
      <w:pPr>
        <w:spacing w:after="0" w:line="68" w:lineRule="exact"/>
        <w:rPr>
          <w:rFonts w:ascii="Arial" w:cs="Arial" w:eastAsia="Arial" w:hAnsi="Arial"/>
          <w:sz w:val="20"/>
          <w:szCs w:val="20"/>
          <w:color w:val="auto"/>
        </w:rPr>
      </w:pPr>
    </w:p>
    <w:p>
      <w:pPr>
        <w:ind w:left="700" w:hanging="355"/>
        <w:spacing w:after="0"/>
        <w:tabs>
          <w:tab w:leader="none" w:pos="700" w:val="left"/>
        </w:tabs>
        <w:numPr>
          <w:ilvl w:val="0"/>
          <w:numId w:val="5"/>
        </w:numPr>
        <w:rPr>
          <w:rFonts w:ascii="Arial" w:cs="Arial" w:eastAsia="Arial" w:hAnsi="Arial"/>
          <w:sz w:val="20"/>
          <w:szCs w:val="20"/>
          <w:color w:val="auto"/>
        </w:rPr>
      </w:pPr>
      <w:r>
        <w:rPr>
          <w:rFonts w:ascii="Arial" w:cs="Arial" w:eastAsia="Arial" w:hAnsi="Arial"/>
          <w:sz w:val="20"/>
          <w:szCs w:val="20"/>
          <w:color w:val="auto"/>
        </w:rPr>
        <w:t>If our claim loss prevention procedures fail, we could incur significant claim losses.</w:t>
      </w:r>
    </w:p>
    <w:p>
      <w:pPr>
        <w:spacing w:after="0" w:line="122" w:lineRule="exact"/>
        <w:rPr>
          <w:rFonts w:ascii="Arial" w:cs="Arial" w:eastAsia="Arial" w:hAnsi="Arial"/>
          <w:sz w:val="20"/>
          <w:szCs w:val="20"/>
          <w:color w:val="auto"/>
        </w:rPr>
      </w:pPr>
    </w:p>
    <w:p>
      <w:pPr>
        <w:ind w:left="700" w:hanging="355"/>
        <w:spacing w:after="0" w:line="271" w:lineRule="auto"/>
        <w:tabs>
          <w:tab w:leader="none" w:pos="700" w:val="left"/>
        </w:tabs>
        <w:numPr>
          <w:ilvl w:val="0"/>
          <w:numId w:val="5"/>
        </w:numPr>
        <w:rPr>
          <w:rFonts w:ascii="Arial" w:cs="Arial" w:eastAsia="Arial" w:hAnsi="Arial"/>
          <w:sz w:val="20"/>
          <w:szCs w:val="20"/>
          <w:color w:val="auto"/>
        </w:rPr>
      </w:pPr>
      <w:r>
        <w:rPr>
          <w:rFonts w:ascii="Arial" w:cs="Arial" w:eastAsia="Arial" w:hAnsi="Arial"/>
          <w:sz w:val="20"/>
          <w:szCs w:val="20"/>
          <w:color w:val="auto"/>
        </w:rPr>
        <w:t>Our use of independent agents for a significant amount of our title insurance policies could adversely impact the frequency and severity of title claims.</w:t>
      </w:r>
    </w:p>
    <w:p>
      <w:pPr>
        <w:spacing w:after="0" w:line="68" w:lineRule="exact"/>
        <w:rPr>
          <w:rFonts w:ascii="Arial" w:cs="Arial" w:eastAsia="Arial" w:hAnsi="Arial"/>
          <w:sz w:val="20"/>
          <w:szCs w:val="20"/>
          <w:color w:val="auto"/>
        </w:rPr>
      </w:pPr>
    </w:p>
    <w:p>
      <w:pPr>
        <w:ind w:left="700" w:hanging="355"/>
        <w:spacing w:after="0"/>
        <w:tabs>
          <w:tab w:leader="none" w:pos="700" w:val="left"/>
        </w:tabs>
        <w:numPr>
          <w:ilvl w:val="0"/>
          <w:numId w:val="5"/>
        </w:numPr>
        <w:rPr>
          <w:rFonts w:ascii="Arial" w:cs="Arial" w:eastAsia="Arial" w:hAnsi="Arial"/>
          <w:sz w:val="17"/>
          <w:szCs w:val="17"/>
          <w:color w:val="auto"/>
        </w:rPr>
      </w:pPr>
      <w:r>
        <w:rPr>
          <w:rFonts w:ascii="Arial" w:cs="Arial" w:eastAsia="Arial" w:hAnsi="Arial"/>
          <w:sz w:val="17"/>
          <w:szCs w:val="17"/>
          <w:color w:val="auto"/>
        </w:rPr>
        <w:t>Our business is subject to risk due to our owned distribution strategy and investments in distribution consolidation.</w:t>
      </w:r>
    </w:p>
    <w:p>
      <w:pPr>
        <w:spacing w:after="0" w:line="157" w:lineRule="exact"/>
        <w:rPr>
          <w:rFonts w:ascii="Arial" w:cs="Arial" w:eastAsia="Arial" w:hAnsi="Arial"/>
          <w:sz w:val="17"/>
          <w:szCs w:val="17"/>
          <w:color w:val="auto"/>
        </w:rPr>
      </w:pPr>
    </w:p>
    <w:p>
      <w:pPr>
        <w:jc w:val="both"/>
        <w:ind w:left="700" w:hanging="355"/>
        <w:spacing w:after="0" w:line="325" w:lineRule="auto"/>
        <w:tabs>
          <w:tab w:leader="none" w:pos="700" w:val="left"/>
        </w:tabs>
        <w:numPr>
          <w:ilvl w:val="0"/>
          <w:numId w:val="5"/>
        </w:numPr>
        <w:rPr>
          <w:rFonts w:ascii="Arial" w:cs="Arial" w:eastAsia="Arial" w:hAnsi="Arial"/>
          <w:sz w:val="17"/>
          <w:szCs w:val="17"/>
          <w:color w:val="auto"/>
        </w:rPr>
      </w:pPr>
      <w:r>
        <w:rPr>
          <w:rFonts w:ascii="Arial" w:cs="Arial" w:eastAsia="Arial" w:hAnsi="Arial"/>
          <w:sz w:val="17"/>
          <w:szCs w:val="17"/>
          <w:color w:val="auto"/>
        </w:rPr>
        <w:t>Our valuation of investments and the determinations of the amounts of allowances and impairments taken on our investments may include methodologies, estimates, and assumptions, which are subject to differing interpretations and, if changed, could materially adversely affect our results of operations and financial condition.</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Risk Factors Related to the F&amp;G Distribution</w:t>
      </w:r>
    </w:p>
    <w:p>
      <w:pPr>
        <w:spacing w:after="0" w:line="130" w:lineRule="exact"/>
        <w:rPr>
          <w:sz w:val="20"/>
          <w:szCs w:val="20"/>
          <w:color w:val="auto"/>
        </w:rPr>
      </w:pPr>
    </w:p>
    <w:p>
      <w:pPr>
        <w:ind w:left="700" w:hanging="355"/>
        <w:spacing w:after="0"/>
        <w:tabs>
          <w:tab w:leader="none" w:pos="700" w:val="left"/>
        </w:tabs>
        <w:numPr>
          <w:ilvl w:val="0"/>
          <w:numId w:val="6"/>
        </w:numPr>
        <w:rPr>
          <w:rFonts w:ascii="Arial" w:cs="Arial" w:eastAsia="Arial" w:hAnsi="Arial"/>
          <w:sz w:val="18"/>
          <w:szCs w:val="18"/>
          <w:b w:val="1"/>
          <w:bCs w:val="1"/>
          <w:i w:val="1"/>
          <w:iCs w:val="1"/>
          <w:color w:val="auto"/>
        </w:rPr>
      </w:pPr>
      <w:r>
        <w:rPr>
          <w:rFonts w:ascii="Arial" w:cs="Arial" w:eastAsia="Arial" w:hAnsi="Arial"/>
          <w:sz w:val="20"/>
          <w:szCs w:val="20"/>
          <w:color w:val="auto"/>
        </w:rPr>
        <w:t>The F&amp;G Distribution could adversely affect our results of operations or financial condition.</w:t>
      </w:r>
    </w:p>
    <w:p>
      <w:pPr>
        <w:spacing w:after="0" w:line="122" w:lineRule="exact"/>
        <w:rPr>
          <w:rFonts w:ascii="Arial" w:cs="Arial" w:eastAsia="Arial" w:hAnsi="Arial"/>
          <w:sz w:val="18"/>
          <w:szCs w:val="18"/>
          <w:b w:val="1"/>
          <w:bCs w:val="1"/>
          <w:i w:val="1"/>
          <w:iCs w:val="1"/>
          <w:color w:val="auto"/>
        </w:rPr>
      </w:pPr>
    </w:p>
    <w:p>
      <w:pPr>
        <w:ind w:left="700" w:hanging="355"/>
        <w:spacing w:after="0" w:line="271" w:lineRule="auto"/>
        <w:tabs>
          <w:tab w:leader="none" w:pos="700" w:val="left"/>
        </w:tabs>
        <w:numPr>
          <w:ilvl w:val="0"/>
          <w:numId w:val="6"/>
        </w:numPr>
        <w:rPr>
          <w:rFonts w:ascii="Arial" w:cs="Arial" w:eastAsia="Arial" w:hAnsi="Arial"/>
          <w:sz w:val="20"/>
          <w:szCs w:val="20"/>
          <w:color w:val="auto"/>
        </w:rPr>
      </w:pPr>
      <w:r>
        <w:rPr>
          <w:rFonts w:ascii="Arial" w:cs="Arial" w:eastAsia="Arial" w:hAnsi="Arial"/>
          <w:sz w:val="20"/>
          <w:szCs w:val="20"/>
          <w:color w:val="auto"/>
        </w:rPr>
        <w:t>Certain F&amp;G directors may have actual or potential conflicts of interest because of their FNF equity ownership or their current or former FNF positions.</w:t>
      </w:r>
    </w:p>
    <w:p>
      <w:pPr>
        <w:sectPr>
          <w:pgSz w:w="11880" w:h="15480" w:orient="portrait"/>
          <w:cols w:equalWidth="0" w:num="1">
            <w:col w:w="10040"/>
          </w:cols>
          <w:pgMar w:left="920" w:top="765"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ectPr>
          <w:pgSz w:w="11880" w:h="15480" w:orient="portrait"/>
          <w:cols w:equalWidth="0" w:num="1">
            <w:col w:w="10040"/>
          </w:cols>
          <w:pgMar w:left="920" w:top="765" w:right="920" w:bottom="0" w:gutter="0" w:footer="0" w:header="0"/>
          <w:type w:val="continuous"/>
        </w:sectPr>
      </w:pPr>
    </w:p>
    <w:bookmarkStart w:id="14" w:name="page15"/>
    <w:bookmarkEnd w:id="14"/>
    <w:p>
      <w:pPr>
        <w:ind w:left="340"/>
        <w:spacing w:after="0"/>
        <w:rPr>
          <w:sz w:val="20"/>
          <w:szCs w:val="20"/>
          <w:color w:val="auto"/>
        </w:rPr>
      </w:pPr>
      <w:r>
        <w:rPr>
          <w:rFonts w:ascii="Arial" w:cs="Arial" w:eastAsia="Arial" w:hAnsi="Arial"/>
          <w:sz w:val="20"/>
          <w:szCs w:val="20"/>
          <w:b w:val="1"/>
          <w:bCs w:val="1"/>
          <w:i w:val="1"/>
          <w:iCs w:val="1"/>
          <w:color w:val="auto"/>
        </w:rPr>
        <w:t>Risk Factors Relating to the Geographic Concentrations of our Business Segments</w:t>
      </w:r>
    </w:p>
    <w:p>
      <w:pPr>
        <w:spacing w:after="0" w:line="130" w:lineRule="exact"/>
        <w:rPr>
          <w:sz w:val="20"/>
          <w:szCs w:val="20"/>
          <w:color w:val="auto"/>
        </w:rPr>
      </w:pPr>
    </w:p>
    <w:p>
      <w:pPr>
        <w:jc w:val="both"/>
        <w:ind w:left="700" w:hanging="355"/>
        <w:spacing w:after="0" w:line="258" w:lineRule="auto"/>
        <w:tabs>
          <w:tab w:leader="none" w:pos="700" w:val="left"/>
        </w:tabs>
        <w:numPr>
          <w:ilvl w:val="0"/>
          <w:numId w:val="7"/>
        </w:numPr>
        <w:rPr>
          <w:rFonts w:ascii="Arial" w:cs="Arial" w:eastAsia="Arial" w:hAnsi="Arial"/>
          <w:sz w:val="20"/>
          <w:szCs w:val="20"/>
          <w:color w:val="auto"/>
        </w:rPr>
      </w:pPr>
      <w:r>
        <w:rPr>
          <w:rFonts w:ascii="Arial" w:cs="Arial" w:eastAsia="Arial" w:hAnsi="Arial"/>
          <w:sz w:val="20"/>
          <w:szCs w:val="20"/>
          <w:color w:val="auto"/>
        </w:rPr>
        <w:t>Because we are dependent upon California and Texas for approximately 12.2% and 14.1% of our title insurance premiums, respectively, our Title segment may be adversely affected by regulatory conditions in California and/or Texas.</w:t>
      </w:r>
    </w:p>
    <w:p>
      <w:pPr>
        <w:spacing w:after="0" w:line="81" w:lineRule="exact"/>
        <w:rPr>
          <w:rFonts w:ascii="Arial" w:cs="Arial" w:eastAsia="Arial" w:hAnsi="Arial"/>
          <w:sz w:val="20"/>
          <w:szCs w:val="20"/>
          <w:color w:val="auto"/>
        </w:rPr>
      </w:pPr>
    </w:p>
    <w:p>
      <w:pPr>
        <w:ind w:left="700" w:hanging="355"/>
        <w:spacing w:after="0" w:line="271" w:lineRule="auto"/>
        <w:tabs>
          <w:tab w:leader="none" w:pos="700" w:val="left"/>
        </w:tabs>
        <w:numPr>
          <w:ilvl w:val="0"/>
          <w:numId w:val="7"/>
        </w:numPr>
        <w:rPr>
          <w:rFonts w:ascii="Arial" w:cs="Arial" w:eastAsia="Arial" w:hAnsi="Arial"/>
          <w:sz w:val="20"/>
          <w:szCs w:val="20"/>
          <w:color w:val="auto"/>
        </w:rPr>
      </w:pPr>
      <w:r>
        <w:rPr>
          <w:rFonts w:ascii="Arial" w:cs="Arial" w:eastAsia="Arial" w:hAnsi="Arial"/>
          <w:sz w:val="20"/>
          <w:szCs w:val="20"/>
          <w:color w:val="auto"/>
        </w:rPr>
        <w:t>Concentration in certain states for the distribution of our life insurance and annuity products in our F&amp;G segment may subject us to losses attributable to economic downturns or catastrophes in those states.</w:t>
      </w:r>
    </w:p>
    <w:p>
      <w:pPr>
        <w:spacing w:after="0" w:line="61" w:lineRule="exact"/>
        <w:rPr>
          <w:sz w:val="20"/>
          <w:szCs w:val="20"/>
          <w:color w:val="auto"/>
        </w:rPr>
      </w:pPr>
    </w:p>
    <w:p>
      <w:pPr>
        <w:ind w:left="340"/>
        <w:spacing w:after="0"/>
        <w:rPr>
          <w:sz w:val="20"/>
          <w:szCs w:val="20"/>
          <w:color w:val="auto"/>
        </w:rPr>
      </w:pPr>
      <w:r>
        <w:rPr>
          <w:rFonts w:ascii="Arial" w:cs="Arial" w:eastAsia="Arial" w:hAnsi="Arial"/>
          <w:sz w:val="20"/>
          <w:szCs w:val="20"/>
          <w:b w:val="1"/>
          <w:bCs w:val="1"/>
          <w:i w:val="1"/>
          <w:iCs w:val="1"/>
          <w:color w:val="auto"/>
        </w:rPr>
        <w:t>Risk Factors Relating to Government Regulation of the Insurance Industry</w:t>
      </w:r>
    </w:p>
    <w:p>
      <w:pPr>
        <w:spacing w:after="0" w:line="130" w:lineRule="exact"/>
        <w:rPr>
          <w:sz w:val="20"/>
          <w:szCs w:val="20"/>
          <w:color w:val="auto"/>
        </w:rPr>
      </w:pPr>
    </w:p>
    <w:p>
      <w:pPr>
        <w:jc w:val="both"/>
        <w:ind w:left="700" w:hanging="355"/>
        <w:spacing w:after="0" w:line="271" w:lineRule="auto"/>
        <w:tabs>
          <w:tab w:leader="none" w:pos="700" w:val="left"/>
        </w:tabs>
        <w:numPr>
          <w:ilvl w:val="0"/>
          <w:numId w:val="8"/>
        </w:numPr>
        <w:rPr>
          <w:rFonts w:ascii="Arial" w:cs="Arial" w:eastAsia="Arial" w:hAnsi="Arial"/>
          <w:sz w:val="19"/>
          <w:szCs w:val="19"/>
          <w:color w:val="auto"/>
        </w:rPr>
      </w:pPr>
      <w:r>
        <w:rPr>
          <w:rFonts w:ascii="Arial" w:cs="Arial" w:eastAsia="Arial" w:hAnsi="Arial"/>
          <w:sz w:val="19"/>
          <w:szCs w:val="19"/>
          <w:color w:val="auto"/>
        </w:rPr>
        <w:t>Our subsidiaries must comply with federal and state statutes and regulations. These statutes and regulations may increase our costs, impede our provision of certain products or services, or impose burdensome conditions on actions that we might seek to take to increase the revenues of those subsidiaries, resulting in decreased demand for the Company's products and services or otherwise adversely affecting the Company.</w:t>
      </w:r>
    </w:p>
    <w:p>
      <w:pPr>
        <w:spacing w:after="0" w:line="71" w:lineRule="exact"/>
        <w:rPr>
          <w:rFonts w:ascii="Arial" w:cs="Arial" w:eastAsia="Arial" w:hAnsi="Arial"/>
          <w:sz w:val="19"/>
          <w:szCs w:val="19"/>
          <w:color w:val="auto"/>
        </w:rPr>
      </w:pPr>
    </w:p>
    <w:p>
      <w:pPr>
        <w:ind w:left="700" w:hanging="355"/>
        <w:spacing w:after="0"/>
        <w:tabs>
          <w:tab w:leader="none" w:pos="700" w:val="left"/>
        </w:tabs>
        <w:numPr>
          <w:ilvl w:val="0"/>
          <w:numId w:val="8"/>
        </w:numPr>
        <w:rPr>
          <w:rFonts w:ascii="Arial" w:cs="Arial" w:eastAsia="Arial" w:hAnsi="Arial"/>
          <w:sz w:val="20"/>
          <w:szCs w:val="20"/>
          <w:color w:val="auto"/>
        </w:rPr>
      </w:pPr>
      <w:r>
        <w:rPr>
          <w:rFonts w:ascii="Arial" w:cs="Arial" w:eastAsia="Arial" w:hAnsi="Arial"/>
          <w:sz w:val="20"/>
          <w:szCs w:val="20"/>
          <w:color w:val="auto"/>
        </w:rPr>
        <w:t>Our F&amp;G segment is highly regulated and subject to numerous legal restrictions and regulations.</w:t>
      </w:r>
    </w:p>
    <w:p>
      <w:pPr>
        <w:spacing w:after="0" w:line="122" w:lineRule="exact"/>
        <w:rPr>
          <w:rFonts w:ascii="Arial" w:cs="Arial" w:eastAsia="Arial" w:hAnsi="Arial"/>
          <w:sz w:val="20"/>
          <w:szCs w:val="20"/>
          <w:color w:val="auto"/>
        </w:rPr>
      </w:pPr>
    </w:p>
    <w:p>
      <w:pPr>
        <w:ind w:left="700" w:hanging="355"/>
        <w:spacing w:after="0" w:line="298" w:lineRule="auto"/>
        <w:tabs>
          <w:tab w:leader="none" w:pos="700" w:val="left"/>
        </w:tabs>
        <w:numPr>
          <w:ilvl w:val="0"/>
          <w:numId w:val="8"/>
        </w:numPr>
        <w:rPr>
          <w:rFonts w:ascii="Arial" w:cs="Arial" w:eastAsia="Arial" w:hAnsi="Arial"/>
          <w:sz w:val="19"/>
          <w:szCs w:val="19"/>
          <w:color w:val="auto"/>
        </w:rPr>
      </w:pPr>
      <w:r>
        <w:rPr>
          <w:rFonts w:ascii="Arial" w:cs="Arial" w:eastAsia="Arial" w:hAnsi="Arial"/>
          <w:sz w:val="19"/>
          <w:szCs w:val="19"/>
          <w:color w:val="auto"/>
        </w:rPr>
        <w:t>F&amp;G's business is subject to government regulation in each of the jurisdictions in which we conduct business and regulators have broad administrative and discretionary authority over our business and business practices.</w:t>
      </w:r>
    </w:p>
    <w:p>
      <w:pPr>
        <w:spacing w:after="0" w:line="45" w:lineRule="exact"/>
        <w:rPr>
          <w:rFonts w:ascii="Arial" w:cs="Arial" w:eastAsia="Arial" w:hAnsi="Arial"/>
          <w:sz w:val="19"/>
          <w:szCs w:val="19"/>
          <w:color w:val="auto"/>
        </w:rPr>
      </w:pPr>
    </w:p>
    <w:p>
      <w:pPr>
        <w:jc w:val="both"/>
        <w:ind w:left="700" w:hanging="355"/>
        <w:spacing w:after="0" w:line="258" w:lineRule="auto"/>
        <w:tabs>
          <w:tab w:leader="none" w:pos="700" w:val="left"/>
        </w:tabs>
        <w:numPr>
          <w:ilvl w:val="0"/>
          <w:numId w:val="8"/>
        </w:numPr>
        <w:rPr>
          <w:rFonts w:ascii="Arial" w:cs="Arial" w:eastAsia="Arial" w:hAnsi="Arial"/>
          <w:sz w:val="20"/>
          <w:szCs w:val="20"/>
          <w:color w:val="auto"/>
        </w:rPr>
      </w:pPr>
      <w:r>
        <w:rPr>
          <w:rFonts w:ascii="Arial" w:cs="Arial" w:eastAsia="Arial" w:hAnsi="Arial"/>
          <w:sz w:val="20"/>
          <w:szCs w:val="20"/>
          <w:color w:val="auto"/>
        </w:rPr>
        <w:t>F&amp;G's business in the United States is regulated by the National Association of Insurance Commissioners (“NAIC”), which continues to consider reforms including relating to cybersecurity regulations, best interest standards, risk-based capital (“RBC”) and life insurance reserves.</w:t>
      </w:r>
    </w:p>
    <w:p>
      <w:pPr>
        <w:spacing w:after="0" w:line="81" w:lineRule="exact"/>
        <w:rPr>
          <w:rFonts w:ascii="Arial" w:cs="Arial" w:eastAsia="Arial" w:hAnsi="Arial"/>
          <w:sz w:val="20"/>
          <w:szCs w:val="20"/>
          <w:color w:val="auto"/>
        </w:rPr>
      </w:pPr>
    </w:p>
    <w:p>
      <w:pPr>
        <w:jc w:val="both"/>
        <w:ind w:left="700" w:hanging="355"/>
        <w:spacing w:after="0" w:line="258" w:lineRule="auto"/>
        <w:tabs>
          <w:tab w:leader="none" w:pos="700" w:val="left"/>
        </w:tabs>
        <w:numPr>
          <w:ilvl w:val="0"/>
          <w:numId w:val="8"/>
        </w:numPr>
        <w:rPr>
          <w:rFonts w:ascii="Arial" w:cs="Arial" w:eastAsia="Arial" w:hAnsi="Arial"/>
          <w:sz w:val="20"/>
          <w:szCs w:val="20"/>
          <w:color w:val="auto"/>
        </w:rPr>
      </w:pPr>
      <w:r>
        <w:rPr>
          <w:rFonts w:ascii="Arial" w:cs="Arial" w:eastAsia="Arial" w:hAnsi="Arial"/>
          <w:sz w:val="20"/>
          <w:szCs w:val="20"/>
          <w:color w:val="auto"/>
        </w:rPr>
        <w:t>Current and emerging developments relating to market conduct standards for the financial industry emerging from the United States Department of Labor’s (“DOL”) implementation of the “fiduciary rule” may over time materially affect our business.</w:t>
      </w:r>
    </w:p>
    <w:p>
      <w:pPr>
        <w:spacing w:after="0" w:line="81" w:lineRule="exact"/>
        <w:rPr>
          <w:rFonts w:ascii="Arial" w:cs="Arial" w:eastAsia="Arial" w:hAnsi="Arial"/>
          <w:sz w:val="20"/>
          <w:szCs w:val="20"/>
          <w:color w:val="auto"/>
        </w:rPr>
      </w:pPr>
    </w:p>
    <w:p>
      <w:pPr>
        <w:ind w:left="700" w:hanging="355"/>
        <w:spacing w:after="0" w:line="271" w:lineRule="auto"/>
        <w:tabs>
          <w:tab w:leader="none" w:pos="700" w:val="left"/>
        </w:tabs>
        <w:numPr>
          <w:ilvl w:val="0"/>
          <w:numId w:val="8"/>
        </w:numPr>
        <w:rPr>
          <w:rFonts w:ascii="Arial" w:cs="Arial" w:eastAsia="Arial" w:hAnsi="Arial"/>
          <w:sz w:val="20"/>
          <w:szCs w:val="20"/>
          <w:color w:val="auto"/>
        </w:rPr>
      </w:pPr>
      <w:r>
        <w:rPr>
          <w:rFonts w:ascii="Arial" w:cs="Arial" w:eastAsia="Arial" w:hAnsi="Arial"/>
          <w:sz w:val="20"/>
          <w:szCs w:val="20"/>
          <w:color w:val="auto"/>
        </w:rPr>
        <w:t>Changes to regulations under ERISA could adversely affect the Company by increasing the Company’s regulatory and compliance burden.</w:t>
      </w:r>
    </w:p>
    <w:p>
      <w:pPr>
        <w:spacing w:after="0" w:line="68" w:lineRule="exact"/>
        <w:rPr>
          <w:rFonts w:ascii="Arial" w:cs="Arial" w:eastAsia="Arial" w:hAnsi="Arial"/>
          <w:sz w:val="20"/>
          <w:szCs w:val="20"/>
          <w:color w:val="auto"/>
        </w:rPr>
      </w:pPr>
    </w:p>
    <w:p>
      <w:pPr>
        <w:jc w:val="both"/>
        <w:ind w:left="700" w:hanging="355"/>
        <w:spacing w:after="0" w:line="389" w:lineRule="auto"/>
        <w:tabs>
          <w:tab w:leader="none" w:pos="700" w:val="left"/>
        </w:tabs>
        <w:numPr>
          <w:ilvl w:val="0"/>
          <w:numId w:val="8"/>
        </w:numPr>
        <w:rPr>
          <w:rFonts w:ascii="Arial" w:cs="Arial" w:eastAsia="Arial" w:hAnsi="Arial"/>
          <w:sz w:val="17"/>
          <w:szCs w:val="17"/>
          <w:color w:val="auto"/>
        </w:rPr>
      </w:pPr>
      <w:r>
        <w:rPr>
          <w:rFonts w:ascii="Arial" w:cs="Arial" w:eastAsia="Arial" w:hAnsi="Arial"/>
          <w:sz w:val="17"/>
          <w:szCs w:val="17"/>
          <w:color w:val="auto"/>
        </w:rPr>
        <w:t>Our regulation in Bermuda and the Cayman Islands may limit or curtail our activities, and changes to existing regulations may affect our ability to continue to offer our existing products and services, or new products and services.</w:t>
      </w:r>
    </w:p>
    <w:p>
      <w:pPr>
        <w:spacing w:after="0" w:line="1" w:lineRule="exact"/>
        <w:rPr>
          <w:rFonts w:ascii="Arial" w:cs="Arial" w:eastAsia="Arial" w:hAnsi="Arial"/>
          <w:sz w:val="17"/>
          <w:szCs w:val="17"/>
          <w:color w:val="auto"/>
        </w:rPr>
      </w:pPr>
    </w:p>
    <w:p>
      <w:pPr>
        <w:ind w:left="700" w:hanging="355"/>
        <w:spacing w:after="0"/>
        <w:tabs>
          <w:tab w:leader="none" w:pos="700" w:val="left"/>
        </w:tabs>
        <w:numPr>
          <w:ilvl w:val="0"/>
          <w:numId w:val="8"/>
        </w:numPr>
        <w:rPr>
          <w:rFonts w:ascii="Arial" w:cs="Arial" w:eastAsia="Arial" w:hAnsi="Arial"/>
          <w:sz w:val="20"/>
          <w:szCs w:val="20"/>
          <w:color w:val="auto"/>
        </w:rPr>
      </w:pPr>
      <w:r>
        <w:rPr>
          <w:rFonts w:ascii="Arial" w:cs="Arial" w:eastAsia="Arial" w:hAnsi="Arial"/>
          <w:sz w:val="20"/>
          <w:szCs w:val="20"/>
          <w:color w:val="auto"/>
        </w:rPr>
        <w:t>The SECURE 2.0 Act of 2022 may impact our business and the markets in which we compete.</w:t>
      </w:r>
    </w:p>
    <w:p>
      <w:pPr>
        <w:spacing w:after="0" w:line="122" w:lineRule="exact"/>
        <w:rPr>
          <w:rFonts w:ascii="Arial" w:cs="Arial" w:eastAsia="Arial" w:hAnsi="Arial"/>
          <w:sz w:val="20"/>
          <w:szCs w:val="20"/>
          <w:color w:val="auto"/>
        </w:rPr>
      </w:pPr>
    </w:p>
    <w:p>
      <w:pPr>
        <w:ind w:left="700" w:hanging="355"/>
        <w:spacing w:after="0" w:line="271" w:lineRule="auto"/>
        <w:tabs>
          <w:tab w:leader="none" w:pos="700" w:val="left"/>
        </w:tabs>
        <w:numPr>
          <w:ilvl w:val="0"/>
          <w:numId w:val="8"/>
        </w:numPr>
        <w:rPr>
          <w:rFonts w:ascii="Arial" w:cs="Arial" w:eastAsia="Arial" w:hAnsi="Arial"/>
          <w:sz w:val="20"/>
          <w:szCs w:val="20"/>
          <w:color w:val="auto"/>
        </w:rPr>
      </w:pPr>
      <w:r>
        <w:rPr>
          <w:rFonts w:ascii="Arial" w:cs="Arial" w:eastAsia="Arial" w:hAnsi="Arial"/>
          <w:sz w:val="20"/>
          <w:szCs w:val="20"/>
          <w:color w:val="auto"/>
        </w:rPr>
        <w:t>Regulatory investigations of the insurance industry may lead to fines, settlements, new regulation or legal uncertainty, which could negatively affect our results of operations.</w:t>
      </w:r>
    </w:p>
    <w:p>
      <w:pPr>
        <w:spacing w:after="0" w:line="68" w:lineRule="exact"/>
        <w:rPr>
          <w:rFonts w:ascii="Arial" w:cs="Arial" w:eastAsia="Arial" w:hAnsi="Arial"/>
          <w:sz w:val="20"/>
          <w:szCs w:val="20"/>
          <w:color w:val="auto"/>
        </w:rPr>
      </w:pPr>
    </w:p>
    <w:p>
      <w:pPr>
        <w:ind w:left="700" w:hanging="355"/>
        <w:spacing w:after="0" w:line="271" w:lineRule="auto"/>
        <w:tabs>
          <w:tab w:leader="none" w:pos="700" w:val="left"/>
        </w:tabs>
        <w:numPr>
          <w:ilvl w:val="0"/>
          <w:numId w:val="8"/>
        </w:numPr>
        <w:rPr>
          <w:rFonts w:ascii="Arial" w:cs="Arial" w:eastAsia="Arial" w:hAnsi="Arial"/>
          <w:sz w:val="20"/>
          <w:szCs w:val="20"/>
          <w:color w:val="auto"/>
        </w:rPr>
      </w:pPr>
      <w:r>
        <w:rPr>
          <w:rFonts w:ascii="Arial" w:cs="Arial" w:eastAsia="Arial" w:hAnsi="Arial"/>
          <w:sz w:val="20"/>
          <w:szCs w:val="20"/>
          <w:color w:val="auto"/>
        </w:rPr>
        <w:t>Changing rules, public disclosure regulations, and stakeholder expectations on environmental, social, and corporate governance (“ESG”) related matters create a variety of risks for our business.</w:t>
      </w:r>
    </w:p>
    <w:p>
      <w:pPr>
        <w:spacing w:after="0" w:line="61" w:lineRule="exact"/>
        <w:rPr>
          <w:sz w:val="20"/>
          <w:szCs w:val="20"/>
          <w:color w:val="auto"/>
        </w:rPr>
      </w:pPr>
    </w:p>
    <w:p>
      <w:pPr>
        <w:ind w:left="340"/>
        <w:spacing w:after="0"/>
        <w:rPr>
          <w:sz w:val="20"/>
          <w:szCs w:val="20"/>
          <w:color w:val="auto"/>
        </w:rPr>
      </w:pPr>
      <w:r>
        <w:rPr>
          <w:rFonts w:ascii="Arial" w:cs="Arial" w:eastAsia="Arial" w:hAnsi="Arial"/>
          <w:sz w:val="20"/>
          <w:szCs w:val="20"/>
          <w:b w:val="1"/>
          <w:bCs w:val="1"/>
          <w:i w:val="1"/>
          <w:iCs w:val="1"/>
          <w:color w:val="auto"/>
        </w:rPr>
        <w:t>Risk Factors Relating to the Credit Risk of our Counterparties</w:t>
      </w:r>
    </w:p>
    <w:p>
      <w:pPr>
        <w:spacing w:after="0" w:line="130" w:lineRule="exact"/>
        <w:rPr>
          <w:sz w:val="20"/>
          <w:szCs w:val="20"/>
          <w:color w:val="auto"/>
        </w:rPr>
      </w:pPr>
    </w:p>
    <w:p>
      <w:pPr>
        <w:ind w:left="700" w:hanging="355"/>
        <w:spacing w:after="0" w:line="271" w:lineRule="auto"/>
        <w:tabs>
          <w:tab w:leader="none" w:pos="700" w:val="left"/>
        </w:tabs>
        <w:numPr>
          <w:ilvl w:val="0"/>
          <w:numId w:val="9"/>
        </w:numPr>
        <w:rPr>
          <w:rFonts w:ascii="Arial" w:cs="Arial" w:eastAsia="Arial" w:hAnsi="Arial"/>
          <w:sz w:val="20"/>
          <w:szCs w:val="20"/>
          <w:color w:val="auto"/>
        </w:rPr>
      </w:pPr>
      <w:r>
        <w:rPr>
          <w:rFonts w:ascii="Arial" w:cs="Arial" w:eastAsia="Arial" w:hAnsi="Arial"/>
          <w:sz w:val="20"/>
          <w:szCs w:val="20"/>
          <w:color w:val="auto"/>
        </w:rPr>
        <w:t>We are subject to the credit risk of our counterparties, including companies with whom we have reinsurance agreements or we have purchased equity options.</w:t>
      </w:r>
    </w:p>
    <w:p>
      <w:pPr>
        <w:spacing w:after="0" w:line="68" w:lineRule="exact"/>
        <w:rPr>
          <w:rFonts w:ascii="Arial" w:cs="Arial" w:eastAsia="Arial" w:hAnsi="Arial"/>
          <w:sz w:val="20"/>
          <w:szCs w:val="20"/>
          <w:color w:val="auto"/>
        </w:rPr>
      </w:pPr>
    </w:p>
    <w:p>
      <w:pPr>
        <w:ind w:left="700" w:hanging="355"/>
        <w:spacing w:after="0"/>
        <w:tabs>
          <w:tab w:leader="none" w:pos="700" w:val="left"/>
        </w:tabs>
        <w:numPr>
          <w:ilvl w:val="0"/>
          <w:numId w:val="9"/>
        </w:numPr>
        <w:rPr>
          <w:rFonts w:ascii="Arial" w:cs="Arial" w:eastAsia="Arial" w:hAnsi="Arial"/>
          <w:sz w:val="17"/>
          <w:szCs w:val="17"/>
          <w:color w:val="auto"/>
        </w:rPr>
      </w:pPr>
      <w:r>
        <w:rPr>
          <w:rFonts w:ascii="Arial" w:cs="Arial" w:eastAsia="Arial" w:hAnsi="Arial"/>
          <w:sz w:val="17"/>
          <w:szCs w:val="17"/>
          <w:color w:val="auto"/>
        </w:rPr>
        <w:t>If financial institutions at which we hold escrow funds fail, it could have a material adverse impact on our company.</w:t>
      </w:r>
    </w:p>
    <w:p>
      <w:pPr>
        <w:spacing w:after="0" w:line="150" w:lineRule="exact"/>
        <w:rPr>
          <w:sz w:val="20"/>
          <w:szCs w:val="20"/>
          <w:color w:val="auto"/>
        </w:rPr>
      </w:pPr>
    </w:p>
    <w:p>
      <w:pPr>
        <w:ind w:firstLine="353"/>
        <w:spacing w:after="0" w:line="275" w:lineRule="auto"/>
        <w:rPr>
          <w:sz w:val="20"/>
          <w:szCs w:val="20"/>
          <w:color w:val="auto"/>
        </w:rPr>
      </w:pPr>
      <w:r>
        <w:rPr>
          <w:rFonts w:ascii="Arial" w:cs="Arial" w:eastAsia="Arial" w:hAnsi="Arial"/>
          <w:sz w:val="20"/>
          <w:szCs w:val="20"/>
          <w:b w:val="1"/>
          <w:bCs w:val="1"/>
          <w:i w:val="1"/>
          <w:iCs w:val="1"/>
          <w:color w:val="auto"/>
        </w:rPr>
        <w:t>Risk Factors Related to a National or Global Crisis, Climate Change, Computer Cyber-terrorism and Other Catastrophic Events</w:t>
      </w:r>
    </w:p>
    <w:p>
      <w:pPr>
        <w:spacing w:after="0" w:line="68" w:lineRule="exact"/>
        <w:rPr>
          <w:sz w:val="20"/>
          <w:szCs w:val="20"/>
          <w:color w:val="auto"/>
        </w:rPr>
      </w:pPr>
    </w:p>
    <w:p>
      <w:pPr>
        <w:ind w:left="700" w:hanging="355"/>
        <w:spacing w:after="0" w:line="271" w:lineRule="auto"/>
        <w:tabs>
          <w:tab w:leader="none" w:pos="700" w:val="left"/>
        </w:tabs>
        <w:numPr>
          <w:ilvl w:val="0"/>
          <w:numId w:val="10"/>
        </w:numPr>
        <w:rPr>
          <w:rFonts w:ascii="Arial" w:cs="Arial" w:eastAsia="Arial" w:hAnsi="Arial"/>
          <w:sz w:val="20"/>
          <w:szCs w:val="20"/>
          <w:color w:val="auto"/>
        </w:rPr>
      </w:pPr>
      <w:r>
        <w:rPr>
          <w:rFonts w:ascii="Arial" w:cs="Arial" w:eastAsia="Arial" w:hAnsi="Arial"/>
          <w:sz w:val="20"/>
          <w:szCs w:val="20"/>
          <w:color w:val="auto"/>
        </w:rPr>
        <w:t>Our business could be materially and adversely affected by the occurrence of a catastrophe, including natural disasters or those caused by humans.</w:t>
      </w:r>
    </w:p>
    <w:p>
      <w:pPr>
        <w:sectPr>
          <w:pgSz w:w="11880" w:h="15480" w:orient="portrait"/>
          <w:cols w:equalWidth="0" w:num="1">
            <w:col w:w="10040"/>
          </w:cols>
          <w:pgMar w:left="920" w:top="765"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ectPr>
          <w:pgSz w:w="11880" w:h="15480" w:orient="portrait"/>
          <w:cols w:equalWidth="0" w:num="1">
            <w:col w:w="10040"/>
          </w:cols>
          <w:pgMar w:left="920" w:top="765" w:right="920" w:bottom="0" w:gutter="0" w:footer="0" w:header="0"/>
          <w:type w:val="continuous"/>
        </w:sectPr>
      </w:pPr>
    </w:p>
    <w:bookmarkStart w:id="15" w:name="page16"/>
    <w:bookmarkEnd w:id="15"/>
    <w:p>
      <w:pPr>
        <w:spacing w:after="0"/>
        <w:tabs>
          <w:tab w:leader="none" w:pos="1380" w:val="left"/>
        </w:tabs>
        <w:rPr>
          <w:sz w:val="20"/>
          <w:szCs w:val="20"/>
          <w:color w:val="auto"/>
        </w:rPr>
      </w:pPr>
      <w:r>
        <w:rPr>
          <w:rFonts w:ascii="Arial" w:cs="Arial" w:eastAsia="Arial" w:hAnsi="Arial"/>
          <w:sz w:val="20"/>
          <w:szCs w:val="20"/>
          <w:b w:val="1"/>
          <w:bCs w:val="1"/>
          <w:color w:val="auto"/>
        </w:rPr>
        <w:t>Item 1.</w:t>
      </w:r>
      <w:r>
        <w:rPr>
          <w:sz w:val="20"/>
          <w:szCs w:val="20"/>
          <w:color w:val="auto"/>
        </w:rPr>
        <w:tab/>
      </w:r>
      <w:r>
        <w:rPr>
          <w:rFonts w:ascii="Arial" w:cs="Arial" w:eastAsia="Arial" w:hAnsi="Arial"/>
          <w:sz w:val="16"/>
          <w:szCs w:val="16"/>
          <w:b w:val="1"/>
          <w:bCs w:val="1"/>
          <w:i w:val="1"/>
          <w:iCs w:val="1"/>
          <w:color w:val="auto"/>
        </w:rPr>
        <w:t>Business</w:t>
      </w:r>
    </w:p>
    <w:p>
      <w:pPr>
        <w:spacing w:after="0" w:line="2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Introductory Note</w:t>
      </w:r>
    </w:p>
    <w:p>
      <w:pPr>
        <w:spacing w:after="0" w:line="87" w:lineRule="exact"/>
        <w:rPr>
          <w:sz w:val="20"/>
          <w:szCs w:val="20"/>
          <w:color w:val="auto"/>
        </w:rPr>
      </w:pPr>
    </w:p>
    <w:p>
      <w:pPr>
        <w:jc w:val="both"/>
        <w:ind w:firstLine="353"/>
        <w:spacing w:after="0" w:line="258" w:lineRule="auto"/>
        <w:rPr>
          <w:sz w:val="20"/>
          <w:szCs w:val="20"/>
          <w:color w:val="auto"/>
        </w:rPr>
      </w:pPr>
      <w:r>
        <w:rPr>
          <w:rFonts w:ascii="Arial" w:cs="Arial" w:eastAsia="Arial" w:hAnsi="Arial"/>
          <w:sz w:val="20"/>
          <w:szCs w:val="20"/>
          <w:color w:val="auto"/>
        </w:rPr>
        <w:t>The following describes the business of Fidelity National Financial, Inc. and its subsidiaries. Except where otherwise noted, all references to "we," "us," "our", the "Company" or "FNF" are to Fidelity National Financial, Inc. and its subsidiaries, taken together.</w:t>
      </w:r>
    </w:p>
    <w:p>
      <w:pPr>
        <w:spacing w:after="0" w:line="5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Overview</w:t>
      </w:r>
    </w:p>
    <w:p>
      <w:pPr>
        <w:spacing w:after="0" w:line="110" w:lineRule="exact"/>
        <w:rPr>
          <w:sz w:val="20"/>
          <w:szCs w:val="20"/>
          <w:color w:val="auto"/>
        </w:rPr>
      </w:pPr>
    </w:p>
    <w:p>
      <w:pPr>
        <w:jc w:val="both"/>
        <w:ind w:firstLine="353"/>
        <w:spacing w:after="0" w:line="296" w:lineRule="auto"/>
        <w:rPr>
          <w:sz w:val="20"/>
          <w:szCs w:val="20"/>
          <w:color w:val="auto"/>
        </w:rPr>
      </w:pPr>
      <w:r>
        <w:rPr>
          <w:rFonts w:ascii="Arial" w:cs="Arial" w:eastAsia="Arial" w:hAnsi="Arial"/>
          <w:sz w:val="17"/>
          <w:szCs w:val="17"/>
          <w:color w:val="auto"/>
        </w:rPr>
        <w:t>We are a leading provider of (i) title insurance, escrow and other title-related services, including trust activities, trustee sales guarantees, recordings and reconveyances and home warranty and (ii) transaction services to the real estate and mortgage industries. FNF is one of the nation’s largest title insurance companies operating through its title insurance underwriters - Fidelity National Title Insurance Company ("FNTIC"), Chicago Title Insurance Company ("Chicago Title"), Commonwealth Land Title Insurance Company ("Commonwealth Land Title"), Alamo Title Insurance ("Alamo Title") and National Title Insurance of New York Inc. ("National Title of New York") - which collectively issue more title insurance policies than any other title company in the United States. Through our subsidiary ServiceLink Holdings, LLC ("ServiceLink"), we provide mortgage transaction services including title-related services and facilitation of production and management of mortgage loans. We are also a leading provider of insurance solutions serving retail annuity and life customers and institutional clients through our majority-owned subsidiary, F&amp;G Annuities &amp; Life, Inc. ("F&amp;G").</w:t>
      </w:r>
    </w:p>
    <w:p>
      <w:pPr>
        <w:spacing w:after="0" w:line="39" w:lineRule="exact"/>
        <w:rPr>
          <w:sz w:val="20"/>
          <w:szCs w:val="20"/>
          <w:color w:val="auto"/>
        </w:rPr>
      </w:pPr>
    </w:p>
    <w:p>
      <w:pPr>
        <w:jc w:val="both"/>
        <w:ind w:firstLine="353"/>
        <w:spacing w:after="0" w:line="299" w:lineRule="auto"/>
        <w:rPr>
          <w:sz w:val="20"/>
          <w:szCs w:val="20"/>
          <w:color w:val="auto"/>
        </w:rPr>
      </w:pPr>
      <w:r>
        <w:rPr>
          <w:rFonts w:ascii="Arial" w:cs="Arial" w:eastAsia="Arial" w:hAnsi="Arial"/>
          <w:sz w:val="17"/>
          <w:szCs w:val="17"/>
          <w:color w:val="auto"/>
        </w:rPr>
        <w:t>On December 1, 2022, we completed our previously announced separation and distribution to our shareholders, on a pro rata basis, of approximately 15% of the common stock of F&amp;G (the "F&amp;G Distribution"). Following the F&amp;G Distribution, we retained control of F&amp;G through an approximate 85% ownership stake. The F&amp;G Distribution was accomplished by the distribution of 68 shares of common stock, par value $0.001 per share, of F&amp;G for every 1,000 shares of our common stock, par value $0.0001 per share, as a dividend to each holder of shares of our common stock as of the close of business on November 22, 2022, the record date for the F&amp;G Distribution. On December 31, 2025, we completed our previously announced distribution to our shareholders, on a pro rata basis, of approximately 12% of the common stock of F&amp;G (the "2025 F&amp;G Distribution"). As a result of the 2025 F&amp;G Distribution, we own approximately 70% of the common stock of F&amp;G.</w:t>
      </w:r>
    </w:p>
    <w:p>
      <w:pPr>
        <w:spacing w:after="0" w:line="31" w:lineRule="exact"/>
        <w:rPr>
          <w:sz w:val="20"/>
          <w:szCs w:val="20"/>
          <w:color w:val="auto"/>
        </w:rPr>
      </w:pPr>
    </w:p>
    <w:p>
      <w:pPr>
        <w:jc w:val="both"/>
        <w:ind w:firstLine="353"/>
        <w:spacing w:after="0" w:line="262" w:lineRule="auto"/>
        <w:rPr>
          <w:sz w:val="20"/>
          <w:szCs w:val="20"/>
          <w:color w:val="auto"/>
        </w:rPr>
      </w:pPr>
      <w:r>
        <w:rPr>
          <w:rFonts w:ascii="Arial" w:cs="Arial" w:eastAsia="Arial" w:hAnsi="Arial"/>
          <w:sz w:val="19"/>
          <w:szCs w:val="19"/>
          <w:color w:val="auto"/>
        </w:rPr>
        <w:t>As a result of the F&amp;G Distribution, F&amp;G is a separate, publicly traded company and its businesses, assets and liabilities consist of those related to F&amp;G’s business as a provider of insurance solutions serving retail annuity and life customers and institutional clients. Through F&amp;G’s insurance subsidiaries, including Fidelity &amp; Guaranty Life Insurance Company ("FGL Insurance") and Fidelity &amp; Guaranty Life Insurance Company of New York ("FGL NY Insurance"), F&amp;G markets a broad portfolio of deferred annuities, including fixed indexed annuities ("FIA"), registered index-linked annuities ("RILA"), (together referred to as indexed annuities) and fixed rate annuities including multi-year guarantee annuities ("MYGAs"), immediate annuities, indexed universal life insurance ("IUL"), funding agreements (through funding agreement-backed notes issuances ("FABNs") and the Federal Home Loan Bank of Atlanta ("FHLB")) and pension risk transfer solutions ("PRTs"). All of FNF’s core title insurance, real estate, technology and mortgage related businesses, assets and liabilities that are not held by F&amp;G remain with FNF.</w:t>
      </w:r>
    </w:p>
    <w:p>
      <w:pPr>
        <w:spacing w:after="0" w:line="84" w:lineRule="exact"/>
        <w:rPr>
          <w:sz w:val="20"/>
          <w:szCs w:val="20"/>
          <w:color w:val="auto"/>
        </w:rPr>
      </w:pPr>
    </w:p>
    <w:p>
      <w:pPr>
        <w:ind w:left="340"/>
        <w:spacing w:after="0"/>
        <w:rPr>
          <w:sz w:val="20"/>
          <w:szCs w:val="20"/>
          <w:color w:val="auto"/>
        </w:rPr>
      </w:pPr>
      <w:r>
        <w:rPr>
          <w:rFonts w:ascii="Arial" w:cs="Arial" w:eastAsia="Arial" w:hAnsi="Arial"/>
          <w:sz w:val="20"/>
          <w:szCs w:val="20"/>
          <w:color w:val="auto"/>
        </w:rPr>
        <w:t>As of December 31, 2025, we had the following reporting segments:</w:t>
      </w:r>
    </w:p>
    <w:p>
      <w:pPr>
        <w:spacing w:after="0" w:line="180" w:lineRule="exact"/>
        <w:rPr>
          <w:sz w:val="20"/>
          <w:szCs w:val="20"/>
          <w:color w:val="auto"/>
        </w:rPr>
      </w:pPr>
    </w:p>
    <w:p>
      <w:pPr>
        <w:jc w:val="both"/>
        <w:ind w:left="700" w:hanging="443"/>
        <w:spacing w:after="0" w:line="313" w:lineRule="auto"/>
        <w:tabs>
          <w:tab w:leader="none" w:pos="700" w:val="left"/>
        </w:tabs>
        <w:numPr>
          <w:ilvl w:val="0"/>
          <w:numId w:val="11"/>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Title. </w:t>
      </w:r>
      <w:r>
        <w:rPr>
          <w:rFonts w:ascii="Arial" w:cs="Arial" w:eastAsia="Arial" w:hAnsi="Arial"/>
          <w:sz w:val="17"/>
          <w:szCs w:val="17"/>
          <w:color w:val="auto"/>
        </w:rPr>
        <w:t>This segment consists of the operations of our title insurance underwriters and related businesses, which provide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title insurance and escrow and other title-related services including trust activities, trustee sales guarantees, and home warranty products. This segment also includes our transaction services business, which includes other title-related services used in the production and management of mortgage loans, including mortgage loans that experience default.</w:t>
      </w:r>
    </w:p>
    <w:p>
      <w:pPr>
        <w:spacing w:after="0" w:line="97" w:lineRule="exact"/>
        <w:rPr>
          <w:rFonts w:ascii="Arial" w:cs="Arial" w:eastAsia="Arial" w:hAnsi="Arial"/>
          <w:sz w:val="17"/>
          <w:szCs w:val="17"/>
          <w:color w:val="auto"/>
        </w:rPr>
      </w:pPr>
    </w:p>
    <w:p>
      <w:pPr>
        <w:jc w:val="both"/>
        <w:ind w:left="700" w:hanging="443"/>
        <w:spacing w:after="0" w:line="254" w:lineRule="auto"/>
        <w:tabs>
          <w:tab w:leader="none" w:pos="700" w:val="left"/>
        </w:tabs>
        <w:numPr>
          <w:ilvl w:val="0"/>
          <w:numId w:val="11"/>
        </w:numPr>
        <w:rPr>
          <w:rFonts w:ascii="Arial" w:cs="Arial" w:eastAsia="Arial" w:hAnsi="Arial"/>
          <w:sz w:val="20"/>
          <w:szCs w:val="20"/>
          <w:color w:val="auto"/>
        </w:rPr>
      </w:pPr>
      <w:r>
        <w:rPr>
          <w:rFonts w:ascii="Arial" w:cs="Arial" w:eastAsia="Arial" w:hAnsi="Arial"/>
          <w:sz w:val="20"/>
          <w:szCs w:val="20"/>
          <w:b w:val="1"/>
          <w:bCs w:val="1"/>
          <w:i w:val="1"/>
          <w:iCs w:val="1"/>
          <w:color w:val="auto"/>
        </w:rPr>
        <w:t>F&amp;G</w:t>
      </w:r>
      <w:r>
        <w:rPr>
          <w:rFonts w:ascii="Arial" w:cs="Arial" w:eastAsia="Arial" w:hAnsi="Arial"/>
          <w:sz w:val="20"/>
          <w:szCs w:val="20"/>
          <w:color w:val="auto"/>
        </w:rPr>
        <w:t>. This segment primarily consists of operations of our annuities and life insurance related businesses. This</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segment issues a broad portfolio of annuity and life insurance products, including deferred annuities, immediate annuities, and IUL insurance, through its retail distribution channels. This segment also provides funding agreements and PRTs through its institutional channels.</w:t>
      </w:r>
    </w:p>
    <w:p>
      <w:pPr>
        <w:spacing w:after="0" w:line="143" w:lineRule="exact"/>
        <w:rPr>
          <w:rFonts w:ascii="Arial" w:cs="Arial" w:eastAsia="Arial" w:hAnsi="Arial"/>
          <w:sz w:val="20"/>
          <w:szCs w:val="20"/>
          <w:color w:val="auto"/>
        </w:rPr>
      </w:pPr>
    </w:p>
    <w:p>
      <w:pPr>
        <w:jc w:val="both"/>
        <w:ind w:left="700" w:hanging="443"/>
        <w:spacing w:after="0" w:line="259" w:lineRule="auto"/>
        <w:tabs>
          <w:tab w:leader="none" w:pos="700" w:val="left"/>
        </w:tabs>
        <w:numPr>
          <w:ilvl w:val="0"/>
          <w:numId w:val="11"/>
        </w:numPr>
        <w:rPr>
          <w:rFonts w:ascii="Arial" w:cs="Arial" w:eastAsia="Arial" w:hAnsi="Arial"/>
          <w:sz w:val="20"/>
          <w:szCs w:val="20"/>
          <w:color w:val="auto"/>
        </w:rPr>
      </w:pPr>
      <w:r>
        <w:rPr>
          <w:rFonts w:ascii="Arial" w:cs="Arial" w:eastAsia="Arial" w:hAnsi="Arial"/>
          <w:sz w:val="20"/>
          <w:szCs w:val="20"/>
          <w:b w:val="1"/>
          <w:bCs w:val="1"/>
          <w:i w:val="1"/>
          <w:iCs w:val="1"/>
          <w:color w:val="auto"/>
        </w:rPr>
        <w:t xml:space="preserve">Corporate and Other. </w:t>
      </w:r>
      <w:r>
        <w:rPr>
          <w:rFonts w:ascii="Arial" w:cs="Arial" w:eastAsia="Arial" w:hAnsi="Arial"/>
          <w:sz w:val="20"/>
          <w:szCs w:val="20"/>
          <w:color w:val="auto"/>
        </w:rPr>
        <w:t>This segment consists of the operations of the parent holding company, our real estate</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technology subsidiaries, other smaller, non-title businesses and certain unallocated corporate overhead expenses and eliminations of revenues and expenses between it and our Title segment.</w:t>
      </w:r>
    </w:p>
    <w:p>
      <w:pPr>
        <w:sectPr>
          <w:pgSz w:w="11880" w:h="15480" w:orient="portrait"/>
          <w:cols w:equalWidth="0" w:num="1">
            <w:col w:w="10040"/>
          </w:cols>
          <w:pgMar w:left="920" w:top="765"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ectPr>
          <w:pgSz w:w="11880" w:h="15480" w:orient="portrait"/>
          <w:cols w:equalWidth="0" w:num="1">
            <w:col w:w="10040"/>
          </w:cols>
          <w:pgMar w:left="920" w:top="765" w:right="920" w:bottom="0" w:gutter="0" w:footer="0" w:header="0"/>
          <w:type w:val="continuous"/>
        </w:sectPr>
      </w:pPr>
    </w:p>
    <w:bookmarkStart w:id="16" w:name="page17"/>
    <w:bookmarkEnd w:id="16"/>
    <w:p>
      <w:pPr>
        <w:spacing w:after="0"/>
        <w:rPr>
          <w:sz w:val="20"/>
          <w:szCs w:val="20"/>
          <w:color w:val="auto"/>
        </w:rPr>
      </w:pPr>
      <w:r>
        <w:rPr>
          <w:rFonts w:ascii="Arial" w:cs="Arial" w:eastAsia="Arial" w:hAnsi="Arial"/>
          <w:sz w:val="20"/>
          <w:szCs w:val="20"/>
          <w:b w:val="1"/>
          <w:bCs w:val="1"/>
          <w:i w:val="1"/>
          <w:iCs w:val="1"/>
          <w:color w:val="auto"/>
        </w:rPr>
        <w:t>Competitive Strengths</w:t>
      </w:r>
    </w:p>
    <w:p>
      <w:pPr>
        <w:spacing w:after="0" w:line="110" w:lineRule="exact"/>
        <w:rPr>
          <w:sz w:val="20"/>
          <w:szCs w:val="20"/>
          <w:color w:val="auto"/>
        </w:rPr>
      </w:pPr>
    </w:p>
    <w:p>
      <w:pPr>
        <w:ind w:left="340"/>
        <w:spacing w:after="0"/>
        <w:rPr>
          <w:sz w:val="20"/>
          <w:szCs w:val="20"/>
          <w:color w:val="auto"/>
        </w:rPr>
      </w:pPr>
      <w:r>
        <w:rPr>
          <w:rFonts w:ascii="Arial" w:cs="Arial" w:eastAsia="Arial" w:hAnsi="Arial"/>
          <w:sz w:val="20"/>
          <w:szCs w:val="20"/>
          <w:color w:val="auto"/>
        </w:rPr>
        <w:t>We believe that our competitive strengths include the following:</w:t>
      </w:r>
    </w:p>
    <w:p>
      <w:pPr>
        <w:spacing w:after="0" w:line="101" w:lineRule="exact"/>
        <w:rPr>
          <w:sz w:val="20"/>
          <w:szCs w:val="20"/>
          <w:color w:val="auto"/>
        </w:rPr>
      </w:pPr>
    </w:p>
    <w:p>
      <w:pPr>
        <w:ind w:firstLine="353"/>
        <w:spacing w:after="0" w:line="273" w:lineRule="auto"/>
        <w:rPr>
          <w:sz w:val="20"/>
          <w:szCs w:val="20"/>
          <w:color w:val="auto"/>
        </w:rPr>
      </w:pPr>
      <w:r>
        <w:rPr>
          <w:rFonts w:ascii="Arial" w:cs="Arial" w:eastAsia="Arial" w:hAnsi="Arial"/>
          <w:sz w:val="20"/>
          <w:szCs w:val="20"/>
          <w:b w:val="1"/>
          <w:bCs w:val="1"/>
          <w:i w:val="1"/>
          <w:iCs w:val="1"/>
          <w:color w:val="auto"/>
        </w:rPr>
        <w:t xml:space="preserve">Corporate principles. </w:t>
      </w:r>
      <w:r>
        <w:rPr>
          <w:rFonts w:ascii="Arial" w:cs="Arial" w:eastAsia="Arial" w:hAnsi="Arial"/>
          <w:sz w:val="20"/>
          <w:szCs w:val="20"/>
          <w:color w:val="auto"/>
        </w:rPr>
        <w:t>A cornerstone of our management philosophy and operating success is the six fundamental precepts</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upon which we were founded, which are:</w:t>
      </w:r>
    </w:p>
    <w:p>
      <w:pPr>
        <w:spacing w:after="0" w:line="47" w:lineRule="exact"/>
        <w:rPr>
          <w:sz w:val="20"/>
          <w:szCs w:val="20"/>
          <w:color w:val="auto"/>
        </w:rPr>
      </w:pPr>
    </w:p>
    <w:p>
      <w:pPr>
        <w:ind w:left="700" w:hanging="355"/>
        <w:spacing w:after="0"/>
        <w:tabs>
          <w:tab w:leader="none" w:pos="700" w:val="left"/>
        </w:tabs>
        <w:numPr>
          <w:ilvl w:val="0"/>
          <w:numId w:val="12"/>
        </w:numPr>
        <w:rPr>
          <w:rFonts w:ascii="Arial" w:cs="Arial" w:eastAsia="Arial" w:hAnsi="Arial"/>
          <w:sz w:val="20"/>
          <w:szCs w:val="20"/>
          <w:color w:val="auto"/>
        </w:rPr>
      </w:pPr>
      <w:r>
        <w:rPr>
          <w:rFonts w:ascii="Arial" w:cs="Arial" w:eastAsia="Arial" w:hAnsi="Arial"/>
          <w:sz w:val="20"/>
          <w:szCs w:val="20"/>
          <w:color w:val="auto"/>
        </w:rPr>
        <w:t>Autonomy and entrepreneurship;</w:t>
      </w:r>
    </w:p>
    <w:p>
      <w:pPr>
        <w:spacing w:after="0" w:line="24" w:lineRule="exact"/>
        <w:rPr>
          <w:rFonts w:ascii="Arial" w:cs="Arial" w:eastAsia="Arial" w:hAnsi="Arial"/>
          <w:sz w:val="20"/>
          <w:szCs w:val="20"/>
          <w:color w:val="auto"/>
        </w:rPr>
      </w:pPr>
    </w:p>
    <w:p>
      <w:pPr>
        <w:ind w:left="700" w:hanging="355"/>
        <w:spacing w:after="0"/>
        <w:tabs>
          <w:tab w:leader="none" w:pos="700" w:val="left"/>
        </w:tabs>
        <w:numPr>
          <w:ilvl w:val="0"/>
          <w:numId w:val="12"/>
        </w:numPr>
        <w:rPr>
          <w:rFonts w:ascii="Arial" w:cs="Arial" w:eastAsia="Arial" w:hAnsi="Arial"/>
          <w:sz w:val="20"/>
          <w:szCs w:val="20"/>
          <w:color w:val="auto"/>
        </w:rPr>
      </w:pPr>
      <w:r>
        <w:rPr>
          <w:rFonts w:ascii="Arial" w:cs="Arial" w:eastAsia="Arial" w:hAnsi="Arial"/>
          <w:sz w:val="20"/>
          <w:szCs w:val="20"/>
          <w:color w:val="auto"/>
        </w:rPr>
        <w:t>Bias for action;</w:t>
      </w:r>
    </w:p>
    <w:p>
      <w:pPr>
        <w:spacing w:after="0" w:line="5" w:lineRule="exact"/>
        <w:rPr>
          <w:rFonts w:ascii="Arial" w:cs="Arial" w:eastAsia="Arial" w:hAnsi="Arial"/>
          <w:sz w:val="20"/>
          <w:szCs w:val="20"/>
          <w:color w:val="auto"/>
        </w:rPr>
      </w:pPr>
    </w:p>
    <w:p>
      <w:pPr>
        <w:ind w:left="700" w:hanging="355"/>
        <w:spacing w:after="0"/>
        <w:tabs>
          <w:tab w:leader="none" w:pos="700" w:val="left"/>
        </w:tabs>
        <w:numPr>
          <w:ilvl w:val="0"/>
          <w:numId w:val="12"/>
        </w:numPr>
        <w:rPr>
          <w:rFonts w:ascii="Arial" w:cs="Arial" w:eastAsia="Arial" w:hAnsi="Arial"/>
          <w:sz w:val="20"/>
          <w:szCs w:val="20"/>
          <w:color w:val="auto"/>
        </w:rPr>
      </w:pPr>
      <w:r>
        <w:rPr>
          <w:rFonts w:ascii="Arial" w:cs="Arial" w:eastAsia="Arial" w:hAnsi="Arial"/>
          <w:sz w:val="20"/>
          <w:szCs w:val="20"/>
          <w:color w:val="auto"/>
        </w:rPr>
        <w:t>Customer-oriented and motivated;</w:t>
      </w:r>
    </w:p>
    <w:p>
      <w:pPr>
        <w:spacing w:after="0" w:line="5" w:lineRule="exact"/>
        <w:rPr>
          <w:rFonts w:ascii="Arial" w:cs="Arial" w:eastAsia="Arial" w:hAnsi="Arial"/>
          <w:sz w:val="20"/>
          <w:szCs w:val="20"/>
          <w:color w:val="auto"/>
        </w:rPr>
      </w:pPr>
    </w:p>
    <w:p>
      <w:pPr>
        <w:ind w:left="700" w:hanging="355"/>
        <w:spacing w:after="0"/>
        <w:tabs>
          <w:tab w:leader="none" w:pos="700" w:val="left"/>
        </w:tabs>
        <w:numPr>
          <w:ilvl w:val="0"/>
          <w:numId w:val="12"/>
        </w:numPr>
        <w:rPr>
          <w:rFonts w:ascii="Arial" w:cs="Arial" w:eastAsia="Arial" w:hAnsi="Arial"/>
          <w:sz w:val="20"/>
          <w:szCs w:val="20"/>
          <w:color w:val="auto"/>
        </w:rPr>
      </w:pPr>
      <w:r>
        <w:rPr>
          <w:rFonts w:ascii="Arial" w:cs="Arial" w:eastAsia="Arial" w:hAnsi="Arial"/>
          <w:sz w:val="20"/>
          <w:szCs w:val="20"/>
          <w:color w:val="auto"/>
        </w:rPr>
        <w:t>Minimize bureaucracy;</w:t>
      </w:r>
    </w:p>
    <w:p>
      <w:pPr>
        <w:spacing w:after="0" w:line="5" w:lineRule="exact"/>
        <w:rPr>
          <w:rFonts w:ascii="Arial" w:cs="Arial" w:eastAsia="Arial" w:hAnsi="Arial"/>
          <w:sz w:val="20"/>
          <w:szCs w:val="20"/>
          <w:color w:val="auto"/>
        </w:rPr>
      </w:pPr>
    </w:p>
    <w:p>
      <w:pPr>
        <w:ind w:left="700" w:hanging="355"/>
        <w:spacing w:after="0"/>
        <w:tabs>
          <w:tab w:leader="none" w:pos="700" w:val="left"/>
        </w:tabs>
        <w:numPr>
          <w:ilvl w:val="0"/>
          <w:numId w:val="12"/>
        </w:numPr>
        <w:rPr>
          <w:rFonts w:ascii="Arial" w:cs="Arial" w:eastAsia="Arial" w:hAnsi="Arial"/>
          <w:sz w:val="20"/>
          <w:szCs w:val="20"/>
          <w:color w:val="auto"/>
        </w:rPr>
      </w:pPr>
      <w:r>
        <w:rPr>
          <w:rFonts w:ascii="Arial" w:cs="Arial" w:eastAsia="Arial" w:hAnsi="Arial"/>
          <w:sz w:val="20"/>
          <w:szCs w:val="20"/>
          <w:color w:val="auto"/>
        </w:rPr>
        <w:t>Employee ownership; and</w:t>
      </w:r>
    </w:p>
    <w:p>
      <w:pPr>
        <w:spacing w:after="0" w:line="5" w:lineRule="exact"/>
        <w:rPr>
          <w:rFonts w:ascii="Arial" w:cs="Arial" w:eastAsia="Arial" w:hAnsi="Arial"/>
          <w:sz w:val="20"/>
          <w:szCs w:val="20"/>
          <w:color w:val="auto"/>
        </w:rPr>
      </w:pPr>
    </w:p>
    <w:p>
      <w:pPr>
        <w:ind w:left="700" w:hanging="355"/>
        <w:spacing w:after="0"/>
        <w:tabs>
          <w:tab w:leader="none" w:pos="700" w:val="left"/>
        </w:tabs>
        <w:numPr>
          <w:ilvl w:val="0"/>
          <w:numId w:val="12"/>
        </w:numPr>
        <w:rPr>
          <w:rFonts w:ascii="Arial" w:cs="Arial" w:eastAsia="Arial" w:hAnsi="Arial"/>
          <w:sz w:val="20"/>
          <w:szCs w:val="20"/>
          <w:color w:val="auto"/>
        </w:rPr>
      </w:pPr>
      <w:r>
        <w:rPr>
          <w:rFonts w:ascii="Arial" w:cs="Arial" w:eastAsia="Arial" w:hAnsi="Arial"/>
          <w:sz w:val="20"/>
          <w:szCs w:val="20"/>
          <w:color w:val="auto"/>
        </w:rPr>
        <w:t>Highest standard of conduct.</w:t>
      </w:r>
    </w:p>
    <w:p>
      <w:pPr>
        <w:spacing w:after="0" w:line="84" w:lineRule="exact"/>
        <w:rPr>
          <w:sz w:val="20"/>
          <w:szCs w:val="20"/>
          <w:color w:val="auto"/>
        </w:rPr>
      </w:pPr>
    </w:p>
    <w:p>
      <w:pPr>
        <w:jc w:val="both"/>
        <w:ind w:firstLine="353"/>
        <w:spacing w:after="0" w:line="271" w:lineRule="auto"/>
        <w:rPr>
          <w:sz w:val="20"/>
          <w:szCs w:val="20"/>
          <w:color w:val="auto"/>
        </w:rPr>
      </w:pPr>
      <w:r>
        <w:rPr>
          <w:rFonts w:ascii="Arial" w:cs="Arial" w:eastAsia="Arial" w:hAnsi="Arial"/>
          <w:sz w:val="20"/>
          <w:szCs w:val="20"/>
          <w:color w:val="auto"/>
        </w:rPr>
        <w:t>These six precepts are emphasized to our employees from the first day of employment and are integral to many of our strategies described below.</w:t>
      </w:r>
    </w:p>
    <w:p>
      <w:pPr>
        <w:spacing w:after="0" w:line="42" w:lineRule="exact"/>
        <w:rPr>
          <w:sz w:val="20"/>
          <w:szCs w:val="20"/>
          <w:color w:val="auto"/>
        </w:rPr>
      </w:pPr>
    </w:p>
    <w:p>
      <w:pPr>
        <w:ind w:left="340"/>
        <w:spacing w:after="0"/>
        <w:rPr>
          <w:sz w:val="20"/>
          <w:szCs w:val="20"/>
          <w:color w:val="auto"/>
        </w:rPr>
      </w:pPr>
      <w:r>
        <w:rPr>
          <w:rFonts w:ascii="Arial" w:cs="Arial" w:eastAsia="Arial" w:hAnsi="Arial"/>
          <w:sz w:val="20"/>
          <w:szCs w:val="20"/>
          <w:b w:val="1"/>
          <w:bCs w:val="1"/>
          <w:i w:val="1"/>
          <w:iCs w:val="1"/>
          <w:color w:val="auto"/>
        </w:rPr>
        <w:t>Title</w:t>
      </w:r>
    </w:p>
    <w:p>
      <w:pPr>
        <w:spacing w:after="0" w:line="109" w:lineRule="exact"/>
        <w:rPr>
          <w:sz w:val="20"/>
          <w:szCs w:val="20"/>
          <w:color w:val="auto"/>
        </w:rPr>
      </w:pPr>
    </w:p>
    <w:p>
      <w:pPr>
        <w:jc w:val="both"/>
        <w:ind w:firstLine="353"/>
        <w:spacing w:after="0" w:line="299" w:lineRule="auto"/>
        <w:rPr>
          <w:sz w:val="20"/>
          <w:szCs w:val="20"/>
          <w:color w:val="auto"/>
        </w:rPr>
      </w:pPr>
      <w:r>
        <w:rPr>
          <w:rFonts w:ascii="Arial" w:cs="Arial" w:eastAsia="Arial" w:hAnsi="Arial"/>
          <w:sz w:val="17"/>
          <w:szCs w:val="17"/>
          <w:b w:val="1"/>
          <w:bCs w:val="1"/>
          <w:i w:val="1"/>
          <w:iCs w:val="1"/>
          <w:color w:val="auto"/>
        </w:rPr>
        <w:t xml:space="preserve">Leading residential and commercial title insurance company. </w:t>
      </w:r>
      <w:r>
        <w:rPr>
          <w:rFonts w:ascii="Arial" w:cs="Arial" w:eastAsia="Arial" w:hAnsi="Arial"/>
          <w:sz w:val="17"/>
          <w:szCs w:val="17"/>
          <w:color w:val="auto"/>
        </w:rPr>
        <w:t>We are one of the largest title insurance companies in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United States and a leading provider of title insurance and escrow and other title-related services for real estate transactions. Through the third quarter of 2025, our insurance companies had a 32% share of the U.S. title insurance market, according to the American Land Title Association ("ALTA"). While residential title insurance comprises the majority of our business, we are also a significant provider of commercial real estate title insurance in the United States. Our network of independent title agents and employees in our direct operations that service the commercial real estate markets is one of the largest in the industry. Our commercial network combined with our financial strength makes our title insurance operations attractive to large national lenders that require the underwriting and issuing of larger commercial title policies.</w:t>
      </w:r>
    </w:p>
    <w:p>
      <w:pPr>
        <w:spacing w:after="0" w:line="31" w:lineRule="exact"/>
        <w:rPr>
          <w:sz w:val="20"/>
          <w:szCs w:val="20"/>
          <w:color w:val="auto"/>
        </w:rPr>
      </w:pPr>
    </w:p>
    <w:p>
      <w:pPr>
        <w:jc w:val="both"/>
        <w:ind w:firstLine="353"/>
        <w:spacing w:after="0" w:line="252" w:lineRule="auto"/>
        <w:rPr>
          <w:sz w:val="20"/>
          <w:szCs w:val="20"/>
          <w:color w:val="auto"/>
        </w:rPr>
      </w:pPr>
      <w:r>
        <w:rPr>
          <w:rFonts w:ascii="Arial" w:cs="Arial" w:eastAsia="Arial" w:hAnsi="Arial"/>
          <w:sz w:val="20"/>
          <w:szCs w:val="20"/>
          <w:b w:val="1"/>
          <w:bCs w:val="1"/>
          <w:i w:val="1"/>
          <w:iCs w:val="1"/>
          <w:color w:val="auto"/>
        </w:rPr>
        <w:t xml:space="preserve">Established relationships with our customers. </w:t>
      </w:r>
      <w:r>
        <w:rPr>
          <w:rFonts w:ascii="Arial" w:cs="Arial" w:eastAsia="Arial" w:hAnsi="Arial"/>
          <w:sz w:val="20"/>
          <w:szCs w:val="20"/>
          <w:color w:val="auto"/>
        </w:rPr>
        <w:t>We have strong relationships with the customers who use our title services.</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Our distribution network, which includes approximately 1,300 direct title offices and approximately 5,100 agents, is among the largest in the United States. We also benefit from strong brand recognition in our multiple title brands that allows us to access a broader client base than if we operated under a single consolidated brand and provides our customers with a choice among brands.</w:t>
      </w:r>
    </w:p>
    <w:p>
      <w:pPr>
        <w:spacing w:after="0" w:line="67" w:lineRule="exact"/>
        <w:rPr>
          <w:sz w:val="20"/>
          <w:szCs w:val="20"/>
          <w:color w:val="auto"/>
        </w:rPr>
      </w:pPr>
    </w:p>
    <w:p>
      <w:pPr>
        <w:jc w:val="both"/>
        <w:ind w:firstLine="353"/>
        <w:spacing w:after="0" w:line="268" w:lineRule="auto"/>
        <w:rPr>
          <w:sz w:val="20"/>
          <w:szCs w:val="20"/>
          <w:color w:val="auto"/>
        </w:rPr>
      </w:pPr>
      <w:r>
        <w:rPr>
          <w:rFonts w:ascii="Arial" w:cs="Arial" w:eastAsia="Arial" w:hAnsi="Arial"/>
          <w:sz w:val="19"/>
          <w:szCs w:val="19"/>
          <w:b w:val="1"/>
          <w:bCs w:val="1"/>
          <w:i w:val="1"/>
          <w:iCs w:val="1"/>
          <w:color w:val="auto"/>
        </w:rPr>
        <w:t xml:space="preserve">Strong value proposition for our customers as a leading provider of services and technology solutions to the title insurance industry. </w:t>
      </w:r>
      <w:r>
        <w:rPr>
          <w:rFonts w:ascii="Arial" w:cs="Arial" w:eastAsia="Arial" w:hAnsi="Arial"/>
          <w:sz w:val="19"/>
          <w:szCs w:val="19"/>
          <w:color w:val="auto"/>
        </w:rPr>
        <w:t>Through our Title segment, we provide our customers with title insurance and escrow and other title-related services</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that support their ability to effectively close real estate transactions. We help make the real estate closing process more efficient for our customers by offering a single point of access to a broad platform of title-related products and resources necessary to close real estate transactions.</w:t>
      </w:r>
    </w:p>
    <w:p>
      <w:pPr>
        <w:spacing w:after="0" w:line="54" w:lineRule="exact"/>
        <w:rPr>
          <w:sz w:val="20"/>
          <w:szCs w:val="20"/>
          <w:color w:val="auto"/>
        </w:rPr>
      </w:pPr>
    </w:p>
    <w:p>
      <w:pPr>
        <w:jc w:val="both"/>
        <w:ind w:firstLine="353"/>
        <w:spacing w:after="0" w:line="254" w:lineRule="auto"/>
        <w:rPr>
          <w:sz w:val="20"/>
          <w:szCs w:val="20"/>
          <w:color w:val="auto"/>
        </w:rPr>
      </w:pPr>
      <w:r>
        <w:rPr>
          <w:rFonts w:ascii="Arial" w:cs="Arial" w:eastAsia="Arial" w:hAnsi="Arial"/>
          <w:sz w:val="20"/>
          <w:szCs w:val="20"/>
          <w:b w:val="1"/>
          <w:bCs w:val="1"/>
          <w:i w:val="1"/>
          <w:iCs w:val="1"/>
          <w:color w:val="auto"/>
        </w:rPr>
        <w:t xml:space="preserve">Industry leading margins and disciplined operating focus. </w:t>
      </w:r>
      <w:r>
        <w:rPr>
          <w:rFonts w:ascii="Arial" w:cs="Arial" w:eastAsia="Arial" w:hAnsi="Arial"/>
          <w:sz w:val="20"/>
          <w:szCs w:val="20"/>
          <w:color w:val="auto"/>
        </w:rPr>
        <w:t>We have been able to maintain competitive operating margins in</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part by monitoring our businesses in a disciplined manner through continual evaluation of business activity and management of our cost structure. When compared to our industry competitors, we also believe that our structure is more efficiently designed, which allows us to operate with lower overhead costs.</w:t>
      </w:r>
    </w:p>
    <w:p>
      <w:pPr>
        <w:spacing w:after="0" w:line="65" w:lineRule="exact"/>
        <w:rPr>
          <w:sz w:val="20"/>
          <w:szCs w:val="20"/>
          <w:color w:val="auto"/>
        </w:rPr>
      </w:pPr>
    </w:p>
    <w:p>
      <w:pPr>
        <w:jc w:val="both"/>
        <w:ind w:firstLine="353"/>
        <w:spacing w:after="0" w:line="272" w:lineRule="auto"/>
        <w:rPr>
          <w:sz w:val="20"/>
          <w:szCs w:val="20"/>
          <w:color w:val="auto"/>
        </w:rPr>
      </w:pPr>
      <w:r>
        <w:rPr>
          <w:rFonts w:ascii="Arial" w:cs="Arial" w:eastAsia="Arial" w:hAnsi="Arial"/>
          <w:sz w:val="19"/>
          <w:szCs w:val="19"/>
          <w:b w:val="1"/>
          <w:bCs w:val="1"/>
          <w:i w:val="1"/>
          <w:iCs w:val="1"/>
          <w:color w:val="auto"/>
        </w:rPr>
        <w:t xml:space="preserve">Proven management team. </w:t>
      </w:r>
      <w:r>
        <w:rPr>
          <w:rFonts w:ascii="Arial" w:cs="Arial" w:eastAsia="Arial" w:hAnsi="Arial"/>
          <w:sz w:val="19"/>
          <w:szCs w:val="19"/>
          <w:color w:val="auto"/>
        </w:rPr>
        <w:t>The managers of our operating businesses have successfully built our Title segment over an</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extended period of time, resulting in our business attaining the size, scope and presence in the industry that it has today. Our managers have demonstrated their leadership ability during numerous acquisitions through which we have grown and throughout a number of business cycles and significant periods of industry change.</w:t>
      </w:r>
    </w:p>
    <w:p>
      <w:pPr>
        <w:spacing w:after="0" w:line="50" w:lineRule="exact"/>
        <w:rPr>
          <w:sz w:val="20"/>
          <w:szCs w:val="20"/>
          <w:color w:val="auto"/>
        </w:rPr>
      </w:pPr>
    </w:p>
    <w:p>
      <w:pPr>
        <w:jc w:val="both"/>
        <w:ind w:firstLine="353"/>
        <w:spacing w:after="0" w:line="271" w:lineRule="auto"/>
        <w:rPr>
          <w:sz w:val="20"/>
          <w:szCs w:val="20"/>
          <w:color w:val="auto"/>
        </w:rPr>
      </w:pPr>
      <w:r>
        <w:rPr>
          <w:rFonts w:ascii="Arial" w:cs="Arial" w:eastAsia="Arial" w:hAnsi="Arial"/>
          <w:sz w:val="20"/>
          <w:szCs w:val="20"/>
          <w:color w:val="auto"/>
        </w:rPr>
        <w:t>We believe that our Title segment's competitive strengths position us well to take advantage of future changes to the real estate market.</w:t>
      </w:r>
    </w:p>
    <w:p>
      <w:pPr>
        <w:spacing w:after="0" w:line="42" w:lineRule="exact"/>
        <w:rPr>
          <w:sz w:val="20"/>
          <w:szCs w:val="20"/>
          <w:color w:val="auto"/>
        </w:rPr>
      </w:pPr>
    </w:p>
    <w:p>
      <w:pPr>
        <w:ind w:left="340"/>
        <w:spacing w:after="0"/>
        <w:rPr>
          <w:sz w:val="20"/>
          <w:szCs w:val="20"/>
          <w:color w:val="auto"/>
        </w:rPr>
      </w:pPr>
      <w:r>
        <w:rPr>
          <w:rFonts w:ascii="Arial" w:cs="Arial" w:eastAsia="Arial" w:hAnsi="Arial"/>
          <w:sz w:val="20"/>
          <w:szCs w:val="20"/>
          <w:b w:val="1"/>
          <w:bCs w:val="1"/>
          <w:i w:val="1"/>
          <w:iCs w:val="1"/>
          <w:color w:val="auto"/>
        </w:rPr>
        <w:t>F&amp;G</w:t>
      </w:r>
    </w:p>
    <w:p>
      <w:pPr>
        <w:spacing w:after="0" w:line="109" w:lineRule="exact"/>
        <w:rPr>
          <w:sz w:val="20"/>
          <w:szCs w:val="20"/>
          <w:color w:val="auto"/>
        </w:rPr>
      </w:pPr>
    </w:p>
    <w:p>
      <w:pPr>
        <w:jc w:val="both"/>
        <w:ind w:firstLine="353"/>
        <w:spacing w:after="0" w:line="252" w:lineRule="auto"/>
        <w:rPr>
          <w:sz w:val="20"/>
          <w:szCs w:val="20"/>
          <w:color w:val="auto"/>
        </w:rPr>
      </w:pPr>
      <w:r>
        <w:rPr>
          <w:rFonts w:ascii="Arial" w:cs="Arial" w:eastAsia="Arial" w:hAnsi="Arial"/>
          <w:sz w:val="20"/>
          <w:szCs w:val="20"/>
          <w:b w:val="1"/>
          <w:bCs w:val="1"/>
          <w:i w:val="1"/>
          <w:iCs w:val="1"/>
          <w:color w:val="auto"/>
        </w:rPr>
        <w:t xml:space="preserve">Trusted by distributors. </w:t>
      </w:r>
      <w:r>
        <w:rPr>
          <w:rFonts w:ascii="Arial" w:cs="Arial" w:eastAsia="Arial" w:hAnsi="Arial"/>
          <w:sz w:val="20"/>
          <w:szCs w:val="20"/>
          <w:color w:val="auto"/>
        </w:rPr>
        <w:t>We have long-standing relationships with a broad range of distributors representing nearly 187,000</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independent agents and financial advisors, and built on our reputation for transparency and a consistently competitive product portfolio. We offer fixed annuities and life insurance products through a network of approximately 26 leading banks and broker dealers and approximately 300 Independent Marketing Organizations (“IMOs”) that provide back-office support for thousands of independent insurance agents.</w:t>
      </w:r>
    </w:p>
    <w:p>
      <w:pPr>
        <w:spacing w:after="0" w:line="67" w:lineRule="exact"/>
        <w:rPr>
          <w:sz w:val="20"/>
          <w:szCs w:val="20"/>
          <w:color w:val="auto"/>
        </w:rPr>
      </w:pPr>
    </w:p>
    <w:p>
      <w:pPr>
        <w:jc w:val="both"/>
        <w:ind w:firstLine="353"/>
        <w:spacing w:after="0" w:line="279" w:lineRule="auto"/>
        <w:rPr>
          <w:sz w:val="20"/>
          <w:szCs w:val="20"/>
          <w:color w:val="auto"/>
        </w:rPr>
      </w:pPr>
      <w:r>
        <w:rPr>
          <w:rFonts w:ascii="Arial" w:cs="Arial" w:eastAsia="Arial" w:hAnsi="Arial"/>
          <w:sz w:val="19"/>
          <w:szCs w:val="19"/>
          <w:b w:val="1"/>
          <w:bCs w:val="1"/>
          <w:i w:val="1"/>
          <w:iCs w:val="1"/>
          <w:color w:val="auto"/>
        </w:rPr>
        <w:t xml:space="preserve">Winning in high-growth markets. </w:t>
      </w:r>
      <w:r>
        <w:rPr>
          <w:rFonts w:ascii="Arial" w:cs="Arial" w:eastAsia="Arial" w:hAnsi="Arial"/>
          <w:sz w:val="19"/>
          <w:szCs w:val="19"/>
          <w:color w:val="auto"/>
        </w:rPr>
        <w:t>The U.S. retirement and middle markets are growing, and we are both well-established</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and well-positioned for continued growth. Our strategic alignment with our distribution partners allows us to reach a diverse, growing and underserved middle market demographic in both our retail and institutional channels.</w:t>
      </w:r>
    </w:p>
    <w:p>
      <w:pPr>
        <w:sectPr>
          <w:pgSz w:w="11880" w:h="15480" w:orient="portrait"/>
          <w:cols w:equalWidth="0" w:num="1">
            <w:col w:w="10040"/>
          </w:cols>
          <w:pgMar w:left="920" w:top="765"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ectPr>
          <w:pgSz w:w="11880" w:h="15480" w:orient="portrait"/>
          <w:cols w:equalWidth="0" w:num="1">
            <w:col w:w="10040"/>
          </w:cols>
          <w:pgMar w:left="920" w:top="765" w:right="920" w:bottom="0" w:gutter="0" w:footer="0" w:header="0"/>
          <w:type w:val="continuous"/>
        </w:sectPr>
      </w:pPr>
    </w:p>
    <w:bookmarkStart w:id="17" w:name="page18"/>
    <w:bookmarkEnd w:id="17"/>
    <w:p>
      <w:pPr>
        <w:jc w:val="both"/>
        <w:ind w:firstLine="353"/>
        <w:spacing w:after="0" w:line="301" w:lineRule="auto"/>
        <w:rPr>
          <w:sz w:val="20"/>
          <w:szCs w:val="20"/>
          <w:color w:val="auto"/>
        </w:rPr>
      </w:pPr>
      <w:r>
        <w:rPr>
          <w:rFonts w:ascii="Arial" w:cs="Arial" w:eastAsia="Arial" w:hAnsi="Arial"/>
          <w:sz w:val="17"/>
          <w:szCs w:val="17"/>
          <w:b w:val="1"/>
          <w:bCs w:val="1"/>
          <w:i w:val="1"/>
          <w:iCs w:val="1"/>
          <w:color w:val="auto"/>
        </w:rPr>
        <w:t xml:space="preserve">Durable investment management edge. </w:t>
      </w:r>
      <w:r>
        <w:rPr>
          <w:rFonts w:ascii="Arial" w:cs="Arial" w:eastAsia="Arial" w:hAnsi="Arial"/>
          <w:sz w:val="17"/>
          <w:szCs w:val="17"/>
          <w:color w:val="auto"/>
        </w:rPr>
        <w:t>Our strategic partnership with Blackstone Inc. ("Blackstone") provides a sustained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competitive advantage for our business. Our liability profile and risk appetite drive our investment strategy. F&amp;G’s investment and risk offices set strategic asset allocation and risk limits. Blackstone is responsible for idea generation and security selection. Blackstone’s capabilities expand our investment universe to new asset classes and their origination capabilities provide incremental spread. Our high quality, diversified investment portfolio is well positioned to withstand macroeconomic headwinds and continues to perform well. We have enhanced the return while improving the credit quality of our portfolio, and credit related impairments remain low, averaging 7 basis points over the past 3 years, below our pricing assumption.</w:t>
      </w:r>
    </w:p>
    <w:p>
      <w:pPr>
        <w:spacing w:after="0" w:line="28" w:lineRule="exact"/>
        <w:rPr>
          <w:sz w:val="20"/>
          <w:szCs w:val="20"/>
          <w:color w:val="auto"/>
        </w:rPr>
      </w:pPr>
    </w:p>
    <w:p>
      <w:pPr>
        <w:jc w:val="both"/>
        <w:ind w:firstLine="353"/>
        <w:spacing w:after="0" w:line="250" w:lineRule="auto"/>
        <w:rPr>
          <w:sz w:val="20"/>
          <w:szCs w:val="20"/>
          <w:color w:val="auto"/>
        </w:rPr>
      </w:pPr>
      <w:r>
        <w:rPr>
          <w:rFonts w:ascii="Arial" w:cs="Arial" w:eastAsia="Arial" w:hAnsi="Arial"/>
          <w:sz w:val="20"/>
          <w:szCs w:val="20"/>
          <w:b w:val="1"/>
          <w:bCs w:val="1"/>
          <w:i w:val="1"/>
          <w:iCs w:val="1"/>
          <w:color w:val="auto"/>
        </w:rPr>
        <w:t xml:space="preserve">Clean and profitable in-force book. </w:t>
      </w:r>
      <w:r>
        <w:rPr>
          <w:rFonts w:ascii="Arial" w:cs="Arial" w:eastAsia="Arial" w:hAnsi="Arial"/>
          <w:sz w:val="20"/>
          <w:szCs w:val="20"/>
          <w:color w:val="auto"/>
        </w:rPr>
        <w:t>As a life insurer, we generate spread earnings based on our assets under management</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and over the lifetime of the liabilities in place. Our disciplined new business underwriting process provides us with stable liabilities, primarily in products that reset annually, which has allowed us to achieve consistently attractive lifetime returns. Approximately 93% of our $36.1 billion FIAs and fixed rate annuities account value are surrender-charge protected and our asset and liability cash flows are well matched. Additionally, our funding agreements, pension risk transfer and immediate annuities are non-surrenderable.</w:t>
      </w:r>
    </w:p>
    <w:p>
      <w:pPr>
        <w:spacing w:after="0" w:line="72" w:lineRule="exact"/>
        <w:rPr>
          <w:sz w:val="20"/>
          <w:szCs w:val="20"/>
          <w:color w:val="auto"/>
        </w:rPr>
      </w:pPr>
    </w:p>
    <w:p>
      <w:pPr>
        <w:jc w:val="both"/>
        <w:ind w:firstLine="353"/>
        <w:spacing w:after="0" w:line="303" w:lineRule="auto"/>
        <w:rPr>
          <w:sz w:val="20"/>
          <w:szCs w:val="20"/>
          <w:color w:val="auto"/>
        </w:rPr>
      </w:pPr>
      <w:r>
        <w:rPr>
          <w:rFonts w:ascii="Arial" w:cs="Arial" w:eastAsia="Arial" w:hAnsi="Arial"/>
          <w:sz w:val="17"/>
          <w:szCs w:val="17"/>
          <w:b w:val="1"/>
          <w:bCs w:val="1"/>
          <w:i w:val="1"/>
          <w:iCs w:val="1"/>
          <w:color w:val="auto"/>
        </w:rPr>
        <w:t xml:space="preserve">Track record of attracting top talent. </w:t>
      </w:r>
      <w:r>
        <w:rPr>
          <w:rFonts w:ascii="Arial" w:cs="Arial" w:eastAsia="Arial" w:hAnsi="Arial"/>
          <w:sz w:val="17"/>
          <w:szCs w:val="17"/>
          <w:color w:val="auto"/>
        </w:rPr>
        <w:t>F&amp;G’s management team and over 1,100 employees have a record of long-term</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success and have delivered impressive results in the last few years. Our commitment to our cultural values is the cornerstone of our success, whereby F&amp;G is a company of individuals who believe in the power of partnerships, encourage innovation and creativity, and are transparent about decisions while delivering on their commitments. This is borne out by consistently being recognized as an employer of choice as well as an involuntary turnover rate that is well below that of other financial services companies. We believe our flexible, employee-centric work approach positions us as an employer of choice.</w:t>
      </w:r>
    </w:p>
    <w:p>
      <w:pPr>
        <w:spacing w:after="0" w:line="28" w:lineRule="exact"/>
        <w:rPr>
          <w:sz w:val="20"/>
          <w:szCs w:val="20"/>
          <w:color w:val="auto"/>
        </w:rPr>
      </w:pPr>
    </w:p>
    <w:p>
      <w:pPr>
        <w:jc w:val="both"/>
        <w:ind w:firstLine="353"/>
        <w:spacing w:after="0" w:line="259" w:lineRule="auto"/>
        <w:rPr>
          <w:sz w:val="20"/>
          <w:szCs w:val="20"/>
          <w:color w:val="auto"/>
        </w:rPr>
      </w:pPr>
      <w:r>
        <w:rPr>
          <w:rFonts w:ascii="Arial" w:cs="Arial" w:eastAsia="Arial" w:hAnsi="Arial"/>
          <w:sz w:val="20"/>
          <w:szCs w:val="20"/>
          <w:b w:val="1"/>
          <w:bCs w:val="1"/>
          <w:i w:val="1"/>
          <w:iCs w:val="1"/>
          <w:color w:val="auto"/>
        </w:rPr>
        <w:t xml:space="preserve">Clear governance structure. </w:t>
      </w:r>
      <w:r>
        <w:rPr>
          <w:rFonts w:ascii="Arial" w:cs="Arial" w:eastAsia="Arial" w:hAnsi="Arial"/>
          <w:sz w:val="20"/>
          <w:szCs w:val="20"/>
          <w:color w:val="auto"/>
        </w:rPr>
        <w:t>We have a disciplined approach for considering new lines of business to enter, the appropriate</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product/channel mix for achieving our targeted new business profitability, and the management of our capital and in-force liabilities. Further, we target and pursue opportunities that leverage our strengths.</w:t>
      </w:r>
    </w:p>
    <w:p>
      <w:pPr>
        <w:spacing w:after="0" w:line="61" w:lineRule="exact"/>
        <w:rPr>
          <w:sz w:val="20"/>
          <w:szCs w:val="20"/>
          <w:color w:val="auto"/>
        </w:rPr>
      </w:pPr>
    </w:p>
    <w:p>
      <w:pPr>
        <w:ind w:left="340"/>
        <w:spacing w:after="0"/>
        <w:rPr>
          <w:sz w:val="20"/>
          <w:szCs w:val="20"/>
          <w:color w:val="auto"/>
        </w:rPr>
      </w:pPr>
      <w:r>
        <w:rPr>
          <w:rFonts w:ascii="Arial" w:cs="Arial" w:eastAsia="Arial" w:hAnsi="Arial"/>
          <w:sz w:val="19"/>
          <w:szCs w:val="19"/>
          <w:color w:val="auto"/>
        </w:rPr>
        <w:t>Our business model is strong and positions us to capitalize on the growth prospects in our addressable markets.</w:t>
      </w:r>
    </w:p>
    <w:p>
      <w:pPr>
        <w:spacing w:after="0" w:line="12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Strategy</w:t>
      </w:r>
    </w:p>
    <w:p>
      <w:pPr>
        <w:spacing w:after="0" w:line="109" w:lineRule="exact"/>
        <w:rPr>
          <w:sz w:val="20"/>
          <w:szCs w:val="20"/>
          <w:color w:val="auto"/>
        </w:rPr>
      </w:pPr>
    </w:p>
    <w:p>
      <w:pPr>
        <w:ind w:left="280"/>
        <w:spacing w:after="0"/>
        <w:rPr>
          <w:sz w:val="20"/>
          <w:szCs w:val="20"/>
          <w:color w:val="auto"/>
        </w:rPr>
      </w:pPr>
      <w:r>
        <w:rPr>
          <w:rFonts w:ascii="Arial" w:cs="Arial" w:eastAsia="Arial" w:hAnsi="Arial"/>
          <w:sz w:val="20"/>
          <w:szCs w:val="20"/>
          <w:b w:val="1"/>
          <w:bCs w:val="1"/>
          <w:i w:val="1"/>
          <w:iCs w:val="1"/>
          <w:color w:val="auto"/>
        </w:rPr>
        <w:t>Title</w:t>
      </w:r>
    </w:p>
    <w:p>
      <w:pPr>
        <w:spacing w:after="0" w:line="105" w:lineRule="exact"/>
        <w:rPr>
          <w:sz w:val="20"/>
          <w:szCs w:val="20"/>
          <w:color w:val="auto"/>
        </w:rPr>
      </w:pPr>
    </w:p>
    <w:p>
      <w:pPr>
        <w:jc w:val="both"/>
        <w:ind w:firstLine="353"/>
        <w:spacing w:after="0" w:line="298" w:lineRule="auto"/>
        <w:rPr>
          <w:sz w:val="20"/>
          <w:szCs w:val="20"/>
          <w:color w:val="auto"/>
        </w:rPr>
      </w:pPr>
      <w:r>
        <w:rPr>
          <w:rFonts w:ascii="Arial" w:cs="Arial" w:eastAsia="Arial" w:hAnsi="Arial"/>
          <w:sz w:val="19"/>
          <w:szCs w:val="19"/>
          <w:color w:val="auto"/>
        </w:rPr>
        <w:t>Our strategy in the Title segment is to maximize operating profits by increasing our market share and managing operating expenses throughout the real estate business cycle. To accomplish our goals, we intend to do the following:</w:t>
      </w:r>
    </w:p>
    <w:p>
      <w:pPr>
        <w:spacing w:after="0" w:line="24" w:lineRule="exact"/>
        <w:rPr>
          <w:sz w:val="20"/>
          <w:szCs w:val="20"/>
          <w:color w:val="auto"/>
        </w:rPr>
      </w:pPr>
    </w:p>
    <w:p>
      <w:pPr>
        <w:jc w:val="both"/>
        <w:ind w:left="700" w:hanging="355"/>
        <w:spacing w:after="0" w:line="303" w:lineRule="auto"/>
        <w:tabs>
          <w:tab w:leader="none" w:pos="700" w:val="left"/>
        </w:tabs>
        <w:numPr>
          <w:ilvl w:val="0"/>
          <w:numId w:val="13"/>
        </w:numPr>
        <w:rPr>
          <w:rFonts w:ascii="Arial" w:cs="Arial" w:eastAsia="Arial" w:hAnsi="Arial"/>
          <w:sz w:val="17"/>
          <w:szCs w:val="17"/>
          <w:color w:val="auto"/>
        </w:rPr>
      </w:pPr>
      <w:r>
        <w:rPr>
          <w:rFonts w:ascii="Arial" w:cs="Arial" w:eastAsia="Arial" w:hAnsi="Arial"/>
          <w:sz w:val="17"/>
          <w:szCs w:val="17"/>
          <w:b w:val="1"/>
          <w:bCs w:val="1"/>
          <w:i w:val="1"/>
          <w:iCs w:val="1"/>
          <w:color w:val="auto"/>
        </w:rPr>
        <w:t>Continue to operate multiple title brands independently</w:t>
      </w:r>
      <w:r>
        <w:rPr>
          <w:rFonts w:ascii="Arial" w:cs="Arial" w:eastAsia="Arial" w:hAnsi="Arial"/>
          <w:sz w:val="17"/>
          <w:szCs w:val="17"/>
          <w:color w:val="auto"/>
        </w:rPr>
        <w:t>. We believe that in order to maintain and strengthen our title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insurance customer base, we must operate our strongest brands in a given marketplace independently of each other. Our national and regional brands include FNTIC, Chicago Title, Commonwealth Land Title, Lawyers Title Company, Ticor Title Company, Alamo Title, and National Title of New York. In our largest markets, we operate multiple brands. This approach allows us to continue to attract customers who identify with a particular brand and allows us to utilize a broader base of local agents and local operations than we would have with a single consolidated brand.</w:t>
      </w:r>
    </w:p>
    <w:p>
      <w:pPr>
        <w:spacing w:after="0" w:line="28" w:lineRule="exact"/>
        <w:rPr>
          <w:rFonts w:ascii="Arial" w:cs="Arial" w:eastAsia="Arial" w:hAnsi="Arial"/>
          <w:sz w:val="17"/>
          <w:szCs w:val="17"/>
          <w:color w:val="auto"/>
        </w:rPr>
      </w:pPr>
    </w:p>
    <w:p>
      <w:pPr>
        <w:jc w:val="both"/>
        <w:ind w:left="700" w:hanging="355"/>
        <w:spacing w:after="0" w:line="313" w:lineRule="auto"/>
        <w:tabs>
          <w:tab w:leader="none" w:pos="700" w:val="left"/>
        </w:tabs>
        <w:numPr>
          <w:ilvl w:val="0"/>
          <w:numId w:val="13"/>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Consistently deliver superior customer service. </w:t>
      </w:r>
      <w:r>
        <w:rPr>
          <w:rFonts w:ascii="Arial" w:cs="Arial" w:eastAsia="Arial" w:hAnsi="Arial"/>
          <w:sz w:val="17"/>
          <w:szCs w:val="17"/>
          <w:color w:val="auto"/>
        </w:rPr>
        <w:t>We believe customer service and consistent product delivery are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most important factors in attracting and retaining customers. Our ability to provide superior customer service and consistent product delivery requires continued focus on providing high quality service and products at competitive prices. Our goal is to continue to improve the experience of our customers, in all aspects of our business.</w:t>
      </w:r>
    </w:p>
    <w:p>
      <w:pPr>
        <w:spacing w:after="0" w:line="19" w:lineRule="exact"/>
        <w:rPr>
          <w:rFonts w:ascii="Arial" w:cs="Arial" w:eastAsia="Arial" w:hAnsi="Arial"/>
          <w:sz w:val="17"/>
          <w:szCs w:val="17"/>
          <w:color w:val="auto"/>
        </w:rPr>
      </w:pPr>
    </w:p>
    <w:p>
      <w:pPr>
        <w:jc w:val="both"/>
        <w:ind w:left="700" w:hanging="355"/>
        <w:spacing w:after="0" w:line="299" w:lineRule="auto"/>
        <w:tabs>
          <w:tab w:leader="none" w:pos="700" w:val="left"/>
        </w:tabs>
        <w:numPr>
          <w:ilvl w:val="0"/>
          <w:numId w:val="13"/>
        </w:numPr>
        <w:rPr>
          <w:rFonts w:ascii="Arial" w:cs="Arial" w:eastAsia="Arial" w:hAnsi="Arial"/>
          <w:sz w:val="17"/>
          <w:szCs w:val="17"/>
          <w:color w:val="auto"/>
        </w:rPr>
      </w:pPr>
      <w:r>
        <w:rPr>
          <w:rFonts w:ascii="Arial" w:cs="Arial" w:eastAsia="Arial" w:hAnsi="Arial"/>
          <w:sz w:val="17"/>
          <w:szCs w:val="17"/>
          <w:b w:val="1"/>
          <w:bCs w:val="1"/>
          <w:i w:val="1"/>
          <w:iCs w:val="1"/>
          <w:color w:val="auto"/>
        </w:rPr>
        <w:t>Manage our operations successfully through business cycles</w:t>
      </w:r>
      <w:r>
        <w:rPr>
          <w:rFonts w:ascii="Arial" w:cs="Arial" w:eastAsia="Arial" w:hAnsi="Arial"/>
          <w:sz w:val="17"/>
          <w:szCs w:val="17"/>
          <w:color w:val="auto"/>
        </w:rPr>
        <w:t>. Our Title segment operates in a cyclical industry and our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ability to diversify our revenue base within our title insurance business and manage the duration of our investments may allow us to better operate in this cyclical business. Maintaining a broad geographic revenue base, utilizing both direct and independent agency operations and pursuing both residential and commercial title insurance business help diversify our title insurance revenues. We continue to monitor, evaluate and execute upon the consolidation of administrative functions, legal entity structure, and office consolidation, as necessary, to respond to the continually changing marketplace. We maintain shorter durations on our investment portfolio to mitigate our interest rate risk. A more detailed discussion of our investment strategies is included in “</w:t>
      </w:r>
      <w:r>
        <w:rPr>
          <w:rFonts w:ascii="Arial" w:cs="Arial" w:eastAsia="Arial" w:hAnsi="Arial"/>
          <w:sz w:val="17"/>
          <w:szCs w:val="17"/>
          <w:b w:val="1"/>
          <w:bCs w:val="1"/>
          <w:i w:val="1"/>
          <w:iCs w:val="1"/>
          <w:color w:val="auto"/>
        </w:rPr>
        <w:t>Investment Policies and Investment Portfolio</w:t>
      </w:r>
      <w:r>
        <w:rPr>
          <w:rFonts w:ascii="Arial" w:cs="Arial" w:eastAsia="Arial" w:hAnsi="Arial"/>
          <w:sz w:val="17"/>
          <w:szCs w:val="17"/>
          <w:color w:val="auto"/>
        </w:rPr>
        <w:t>.”</w:t>
      </w:r>
    </w:p>
    <w:p>
      <w:pPr>
        <w:spacing w:after="0" w:line="31" w:lineRule="exact"/>
        <w:rPr>
          <w:rFonts w:ascii="Arial" w:cs="Arial" w:eastAsia="Arial" w:hAnsi="Arial"/>
          <w:sz w:val="17"/>
          <w:szCs w:val="17"/>
          <w:color w:val="auto"/>
        </w:rPr>
      </w:pPr>
    </w:p>
    <w:p>
      <w:pPr>
        <w:jc w:val="both"/>
        <w:ind w:left="700" w:hanging="355"/>
        <w:spacing w:after="0" w:line="250" w:lineRule="auto"/>
        <w:tabs>
          <w:tab w:leader="none" w:pos="700" w:val="left"/>
        </w:tabs>
        <w:numPr>
          <w:ilvl w:val="0"/>
          <w:numId w:val="13"/>
        </w:numPr>
        <w:rPr>
          <w:rFonts w:ascii="Arial" w:cs="Arial" w:eastAsia="Arial" w:hAnsi="Arial"/>
          <w:sz w:val="20"/>
          <w:szCs w:val="20"/>
          <w:color w:val="auto"/>
        </w:rPr>
      </w:pPr>
      <w:r>
        <w:rPr>
          <w:rFonts w:ascii="Arial" w:cs="Arial" w:eastAsia="Arial" w:hAnsi="Arial"/>
          <w:sz w:val="20"/>
          <w:szCs w:val="20"/>
          <w:b w:val="1"/>
          <w:bCs w:val="1"/>
          <w:i w:val="1"/>
          <w:iCs w:val="1"/>
          <w:color w:val="auto"/>
        </w:rPr>
        <w:t xml:space="preserve">Continue to improve our products and technology. </w:t>
      </w:r>
      <w:r>
        <w:rPr>
          <w:rFonts w:ascii="Arial" w:cs="Arial" w:eastAsia="Arial" w:hAnsi="Arial"/>
          <w:sz w:val="20"/>
          <w:szCs w:val="20"/>
          <w:color w:val="auto"/>
        </w:rPr>
        <w:t>As a national provider of real estate transaction products and</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services, we participate in an industry that is subject to significant change, frequent new product and service introductions, and evolving industry standards. We believe that our future success will depend in part on our ability to anticipate industry changes and offer products and services that meet evolving industry standards. In connection with our service offerings, we are continuing to deploy new information system technologies to our direct and agency operations. We expect to continue to improve the process of ordering title and escrow services and the delivery of our products to our customers.</w:t>
      </w:r>
    </w:p>
    <w:p>
      <w:pPr>
        <w:sectPr>
          <w:pgSz w:w="11880" w:h="15480" w:orient="portrait"/>
          <w:cols w:equalWidth="0" w:num="1">
            <w:col w:w="10040"/>
          </w:cols>
          <w:pgMar w:left="920" w:top="770"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ectPr>
          <w:pgSz w:w="11880" w:h="15480" w:orient="portrait"/>
          <w:cols w:equalWidth="0" w:num="1">
            <w:col w:w="10040"/>
          </w:cols>
          <w:pgMar w:left="920" w:top="770" w:right="920" w:bottom="0" w:gutter="0" w:footer="0" w:header="0"/>
          <w:type w:val="continuous"/>
        </w:sectPr>
      </w:pPr>
    </w:p>
    <w:bookmarkStart w:id="18" w:name="page19"/>
    <w:bookmarkEnd w:id="18"/>
    <w:p>
      <w:pPr>
        <w:jc w:val="both"/>
        <w:ind w:left="700" w:hanging="355"/>
        <w:spacing w:after="0" w:line="250" w:lineRule="auto"/>
        <w:tabs>
          <w:tab w:leader="none" w:pos="700" w:val="left"/>
        </w:tabs>
        <w:numPr>
          <w:ilvl w:val="0"/>
          <w:numId w:val="14"/>
        </w:numPr>
        <w:rPr>
          <w:rFonts w:ascii="Arial" w:cs="Arial" w:eastAsia="Arial" w:hAnsi="Arial"/>
          <w:sz w:val="20"/>
          <w:szCs w:val="20"/>
          <w:color w:val="auto"/>
        </w:rPr>
      </w:pPr>
      <w:r>
        <w:rPr>
          <w:rFonts w:ascii="Arial" w:cs="Arial" w:eastAsia="Arial" w:hAnsi="Arial"/>
          <w:sz w:val="20"/>
          <w:szCs w:val="20"/>
          <w:b w:val="1"/>
          <w:bCs w:val="1"/>
          <w:i w:val="1"/>
          <w:iCs w:val="1"/>
          <w:color w:val="auto"/>
        </w:rPr>
        <w:t xml:space="preserve">Maintain values supporting our strategy. </w:t>
      </w:r>
      <w:r>
        <w:rPr>
          <w:rFonts w:ascii="Arial" w:cs="Arial" w:eastAsia="Arial" w:hAnsi="Arial"/>
          <w:sz w:val="20"/>
          <w:szCs w:val="20"/>
          <w:color w:val="auto"/>
        </w:rPr>
        <w:t>We believe that our continued focus on and support of our long-established</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corporate culture will reinforce and support our business strategy. Our goal is to foster and support a corporate culture where our employees and agents seek to operate independently and maintain profitability at the local level while forming close customer relationships by meeting customer needs and improving customer service. Utilizing a relatively flat managerial structure and providing our employees with a sense of individual ownership supports this goal.</w:t>
      </w:r>
    </w:p>
    <w:p>
      <w:pPr>
        <w:spacing w:after="0" w:line="71" w:lineRule="exact"/>
        <w:rPr>
          <w:rFonts w:ascii="Arial" w:cs="Arial" w:eastAsia="Arial" w:hAnsi="Arial"/>
          <w:sz w:val="20"/>
          <w:szCs w:val="20"/>
          <w:color w:val="auto"/>
        </w:rPr>
      </w:pPr>
    </w:p>
    <w:p>
      <w:pPr>
        <w:jc w:val="both"/>
        <w:ind w:left="700" w:hanging="355"/>
        <w:spacing w:after="0" w:line="313" w:lineRule="auto"/>
        <w:tabs>
          <w:tab w:leader="none" w:pos="700" w:val="left"/>
        </w:tabs>
        <w:numPr>
          <w:ilvl w:val="0"/>
          <w:numId w:val="14"/>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Effectively manage costs based on economic factors. </w:t>
      </w:r>
      <w:r>
        <w:rPr>
          <w:rFonts w:ascii="Arial" w:cs="Arial" w:eastAsia="Arial" w:hAnsi="Arial"/>
          <w:sz w:val="17"/>
          <w:szCs w:val="17"/>
          <w:color w:val="auto"/>
        </w:rPr>
        <w:t>We believe that our focus on our operating margins is essential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our continued success in the title insurance business. Regardless of the business cycle in which we may be operating, we seek to continue to evaluate and manage our cost structure and make appropriate adjustments where economic conditions dictate. This continual focus on our cost structure helps us to better maintain our operating margins.</w:t>
      </w:r>
    </w:p>
    <w:p>
      <w:pPr>
        <w:spacing w:after="0" w:line="19" w:lineRule="exact"/>
        <w:rPr>
          <w:sz w:val="20"/>
          <w:szCs w:val="20"/>
          <w:color w:val="auto"/>
        </w:rPr>
      </w:pPr>
    </w:p>
    <w:p>
      <w:pPr>
        <w:ind w:left="280"/>
        <w:spacing w:after="0"/>
        <w:rPr>
          <w:sz w:val="20"/>
          <w:szCs w:val="20"/>
          <w:color w:val="auto"/>
        </w:rPr>
      </w:pPr>
      <w:r>
        <w:rPr>
          <w:rFonts w:ascii="Arial" w:cs="Arial" w:eastAsia="Arial" w:hAnsi="Arial"/>
          <w:sz w:val="20"/>
          <w:szCs w:val="20"/>
          <w:b w:val="1"/>
          <w:bCs w:val="1"/>
          <w:i w:val="1"/>
          <w:iCs w:val="1"/>
          <w:color w:val="auto"/>
        </w:rPr>
        <w:t>F&amp;G</w:t>
      </w:r>
    </w:p>
    <w:p>
      <w:pPr>
        <w:spacing w:after="0" w:line="105" w:lineRule="exact"/>
        <w:rPr>
          <w:sz w:val="20"/>
          <w:szCs w:val="20"/>
          <w:color w:val="auto"/>
        </w:rPr>
      </w:pPr>
    </w:p>
    <w:p>
      <w:pPr>
        <w:ind w:firstLine="344"/>
        <w:spacing w:after="0" w:line="298" w:lineRule="auto"/>
        <w:rPr>
          <w:sz w:val="20"/>
          <w:szCs w:val="20"/>
          <w:color w:val="auto"/>
        </w:rPr>
      </w:pPr>
      <w:r>
        <w:rPr>
          <w:rFonts w:ascii="Arial" w:cs="Arial" w:eastAsia="Arial" w:hAnsi="Arial"/>
          <w:sz w:val="19"/>
          <w:szCs w:val="19"/>
          <w:color w:val="auto"/>
        </w:rPr>
        <w:t>Through a diversified growth strategy, our F&amp;G segment seeks to deliver consistent and increasing earnings driven by asset growth. We are positioned to accomplish these goals through the following areas of strategic focus:</w:t>
      </w:r>
    </w:p>
    <w:p>
      <w:pPr>
        <w:spacing w:after="0" w:line="24" w:lineRule="exact"/>
        <w:rPr>
          <w:sz w:val="20"/>
          <w:szCs w:val="20"/>
          <w:color w:val="auto"/>
        </w:rPr>
      </w:pPr>
    </w:p>
    <w:p>
      <w:pPr>
        <w:jc w:val="both"/>
        <w:ind w:left="700" w:hanging="355"/>
        <w:spacing w:after="0" w:line="298" w:lineRule="auto"/>
        <w:tabs>
          <w:tab w:leader="none" w:pos="700" w:val="left"/>
        </w:tabs>
        <w:numPr>
          <w:ilvl w:val="0"/>
          <w:numId w:val="15"/>
        </w:numPr>
        <w:rPr>
          <w:rFonts w:ascii="Arial" w:cs="Arial" w:eastAsia="Arial" w:hAnsi="Arial"/>
          <w:sz w:val="17"/>
          <w:szCs w:val="17"/>
          <w:color w:val="auto"/>
        </w:rPr>
      </w:pPr>
      <w:r>
        <w:rPr>
          <w:rFonts w:ascii="Arial" w:cs="Arial" w:eastAsia="Arial" w:hAnsi="Arial"/>
          <w:sz w:val="17"/>
          <w:szCs w:val="17"/>
          <w:b w:val="1"/>
          <w:bCs w:val="1"/>
          <w:i w:val="1"/>
          <w:iCs w:val="1"/>
          <w:color w:val="auto"/>
        </w:rPr>
        <w:t>Targeting large, growing markets</w:t>
      </w:r>
      <w:r>
        <w:rPr>
          <w:rFonts w:ascii="Arial" w:cs="Arial" w:eastAsia="Arial" w:hAnsi="Arial"/>
          <w:sz w:val="17"/>
          <w:szCs w:val="17"/>
          <w:color w:val="auto"/>
        </w:rPr>
        <w:t>. As a nationwide leader in the markets in which F&amp;G operates, F&amp;G is strategically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positioned within large, growing markets, benefiting from powerful demographic trends that are fueling sustainable demand for guaranteed income solutions. Our disciplined focus on core products – including indexed annuities, middle market life insurance, and pension risk transfer – will continue to drive assets under management ("AUM") growth with attractive and stable liabilities. The market for our core annuity products is substantial, driven by increasing demand for safety and certainty in retirement planning. Our life insurance products strategically target the underserved middle market, offering solutions tailored to diverse cultural communities. And as corporations continue to de-risk their pension funds, our pension risk transfer solutions provide guaranteed lifetime benefits to pension-holders. Finally, our funding agreements continue to generate strong interest from institutional investors.</w:t>
      </w:r>
    </w:p>
    <w:p>
      <w:pPr>
        <w:spacing w:after="0" w:line="30" w:lineRule="exact"/>
        <w:rPr>
          <w:rFonts w:ascii="Arial" w:cs="Arial" w:eastAsia="Arial" w:hAnsi="Arial"/>
          <w:sz w:val="17"/>
          <w:szCs w:val="17"/>
          <w:color w:val="auto"/>
        </w:rPr>
      </w:pPr>
    </w:p>
    <w:p>
      <w:pPr>
        <w:jc w:val="both"/>
        <w:ind w:left="700" w:hanging="355"/>
        <w:spacing w:after="0" w:line="252" w:lineRule="auto"/>
        <w:tabs>
          <w:tab w:leader="none" w:pos="700" w:val="left"/>
        </w:tabs>
        <w:numPr>
          <w:ilvl w:val="0"/>
          <w:numId w:val="15"/>
        </w:numPr>
        <w:rPr>
          <w:rFonts w:ascii="Arial" w:cs="Arial" w:eastAsia="Arial" w:hAnsi="Arial"/>
          <w:sz w:val="20"/>
          <w:szCs w:val="20"/>
          <w:color w:val="auto"/>
        </w:rPr>
      </w:pPr>
      <w:r>
        <w:rPr>
          <w:rFonts w:ascii="Arial" w:cs="Arial" w:eastAsia="Arial" w:hAnsi="Arial"/>
          <w:sz w:val="20"/>
          <w:szCs w:val="20"/>
          <w:b w:val="1"/>
          <w:bCs w:val="1"/>
          <w:i w:val="1"/>
          <w:iCs w:val="1"/>
          <w:color w:val="auto"/>
        </w:rPr>
        <w:t xml:space="preserve">Evolved ecosystem and sustainable advantage. </w:t>
      </w:r>
      <w:r>
        <w:rPr>
          <w:rFonts w:ascii="Arial" w:cs="Arial" w:eastAsia="Arial" w:hAnsi="Arial"/>
          <w:sz w:val="20"/>
          <w:szCs w:val="20"/>
          <w:color w:val="auto"/>
        </w:rPr>
        <w:t>Our business model gives us a sustainable competitive advantage. Our</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evolved ecosystem is built on expanding relationships with key long-term distribution partners, a differentiated asset management approach powered by Blackstone's best-in-class asset origination with a proven track record and complemented by other asset managers, and strategic relationships with reinsurers that provide efficient access to substantial external capital.</w:t>
      </w:r>
    </w:p>
    <w:p>
      <w:pPr>
        <w:spacing w:after="0" w:line="66" w:lineRule="exact"/>
        <w:rPr>
          <w:rFonts w:ascii="Arial" w:cs="Arial" w:eastAsia="Arial" w:hAnsi="Arial"/>
          <w:sz w:val="20"/>
          <w:szCs w:val="20"/>
          <w:color w:val="auto"/>
        </w:rPr>
      </w:pPr>
    </w:p>
    <w:p>
      <w:pPr>
        <w:jc w:val="both"/>
        <w:ind w:left="700" w:hanging="355"/>
        <w:spacing w:after="0" w:line="252" w:lineRule="auto"/>
        <w:tabs>
          <w:tab w:leader="none" w:pos="700" w:val="left"/>
        </w:tabs>
        <w:numPr>
          <w:ilvl w:val="0"/>
          <w:numId w:val="15"/>
        </w:numPr>
        <w:rPr>
          <w:rFonts w:ascii="Arial" w:cs="Arial" w:eastAsia="Arial" w:hAnsi="Arial"/>
          <w:sz w:val="20"/>
          <w:szCs w:val="20"/>
          <w:color w:val="auto"/>
        </w:rPr>
      </w:pPr>
      <w:r>
        <w:rPr>
          <w:rFonts w:ascii="Arial" w:cs="Arial" w:eastAsia="Arial" w:hAnsi="Arial"/>
          <w:sz w:val="20"/>
          <w:szCs w:val="20"/>
          <w:b w:val="1"/>
          <w:bCs w:val="1"/>
          <w:i w:val="1"/>
          <w:iCs w:val="1"/>
          <w:color w:val="auto"/>
        </w:rPr>
        <w:t xml:space="preserve">Proven track record; well positioned for steady earnings growth and capital flexibility. </w:t>
      </w:r>
      <w:r>
        <w:rPr>
          <w:rFonts w:ascii="Arial" w:cs="Arial" w:eastAsia="Arial" w:hAnsi="Arial"/>
          <w:sz w:val="20"/>
          <w:szCs w:val="20"/>
          <w:color w:val="auto"/>
        </w:rPr>
        <w:t>We have successfully executed</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on our diversified growth strategy, maintained a strong capital position, and made significant progress toward the targets announced in F&amp;G's 2023 Investor Day. We are positioned to deliver steady earnings growth aligned to pricing over the long term, significant scale benefit and an increasing mix of more stable, predictable and less capital intensive fee-based sources of earnings.</w:t>
      </w:r>
    </w:p>
    <w:p>
      <w:pPr>
        <w:spacing w:after="0" w:line="86" w:lineRule="exact"/>
        <w:rPr>
          <w:rFonts w:ascii="Arial" w:cs="Arial" w:eastAsia="Arial" w:hAnsi="Arial"/>
          <w:sz w:val="20"/>
          <w:szCs w:val="20"/>
          <w:color w:val="auto"/>
        </w:rPr>
      </w:pPr>
    </w:p>
    <w:p>
      <w:pPr>
        <w:jc w:val="both"/>
        <w:ind w:left="700" w:hanging="355"/>
        <w:spacing w:after="0" w:line="272" w:lineRule="auto"/>
        <w:tabs>
          <w:tab w:leader="none" w:pos="700" w:val="left"/>
        </w:tabs>
        <w:numPr>
          <w:ilvl w:val="0"/>
          <w:numId w:val="15"/>
        </w:numPr>
        <w:rPr>
          <w:rFonts w:ascii="Arial" w:cs="Arial" w:eastAsia="Arial" w:hAnsi="Arial"/>
          <w:sz w:val="19"/>
          <w:szCs w:val="19"/>
          <w:color w:val="auto"/>
        </w:rPr>
      </w:pPr>
      <w:r>
        <w:rPr>
          <w:rFonts w:ascii="Arial" w:cs="Arial" w:eastAsia="Arial" w:hAnsi="Arial"/>
          <w:sz w:val="19"/>
          <w:szCs w:val="19"/>
          <w:b w:val="1"/>
          <w:bCs w:val="1"/>
          <w:i w:val="1"/>
          <w:iCs w:val="1"/>
          <w:color w:val="auto"/>
        </w:rPr>
        <w:t xml:space="preserve">Strategic shift to fee-based, less capital intensive for enhanced returns. </w:t>
      </w:r>
      <w:r>
        <w:rPr>
          <w:rFonts w:ascii="Arial" w:cs="Arial" w:eastAsia="Arial" w:hAnsi="Arial"/>
          <w:sz w:val="19"/>
          <w:szCs w:val="19"/>
          <w:color w:val="auto"/>
        </w:rPr>
        <w:t>F&amp;G is rapidly transforming into a more fee-based, higher margin, and less capital intensive business. Increased earnings contributions from fee-based flow reinsurance, middle market life insurance and owned distribution strategies, coupled with disciplined growth in our spread-based products, are expected to generate higher returns over time.</w:t>
      </w:r>
    </w:p>
    <w:p>
      <w:pPr>
        <w:spacing w:after="0" w:line="6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Acquisitions, Dispositions, Minority Owned Operating Subsidiaries and Financings</w:t>
      </w:r>
    </w:p>
    <w:p>
      <w:pPr>
        <w:spacing w:after="0" w:line="110" w:lineRule="exact"/>
        <w:rPr>
          <w:sz w:val="20"/>
          <w:szCs w:val="20"/>
          <w:color w:val="auto"/>
        </w:rPr>
      </w:pPr>
    </w:p>
    <w:p>
      <w:pPr>
        <w:jc w:val="both"/>
        <w:ind w:firstLine="353"/>
        <w:spacing w:after="0" w:line="254" w:lineRule="auto"/>
        <w:rPr>
          <w:sz w:val="20"/>
          <w:szCs w:val="20"/>
          <w:color w:val="auto"/>
        </w:rPr>
      </w:pPr>
      <w:r>
        <w:rPr>
          <w:rFonts w:ascii="Arial" w:cs="Arial" w:eastAsia="Arial" w:hAnsi="Arial"/>
          <w:sz w:val="20"/>
          <w:szCs w:val="20"/>
          <w:color w:val="auto"/>
        </w:rPr>
        <w:t>Acquisitions have been an important part of our growth strategy and dispositions have been an important aspect of our strategy of returning value to shareholders. On an ongoing basis, with assistance from our advisors, we actively evaluate possible transactions, such as acquisitions and dispositions of business units and operating assets and business combination transactions.</w:t>
      </w:r>
    </w:p>
    <w:p>
      <w:pPr>
        <w:spacing w:after="0" w:line="65" w:lineRule="exact"/>
        <w:rPr>
          <w:sz w:val="20"/>
          <w:szCs w:val="20"/>
          <w:color w:val="auto"/>
        </w:rPr>
      </w:pPr>
    </w:p>
    <w:p>
      <w:pPr>
        <w:jc w:val="both"/>
        <w:ind w:firstLine="353"/>
        <w:spacing w:after="0" w:line="266" w:lineRule="auto"/>
        <w:rPr>
          <w:sz w:val="20"/>
          <w:szCs w:val="20"/>
          <w:color w:val="auto"/>
        </w:rPr>
      </w:pPr>
      <w:r>
        <w:rPr>
          <w:rFonts w:ascii="Arial" w:cs="Arial" w:eastAsia="Arial" w:hAnsi="Arial"/>
          <w:sz w:val="19"/>
          <w:szCs w:val="19"/>
          <w:color w:val="auto"/>
        </w:rPr>
        <w:t>In the future, we may seek to sell certain investments or other assets to increase our liquidity. In the past, we have obtained majority and minority investments in entities and securities where we see the potential to achieve above market returns. Fundamentally, our goal is to acquire quality companies that are run by best-in-class management teams and that have attractive organic and acquired growth opportunities. We leverage our operational expertise and track record of growing industry-leading companies along with our active interaction with the acquired company's management directly or through our board of directors, to ultimately provide value for our shareholders.</w:t>
      </w:r>
    </w:p>
    <w:p>
      <w:pPr>
        <w:spacing w:after="0" w:line="56" w:lineRule="exact"/>
        <w:rPr>
          <w:sz w:val="20"/>
          <w:szCs w:val="20"/>
          <w:color w:val="auto"/>
        </w:rPr>
      </w:pPr>
    </w:p>
    <w:p>
      <w:pPr>
        <w:jc w:val="both"/>
        <w:ind w:firstLine="353"/>
        <w:spacing w:after="0" w:line="254" w:lineRule="auto"/>
        <w:rPr>
          <w:sz w:val="20"/>
          <w:szCs w:val="20"/>
          <w:color w:val="auto"/>
        </w:rPr>
      </w:pPr>
      <w:r>
        <w:rPr>
          <w:rFonts w:ascii="Arial" w:cs="Arial" w:eastAsia="Arial" w:hAnsi="Arial"/>
          <w:sz w:val="20"/>
          <w:szCs w:val="20"/>
          <w:color w:val="auto"/>
        </w:rPr>
        <w:t>There can be no assurance that any suitable opportunities will arise or that any particular transaction will be completed. We have made a number of acquisitions and dispositions over the past several years to strengthen and expand our service offerings and customer base in our various businesses, to expand into other businesses or where we otherwise saw value, and to monetize investments in assets and businesses.</w:t>
      </w:r>
    </w:p>
    <w:p>
      <w:pPr>
        <w:sectPr>
          <w:pgSz w:w="11880" w:h="15480" w:orient="portrait"/>
          <w:cols w:equalWidth="0" w:num="1">
            <w:col w:w="10040"/>
          </w:cols>
          <w:pgMar w:left="920" w:top="770"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ectPr>
          <w:pgSz w:w="11880" w:h="15480" w:orient="portrait"/>
          <w:cols w:equalWidth="0" w:num="1">
            <w:col w:w="10040"/>
          </w:cols>
          <w:pgMar w:left="920" w:top="770" w:right="920" w:bottom="0" w:gutter="0" w:footer="0" w:header="0"/>
          <w:type w:val="continuous"/>
        </w:sectPr>
      </w:pPr>
    </w:p>
    <w:bookmarkStart w:id="19" w:name="page20"/>
    <w:bookmarkEnd w:id="19"/>
    <w:p>
      <w:pPr>
        <w:spacing w:after="0"/>
        <w:rPr>
          <w:sz w:val="20"/>
          <w:szCs w:val="20"/>
          <w:color w:val="auto"/>
        </w:rPr>
      </w:pPr>
      <w:r>
        <w:rPr>
          <w:rFonts w:ascii="Arial" w:cs="Arial" w:eastAsia="Arial" w:hAnsi="Arial"/>
          <w:sz w:val="20"/>
          <w:szCs w:val="20"/>
          <w:b w:val="1"/>
          <w:bCs w:val="1"/>
          <w:i w:val="1"/>
          <w:iCs w:val="1"/>
          <w:color w:val="auto"/>
        </w:rPr>
        <w:t>Intellectual Property</w:t>
      </w:r>
    </w:p>
    <w:p>
      <w:pPr>
        <w:spacing w:after="0" w:line="110" w:lineRule="exact"/>
        <w:rPr>
          <w:sz w:val="20"/>
          <w:szCs w:val="20"/>
          <w:color w:val="auto"/>
        </w:rPr>
      </w:pPr>
    </w:p>
    <w:p>
      <w:pPr>
        <w:jc w:val="both"/>
        <w:ind w:firstLine="353"/>
        <w:spacing w:after="0" w:line="264" w:lineRule="auto"/>
        <w:rPr>
          <w:sz w:val="20"/>
          <w:szCs w:val="20"/>
          <w:color w:val="auto"/>
        </w:rPr>
      </w:pPr>
      <w:r>
        <w:rPr>
          <w:rFonts w:ascii="Arial" w:cs="Arial" w:eastAsia="Arial" w:hAnsi="Arial"/>
          <w:sz w:val="19"/>
          <w:szCs w:val="19"/>
          <w:color w:val="auto"/>
        </w:rPr>
        <w:t>We rely on a combination of contractual restrictions; internal security practices; and copyright and trade secret law to establish and protect our software, technology, and expertise across our businesses. Further, we have developed a number of brands that have accumulated substantial goodwill in the marketplace, and we rely on trademark law to protect our rights in that area. We intend to continue our policy of taking all measures we deem necessary to protect our copyright, trade secret, and trademark rights. These legal protections and arrangements afford only limited protection of our proprietary rights, and there is no assurance that our competitors will not independently develop or license products, services, or capabilities that are substantially equivalent or superior to ours.</w:t>
      </w:r>
    </w:p>
    <w:p>
      <w:pPr>
        <w:spacing w:after="0" w:line="7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Technology and Research and Development</w:t>
      </w:r>
    </w:p>
    <w:p>
      <w:pPr>
        <w:spacing w:after="0" w:line="130" w:lineRule="exact"/>
        <w:rPr>
          <w:sz w:val="20"/>
          <w:szCs w:val="20"/>
          <w:color w:val="auto"/>
        </w:rPr>
      </w:pPr>
    </w:p>
    <w:p>
      <w:pPr>
        <w:jc w:val="both"/>
        <w:ind w:firstLine="388"/>
        <w:spacing w:after="0" w:line="264" w:lineRule="auto"/>
        <w:rPr>
          <w:sz w:val="20"/>
          <w:szCs w:val="20"/>
          <w:color w:val="auto"/>
        </w:rPr>
      </w:pPr>
      <w:r>
        <w:rPr>
          <w:rFonts w:ascii="Arial" w:cs="Arial" w:eastAsia="Arial" w:hAnsi="Arial"/>
          <w:sz w:val="19"/>
          <w:szCs w:val="19"/>
          <w:color w:val="auto"/>
        </w:rPr>
        <w:t>As a national provider of real estate transaction products and services, we participate in an industry that is subject to significant regulatory requirements, frequent new product and service introductions, and evolving industry standards. We believe that our future success depends in part on our ability to anticipate industry changes and offer products and services that meet evolving industry standards. In connection with our Title segment service offerings, we are continuing to deploy new information system technologies to our direct and agency operations. We continue to improve the process of ordering title and escrow services and improve the delivery of our products to our customers. In order to meet new regulatory requirements, we also continue to expand our data collection and reporting abilities.</w:t>
      </w:r>
    </w:p>
    <w:p>
      <w:pPr>
        <w:spacing w:after="0" w:line="5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Loss Reserves</w:t>
      </w:r>
    </w:p>
    <w:p>
      <w:pPr>
        <w:spacing w:after="0" w:line="109" w:lineRule="exact"/>
        <w:rPr>
          <w:sz w:val="20"/>
          <w:szCs w:val="20"/>
          <w:color w:val="auto"/>
        </w:rPr>
      </w:pPr>
    </w:p>
    <w:p>
      <w:pPr>
        <w:jc w:val="both"/>
        <w:ind w:firstLine="367"/>
        <w:spacing w:after="0" w:line="300" w:lineRule="auto"/>
        <w:rPr>
          <w:sz w:val="20"/>
          <w:szCs w:val="20"/>
          <w:color w:val="auto"/>
        </w:rPr>
      </w:pPr>
      <w:r>
        <w:rPr>
          <w:rFonts w:ascii="Arial" w:cs="Arial" w:eastAsia="Arial" w:hAnsi="Arial"/>
          <w:sz w:val="19"/>
          <w:szCs w:val="19"/>
          <w:color w:val="auto"/>
        </w:rPr>
        <w:t xml:space="preserve">For information about our loss reserves, see Item 7 of Part II of this Annual Report, under </w:t>
      </w:r>
      <w:r>
        <w:rPr>
          <w:rFonts w:ascii="Arial" w:cs="Arial" w:eastAsia="Arial" w:hAnsi="Arial"/>
          <w:sz w:val="19"/>
          <w:szCs w:val="19"/>
          <w:b w:val="1"/>
          <w:bCs w:val="1"/>
          <w:i w:val="1"/>
          <w:iCs w:val="1"/>
          <w:color w:val="auto"/>
        </w:rPr>
        <w:t>Management’s Discussion and</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 xml:space="preserve">Analysis of Financial Condition and Results of Operations </w:t>
      </w:r>
      <w:r>
        <w:rPr>
          <w:rFonts w:ascii="Arial" w:cs="Arial" w:eastAsia="Arial" w:hAnsi="Arial"/>
          <w:sz w:val="19"/>
          <w:szCs w:val="19"/>
          <w:color w:val="auto"/>
        </w:rPr>
        <w:t>—</w:t>
      </w:r>
      <w:r>
        <w:rPr>
          <w:rFonts w:ascii="Arial" w:cs="Arial" w:eastAsia="Arial" w:hAnsi="Arial"/>
          <w:sz w:val="19"/>
          <w:szCs w:val="19"/>
          <w:b w:val="1"/>
          <w:bCs w:val="1"/>
          <w:i w:val="1"/>
          <w:iCs w:val="1"/>
          <w:color w:val="auto"/>
        </w:rPr>
        <w:t xml:space="preserve"> Critical Accounting Estimates</w:t>
      </w:r>
      <w:r>
        <w:rPr>
          <w:rFonts w:ascii="Arial" w:cs="Arial" w:eastAsia="Arial" w:hAnsi="Arial"/>
          <w:sz w:val="19"/>
          <w:szCs w:val="19"/>
          <w:color w:val="auto"/>
        </w:rPr>
        <w:t>.</w:t>
      </w:r>
    </w:p>
    <w:p>
      <w:pPr>
        <w:spacing w:after="0" w:line="1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Title Insurance</w:t>
      </w:r>
    </w:p>
    <w:p>
      <w:pPr>
        <w:spacing w:after="0" w:line="109" w:lineRule="exact"/>
        <w:rPr>
          <w:sz w:val="20"/>
          <w:szCs w:val="20"/>
          <w:color w:val="auto"/>
        </w:rPr>
      </w:pPr>
    </w:p>
    <w:p>
      <w:pPr>
        <w:jc w:val="both"/>
        <w:ind w:firstLine="353"/>
        <w:spacing w:after="0" w:line="265" w:lineRule="auto"/>
        <w:rPr>
          <w:sz w:val="20"/>
          <w:szCs w:val="20"/>
          <w:color w:val="auto"/>
        </w:rPr>
      </w:pPr>
      <w:r>
        <w:rPr>
          <w:rFonts w:ascii="Arial" w:cs="Arial" w:eastAsia="Arial" w:hAnsi="Arial"/>
          <w:sz w:val="19"/>
          <w:szCs w:val="19"/>
          <w:b w:val="1"/>
          <w:bCs w:val="1"/>
          <w:i w:val="1"/>
          <w:iCs w:val="1"/>
          <w:color w:val="auto"/>
        </w:rPr>
        <w:t xml:space="preserve">Market for title insurance. </w:t>
      </w:r>
      <w:r>
        <w:rPr>
          <w:rFonts w:ascii="Arial" w:cs="Arial" w:eastAsia="Arial" w:hAnsi="Arial"/>
          <w:sz w:val="19"/>
          <w:szCs w:val="19"/>
          <w:color w:val="auto"/>
        </w:rPr>
        <w:t>According to Demotech Performance of Title Insurance Companies 2025 Edition, an annual</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compilation of financial information from the title insurance industry that is published by Demotech Inc. ("Demotech"), an independent firm, total operating income for the entire U.S. title insurance industry was approximately $17.7 billion and $16.5 billion in 2024 and 2023, respectively. The size of the industry is closely tied to various macroeconomic factors, including, but not limited to, growth in the gross domestic product, inflation, unemployment, the availability of credit, consumer confidence, interest rates, housing inventory and sales volumes, and prices for new and existing homes, as well as the volume of refinancing of previously issued mortgages.</w:t>
      </w:r>
    </w:p>
    <w:p>
      <w:pPr>
        <w:spacing w:after="0" w:line="57" w:lineRule="exact"/>
        <w:rPr>
          <w:sz w:val="20"/>
          <w:szCs w:val="20"/>
          <w:color w:val="auto"/>
        </w:rPr>
      </w:pPr>
    </w:p>
    <w:p>
      <w:pPr>
        <w:jc w:val="both"/>
        <w:ind w:firstLine="353"/>
        <w:spacing w:after="0" w:line="250" w:lineRule="auto"/>
        <w:rPr>
          <w:sz w:val="20"/>
          <w:szCs w:val="20"/>
          <w:color w:val="auto"/>
        </w:rPr>
      </w:pPr>
      <w:r>
        <w:rPr>
          <w:rFonts w:ascii="Arial" w:cs="Arial" w:eastAsia="Arial" w:hAnsi="Arial"/>
          <w:sz w:val="20"/>
          <w:szCs w:val="20"/>
          <w:color w:val="auto"/>
        </w:rPr>
        <w:t>Most real estate transactions consummated in the U.S. require the use of title insurance by a lending institution before the transaction can be completed. Generally, revenues from title insurance policies are directly correlated with the value of the property underlying the title policy, and appreciation or depreciation in the overall value of the real estate market are major factors in total industry revenues. Industry revenues are also driven by factors affecting the volume of real estate closings, such as the state of the economy, the availability of mortgage funding, and changes in interest rates, which affect demand for new mortgage loans and refinancing transactions.</w:t>
      </w:r>
    </w:p>
    <w:p>
      <w:pPr>
        <w:spacing w:after="0" w:line="72" w:lineRule="exact"/>
        <w:rPr>
          <w:sz w:val="20"/>
          <w:szCs w:val="20"/>
          <w:color w:val="auto"/>
        </w:rPr>
      </w:pPr>
    </w:p>
    <w:p>
      <w:pPr>
        <w:jc w:val="both"/>
        <w:ind w:firstLine="353"/>
        <w:spacing w:after="0" w:line="251" w:lineRule="auto"/>
        <w:rPr>
          <w:sz w:val="20"/>
          <w:szCs w:val="20"/>
          <w:color w:val="auto"/>
        </w:rPr>
      </w:pPr>
      <w:r>
        <w:rPr>
          <w:rFonts w:ascii="Arial" w:cs="Arial" w:eastAsia="Arial" w:hAnsi="Arial"/>
          <w:sz w:val="20"/>
          <w:szCs w:val="20"/>
          <w:color w:val="auto"/>
        </w:rPr>
        <w:t>The U.S. title insurance industry is concentrated among a handful of industry participants. According to Demotech, the top four title insurance groups accounted for 80% of net premiums written in 2024. Approximately 40 independent title insurance companies accounted for the remaining 20% of net premiums written in 2024. Consolidation has created opportunities for increased financial and operating efficiencies for the industry’s largest participants and should continue to drive profitability and market share in the industry.</w:t>
      </w:r>
    </w:p>
    <w:p>
      <w:pPr>
        <w:spacing w:after="0" w:line="71" w:lineRule="exact"/>
        <w:rPr>
          <w:sz w:val="20"/>
          <w:szCs w:val="20"/>
          <w:color w:val="auto"/>
        </w:rPr>
      </w:pPr>
    </w:p>
    <w:p>
      <w:pPr>
        <w:jc w:val="both"/>
        <w:ind w:firstLine="353"/>
        <w:spacing w:after="0" w:line="254" w:lineRule="auto"/>
        <w:rPr>
          <w:sz w:val="20"/>
          <w:szCs w:val="20"/>
          <w:color w:val="auto"/>
        </w:rPr>
      </w:pPr>
      <w:r>
        <w:rPr>
          <w:rFonts w:ascii="Arial" w:cs="Arial" w:eastAsia="Arial" w:hAnsi="Arial"/>
          <w:sz w:val="20"/>
          <w:szCs w:val="20"/>
          <w:color w:val="auto"/>
        </w:rPr>
        <w:t xml:space="preserve">Our Title segment revenue is closely related to the level of real estate activity that includes sales, mortgage financing and mortgage refinancing. For further discussion of current trends in real estate activity in the U.S., see discussion under </w:t>
      </w:r>
      <w:r>
        <w:rPr>
          <w:rFonts w:ascii="Arial" w:cs="Arial" w:eastAsia="Arial" w:hAnsi="Arial"/>
          <w:sz w:val="20"/>
          <w:szCs w:val="20"/>
          <w:b w:val="1"/>
          <w:bCs w:val="1"/>
          <w:i w:val="1"/>
          <w:iCs w:val="1"/>
          <w:color w:val="auto"/>
        </w:rPr>
        <w:t>Business</w:t>
      </w:r>
      <w:r>
        <w:rPr>
          <w:rFonts w:ascii="Arial" w:cs="Arial" w:eastAsia="Arial" w:hAnsi="Arial"/>
          <w:sz w:val="20"/>
          <w:szCs w:val="20"/>
          <w:color w:val="auto"/>
        </w:rPr>
        <w:t xml:space="preserve"> </w:t>
      </w:r>
      <w:r>
        <w:rPr>
          <w:rFonts w:ascii="Arial" w:cs="Arial" w:eastAsia="Arial" w:hAnsi="Arial"/>
          <w:sz w:val="20"/>
          <w:szCs w:val="20"/>
          <w:b w:val="1"/>
          <w:bCs w:val="1"/>
          <w:i w:val="1"/>
          <w:iCs w:val="1"/>
          <w:color w:val="auto"/>
        </w:rPr>
        <w:t xml:space="preserve">Trends and Conditions </w:t>
      </w:r>
      <w:r>
        <w:rPr>
          <w:rFonts w:ascii="Arial" w:cs="Arial" w:eastAsia="Arial" w:hAnsi="Arial"/>
          <w:sz w:val="20"/>
          <w:szCs w:val="20"/>
          <w:color w:val="auto"/>
        </w:rPr>
        <w:t>included in Item 7 of Part II of this Annual Report, which is incorporated by reference into this Item 1 of</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Part I.</w:t>
      </w:r>
    </w:p>
    <w:p>
      <w:pPr>
        <w:spacing w:after="0" w:line="63" w:lineRule="exact"/>
        <w:rPr>
          <w:sz w:val="20"/>
          <w:szCs w:val="20"/>
          <w:color w:val="auto"/>
        </w:rPr>
      </w:pPr>
    </w:p>
    <w:p>
      <w:pPr>
        <w:jc w:val="both"/>
        <w:ind w:firstLine="353"/>
        <w:spacing w:after="0" w:line="292" w:lineRule="auto"/>
        <w:rPr>
          <w:sz w:val="20"/>
          <w:szCs w:val="20"/>
          <w:color w:val="auto"/>
        </w:rPr>
      </w:pPr>
      <w:r>
        <w:rPr>
          <w:rFonts w:ascii="Arial" w:cs="Arial" w:eastAsia="Arial" w:hAnsi="Arial"/>
          <w:sz w:val="17"/>
          <w:szCs w:val="17"/>
          <w:b w:val="1"/>
          <w:bCs w:val="1"/>
          <w:i w:val="1"/>
          <w:iCs w:val="1"/>
          <w:color w:val="auto"/>
        </w:rPr>
        <w:t xml:space="preserve">Title Insurance Policies. </w:t>
      </w:r>
      <w:r>
        <w:rPr>
          <w:rFonts w:ascii="Arial" w:cs="Arial" w:eastAsia="Arial" w:hAnsi="Arial"/>
          <w:sz w:val="17"/>
          <w:szCs w:val="17"/>
          <w:color w:val="auto"/>
        </w:rPr>
        <w:t>Title insurance plays a key role in the U.S. economy by insuring the secure transfer of real estate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and facilitating the growth of homeownership. The products and services we offer have a positive social impact on families and</w:t>
      </w:r>
    </w:p>
    <w:p>
      <w:pPr>
        <w:jc w:val="both"/>
        <w:spacing w:after="0" w:line="281" w:lineRule="auto"/>
        <w:rPr>
          <w:sz w:val="20"/>
          <w:szCs w:val="20"/>
          <w:color w:val="auto"/>
        </w:rPr>
      </w:pPr>
      <w:r>
        <w:rPr>
          <w:rFonts w:ascii="Arial" w:cs="Arial" w:eastAsia="Arial" w:hAnsi="Arial"/>
          <w:sz w:val="17"/>
          <w:szCs w:val="17"/>
          <w:color w:val="auto"/>
        </w:rPr>
        <w:t>communities overall. For many families, their home is the single largest investment that they will make in their lifetimes. Generally, real estate buyers and mortgage lenders purchase title insurance to insure good and marketable title to real estate and priority of lien. An owner’s title insurance policy, like those we issue in connection with the closing of a real estate transaction, is the best way for property owners to protect themselves from losing their property due to unforeseen or unexpected title claims. Unlike other types of insurance, title insurance protects against past problems instead of future risk, such as the previous owner’s debt, liens, or other claims of ownership that may have been in place prior to the purchase of the property. Under our policies, we defend insureds when covered claims are filed against their interest in the property. A brief generalized description of the process of issuing a title insurance policy is as follows:</w:t>
      </w:r>
    </w:p>
    <w:p>
      <w:pPr>
        <w:sectPr>
          <w:pgSz w:w="11880" w:h="15480" w:orient="portrait"/>
          <w:cols w:equalWidth="0" w:num="1">
            <w:col w:w="10040"/>
          </w:cols>
          <w:pgMar w:left="920" w:top="765"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ectPr>
          <w:pgSz w:w="11880" w:h="15480" w:orient="portrait"/>
          <w:cols w:equalWidth="0" w:num="1">
            <w:col w:w="10040"/>
          </w:cols>
          <w:pgMar w:left="920" w:top="765" w:right="920" w:bottom="0" w:gutter="0" w:footer="0" w:header="0"/>
          <w:type w:val="continuous"/>
        </w:sectPr>
      </w:pPr>
    </w:p>
    <w:bookmarkStart w:id="20" w:name="page21"/>
    <w:bookmarkEnd w:id="20"/>
    <w:p>
      <w:pPr>
        <w:ind w:left="700" w:hanging="355"/>
        <w:spacing w:after="0" w:line="255" w:lineRule="auto"/>
        <w:tabs>
          <w:tab w:leader="none" w:pos="700" w:val="left"/>
        </w:tabs>
        <w:numPr>
          <w:ilvl w:val="0"/>
          <w:numId w:val="16"/>
        </w:numPr>
        <w:rPr>
          <w:rFonts w:ascii="Arial" w:cs="Arial" w:eastAsia="Arial" w:hAnsi="Arial"/>
          <w:sz w:val="20"/>
          <w:szCs w:val="20"/>
          <w:color w:val="auto"/>
        </w:rPr>
      </w:pPr>
      <w:r>
        <w:rPr>
          <w:rFonts w:ascii="Arial" w:cs="Arial" w:eastAsia="Arial" w:hAnsi="Arial"/>
          <w:sz w:val="20"/>
          <w:szCs w:val="20"/>
          <w:color w:val="auto"/>
        </w:rPr>
        <w:t>The customer, typically a real estate salesperson or broker, escrow agent, attorney or lender, places an order for a title policy.</w:t>
      </w:r>
    </w:p>
    <w:p>
      <w:pPr>
        <w:spacing w:after="0" w:line="1" w:lineRule="exact"/>
        <w:rPr>
          <w:rFonts w:ascii="Arial" w:cs="Arial" w:eastAsia="Arial" w:hAnsi="Arial"/>
          <w:sz w:val="20"/>
          <w:szCs w:val="20"/>
          <w:color w:val="auto"/>
        </w:rPr>
      </w:pPr>
    </w:p>
    <w:p>
      <w:pPr>
        <w:ind w:left="700" w:hanging="355"/>
        <w:spacing w:after="0" w:line="245" w:lineRule="auto"/>
        <w:tabs>
          <w:tab w:leader="none" w:pos="700" w:val="left"/>
        </w:tabs>
        <w:numPr>
          <w:ilvl w:val="0"/>
          <w:numId w:val="16"/>
        </w:numPr>
        <w:rPr>
          <w:rFonts w:ascii="Arial" w:cs="Arial" w:eastAsia="Arial" w:hAnsi="Arial"/>
          <w:sz w:val="20"/>
          <w:szCs w:val="20"/>
          <w:color w:val="auto"/>
        </w:rPr>
      </w:pPr>
      <w:r>
        <w:rPr>
          <w:rFonts w:ascii="Arial" w:cs="Arial" w:eastAsia="Arial" w:hAnsi="Arial"/>
          <w:sz w:val="20"/>
          <w:szCs w:val="20"/>
          <w:color w:val="auto"/>
        </w:rPr>
        <w:t>Company personnel note the specifics of the title policy order and place a request with the title company or its agents for a preliminary report or commitment.</w:t>
      </w:r>
    </w:p>
    <w:p>
      <w:pPr>
        <w:jc w:val="both"/>
        <w:ind w:left="700" w:hanging="355"/>
        <w:spacing w:after="0" w:line="245" w:lineRule="auto"/>
        <w:tabs>
          <w:tab w:leader="none" w:pos="700" w:val="left"/>
        </w:tabs>
        <w:numPr>
          <w:ilvl w:val="0"/>
          <w:numId w:val="16"/>
        </w:numPr>
        <w:rPr>
          <w:rFonts w:ascii="Arial" w:cs="Arial" w:eastAsia="Arial" w:hAnsi="Arial"/>
          <w:sz w:val="20"/>
          <w:szCs w:val="20"/>
          <w:color w:val="auto"/>
        </w:rPr>
      </w:pPr>
      <w:r>
        <w:rPr>
          <w:rFonts w:ascii="Arial" w:cs="Arial" w:eastAsia="Arial" w:hAnsi="Arial"/>
          <w:sz w:val="20"/>
          <w:szCs w:val="20"/>
          <w:color w:val="auto"/>
        </w:rPr>
        <w:t>After the relevant historical data on the property is compiled, the title officer prepares a preliminary report that documents the current status of title to the property, any exclusions, exceptions and/or limitations that the title company might include in the policy, and specific issues that need to be addressed and resolved by the parties to the transaction before the title policy will be issued.</w:t>
      </w:r>
    </w:p>
    <w:p>
      <w:pPr>
        <w:spacing w:after="0" w:line="1" w:lineRule="exact"/>
        <w:rPr>
          <w:rFonts w:ascii="Arial" w:cs="Arial" w:eastAsia="Arial" w:hAnsi="Arial"/>
          <w:sz w:val="20"/>
          <w:szCs w:val="20"/>
          <w:color w:val="auto"/>
        </w:rPr>
      </w:pPr>
    </w:p>
    <w:p>
      <w:pPr>
        <w:ind w:left="700" w:hanging="355"/>
        <w:spacing w:after="0"/>
        <w:tabs>
          <w:tab w:leader="none" w:pos="700" w:val="left"/>
        </w:tabs>
        <w:numPr>
          <w:ilvl w:val="0"/>
          <w:numId w:val="16"/>
        </w:numPr>
        <w:rPr>
          <w:rFonts w:ascii="Arial" w:cs="Arial" w:eastAsia="Arial" w:hAnsi="Arial"/>
          <w:sz w:val="20"/>
          <w:szCs w:val="20"/>
          <w:color w:val="auto"/>
        </w:rPr>
      </w:pPr>
      <w:r>
        <w:rPr>
          <w:rFonts w:ascii="Arial" w:cs="Arial" w:eastAsia="Arial" w:hAnsi="Arial"/>
          <w:sz w:val="20"/>
          <w:szCs w:val="20"/>
          <w:color w:val="auto"/>
        </w:rPr>
        <w:t>The preliminary report is circulated to all the parties for satisfaction of any specific issues.</w:t>
      </w:r>
    </w:p>
    <w:p>
      <w:pPr>
        <w:spacing w:after="0" w:line="5" w:lineRule="exact"/>
        <w:rPr>
          <w:rFonts w:ascii="Arial" w:cs="Arial" w:eastAsia="Arial" w:hAnsi="Arial"/>
          <w:sz w:val="20"/>
          <w:szCs w:val="20"/>
          <w:color w:val="auto"/>
        </w:rPr>
      </w:pPr>
    </w:p>
    <w:p>
      <w:pPr>
        <w:ind w:left="700" w:hanging="355"/>
        <w:spacing w:after="0" w:line="245" w:lineRule="auto"/>
        <w:tabs>
          <w:tab w:leader="none" w:pos="700" w:val="left"/>
        </w:tabs>
        <w:numPr>
          <w:ilvl w:val="0"/>
          <w:numId w:val="16"/>
        </w:numPr>
        <w:rPr>
          <w:rFonts w:ascii="Arial" w:cs="Arial" w:eastAsia="Arial" w:hAnsi="Arial"/>
          <w:sz w:val="20"/>
          <w:szCs w:val="20"/>
          <w:color w:val="auto"/>
        </w:rPr>
      </w:pPr>
      <w:r>
        <w:rPr>
          <w:rFonts w:ascii="Arial" w:cs="Arial" w:eastAsia="Arial" w:hAnsi="Arial"/>
          <w:sz w:val="20"/>
          <w:szCs w:val="20"/>
          <w:color w:val="auto"/>
        </w:rPr>
        <w:t>After the specific issues identified in the preliminary report are satisfied, an escrow agent closes the transaction in accordance with the instructions of the parties and the title company’s conditions.</w:t>
      </w:r>
    </w:p>
    <w:p>
      <w:pPr>
        <w:ind w:left="700" w:hanging="355"/>
        <w:spacing w:after="0"/>
        <w:tabs>
          <w:tab w:leader="none" w:pos="7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Once the transaction is closed and all monies have been released, the title company issues a title insurance policy.</w:t>
      </w:r>
    </w:p>
    <w:p>
      <w:pPr>
        <w:spacing w:after="0" w:line="138" w:lineRule="exact"/>
        <w:rPr>
          <w:sz w:val="20"/>
          <w:szCs w:val="20"/>
          <w:color w:val="auto"/>
        </w:rPr>
      </w:pPr>
    </w:p>
    <w:p>
      <w:pPr>
        <w:jc w:val="both"/>
        <w:ind w:firstLine="353"/>
        <w:spacing w:after="0" w:line="303" w:lineRule="auto"/>
        <w:rPr>
          <w:sz w:val="20"/>
          <w:szCs w:val="20"/>
          <w:color w:val="auto"/>
        </w:rPr>
      </w:pPr>
      <w:r>
        <w:rPr>
          <w:rFonts w:ascii="Arial" w:cs="Arial" w:eastAsia="Arial" w:hAnsi="Arial"/>
          <w:sz w:val="17"/>
          <w:szCs w:val="17"/>
          <w:color w:val="auto"/>
        </w:rPr>
        <w:t>In real estate transactions financed with a mortgage, virtually all real property mortgage lenders require their borrowers to obtain a title insurance policy at the time a mortgage loan is made. This lender’s policy insures the lender against any defect affecting the priority of the mortgage in an amount equal to the outstanding balance of the related mortgage loan. An owner’s policy is typically also issued, insuring the buyer against defects in title in an amount equal to the purchase price. In a refinancing transaction, only a lender’s policy is generally purchased because ownership of the property has not changed. In the case of an all-cash real estate purchase, no lender’s policy is issued but typically an owner’s title policy is issued.</w:t>
      </w:r>
    </w:p>
    <w:p>
      <w:pPr>
        <w:spacing w:after="0" w:line="28" w:lineRule="exact"/>
        <w:rPr>
          <w:sz w:val="20"/>
          <w:szCs w:val="20"/>
          <w:color w:val="auto"/>
        </w:rPr>
      </w:pPr>
    </w:p>
    <w:p>
      <w:pPr>
        <w:jc w:val="both"/>
        <w:ind w:firstLine="353"/>
        <w:spacing w:after="0" w:line="271" w:lineRule="auto"/>
        <w:rPr>
          <w:sz w:val="20"/>
          <w:szCs w:val="20"/>
          <w:color w:val="auto"/>
        </w:rPr>
      </w:pPr>
      <w:r>
        <w:rPr>
          <w:rFonts w:ascii="Arial" w:cs="Arial" w:eastAsia="Arial" w:hAnsi="Arial"/>
          <w:sz w:val="19"/>
          <w:szCs w:val="19"/>
          <w:color w:val="auto"/>
        </w:rPr>
        <w:t>Title insurance premiums paid in connection with a title insurance policy are based on (and typically are a percentage of) either the amount of the mortgage loan or the purchase price of the property insured. Applicable state insurance regulations or regulatory practices may limit the maximum, or in some cases the minimum, premium that can be charged on a policy. Title insurance premiums are due in full at the closing of the real estate transaction.</w:t>
      </w:r>
    </w:p>
    <w:p>
      <w:pPr>
        <w:spacing w:after="0" w:line="52" w:lineRule="exact"/>
        <w:rPr>
          <w:sz w:val="20"/>
          <w:szCs w:val="20"/>
          <w:color w:val="auto"/>
        </w:rPr>
      </w:pPr>
    </w:p>
    <w:p>
      <w:pPr>
        <w:jc w:val="both"/>
        <w:ind w:firstLine="353"/>
        <w:spacing w:after="0" w:line="264" w:lineRule="auto"/>
        <w:rPr>
          <w:sz w:val="20"/>
          <w:szCs w:val="20"/>
          <w:color w:val="auto"/>
        </w:rPr>
      </w:pPr>
      <w:r>
        <w:rPr>
          <w:rFonts w:ascii="Arial" w:cs="Arial" w:eastAsia="Arial" w:hAnsi="Arial"/>
          <w:sz w:val="19"/>
          <w:szCs w:val="19"/>
          <w:color w:val="auto"/>
        </w:rPr>
        <w:t>The amount of the insured risk or “face amount” of insurance under a title insurance policy is generally equal to either the amount of the loan secured by the property or the purchase price of the property. The title insurer is also responsible for the cost of defending the insured title against covered claims. The insurer’s actual exposure at any given time, however, generally is less than the total face amount of policies outstanding because the coverage of a lender’s policy is reduced and eventually terminated as a result of payments on the mortgage loan. A title insurer also generally does not know when a property has been sold or refinanced except when it issues the replacement coverage. Because of these factors, the total liability of a title underwriter on outstanding policies cannot be precisely determined.</w:t>
      </w:r>
    </w:p>
    <w:p>
      <w:pPr>
        <w:spacing w:after="0" w:line="62" w:lineRule="exact"/>
        <w:rPr>
          <w:sz w:val="20"/>
          <w:szCs w:val="20"/>
          <w:color w:val="auto"/>
        </w:rPr>
      </w:pPr>
    </w:p>
    <w:p>
      <w:pPr>
        <w:jc w:val="both"/>
        <w:ind w:firstLine="353"/>
        <w:spacing w:after="0" w:line="296" w:lineRule="auto"/>
        <w:rPr>
          <w:sz w:val="20"/>
          <w:szCs w:val="20"/>
          <w:color w:val="auto"/>
        </w:rPr>
      </w:pPr>
      <w:r>
        <w:rPr>
          <w:rFonts w:ascii="Arial" w:cs="Arial" w:eastAsia="Arial" w:hAnsi="Arial"/>
          <w:sz w:val="17"/>
          <w:szCs w:val="17"/>
          <w:color w:val="auto"/>
        </w:rPr>
        <w:t>Title insurance companies typically issue title insurance policies directly through branch offices or through affiliated title agencies, or indirectly through independent third-party agencies unaffiliated with the title insurance company. Where the policy is issued through a branch or wholly owned subsidiary agency operation, the title insurance company typically performs or directs the title search, and the premiums collected are retained by the title company. Where the policy is issued through an independent agent, the agent generally performs the title search (in some areas searches are performed by approved attorneys), examines the title, collects the premium and retains a majority of the premium. The remainder of the premium is remitted to the title insurance company as compensation, part of which is for bearing the risk of loss in the event a claim is made under the policy. The percentage of the premium retained by an agent varies from region to region and is sometimes regulated by the states. The title insurance company is obligated to pay title claims in accordance with the terms of its policies, regardless of whether the title insurance company issues policies through its direct operations or through independent agents.</w:t>
      </w:r>
    </w:p>
    <w:p>
      <w:pPr>
        <w:spacing w:after="0" w:line="39" w:lineRule="exact"/>
        <w:rPr>
          <w:sz w:val="20"/>
          <w:szCs w:val="20"/>
          <w:color w:val="auto"/>
        </w:rPr>
      </w:pPr>
    </w:p>
    <w:p>
      <w:pPr>
        <w:jc w:val="both"/>
        <w:ind w:firstLine="388"/>
        <w:spacing w:after="0" w:line="264" w:lineRule="auto"/>
        <w:rPr>
          <w:sz w:val="20"/>
          <w:szCs w:val="20"/>
          <w:color w:val="auto"/>
        </w:rPr>
      </w:pPr>
      <w:r>
        <w:rPr>
          <w:rFonts w:ascii="Arial" w:cs="Arial" w:eastAsia="Arial" w:hAnsi="Arial"/>
          <w:sz w:val="19"/>
          <w:szCs w:val="19"/>
          <w:color w:val="auto"/>
        </w:rPr>
        <w:t>Prior to issuing policies, title insurers and their agents attempt to reduce the risk of future claim losses by accurately performing title searches and examinations. A title insurance company’s predominant expense relates to such searches and examinations, the preparation of preliminary title reports, policies or commitments, facilitation and closing of real estate transactions and the maintenance of title plants. Title plants are indexed compilations of public records, maps and other relevant historical documents, and the facilitation and closing of real estate transactions. Claim losses generally result from errors made in the title search and examination process, from hidden defects such as fraud, forgery, incapacity, missing heirs of the property, closing-related errors, etc.</w:t>
      </w:r>
    </w:p>
    <w:p>
      <w:pPr>
        <w:spacing w:after="0" w:line="62" w:lineRule="exact"/>
        <w:rPr>
          <w:sz w:val="20"/>
          <w:szCs w:val="20"/>
          <w:color w:val="auto"/>
        </w:rPr>
      </w:pPr>
    </w:p>
    <w:p>
      <w:pPr>
        <w:jc w:val="both"/>
        <w:ind w:firstLine="353"/>
        <w:spacing w:after="0" w:line="266" w:lineRule="auto"/>
        <w:rPr>
          <w:sz w:val="20"/>
          <w:szCs w:val="20"/>
          <w:color w:val="auto"/>
        </w:rPr>
      </w:pPr>
      <w:r>
        <w:rPr>
          <w:rFonts w:ascii="Arial" w:cs="Arial" w:eastAsia="Arial" w:hAnsi="Arial"/>
          <w:sz w:val="19"/>
          <w:szCs w:val="19"/>
          <w:color w:val="auto"/>
        </w:rPr>
        <w:t>Residential real estate business results from the construction, sale, resale and refinancing of residential properties, while commercial real estate business results from similar activities with respect to properties with a business or commercial use. Commercial real estate title insurance policies insure title to commercial real property, and generally involve higher coverage amounts and yield higher premiums. Residential real estate transaction volume is primarily affected by macroeconomic and seasonal factors, while commercial real estate transaction volume is affected primarily by fluctuations in local supply and demand conditions for commercial space.</w:t>
      </w:r>
    </w:p>
    <w:p>
      <w:pPr>
        <w:sectPr>
          <w:pgSz w:w="11880" w:h="15480" w:orient="portrait"/>
          <w:cols w:equalWidth="0" w:num="1">
            <w:col w:w="10040"/>
          </w:cols>
          <w:pgMar w:left="920" w:top="772"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ectPr>
          <w:pgSz w:w="11880" w:h="15480" w:orient="portrait"/>
          <w:cols w:equalWidth="0" w:num="1">
            <w:col w:w="10040"/>
          </w:cols>
          <w:pgMar w:left="920" w:top="772" w:right="920" w:bottom="0" w:gutter="0" w:footer="0" w:header="0"/>
          <w:type w:val="continuous"/>
        </w:sectPr>
      </w:pPr>
    </w:p>
    <w:bookmarkStart w:id="21" w:name="page22"/>
    <w:bookmarkEnd w:id="21"/>
    <w:p>
      <w:pPr>
        <w:jc w:val="both"/>
        <w:ind w:firstLine="353"/>
        <w:spacing w:after="0" w:line="254" w:lineRule="auto"/>
        <w:rPr>
          <w:sz w:val="20"/>
          <w:szCs w:val="20"/>
          <w:color w:val="auto"/>
        </w:rPr>
      </w:pPr>
      <w:r>
        <w:rPr>
          <w:rFonts w:ascii="Arial" w:cs="Arial" w:eastAsia="Arial" w:hAnsi="Arial"/>
          <w:sz w:val="20"/>
          <w:szCs w:val="20"/>
          <w:b w:val="1"/>
          <w:bCs w:val="1"/>
          <w:i w:val="1"/>
          <w:iCs w:val="1"/>
          <w:color w:val="auto"/>
        </w:rPr>
        <w:t xml:space="preserve">Direct and Agency Operations. </w:t>
      </w:r>
      <w:r>
        <w:rPr>
          <w:rFonts w:ascii="Arial" w:cs="Arial" w:eastAsia="Arial" w:hAnsi="Arial"/>
          <w:sz w:val="20"/>
          <w:szCs w:val="20"/>
          <w:color w:val="auto"/>
        </w:rPr>
        <w:t>We provide title insurance services through our direct operations and independent title</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insurance agents who issue title policies on behalf of our title insurance companies. Our title insurance companies determine the terms and conditions upon which they will insure title to the real property according to our underwriting standards, policies and procedures.</w:t>
      </w:r>
    </w:p>
    <w:p>
      <w:pPr>
        <w:spacing w:after="0" w:line="65" w:lineRule="exact"/>
        <w:rPr>
          <w:sz w:val="20"/>
          <w:szCs w:val="20"/>
          <w:color w:val="auto"/>
        </w:rPr>
      </w:pPr>
    </w:p>
    <w:p>
      <w:pPr>
        <w:jc w:val="both"/>
        <w:ind w:firstLine="353"/>
        <w:spacing w:after="0" w:line="259" w:lineRule="auto"/>
        <w:rPr>
          <w:sz w:val="20"/>
          <w:szCs w:val="20"/>
          <w:color w:val="auto"/>
        </w:rPr>
      </w:pPr>
      <w:r>
        <w:rPr>
          <w:rFonts w:ascii="Arial" w:cs="Arial" w:eastAsia="Arial" w:hAnsi="Arial"/>
          <w:sz w:val="20"/>
          <w:szCs w:val="20"/>
          <w:b w:val="1"/>
          <w:bCs w:val="1"/>
          <w:i w:val="1"/>
          <w:iCs w:val="1"/>
          <w:color w:val="auto"/>
        </w:rPr>
        <w:t xml:space="preserve">Direct Operations. </w:t>
      </w:r>
      <w:r>
        <w:rPr>
          <w:rFonts w:ascii="Arial" w:cs="Arial" w:eastAsia="Arial" w:hAnsi="Arial"/>
          <w:sz w:val="20"/>
          <w:szCs w:val="20"/>
          <w:color w:val="auto"/>
        </w:rPr>
        <w:t>Our direct operations include both the operations of our underwriters and those of affiliated agencies. In</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our direct operations, the title insurer issues the title insurance policy and retains the entire premium paid in connection with the transaction. Our direct operations provide the following benefits:</w:t>
      </w:r>
    </w:p>
    <w:p>
      <w:pPr>
        <w:spacing w:after="0" w:line="61" w:lineRule="exact"/>
        <w:rPr>
          <w:sz w:val="20"/>
          <w:szCs w:val="20"/>
          <w:color w:val="auto"/>
        </w:rPr>
      </w:pPr>
    </w:p>
    <w:p>
      <w:pPr>
        <w:ind w:left="700" w:right="480" w:hanging="355"/>
        <w:spacing w:after="0" w:line="255" w:lineRule="auto"/>
        <w:tabs>
          <w:tab w:leader="none" w:pos="700" w:val="left"/>
        </w:tabs>
        <w:numPr>
          <w:ilvl w:val="0"/>
          <w:numId w:val="17"/>
        </w:numPr>
        <w:rPr>
          <w:rFonts w:ascii="Arial" w:cs="Arial" w:eastAsia="Arial" w:hAnsi="Arial"/>
          <w:sz w:val="20"/>
          <w:szCs w:val="20"/>
          <w:color w:val="auto"/>
        </w:rPr>
      </w:pPr>
      <w:r>
        <w:rPr>
          <w:rFonts w:ascii="Arial" w:cs="Arial" w:eastAsia="Arial" w:hAnsi="Arial"/>
          <w:sz w:val="20"/>
          <w:szCs w:val="20"/>
          <w:color w:val="auto"/>
        </w:rPr>
        <w:t>higher margins because we retain the entire premium from each transaction instead of paying a commission to an independent agent;</w:t>
      </w:r>
    </w:p>
    <w:p>
      <w:pPr>
        <w:spacing w:after="0" w:line="1" w:lineRule="exact"/>
        <w:rPr>
          <w:rFonts w:ascii="Arial" w:cs="Arial" w:eastAsia="Arial" w:hAnsi="Arial"/>
          <w:sz w:val="20"/>
          <w:szCs w:val="20"/>
          <w:color w:val="auto"/>
        </w:rPr>
      </w:pPr>
    </w:p>
    <w:p>
      <w:pPr>
        <w:ind w:left="700" w:hanging="355"/>
        <w:spacing w:after="0"/>
        <w:tabs>
          <w:tab w:leader="none" w:pos="700" w:val="left"/>
        </w:tabs>
        <w:numPr>
          <w:ilvl w:val="0"/>
          <w:numId w:val="17"/>
        </w:numPr>
        <w:rPr>
          <w:rFonts w:ascii="Arial" w:cs="Arial" w:eastAsia="Arial" w:hAnsi="Arial"/>
          <w:sz w:val="20"/>
          <w:szCs w:val="20"/>
          <w:color w:val="auto"/>
        </w:rPr>
      </w:pPr>
      <w:r>
        <w:rPr>
          <w:rFonts w:ascii="Arial" w:cs="Arial" w:eastAsia="Arial" w:hAnsi="Arial"/>
          <w:sz w:val="20"/>
          <w:szCs w:val="20"/>
          <w:color w:val="auto"/>
        </w:rPr>
        <w:t>continuity of service levels to a broad range of customers; and</w:t>
      </w:r>
    </w:p>
    <w:p>
      <w:pPr>
        <w:spacing w:after="0" w:line="5" w:lineRule="exact"/>
        <w:rPr>
          <w:rFonts w:ascii="Arial" w:cs="Arial" w:eastAsia="Arial" w:hAnsi="Arial"/>
          <w:sz w:val="20"/>
          <w:szCs w:val="20"/>
          <w:color w:val="auto"/>
        </w:rPr>
      </w:pPr>
    </w:p>
    <w:p>
      <w:pPr>
        <w:ind w:left="700" w:hanging="355"/>
        <w:spacing w:after="0"/>
        <w:tabs>
          <w:tab w:leader="none" w:pos="700" w:val="left"/>
        </w:tabs>
        <w:numPr>
          <w:ilvl w:val="0"/>
          <w:numId w:val="17"/>
        </w:numPr>
        <w:rPr>
          <w:rFonts w:ascii="Arial" w:cs="Arial" w:eastAsia="Arial" w:hAnsi="Arial"/>
          <w:sz w:val="20"/>
          <w:szCs w:val="20"/>
          <w:color w:val="auto"/>
        </w:rPr>
      </w:pPr>
      <w:r>
        <w:rPr>
          <w:rFonts w:ascii="Arial" w:cs="Arial" w:eastAsia="Arial" w:hAnsi="Arial"/>
          <w:sz w:val="20"/>
          <w:szCs w:val="20"/>
          <w:color w:val="auto"/>
        </w:rPr>
        <w:t>additional sources of income through escrow and closing services.</w:t>
      </w:r>
    </w:p>
    <w:p>
      <w:pPr>
        <w:spacing w:after="0" w:line="84" w:lineRule="exact"/>
        <w:rPr>
          <w:sz w:val="20"/>
          <w:szCs w:val="20"/>
          <w:color w:val="auto"/>
        </w:rPr>
      </w:pPr>
    </w:p>
    <w:p>
      <w:pPr>
        <w:jc w:val="both"/>
        <w:ind w:firstLine="353"/>
        <w:spacing w:after="0" w:line="306" w:lineRule="auto"/>
        <w:rPr>
          <w:sz w:val="20"/>
          <w:szCs w:val="20"/>
          <w:color w:val="auto"/>
        </w:rPr>
      </w:pPr>
      <w:r>
        <w:rPr>
          <w:rFonts w:ascii="Arial" w:cs="Arial" w:eastAsia="Arial" w:hAnsi="Arial"/>
          <w:sz w:val="17"/>
          <w:szCs w:val="17"/>
          <w:color w:val="auto"/>
        </w:rPr>
        <w:t>We have approximately 1,300 offices throughout the U.S. primarily providing title insurance. We continuously monitor the number of direct offices to ensure that it remains in line with our strategy and the current economic environment. Our commercial real estate title insurance business is operated primarily through our direct operations. We maintain direct operations for our commercial title insurance business in all the major real estate markets including Atlanta, Boston, Chicago, Dallas, Houston, Los Angeles, New York, Philadelphia, Phoenix, Seattle and Washington D.C.</w:t>
      </w:r>
    </w:p>
    <w:p>
      <w:pPr>
        <w:spacing w:after="0" w:line="26" w:lineRule="exact"/>
        <w:rPr>
          <w:sz w:val="20"/>
          <w:szCs w:val="20"/>
          <w:color w:val="auto"/>
        </w:rPr>
      </w:pPr>
    </w:p>
    <w:p>
      <w:pPr>
        <w:jc w:val="both"/>
        <w:ind w:firstLine="353"/>
        <w:spacing w:after="0" w:line="294" w:lineRule="auto"/>
        <w:rPr>
          <w:sz w:val="20"/>
          <w:szCs w:val="20"/>
          <w:color w:val="auto"/>
        </w:rPr>
      </w:pPr>
      <w:r>
        <w:rPr>
          <w:rFonts w:ascii="Arial" w:cs="Arial" w:eastAsia="Arial" w:hAnsi="Arial"/>
          <w:sz w:val="17"/>
          <w:szCs w:val="17"/>
          <w:b w:val="1"/>
          <w:bCs w:val="1"/>
          <w:i w:val="1"/>
          <w:iCs w:val="1"/>
          <w:color w:val="auto"/>
        </w:rPr>
        <w:t xml:space="preserve">Agency Operations. </w:t>
      </w:r>
      <w:r>
        <w:rPr>
          <w:rFonts w:ascii="Arial" w:cs="Arial" w:eastAsia="Arial" w:hAnsi="Arial"/>
          <w:sz w:val="17"/>
          <w:szCs w:val="17"/>
          <w:color w:val="auto"/>
        </w:rPr>
        <w:t>In our agency operations, the search and examination function is performed by an independent agent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or the agent may purchase the search product from us. In either case, the agent is responsible to ensure that the search and examination is completed. The agent thus retains the majority of the title premium collected, with the balance remitted to the title underwriter as compensation for bearing the risk of loss in the event that a claim is made under the title insurance policy. Independent agents may select among several title underwriters based upon their relationship with the underwriter, the amount of the premium “split” offered by the underwriter, the overall terms and conditions of the agency agreement and the scope of services offered to the agent. Premium splits vary by geographic region, and in some states are fixed by insurance regulatory requirements. Our relationship with each agent is governed by an agency agreement defining how the agent issues a title insurance policy on our behalf. The agency agreement also sets forth the agent’s liability to us for policy losses attributable to the agent’s errors. An agency agreement is usually terminable without cause upon 30 days' notice or immediately for cause. In determining whether to engage or retain an independent agent, we consider the agent’s experience, financial condition and loss history. For each agent with whom we enter into an agency agreement, we maintain financial and loss experience records. We also conduct periodic audits of our agents and strategically manage the number of agents with which we transact business in an effort to reduce future expenses and manage risks. As of December 31, 2025, we transacted business with approximately 5,100 agents.</w:t>
      </w:r>
    </w:p>
    <w:p>
      <w:pPr>
        <w:spacing w:after="0" w:line="274" w:lineRule="exact"/>
        <w:rPr>
          <w:sz w:val="20"/>
          <w:szCs w:val="20"/>
          <w:color w:val="auto"/>
        </w:rPr>
      </w:pPr>
    </w:p>
    <w:p>
      <w:pPr>
        <w:jc w:val="both"/>
        <w:ind w:firstLine="353"/>
        <w:spacing w:after="0" w:line="273" w:lineRule="auto"/>
        <w:rPr>
          <w:sz w:val="20"/>
          <w:szCs w:val="20"/>
          <w:color w:val="auto"/>
        </w:rPr>
      </w:pPr>
      <w:r>
        <w:rPr>
          <w:rFonts w:ascii="Arial" w:cs="Arial" w:eastAsia="Arial" w:hAnsi="Arial"/>
          <w:sz w:val="20"/>
          <w:szCs w:val="20"/>
          <w:b w:val="1"/>
          <w:bCs w:val="1"/>
          <w:i w:val="1"/>
          <w:iCs w:val="1"/>
          <w:color w:val="auto"/>
        </w:rPr>
        <w:t xml:space="preserve">Fees and Premiums. </w:t>
      </w:r>
      <w:r>
        <w:rPr>
          <w:rFonts w:ascii="Arial" w:cs="Arial" w:eastAsia="Arial" w:hAnsi="Arial"/>
          <w:sz w:val="20"/>
          <w:szCs w:val="20"/>
          <w:color w:val="auto"/>
        </w:rPr>
        <w:t>One method of analyzing our business is to examine the level of premiums generated by direct and</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agency operations.</w:t>
      </w:r>
    </w:p>
    <w:p>
      <w:pPr>
        <w:spacing w:after="0" w:line="47"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presents the percentages of our title insurance premiums generated by direct and agency operations:</w:t>
      </w:r>
    </w:p>
    <w:p>
      <w:pPr>
        <w:spacing w:after="0" w:line="211" w:lineRule="exact"/>
        <w:rPr>
          <w:sz w:val="20"/>
          <w:szCs w:val="20"/>
          <w:color w:val="auto"/>
        </w:rPr>
      </w:pPr>
    </w:p>
    <w:tbl>
      <w:tblPr>
        <w:tblLayout w:type="fixed"/>
        <w:tblInd w:w="40" w:type="dxa"/>
        <w:tblCellMar>
          <w:top w:w="0" w:type="dxa"/>
          <w:left w:w="0" w:type="dxa"/>
          <w:bottom w:w="0" w:type="dxa"/>
          <w:right w:w="0" w:type="dxa"/>
        </w:tblCellMar>
      </w:tblPr>
      <w:tr>
        <w:trPr>
          <w:trHeight w:val="213"/>
        </w:trPr>
        <w:tc>
          <w:tcPr>
            <w:tcW w:w="4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gridSpan w:val="5"/>
          </w:tcPr>
          <w:p>
            <w:pPr>
              <w:jc w:val="right"/>
              <w:spacing w:after="0"/>
              <w:rPr>
                <w:sz w:val="20"/>
                <w:szCs w:val="20"/>
                <w:color w:val="auto"/>
              </w:rPr>
            </w:pPr>
            <w:r>
              <w:rPr>
                <w:rFonts w:ascii="Arial" w:cs="Arial" w:eastAsia="Arial" w:hAnsi="Arial"/>
                <w:sz w:val="16"/>
                <w:szCs w:val="16"/>
                <w:b w:val="1"/>
                <w:bCs w:val="1"/>
                <w:color w:val="auto"/>
                <w:w w:val="92"/>
              </w:rPr>
              <w:t>Year Ended December 31,</w:t>
            </w:r>
          </w:p>
        </w:tc>
        <w:tc>
          <w:tcPr>
            <w:tcW w:w="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r>
      <w:tr>
        <w:trPr>
          <w:trHeight w:val="215"/>
        </w:trPr>
        <w:tc>
          <w:tcPr>
            <w:tcW w:w="4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6"/>
                <w:szCs w:val="16"/>
                <w:b w:val="1"/>
                <w:bCs w:val="1"/>
                <w:color w:val="auto"/>
              </w:rPr>
              <w:t>2025</w:t>
            </w:r>
          </w:p>
        </w:tc>
        <w:tc>
          <w:tcPr>
            <w:tcW w:w="66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6"/>
                <w:szCs w:val="16"/>
                <w:b w:val="1"/>
                <w:bCs w:val="1"/>
                <w:color w:val="auto"/>
              </w:rPr>
              <w:t>2024</w:t>
            </w:r>
          </w:p>
        </w:tc>
        <w:tc>
          <w:tcPr>
            <w:tcW w:w="66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6"/>
                <w:szCs w:val="16"/>
                <w:b w:val="1"/>
                <w:bCs w:val="1"/>
                <w:color w:val="auto"/>
              </w:rPr>
              <w:t>2023</w:t>
            </w:r>
          </w:p>
        </w:tc>
        <w:tc>
          <w:tcPr>
            <w:tcW w:w="680" w:type="dxa"/>
            <w:vAlign w:val="bottom"/>
            <w:tcBorders>
              <w:bottom w:val="single" w:sz="8" w:color="auto"/>
            </w:tcBorders>
          </w:tcPr>
          <w:p>
            <w:pPr>
              <w:spacing w:after="0"/>
              <w:rPr>
                <w:sz w:val="18"/>
                <w:szCs w:val="18"/>
                <w:color w:val="auto"/>
              </w:rPr>
            </w:pPr>
          </w:p>
        </w:tc>
      </w:tr>
      <w:tr>
        <w:trPr>
          <w:trHeight w:val="230"/>
        </w:trPr>
        <w:tc>
          <w:tcPr>
            <w:tcW w:w="4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102"/>
              <w:spacing w:after="0"/>
              <w:rPr>
                <w:sz w:val="20"/>
                <w:szCs w:val="20"/>
                <w:color w:val="auto"/>
              </w:rPr>
            </w:pPr>
            <w:r>
              <w:rPr>
                <w:rFonts w:ascii="Arial" w:cs="Arial" w:eastAsia="Arial" w:hAnsi="Arial"/>
                <w:sz w:val="16"/>
                <w:szCs w:val="16"/>
                <w:b w:val="1"/>
                <w:bCs w:val="1"/>
                <w:color w:val="auto"/>
                <w:w w:val="92"/>
              </w:rPr>
              <w:t>Amount</w:t>
            </w:r>
          </w:p>
        </w:tc>
        <w:tc>
          <w:tcPr>
            <w:tcW w:w="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262"/>
              <w:spacing w:after="0"/>
              <w:rPr>
                <w:sz w:val="20"/>
                <w:szCs w:val="20"/>
                <w:color w:val="auto"/>
              </w:rPr>
            </w:pPr>
            <w:r>
              <w:rPr>
                <w:rFonts w:ascii="Arial" w:cs="Arial" w:eastAsia="Arial" w:hAnsi="Arial"/>
                <w:sz w:val="16"/>
                <w:szCs w:val="16"/>
                <w:b w:val="1"/>
                <w:bCs w:val="1"/>
                <w:color w:val="auto"/>
              </w:rPr>
              <w:t>%</w:t>
            </w:r>
          </w:p>
        </w:tc>
        <w:tc>
          <w:tcPr>
            <w:tcW w:w="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22"/>
              <w:spacing w:after="0"/>
              <w:rPr>
                <w:sz w:val="20"/>
                <w:szCs w:val="20"/>
                <w:color w:val="auto"/>
              </w:rPr>
            </w:pPr>
            <w:r>
              <w:rPr>
                <w:rFonts w:ascii="Arial" w:cs="Arial" w:eastAsia="Arial" w:hAnsi="Arial"/>
                <w:sz w:val="16"/>
                <w:szCs w:val="16"/>
                <w:b w:val="1"/>
                <w:bCs w:val="1"/>
                <w:color w:val="auto"/>
                <w:w w:val="92"/>
              </w:rPr>
              <w:t>Amount</w:t>
            </w:r>
          </w:p>
        </w:tc>
        <w:tc>
          <w:tcPr>
            <w:tcW w:w="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262"/>
              <w:spacing w:after="0"/>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102"/>
              <w:spacing w:after="0"/>
              <w:rPr>
                <w:sz w:val="20"/>
                <w:szCs w:val="20"/>
                <w:color w:val="auto"/>
              </w:rPr>
            </w:pPr>
            <w:r>
              <w:rPr>
                <w:rFonts w:ascii="Arial" w:cs="Arial" w:eastAsia="Arial" w:hAnsi="Arial"/>
                <w:sz w:val="16"/>
                <w:szCs w:val="16"/>
                <w:b w:val="1"/>
                <w:bCs w:val="1"/>
                <w:color w:val="auto"/>
                <w:w w:val="92"/>
              </w:rPr>
              <w:t>Amount</w:t>
            </w:r>
          </w:p>
        </w:tc>
        <w:tc>
          <w:tcPr>
            <w:tcW w:w="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302"/>
              <w:spacing w:after="0"/>
              <w:rPr>
                <w:sz w:val="20"/>
                <w:szCs w:val="20"/>
                <w:color w:val="auto"/>
              </w:rPr>
            </w:pPr>
            <w:r>
              <w:rPr>
                <w:rFonts w:ascii="Arial" w:cs="Arial" w:eastAsia="Arial" w:hAnsi="Arial"/>
                <w:sz w:val="16"/>
                <w:szCs w:val="16"/>
                <w:b w:val="1"/>
                <w:bCs w:val="1"/>
                <w:color w:val="auto"/>
              </w:rPr>
              <w:t>%</w:t>
            </w:r>
          </w:p>
        </w:tc>
      </w:tr>
      <w:tr>
        <w:trPr>
          <w:trHeight w:val="208"/>
        </w:trPr>
        <w:tc>
          <w:tcPr>
            <w:tcW w:w="4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00" w:type="dxa"/>
            <w:vAlign w:val="bottom"/>
            <w:gridSpan w:val="4"/>
          </w:tcPr>
          <w:p>
            <w:pPr>
              <w:jc w:val="right"/>
              <w:ind w:right="142"/>
              <w:spacing w:after="0"/>
              <w:rPr>
                <w:sz w:val="20"/>
                <w:szCs w:val="20"/>
                <w:color w:val="auto"/>
              </w:rPr>
            </w:pPr>
            <w:r>
              <w:rPr>
                <w:rFonts w:ascii="Arial" w:cs="Arial" w:eastAsia="Arial" w:hAnsi="Arial"/>
                <w:sz w:val="16"/>
                <w:szCs w:val="16"/>
                <w:b w:val="1"/>
                <w:bCs w:val="1"/>
                <w:color w:val="auto"/>
                <w:w w:val="98"/>
              </w:rPr>
              <w:t>(Dollars in millions)</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79"/>
        </w:trPr>
        <w:tc>
          <w:tcPr>
            <w:tcW w:w="4120" w:type="dxa"/>
            <w:vAlign w:val="bottom"/>
          </w:tcPr>
          <w:p>
            <w:pPr>
              <w:spacing w:after="0"/>
              <w:rPr>
                <w:sz w:val="20"/>
                <w:szCs w:val="20"/>
                <w:color w:val="auto"/>
              </w:rPr>
            </w:pPr>
            <w:r>
              <w:rPr>
                <w:rFonts w:ascii="Arial" w:cs="Arial" w:eastAsia="Arial" w:hAnsi="Arial"/>
                <w:sz w:val="16"/>
                <w:szCs w:val="16"/>
                <w:color w:val="auto"/>
              </w:rPr>
              <w:t>Direct</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2,574</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44.2 %</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2,200</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42.7 %</w:t>
            </w:r>
          </w:p>
        </w:tc>
        <w:tc>
          <w:tcPr>
            <w:tcW w:w="24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1,982</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43.2 %</w:t>
            </w:r>
          </w:p>
        </w:tc>
      </w:tr>
      <w:tr>
        <w:trPr>
          <w:trHeight w:val="286"/>
        </w:trPr>
        <w:tc>
          <w:tcPr>
            <w:tcW w:w="4120" w:type="dxa"/>
            <w:vAlign w:val="bottom"/>
          </w:tcPr>
          <w:p>
            <w:pPr>
              <w:spacing w:after="0"/>
              <w:rPr>
                <w:sz w:val="20"/>
                <w:szCs w:val="20"/>
                <w:color w:val="auto"/>
              </w:rPr>
            </w:pPr>
            <w:r>
              <w:rPr>
                <w:rFonts w:ascii="Arial" w:cs="Arial" w:eastAsia="Arial" w:hAnsi="Arial"/>
                <w:sz w:val="16"/>
                <w:szCs w:val="16"/>
                <w:color w:val="auto"/>
              </w:rPr>
              <w:t>Agency</w:t>
            </w:r>
          </w:p>
        </w:tc>
        <w:tc>
          <w:tcPr>
            <w:tcW w:w="1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3,250</w:t>
            </w:r>
          </w:p>
        </w:tc>
        <w:tc>
          <w:tcPr>
            <w:tcW w:w="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ind w:right="102"/>
              <w:spacing w:after="0"/>
              <w:rPr>
                <w:sz w:val="20"/>
                <w:szCs w:val="20"/>
                <w:color w:val="auto"/>
              </w:rPr>
            </w:pPr>
            <w:r>
              <w:rPr>
                <w:rFonts w:ascii="Arial" w:cs="Arial" w:eastAsia="Arial" w:hAnsi="Arial"/>
                <w:sz w:val="16"/>
                <w:szCs w:val="16"/>
                <w:color w:val="auto"/>
              </w:rPr>
              <w:t>55.8</w:t>
            </w:r>
          </w:p>
        </w:tc>
        <w:tc>
          <w:tcPr>
            <w:tcW w:w="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2,953</w:t>
            </w:r>
          </w:p>
        </w:tc>
        <w:tc>
          <w:tcPr>
            <w:tcW w:w="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ind w:right="122"/>
              <w:spacing w:after="0"/>
              <w:rPr>
                <w:sz w:val="20"/>
                <w:szCs w:val="20"/>
                <w:color w:val="auto"/>
              </w:rPr>
            </w:pPr>
            <w:r>
              <w:rPr>
                <w:rFonts w:ascii="Arial" w:cs="Arial" w:eastAsia="Arial" w:hAnsi="Arial"/>
                <w:sz w:val="16"/>
                <w:szCs w:val="16"/>
                <w:color w:val="auto"/>
              </w:rPr>
              <w:t>57.3</w:t>
            </w:r>
          </w:p>
        </w:tc>
        <w:tc>
          <w:tcPr>
            <w:tcW w:w="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2,610</w:t>
            </w:r>
          </w:p>
        </w:tc>
        <w:tc>
          <w:tcPr>
            <w:tcW w:w="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ind w:right="122"/>
              <w:spacing w:after="0"/>
              <w:rPr>
                <w:sz w:val="20"/>
                <w:szCs w:val="20"/>
                <w:color w:val="auto"/>
              </w:rPr>
            </w:pPr>
            <w:r>
              <w:rPr>
                <w:rFonts w:ascii="Arial" w:cs="Arial" w:eastAsia="Arial" w:hAnsi="Arial"/>
                <w:sz w:val="16"/>
                <w:szCs w:val="16"/>
                <w:color w:val="auto"/>
              </w:rPr>
              <w:t>56.8</w:t>
            </w:r>
          </w:p>
        </w:tc>
      </w:tr>
      <w:tr>
        <w:trPr>
          <w:trHeight w:val="240"/>
        </w:trPr>
        <w:tc>
          <w:tcPr>
            <w:tcW w:w="4120" w:type="dxa"/>
            <w:vAlign w:val="bottom"/>
          </w:tcPr>
          <w:p>
            <w:pPr>
              <w:ind w:left="200"/>
              <w:spacing w:after="0"/>
              <w:rPr>
                <w:sz w:val="20"/>
                <w:szCs w:val="20"/>
                <w:color w:val="auto"/>
              </w:rPr>
            </w:pPr>
            <w:r>
              <w:rPr>
                <w:rFonts w:ascii="Arial" w:cs="Arial" w:eastAsia="Arial" w:hAnsi="Arial"/>
                <w:sz w:val="16"/>
                <w:szCs w:val="16"/>
                <w:color w:val="auto"/>
              </w:rPr>
              <w:t>Total title insurance premiums</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5,824</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100.0 %</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5,153</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100.0 %</w:t>
            </w:r>
          </w:p>
        </w:tc>
        <w:tc>
          <w:tcPr>
            <w:tcW w:w="24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4,592</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100.0 %</w:t>
            </w:r>
          </w:p>
        </w:tc>
      </w:tr>
      <w:tr>
        <w:trPr>
          <w:trHeight w:val="20"/>
        </w:trPr>
        <w:tc>
          <w:tcPr>
            <w:tcW w:w="4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-563245</wp:posOffset>
            </wp:positionV>
            <wp:extent cx="6382385" cy="57023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16">
                      <a:extLst>
                        <a:ext uri="{28A0092B-C50C-407E-A947-70E740481C1C}"/>
                      </a:extLst>
                    </a:blip>
                    <a:srcRect/>
                    <a:stretch>
                      <a:fillRect/>
                    </a:stretch>
                  </pic:blipFill>
                  <pic:spPr bwMode="auto">
                    <a:xfrm>
                      <a:off x="0" y="0"/>
                      <a:ext cx="6382385" cy="570230"/>
                    </a:xfrm>
                    <a:prstGeom prst="rect">
                      <a:avLst/>
                    </a:prstGeom>
                    <a:noFill/>
                  </pic:spPr>
                </pic:pic>
              </a:graphicData>
            </a:graphic>
          </wp:anchor>
        </w:drawing>
      </w:r>
    </w:p>
    <w:p>
      <w:pPr>
        <w:spacing w:after="0" w:line="86" w:lineRule="exact"/>
        <w:rPr>
          <w:sz w:val="20"/>
          <w:szCs w:val="20"/>
          <w:color w:val="auto"/>
        </w:rPr>
      </w:pPr>
    </w:p>
    <w:p>
      <w:pPr>
        <w:jc w:val="both"/>
        <w:ind w:firstLine="353"/>
        <w:spacing w:after="0" w:line="306" w:lineRule="auto"/>
        <w:rPr>
          <w:sz w:val="20"/>
          <w:szCs w:val="20"/>
          <w:color w:val="auto"/>
        </w:rPr>
      </w:pPr>
      <w:r>
        <w:rPr>
          <w:rFonts w:ascii="Arial" w:cs="Arial" w:eastAsia="Arial" w:hAnsi="Arial"/>
          <w:sz w:val="17"/>
          <w:szCs w:val="17"/>
          <w:color w:val="auto"/>
        </w:rPr>
        <w:t>The premium for title insurance is due in full when the real estate transaction is closed. We recognize title insurance premium revenues from direct operations upon the closing of the transaction. Premium revenues from agency operations include an accrual based on estimates of the volume of transactions that have closed in a particular period for which premiums have not yet been reported to us. The accrual for agency premiums is necessary because of the lag between the closing of these transactions and the reporting of these policies to us by the agent and is based on estimates utilizing historical information.</w:t>
      </w:r>
    </w:p>
    <w:p>
      <w:pPr>
        <w:spacing w:after="0" w:line="26" w:lineRule="exact"/>
        <w:rPr>
          <w:sz w:val="20"/>
          <w:szCs w:val="20"/>
          <w:color w:val="auto"/>
        </w:rPr>
      </w:pPr>
    </w:p>
    <w:p>
      <w:pPr>
        <w:jc w:val="both"/>
        <w:ind w:firstLine="353"/>
        <w:spacing w:after="0" w:line="266" w:lineRule="auto"/>
        <w:rPr>
          <w:sz w:val="20"/>
          <w:szCs w:val="20"/>
          <w:color w:val="auto"/>
        </w:rPr>
      </w:pPr>
      <w:r>
        <w:rPr>
          <w:rFonts w:ascii="Arial" w:cs="Arial" w:eastAsia="Arial" w:hAnsi="Arial"/>
          <w:sz w:val="19"/>
          <w:szCs w:val="19"/>
          <w:b w:val="1"/>
          <w:bCs w:val="1"/>
          <w:i w:val="1"/>
          <w:iCs w:val="1"/>
          <w:color w:val="auto"/>
        </w:rPr>
        <w:t xml:space="preserve">Escrow, Title-Related and Other Fees. </w:t>
      </w:r>
      <w:r>
        <w:rPr>
          <w:rFonts w:ascii="Arial" w:cs="Arial" w:eastAsia="Arial" w:hAnsi="Arial"/>
          <w:sz w:val="19"/>
          <w:szCs w:val="19"/>
          <w:color w:val="auto"/>
        </w:rPr>
        <w:t>In addition to fees for underwriting title insurance policies, we derive a significant</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amount of our revenues from escrow and other title-related services including closing and trust activities, trustee sales guarantees, recordings and reconveyances, and home warranty products. The escrow and other services provided by us include all of those typically required in connection with residential and commercial real estate purchases and refinance activities. Escrow, title-related and other fees included in our Title segment represented approximately 28.0%, 28.5%, and 30.1% of total Title segment revenues in 2025, 2024, and 2023, respectively.</w:t>
      </w:r>
    </w:p>
    <w:p>
      <w:pPr>
        <w:sectPr>
          <w:pgSz w:w="11880" w:h="15480" w:orient="portrait"/>
          <w:cols w:equalWidth="0" w:num="1">
            <w:col w:w="10040"/>
          </w:cols>
          <w:pgMar w:left="920" w:top="770"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w:t>
      </w:r>
    </w:p>
    <w:p>
      <w:pPr>
        <w:sectPr>
          <w:pgSz w:w="11880" w:h="15480" w:orient="portrait"/>
          <w:cols w:equalWidth="0" w:num="1">
            <w:col w:w="10040"/>
          </w:cols>
          <w:pgMar w:left="920" w:top="770" w:right="920" w:bottom="0" w:gutter="0" w:footer="0" w:header="0"/>
          <w:type w:val="continuous"/>
        </w:sectPr>
      </w:pPr>
    </w:p>
    <w:bookmarkStart w:id="22" w:name="page23"/>
    <w:bookmarkEnd w:id="22"/>
    <w:p>
      <w:pPr>
        <w:jc w:val="both"/>
        <w:ind w:firstLine="353"/>
        <w:spacing w:after="0" w:line="296" w:lineRule="auto"/>
        <w:rPr>
          <w:sz w:val="20"/>
          <w:szCs w:val="20"/>
          <w:color w:val="auto"/>
        </w:rPr>
      </w:pPr>
      <w:r>
        <w:rPr>
          <w:rFonts w:ascii="Arial" w:cs="Arial" w:eastAsia="Arial" w:hAnsi="Arial"/>
          <w:sz w:val="17"/>
          <w:szCs w:val="17"/>
          <w:b w:val="1"/>
          <w:bCs w:val="1"/>
          <w:i w:val="1"/>
          <w:iCs w:val="1"/>
          <w:color w:val="auto"/>
        </w:rPr>
        <w:t xml:space="preserve">Sales and Marketing. </w:t>
      </w:r>
      <w:r>
        <w:rPr>
          <w:rFonts w:ascii="Arial" w:cs="Arial" w:eastAsia="Arial" w:hAnsi="Arial"/>
          <w:sz w:val="17"/>
          <w:szCs w:val="17"/>
          <w:color w:val="auto"/>
        </w:rPr>
        <w:t>We market and distribute our title and escrow products and services to customers in the residential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and commercial market sectors of the real estate industry through customer solicitation by sales personnel. Although in many instances the individual homeowner is the beneficiary of a title insurance policy, we do not focus our marketing efforts on the homeowner. We actively encourage our sales personnel to develop new business relationships with persons in the real estate community, such as real estate sales agents and brokers, financial institutions, independent escrow companies and title agents, real estate developers, mortgage brokers and attorneys who order title insurance policies for their clients. While our smaller, local clients remain important, large customers, such as national residential mortgage lenders, real estate investment trusts and developers are an important part of our business. The buying criteria of locally based clients differ from those of large, geographically diverse customers in that the former tend to emphasize personal relationships and ease of transaction execution, while the latter generally place more emphasis on consistent product delivery across diverse geographical regions and the ability of service providers to meet their information systems requirements for electronic product delivery.</w:t>
      </w:r>
    </w:p>
    <w:p>
      <w:pPr>
        <w:spacing w:after="0" w:line="33" w:lineRule="exact"/>
        <w:rPr>
          <w:sz w:val="20"/>
          <w:szCs w:val="20"/>
          <w:color w:val="auto"/>
        </w:rPr>
      </w:pPr>
    </w:p>
    <w:p>
      <w:pPr>
        <w:jc w:val="both"/>
        <w:ind w:firstLine="353"/>
        <w:spacing w:after="0" w:line="279" w:lineRule="auto"/>
        <w:rPr>
          <w:sz w:val="20"/>
          <w:szCs w:val="20"/>
          <w:color w:val="auto"/>
        </w:rPr>
      </w:pPr>
      <w:r>
        <w:rPr>
          <w:rFonts w:ascii="Arial" w:cs="Arial" w:eastAsia="Arial" w:hAnsi="Arial"/>
          <w:sz w:val="19"/>
          <w:szCs w:val="19"/>
          <w:b w:val="1"/>
          <w:bCs w:val="1"/>
          <w:i w:val="1"/>
          <w:iCs w:val="1"/>
          <w:color w:val="auto"/>
        </w:rPr>
        <w:t xml:space="preserve">Claims. </w:t>
      </w:r>
      <w:r>
        <w:rPr>
          <w:rFonts w:ascii="Arial" w:cs="Arial" w:eastAsia="Arial" w:hAnsi="Arial"/>
          <w:sz w:val="19"/>
          <w:szCs w:val="19"/>
          <w:color w:val="auto"/>
        </w:rPr>
        <w:t>An important part of our business is responsible claims management. We employ a large staff of attorneys in our</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claims department to handle title and escrow claims. Our claims processing centers are located in Omaha, Nebraska and Jacksonville, Florida. In-house claims counsel are also located in other parts of the country.</w:t>
      </w:r>
    </w:p>
    <w:p>
      <w:pPr>
        <w:spacing w:after="0" w:line="43" w:lineRule="exact"/>
        <w:rPr>
          <w:sz w:val="20"/>
          <w:szCs w:val="20"/>
          <w:color w:val="auto"/>
        </w:rPr>
      </w:pPr>
    </w:p>
    <w:p>
      <w:pPr>
        <w:jc w:val="both"/>
        <w:ind w:firstLine="353"/>
        <w:spacing w:after="0" w:line="299" w:lineRule="auto"/>
        <w:rPr>
          <w:sz w:val="20"/>
          <w:szCs w:val="20"/>
          <w:color w:val="auto"/>
        </w:rPr>
      </w:pPr>
      <w:r>
        <w:rPr>
          <w:rFonts w:ascii="Arial" w:cs="Arial" w:eastAsia="Arial" w:hAnsi="Arial"/>
          <w:sz w:val="17"/>
          <w:szCs w:val="17"/>
          <w:color w:val="auto"/>
        </w:rPr>
        <w:t>Claims result from a wide range of causes. These causes generally include, but are not limited to, search and exam errors, forgeries, incorrect legal descriptions, signature and notary errors, unrecorded liens, mechanics’ liens, the failure to pay off existing liens, mortgage lending fraud, mishandling or theft of settlement funds (including independent agency theft), and mistakes in the escrow process. Under our policies, we are required to defend insureds when covered claims are filed against their interest in the property. Some claimants seek damages in excess of policy limits. Those claims are based on various legal theories, including in some cases allegations of negligence or an intentional tort. We occasionally incur losses in excess of policy limits. Experience shows that most policy claims and claim payments are made in the first five years after the policy has been issued, although claims may also be reported and paid many years later.</w:t>
      </w:r>
    </w:p>
    <w:p>
      <w:pPr>
        <w:spacing w:after="0" w:line="31" w:lineRule="exact"/>
        <w:rPr>
          <w:sz w:val="20"/>
          <w:szCs w:val="20"/>
          <w:color w:val="auto"/>
        </w:rPr>
      </w:pPr>
    </w:p>
    <w:p>
      <w:pPr>
        <w:jc w:val="both"/>
        <w:ind w:firstLine="353"/>
        <w:spacing w:after="0" w:line="271" w:lineRule="auto"/>
        <w:rPr>
          <w:sz w:val="20"/>
          <w:szCs w:val="20"/>
          <w:color w:val="auto"/>
        </w:rPr>
      </w:pPr>
      <w:r>
        <w:rPr>
          <w:rFonts w:ascii="Arial" w:cs="Arial" w:eastAsia="Arial" w:hAnsi="Arial"/>
          <w:sz w:val="19"/>
          <w:szCs w:val="19"/>
          <w:color w:val="auto"/>
        </w:rPr>
        <w:t>Title losses due to independent agency defalcations typically occur when the independent agency misappropriates funds from escrow accounts under its control. Such losses are usually discovered when the independent agency fails to pay off an outstanding mortgage loan at closing (or immediately thereafter) from the proceeds of the new loan. Once the previous lender determines that its loan has not been paid off timely, it will file a claim against the title insurer.</w:t>
      </w:r>
    </w:p>
    <w:p>
      <w:pPr>
        <w:spacing w:after="0" w:line="52" w:lineRule="exact"/>
        <w:rPr>
          <w:sz w:val="20"/>
          <w:szCs w:val="20"/>
          <w:color w:val="auto"/>
        </w:rPr>
      </w:pPr>
    </w:p>
    <w:p>
      <w:pPr>
        <w:jc w:val="both"/>
        <w:ind w:firstLine="353"/>
        <w:spacing w:after="0" w:line="264" w:lineRule="auto"/>
        <w:rPr>
          <w:sz w:val="20"/>
          <w:szCs w:val="20"/>
          <w:color w:val="auto"/>
        </w:rPr>
      </w:pPr>
      <w:r>
        <w:rPr>
          <w:rFonts w:ascii="Arial" w:cs="Arial" w:eastAsia="Arial" w:hAnsi="Arial"/>
          <w:sz w:val="19"/>
          <w:szCs w:val="19"/>
          <w:color w:val="auto"/>
        </w:rPr>
        <w:t>Claims can be complex, vary greatly in dollar amounts and are affected by economic and market conditions and the legal environment existing at the time claims are processed. In our commercial title business, we may issue polices with face amounts well in excess of $100 million, and from time-to-time claims are submitted with respect to large policies. We believe we are appropriately reserved with respect to all claims (large and small) that we currently face. Occasionally we experience large losses from title policies that have been issued or from our escrow operations, or overall worsening loss payment experience, which require us to increase our title loss reserves. These events are unpredictable and adversely affect our earnings. Claims can result in litigation in which we may represent our insured and/or ourselves. We consider this type of litigation to be an ordinary course aspect of the conduct of our business.</w:t>
      </w:r>
    </w:p>
    <w:p>
      <w:pPr>
        <w:spacing w:after="0" w:line="75" w:lineRule="exact"/>
        <w:rPr>
          <w:sz w:val="20"/>
          <w:szCs w:val="20"/>
          <w:color w:val="auto"/>
        </w:rPr>
      </w:pPr>
    </w:p>
    <w:p>
      <w:pPr>
        <w:jc w:val="both"/>
        <w:ind w:firstLine="353"/>
        <w:spacing w:after="0" w:line="293" w:lineRule="auto"/>
        <w:rPr>
          <w:sz w:val="20"/>
          <w:szCs w:val="20"/>
          <w:color w:val="auto"/>
        </w:rPr>
      </w:pPr>
      <w:r>
        <w:rPr>
          <w:rFonts w:ascii="Arial" w:cs="Arial" w:eastAsia="Arial" w:hAnsi="Arial"/>
          <w:sz w:val="17"/>
          <w:szCs w:val="17"/>
          <w:b w:val="1"/>
          <w:bCs w:val="1"/>
          <w:i w:val="1"/>
          <w:iCs w:val="1"/>
          <w:color w:val="auto"/>
        </w:rPr>
        <w:t xml:space="preserve">Reinsurance and Coinsurance. </w:t>
      </w:r>
      <w:r>
        <w:rPr>
          <w:rFonts w:ascii="Arial" w:cs="Arial" w:eastAsia="Arial" w:hAnsi="Arial"/>
          <w:sz w:val="17"/>
          <w:szCs w:val="17"/>
          <w:color w:val="auto"/>
        </w:rPr>
        <w:t>Within our Title segment, we limit our maximum loss exposure by reinsuring risks with</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other insurers under excess of loss and case-by-case (“facultative”) reinsurance agreements. Reinsurance agreements generally provide that the reinsurer is liable for loss and loss adjustment expense payments exceeding the amount retained by the ceding company. However, the ceding company remains primarily liable to the insured whether or not the reinsurer is able to meet its contractual obligations. Facultative reinsurance agreements are entered into with other title insurers when the transaction to be insured exceeds state statutory or self-imposed limits. Excess of loss reinsurance coverage protects us from a large loss from a single loss occurrence. The Company currently secures excess of loss reinsurance coverage through four contracts. The first excess of loss reinsurance contract provides a $75 million limit of coverage from a single loss occurrence for losses in excess of a $25 million retention per single loss occurrence. The second excess of loss reinsurance contract ("Second XOL Contract") provides an additional $300 million limit of coverage from a single loss occurrence, with the Company contractually required to retain a minimum 5% co-participation. As a practical matter, the Company has retained 10% co-participation on the Second XOL Contract. The third excess of loss reinsurance contract ("Third XOL Contract") provides an additional $80 million limit of coverage from a single loss occurrence, with the Company retaining a minimum 10% co-participation. The fourth excess of loss reinsurance contract ("Fourth XOL Contract") provides an additional $220 million limit of coverage from a single loss occurrence, with the Company retaining a minimum 10% co-participation. Subject to the Company’s retention and co-participation on the Second, Third and Fourth XOL Contracts, the maximum coverage from a single loss occurrence provided under our excess of loss reinsurance coverage is $615 million. Each XOL Contract provides for one reinstatement of its respective limit, so the aggregate limit of coverage is $1.2 billion.</w:t>
      </w:r>
    </w:p>
    <w:p>
      <w:pPr>
        <w:sectPr>
          <w:pgSz w:w="11880" w:h="15480" w:orient="portrait"/>
          <w:cols w:equalWidth="0" w:num="1">
            <w:col w:w="10040"/>
          </w:cols>
          <w:pgMar w:left="920" w:top="1103"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w:t>
      </w:r>
    </w:p>
    <w:p>
      <w:pPr>
        <w:sectPr>
          <w:pgSz w:w="11880" w:h="15480" w:orient="portrait"/>
          <w:cols w:equalWidth="0" w:num="1">
            <w:col w:w="10040"/>
          </w:cols>
          <w:pgMar w:left="920" w:top="1103" w:right="920" w:bottom="0" w:gutter="0" w:footer="0" w:header="0"/>
          <w:type w:val="continuous"/>
        </w:sectPr>
      </w:pPr>
    </w:p>
    <w:bookmarkStart w:id="23" w:name="page24"/>
    <w:bookmarkEnd w:id="23"/>
    <w:p>
      <w:pPr>
        <w:jc w:val="both"/>
        <w:ind w:firstLine="365"/>
        <w:spacing w:after="0" w:line="271" w:lineRule="auto"/>
        <w:rPr>
          <w:sz w:val="20"/>
          <w:szCs w:val="20"/>
          <w:color w:val="auto"/>
        </w:rPr>
      </w:pPr>
      <w:r>
        <w:rPr>
          <w:rFonts w:ascii="Arial" w:cs="Arial" w:eastAsia="Arial" w:hAnsi="Arial"/>
          <w:sz w:val="20"/>
          <w:szCs w:val="20"/>
          <w:color w:val="auto"/>
        </w:rPr>
        <w:t>In addition to reinsurance, we carry errors and omissions insurance and fidelity bond coverage, each of which can provide protection to us in the event of certain types of losses that can occur in our businesses.</w:t>
      </w:r>
    </w:p>
    <w:p>
      <w:pPr>
        <w:spacing w:after="0" w:line="49" w:lineRule="exact"/>
        <w:rPr>
          <w:sz w:val="20"/>
          <w:szCs w:val="20"/>
          <w:color w:val="auto"/>
        </w:rPr>
      </w:pPr>
    </w:p>
    <w:p>
      <w:pPr>
        <w:jc w:val="both"/>
        <w:ind w:firstLine="353"/>
        <w:spacing w:after="0" w:line="258" w:lineRule="auto"/>
        <w:rPr>
          <w:sz w:val="20"/>
          <w:szCs w:val="20"/>
          <w:color w:val="auto"/>
        </w:rPr>
      </w:pPr>
      <w:r>
        <w:rPr>
          <w:rFonts w:ascii="Arial" w:cs="Arial" w:eastAsia="Arial" w:hAnsi="Arial"/>
          <w:sz w:val="20"/>
          <w:szCs w:val="20"/>
          <w:color w:val="auto"/>
        </w:rPr>
        <w:t>Our policy is to be selective in choosing our reinsurers, seeking only those companies that we consider to be financially stable and adequately capitalized. In an effort to minimize exposure to the insolvency of a reinsurer, we periodically review the financial condition of our reinsurers.</w:t>
      </w:r>
    </w:p>
    <w:p>
      <w:pPr>
        <w:spacing w:after="0" w:line="62" w:lineRule="exact"/>
        <w:rPr>
          <w:sz w:val="20"/>
          <w:szCs w:val="20"/>
          <w:color w:val="auto"/>
        </w:rPr>
      </w:pPr>
    </w:p>
    <w:p>
      <w:pPr>
        <w:jc w:val="both"/>
        <w:ind w:firstLine="353"/>
        <w:spacing w:after="0" w:line="325" w:lineRule="auto"/>
        <w:rPr>
          <w:sz w:val="20"/>
          <w:szCs w:val="20"/>
          <w:color w:val="auto"/>
        </w:rPr>
      </w:pPr>
      <w:r>
        <w:rPr>
          <w:rFonts w:ascii="Arial" w:cs="Arial" w:eastAsia="Arial" w:hAnsi="Arial"/>
          <w:sz w:val="17"/>
          <w:szCs w:val="17"/>
          <w:color w:val="auto"/>
        </w:rPr>
        <w:t>We also use coinsurance in our commercial title business to provide coverage in amounts greater than we would be willing or able to provide individually. In coinsurance transactions, each individual underwriting company issues a separate policy and assumes a portion of the overall total risk. As a coinsurer we are only liable for the portion of the risk we assume.</w:t>
      </w:r>
    </w:p>
    <w:p>
      <w:pPr>
        <w:spacing w:after="0" w:line="9" w:lineRule="exact"/>
        <w:rPr>
          <w:sz w:val="20"/>
          <w:szCs w:val="20"/>
          <w:color w:val="auto"/>
        </w:rPr>
      </w:pPr>
    </w:p>
    <w:p>
      <w:pPr>
        <w:jc w:val="both"/>
        <w:ind w:firstLine="353"/>
        <w:spacing w:after="0" w:line="271" w:lineRule="auto"/>
        <w:rPr>
          <w:sz w:val="20"/>
          <w:szCs w:val="20"/>
          <w:color w:val="auto"/>
        </w:rPr>
      </w:pPr>
      <w:r>
        <w:rPr>
          <w:rFonts w:ascii="Arial" w:cs="Arial" w:eastAsia="Arial" w:hAnsi="Arial"/>
          <w:sz w:val="20"/>
          <w:szCs w:val="20"/>
          <w:color w:val="auto"/>
        </w:rPr>
        <w:t>We also earn a small amount of additional income, which is reflected in our direct premiums, by assuming reinsurance for certain risks of other title insurers.</w:t>
      </w:r>
    </w:p>
    <w:p>
      <w:pPr>
        <w:spacing w:after="0" w:line="47" w:lineRule="exact"/>
        <w:rPr>
          <w:sz w:val="20"/>
          <w:szCs w:val="20"/>
          <w:color w:val="auto"/>
        </w:rPr>
      </w:pPr>
    </w:p>
    <w:p>
      <w:pPr>
        <w:jc w:val="both"/>
        <w:ind w:firstLine="353"/>
        <w:spacing w:after="0" w:line="297" w:lineRule="auto"/>
        <w:rPr>
          <w:sz w:val="20"/>
          <w:szCs w:val="20"/>
          <w:color w:val="auto"/>
        </w:rPr>
      </w:pPr>
      <w:r>
        <w:rPr>
          <w:rFonts w:ascii="Arial" w:cs="Arial" w:eastAsia="Arial" w:hAnsi="Arial"/>
          <w:sz w:val="17"/>
          <w:szCs w:val="17"/>
          <w:b w:val="1"/>
          <w:bCs w:val="1"/>
          <w:i w:val="1"/>
          <w:iCs w:val="1"/>
          <w:color w:val="auto"/>
        </w:rPr>
        <w:t xml:space="preserve">Competition. </w:t>
      </w:r>
      <w:r>
        <w:rPr>
          <w:rFonts w:ascii="Arial" w:cs="Arial" w:eastAsia="Arial" w:hAnsi="Arial"/>
          <w:sz w:val="17"/>
          <w:szCs w:val="17"/>
          <w:color w:val="auto"/>
        </w:rPr>
        <w:t>Competition in the title insurance industry is based primarily on service and price. The number and size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competing companies varies in the different geographic areas in which we conduct our business. In our principal markets, competitors include other major title underwriters such as First American Financial Corporation, Old Republic International Corporation, Stewart Information Services Corporation, Westcor Land Title Insurance Company, Title Resources Guaranty Company, and WFG National Title Insurance Company, as well as numerous regional title insurance companies, underwritten title companies and independent agency operations at the regional and local level. The addition or removal of regulatory barriers might result in changes to competition in the title insurance business. New competitors may include diversified financial services companies that have greater financial resources than we do and possess other competitive advantages. Competition among the major title insurance companies, expansion by regional companies and any new entrants with alternative products could affect our business operations and financial condition.</w:t>
      </w:r>
    </w:p>
    <w:p>
      <w:pPr>
        <w:spacing w:after="0" w:line="31" w:lineRule="exact"/>
        <w:rPr>
          <w:sz w:val="20"/>
          <w:szCs w:val="20"/>
          <w:color w:val="auto"/>
        </w:rPr>
      </w:pPr>
    </w:p>
    <w:p>
      <w:pPr>
        <w:jc w:val="both"/>
        <w:ind w:firstLine="377"/>
        <w:spacing w:after="0" w:line="298" w:lineRule="auto"/>
        <w:rPr>
          <w:sz w:val="20"/>
          <w:szCs w:val="20"/>
          <w:color w:val="auto"/>
        </w:rPr>
      </w:pPr>
      <w:r>
        <w:rPr>
          <w:rFonts w:ascii="Arial" w:cs="Arial" w:eastAsia="Arial" w:hAnsi="Arial"/>
          <w:sz w:val="17"/>
          <w:szCs w:val="17"/>
          <w:b w:val="1"/>
          <w:bCs w:val="1"/>
          <w:i w:val="1"/>
          <w:iCs w:val="1"/>
          <w:color w:val="auto"/>
        </w:rPr>
        <w:t xml:space="preserve">Regulation. </w:t>
      </w:r>
      <w:r>
        <w:rPr>
          <w:rFonts w:ascii="Arial" w:cs="Arial" w:eastAsia="Arial" w:hAnsi="Arial"/>
          <w:sz w:val="17"/>
          <w:szCs w:val="17"/>
          <w:color w:val="auto"/>
        </w:rPr>
        <w:t>Our insurance subsidiaries, including title insurers, underwritten title companies and insurance agencies, are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subject to extensive regulation under applicable state laws. Each of the insurers is subject to a holding company act in its state of domicile, which regulates, among other matters, the ability to pay dividends and enter into transactions with affiliates. The laws of most states in which we transact business establish supervisory agencies with broad administrative powers relating to issuing and revoking licenses to transact business, regulating trade practices, licensing agents, approving policy forms and accounting and financial practices, establishing reserves and capital and surplus in regard to policyholder requirements defining suitable investments for reserves and capital and surplus, approving rate schedules, etc. The state regulation process for rate changes ranges from states that set rates, to states where individual companies or associations of companies prepare rate filings that are submitted for approval, to a few states in which rate changes do not need to be filed for approval.</w:t>
      </w:r>
    </w:p>
    <w:p>
      <w:pPr>
        <w:spacing w:after="0" w:line="32" w:lineRule="exact"/>
        <w:rPr>
          <w:sz w:val="20"/>
          <w:szCs w:val="20"/>
          <w:color w:val="auto"/>
        </w:rPr>
      </w:pPr>
    </w:p>
    <w:p>
      <w:pPr>
        <w:jc w:val="both"/>
        <w:ind w:firstLine="353"/>
        <w:spacing w:after="0" w:line="278" w:lineRule="auto"/>
        <w:rPr>
          <w:sz w:val="20"/>
          <w:szCs w:val="20"/>
          <w:color w:val="auto"/>
        </w:rPr>
      </w:pPr>
      <w:r>
        <w:rPr>
          <w:rFonts w:ascii="Arial" w:cs="Arial" w:eastAsia="Arial" w:hAnsi="Arial"/>
          <w:sz w:val="19"/>
          <w:szCs w:val="19"/>
          <w:color w:val="auto"/>
        </w:rPr>
        <w:t>Since we are governed by both state and federal governments and the applicable insurance laws and regulations are constantly subject to change, it is not possible to predict the potential effects on our insurance operations of any laws or regulations that may become more restrictive in the future or if new restrictive laws will be enacted.</w:t>
      </w:r>
    </w:p>
    <w:p>
      <w:pPr>
        <w:spacing w:after="0" w:line="44" w:lineRule="exact"/>
        <w:rPr>
          <w:sz w:val="20"/>
          <w:szCs w:val="20"/>
          <w:color w:val="auto"/>
        </w:rPr>
      </w:pPr>
    </w:p>
    <w:p>
      <w:pPr>
        <w:jc w:val="both"/>
        <w:ind w:firstLine="365"/>
        <w:spacing w:after="0" w:line="299" w:lineRule="auto"/>
        <w:rPr>
          <w:sz w:val="20"/>
          <w:szCs w:val="20"/>
          <w:color w:val="auto"/>
        </w:rPr>
      </w:pPr>
      <w:r>
        <w:rPr>
          <w:rFonts w:ascii="Arial" w:cs="Arial" w:eastAsia="Arial" w:hAnsi="Arial"/>
          <w:sz w:val="17"/>
          <w:szCs w:val="17"/>
          <w:color w:val="auto"/>
        </w:rPr>
        <w:t>Pursuant to statutory accounting requirements of the various states in which our title insurers are domiciled, these insurers must defer a portion of premiums as an unearned premium reserve for the protection of policyholders (in addition to their reserves for known claims) and must maintain qualified assets in an amount equal to the statutory requirements. The level of unearned premium reserve required to be maintained at any time is determined by a statutory formula based upon either the age, number of policies, and dollar amount of policy liabilities underwritten, or the age and dollar amount of statutory premiums written. As of December 31, 2025, the combined statutory unearned premium reserve required and reported for our title insurers was $1,619 million. In addition to statutory unearned premium reserves and reserves for known claims, each of our insurers maintains surplus funds for policyholder protection and business operations.</w:t>
      </w:r>
    </w:p>
    <w:p>
      <w:pPr>
        <w:spacing w:after="0" w:line="31" w:lineRule="exact"/>
        <w:rPr>
          <w:sz w:val="20"/>
          <w:szCs w:val="20"/>
          <w:color w:val="auto"/>
        </w:rPr>
      </w:pPr>
    </w:p>
    <w:p>
      <w:pPr>
        <w:jc w:val="both"/>
        <w:ind w:firstLine="353"/>
        <w:spacing w:after="0" w:line="254" w:lineRule="auto"/>
        <w:rPr>
          <w:sz w:val="20"/>
          <w:szCs w:val="20"/>
          <w:color w:val="auto"/>
        </w:rPr>
      </w:pPr>
      <w:r>
        <w:rPr>
          <w:rFonts w:ascii="Arial" w:cs="Arial" w:eastAsia="Arial" w:hAnsi="Arial"/>
          <w:sz w:val="20"/>
          <w:szCs w:val="20"/>
          <w:color w:val="auto"/>
        </w:rPr>
        <w:t>Each of our insurance subsidiaries is regulated by the insurance regulatory authority in its respective state of domicile, as well as that of each state in which it is licensed. The insurance commissioners of their respective states of domicile are the primary regulators of our insurance subsidiaries. Each of the insurers is subject to periodic regulatory financial examination by regulatory authorities.</w:t>
      </w:r>
    </w:p>
    <w:p>
      <w:pPr>
        <w:spacing w:after="0" w:line="65" w:lineRule="exact"/>
        <w:rPr>
          <w:sz w:val="20"/>
          <w:szCs w:val="20"/>
          <w:color w:val="auto"/>
        </w:rPr>
      </w:pPr>
    </w:p>
    <w:p>
      <w:pPr>
        <w:jc w:val="both"/>
        <w:ind w:firstLine="353"/>
        <w:spacing w:after="0" w:line="271" w:lineRule="auto"/>
        <w:rPr>
          <w:sz w:val="20"/>
          <w:szCs w:val="20"/>
          <w:color w:val="auto"/>
        </w:rPr>
      </w:pPr>
      <w:r>
        <w:rPr>
          <w:rFonts w:ascii="Arial" w:cs="Arial" w:eastAsia="Arial" w:hAnsi="Arial"/>
          <w:sz w:val="19"/>
          <w:szCs w:val="19"/>
          <w:color w:val="auto"/>
        </w:rPr>
        <w:t>Under the statutes governing insurance holding companies in most states, insurers may not enter into certain transactions, including sales, reinsurance agreements and service or management contracts, with their affiliates unless the regulatory authority of the insurer’s state of domicile has received notice at least 30 days prior to the intended effective date of such transaction and has not objected to, or has approved, the transaction within the 30-day period.</w:t>
      </w:r>
    </w:p>
    <w:p>
      <w:pPr>
        <w:spacing w:after="0" w:line="52" w:lineRule="exact"/>
        <w:rPr>
          <w:sz w:val="20"/>
          <w:szCs w:val="20"/>
          <w:color w:val="auto"/>
        </w:rPr>
      </w:pPr>
    </w:p>
    <w:p>
      <w:pPr>
        <w:jc w:val="both"/>
        <w:ind w:firstLine="353"/>
        <w:spacing w:after="0" w:line="312" w:lineRule="auto"/>
        <w:rPr>
          <w:sz w:val="20"/>
          <w:szCs w:val="20"/>
          <w:color w:val="auto"/>
        </w:rPr>
      </w:pPr>
      <w:r>
        <w:rPr>
          <w:rFonts w:ascii="Arial" w:cs="Arial" w:eastAsia="Arial" w:hAnsi="Arial"/>
          <w:sz w:val="17"/>
          <w:szCs w:val="17"/>
          <w:color w:val="auto"/>
        </w:rPr>
        <w:t>In addition to state-level regulation, our title insurance and certain other real estate businesses are subject to regulation by federal agencies, including the Consumer Financial Protection Bureau (“CFPB”). The CFPB was established under the Dodd-Frank Wall Street Reform and Consumer Protection Act of 2010 ("Dodd-Frank"), which also included regulation over financial services and other lending related businesses. The CFPB has broad authority to regulate, among other areas, the mortgage and</w:t>
      </w:r>
    </w:p>
    <w:p>
      <w:pPr>
        <w:sectPr>
          <w:pgSz w:w="11880" w:h="15480" w:orient="portrait"/>
          <w:cols w:equalWidth="0" w:num="1">
            <w:col w:w="10040"/>
          </w:cols>
          <w:pgMar w:left="920" w:top="772"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w:t>
      </w:r>
    </w:p>
    <w:p>
      <w:pPr>
        <w:sectPr>
          <w:pgSz w:w="11880" w:h="15480" w:orient="portrait"/>
          <w:cols w:equalWidth="0" w:num="1">
            <w:col w:w="10040"/>
          </w:cols>
          <w:pgMar w:left="920" w:top="772" w:right="920" w:bottom="0" w:gutter="0" w:footer="0" w:header="0"/>
          <w:type w:val="continuous"/>
        </w:sectPr>
      </w:pPr>
    </w:p>
    <w:bookmarkStart w:id="24" w:name="page25"/>
    <w:bookmarkEnd w:id="24"/>
    <w:p>
      <w:pPr>
        <w:jc w:val="both"/>
        <w:spacing w:after="0" w:line="348" w:lineRule="auto"/>
        <w:rPr>
          <w:sz w:val="20"/>
          <w:szCs w:val="20"/>
          <w:color w:val="auto"/>
        </w:rPr>
      </w:pPr>
      <w:r>
        <w:rPr>
          <w:rFonts w:ascii="Arial" w:cs="Arial" w:eastAsia="Arial" w:hAnsi="Arial"/>
          <w:sz w:val="17"/>
          <w:szCs w:val="17"/>
          <w:color w:val="auto"/>
        </w:rPr>
        <w:t>real estate markets in matters pertaining to consumers. This authority includes the enforcement of the Truth-in-Lending Act and the Real Estate Settlement Procedures Act formerly placed with the Department of Housing and Urban Development.</w:t>
      </w:r>
    </w:p>
    <w:p>
      <w:pPr>
        <w:spacing w:after="0" w:line="2" w:lineRule="exact"/>
        <w:rPr>
          <w:sz w:val="20"/>
          <w:szCs w:val="20"/>
          <w:color w:val="auto"/>
        </w:rPr>
      </w:pPr>
    </w:p>
    <w:p>
      <w:pPr>
        <w:jc w:val="both"/>
        <w:ind w:firstLine="370"/>
        <w:spacing w:after="0" w:line="263" w:lineRule="auto"/>
        <w:rPr>
          <w:sz w:val="20"/>
          <w:szCs w:val="20"/>
          <w:color w:val="auto"/>
        </w:rPr>
      </w:pPr>
      <w:r>
        <w:rPr>
          <w:rFonts w:ascii="Arial" w:cs="Arial" w:eastAsia="Arial" w:hAnsi="Arial"/>
          <w:sz w:val="19"/>
          <w:szCs w:val="19"/>
          <w:color w:val="auto"/>
        </w:rPr>
        <w:t>As a holding company with no significant business operations of our own, we depend on dividends or other distributions from our subsidiaries as the principal source of cash to meet our obligations, including the payment of interest on and repayment of principal of any debt obligations and to pay any dividends to our shareholders. The payment of dividends or other distributions to us by our insurers is regulated by the insurance laws and regulations of their respective states of domicile. In general, an insurance company subsidiary may not pay an “extraordinary” dividend or distribution unless the applicable insurance regulator has received notice of the intended payment at least 30 days prior to payment and has not objected to or has approved the payment within the 30-day period. In general, an “extraordinary” dividend or distribution is statutorily defined as a dividend or distribution that, together with other dividends and distributions made within the preceding 12 months, exceeds the greater of:</w:t>
      </w:r>
    </w:p>
    <w:p>
      <w:pPr>
        <w:spacing w:after="0" w:line="60" w:lineRule="exact"/>
        <w:rPr>
          <w:sz w:val="20"/>
          <w:szCs w:val="20"/>
          <w:color w:val="auto"/>
        </w:rPr>
      </w:pPr>
    </w:p>
    <w:p>
      <w:pPr>
        <w:ind w:left="700" w:hanging="355"/>
        <w:spacing w:after="0"/>
        <w:tabs>
          <w:tab w:leader="none" w:pos="700" w:val="left"/>
        </w:tabs>
        <w:numPr>
          <w:ilvl w:val="0"/>
          <w:numId w:val="18"/>
        </w:numPr>
        <w:rPr>
          <w:rFonts w:ascii="Arial" w:cs="Arial" w:eastAsia="Arial" w:hAnsi="Arial"/>
          <w:sz w:val="20"/>
          <w:szCs w:val="20"/>
          <w:color w:val="auto"/>
        </w:rPr>
      </w:pPr>
      <w:r>
        <w:rPr>
          <w:rFonts w:ascii="Arial" w:cs="Arial" w:eastAsia="Arial" w:hAnsi="Arial"/>
          <w:sz w:val="20"/>
          <w:szCs w:val="20"/>
          <w:color w:val="auto"/>
        </w:rPr>
        <w:t>10% of the insurer’s statutory surplus as of the immediately prior year end; or</w:t>
      </w:r>
    </w:p>
    <w:p>
      <w:pPr>
        <w:spacing w:after="0" w:line="24" w:lineRule="exact"/>
        <w:rPr>
          <w:rFonts w:ascii="Arial" w:cs="Arial" w:eastAsia="Arial" w:hAnsi="Arial"/>
          <w:sz w:val="20"/>
          <w:szCs w:val="20"/>
          <w:color w:val="auto"/>
        </w:rPr>
      </w:pPr>
    </w:p>
    <w:p>
      <w:pPr>
        <w:ind w:left="700" w:hanging="355"/>
        <w:spacing w:after="0"/>
        <w:tabs>
          <w:tab w:leader="none" w:pos="700" w:val="left"/>
        </w:tabs>
        <w:numPr>
          <w:ilvl w:val="0"/>
          <w:numId w:val="18"/>
        </w:numPr>
        <w:rPr>
          <w:rFonts w:ascii="Arial" w:cs="Arial" w:eastAsia="Arial" w:hAnsi="Arial"/>
          <w:sz w:val="20"/>
          <w:szCs w:val="20"/>
          <w:color w:val="auto"/>
        </w:rPr>
      </w:pPr>
      <w:r>
        <w:rPr>
          <w:rFonts w:ascii="Arial" w:cs="Arial" w:eastAsia="Arial" w:hAnsi="Arial"/>
          <w:sz w:val="20"/>
          <w:szCs w:val="20"/>
          <w:color w:val="auto"/>
        </w:rPr>
        <w:t>the statutory net income of the insurer during the prior calendar year.</w:t>
      </w:r>
    </w:p>
    <w:p>
      <w:pPr>
        <w:spacing w:after="0" w:line="84" w:lineRule="exact"/>
        <w:rPr>
          <w:sz w:val="20"/>
          <w:szCs w:val="20"/>
          <w:color w:val="auto"/>
        </w:rPr>
      </w:pPr>
    </w:p>
    <w:p>
      <w:pPr>
        <w:jc w:val="both"/>
        <w:ind w:firstLine="353"/>
        <w:spacing w:after="0" w:line="303" w:lineRule="auto"/>
        <w:rPr>
          <w:sz w:val="20"/>
          <w:szCs w:val="20"/>
          <w:color w:val="auto"/>
        </w:rPr>
      </w:pPr>
      <w:r>
        <w:rPr>
          <w:rFonts w:ascii="Arial" w:cs="Arial" w:eastAsia="Arial" w:hAnsi="Arial"/>
          <w:sz w:val="17"/>
          <w:szCs w:val="17"/>
          <w:color w:val="auto"/>
        </w:rPr>
        <w:t>The laws and regulations of some jurisdictions also prohibit an insurer from declaring or paying a dividend except out of its earned surplus or require the insurer to obtain prior regulatory approval. During 2026, our directly owned title insurers can pay dividends or make distributions to us of approximately $437 million; however, insurance regulators have the authority to prohibit the payment of ordinary dividends or other payments by our title insurers to us (such as a payment under a tax sharing agreement or for other services) if they determine that such payment could be adverse to our policyholders. There are no restrictions on our retained earnings regarding our ability to pay dividends to shareholders.</w:t>
      </w:r>
    </w:p>
    <w:p>
      <w:pPr>
        <w:spacing w:after="0" w:line="28" w:lineRule="exact"/>
        <w:rPr>
          <w:sz w:val="20"/>
          <w:szCs w:val="20"/>
          <w:color w:val="auto"/>
        </w:rPr>
      </w:pPr>
    </w:p>
    <w:p>
      <w:pPr>
        <w:jc w:val="both"/>
        <w:ind w:firstLine="353"/>
        <w:spacing w:after="0" w:line="278" w:lineRule="auto"/>
        <w:rPr>
          <w:sz w:val="20"/>
          <w:szCs w:val="20"/>
          <w:color w:val="auto"/>
        </w:rPr>
      </w:pPr>
      <w:r>
        <w:rPr>
          <w:rFonts w:ascii="Arial" w:cs="Arial" w:eastAsia="Arial" w:hAnsi="Arial"/>
          <w:sz w:val="19"/>
          <w:szCs w:val="19"/>
          <w:color w:val="auto"/>
        </w:rPr>
        <w:t>The combined statutory capital and surplus of our title insurers was approximately $1,273 million and $1,223 million as of December 31, 2025, and 2024, respectively. The combined statutory earnings of our title insurers were $488 million, $587 million, and $503 million for the years ended December 31, 2025, 2024, and 2023, respectively.</w:t>
      </w:r>
    </w:p>
    <w:p>
      <w:pPr>
        <w:spacing w:after="0" w:line="44" w:lineRule="exact"/>
        <w:rPr>
          <w:sz w:val="20"/>
          <w:szCs w:val="20"/>
          <w:color w:val="auto"/>
        </w:rPr>
      </w:pPr>
    </w:p>
    <w:p>
      <w:pPr>
        <w:jc w:val="both"/>
        <w:ind w:firstLine="353"/>
        <w:spacing w:after="0" w:line="348" w:lineRule="auto"/>
        <w:rPr>
          <w:sz w:val="20"/>
          <w:szCs w:val="20"/>
          <w:color w:val="auto"/>
        </w:rPr>
      </w:pPr>
      <w:r>
        <w:rPr>
          <w:rFonts w:ascii="Arial" w:cs="Arial" w:eastAsia="Arial" w:hAnsi="Arial"/>
          <w:sz w:val="17"/>
          <w:szCs w:val="17"/>
          <w:color w:val="auto"/>
        </w:rPr>
        <w:t>As a condition to continued authority to underwrite policies in the states in which our insurers conduct their business, they are required to pay certain fees and file information regarding their officers, directors, and financial condition.</w:t>
      </w:r>
    </w:p>
    <w:p>
      <w:pPr>
        <w:spacing w:after="0" w:line="2" w:lineRule="exact"/>
        <w:rPr>
          <w:sz w:val="20"/>
          <w:szCs w:val="20"/>
          <w:color w:val="auto"/>
        </w:rPr>
      </w:pPr>
    </w:p>
    <w:p>
      <w:pPr>
        <w:jc w:val="both"/>
        <w:ind w:firstLine="373"/>
        <w:spacing w:after="0" w:line="254" w:lineRule="auto"/>
        <w:rPr>
          <w:sz w:val="20"/>
          <w:szCs w:val="20"/>
          <w:color w:val="auto"/>
        </w:rPr>
      </w:pPr>
      <w:r>
        <w:rPr>
          <w:rFonts w:ascii="Arial" w:cs="Arial" w:eastAsia="Arial" w:hAnsi="Arial"/>
          <w:sz w:val="20"/>
          <w:szCs w:val="20"/>
          <w:color w:val="auto"/>
        </w:rPr>
        <w:t>Pursuant to statutory requirements of the various states in which our insurers are domiciled, such insurers must maintain certain levels of minimum capital and surplus. Required levels of minimum capital and surplus are not significant to the insurers individually or in the aggregate. Each of our title insurers has complied with the minimum statutory requirements as of December 31, 2025.</w:t>
      </w:r>
    </w:p>
    <w:p>
      <w:pPr>
        <w:spacing w:after="0" w:line="65"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9"/>
          <w:szCs w:val="19"/>
          <w:color w:val="auto"/>
        </w:rPr>
        <w:t>Our underwritten title companies, primarily those domiciled in California, are also subject to certain regulation by insurance regulatory or banking authorities relating to their net worth and working capital. Minimum net worth and working capital requirements for each underwritten title company is less than $1 million. These companies were in compliance with their respective minimum net worth and working capital requirements at December 31, 2025.</w:t>
      </w:r>
    </w:p>
    <w:p>
      <w:pPr>
        <w:spacing w:after="0" w:line="52" w:lineRule="exact"/>
        <w:rPr>
          <w:sz w:val="20"/>
          <w:szCs w:val="20"/>
          <w:color w:val="auto"/>
        </w:rPr>
      </w:pPr>
    </w:p>
    <w:p>
      <w:pPr>
        <w:jc w:val="both"/>
        <w:ind w:firstLine="372"/>
        <w:spacing w:after="0" w:line="249" w:lineRule="auto"/>
        <w:rPr>
          <w:sz w:val="20"/>
          <w:szCs w:val="20"/>
          <w:color w:val="auto"/>
        </w:rPr>
      </w:pPr>
      <w:r>
        <w:rPr>
          <w:rFonts w:ascii="Arial" w:cs="Arial" w:eastAsia="Arial" w:hAnsi="Arial"/>
          <w:sz w:val="20"/>
          <w:szCs w:val="20"/>
          <w:color w:val="auto"/>
        </w:rPr>
        <w:t xml:space="preserve">From time to time, we receive inquiries and requests for information from state insurance departments, attorneys general and other regulatory agencies about various matters relating to our business. Sometimes these take the form of civil investigative demands or subpoenas. We cooperate with all such inquiries and we have responded to or are currently responding to inquiries from multiple governmental agencies. Various governmental entities are studying the title insurance product, market, pricing, and business practices, and potential regulatory and legislative changes, which may materially affect our business and operations. Occasionally, we are assessed fines for violations of regulations or other matters or enter into settlements with such authorities that may require us to pay fines or claims or take other actions. For further discussion, see Item 3. </w:t>
      </w:r>
      <w:r>
        <w:rPr>
          <w:rFonts w:ascii="Arial" w:cs="Arial" w:eastAsia="Arial" w:hAnsi="Arial"/>
          <w:sz w:val="20"/>
          <w:szCs w:val="20"/>
          <w:b w:val="1"/>
          <w:bCs w:val="1"/>
          <w:i w:val="1"/>
          <w:iCs w:val="1"/>
          <w:color w:val="auto"/>
        </w:rPr>
        <w:t>Legal Proceedings</w:t>
      </w:r>
      <w:r>
        <w:rPr>
          <w:rFonts w:ascii="Arial" w:cs="Arial" w:eastAsia="Arial" w:hAnsi="Arial"/>
          <w:sz w:val="20"/>
          <w:szCs w:val="20"/>
          <w:color w:val="auto"/>
        </w:rPr>
        <w:t>.</w:t>
      </w:r>
    </w:p>
    <w:p>
      <w:pPr>
        <w:spacing w:after="0" w:line="71" w:lineRule="exact"/>
        <w:rPr>
          <w:sz w:val="20"/>
          <w:szCs w:val="20"/>
          <w:color w:val="auto"/>
        </w:rPr>
      </w:pPr>
    </w:p>
    <w:p>
      <w:pPr>
        <w:jc w:val="both"/>
        <w:ind w:firstLine="353"/>
        <w:spacing w:after="0" w:line="296" w:lineRule="auto"/>
        <w:rPr>
          <w:sz w:val="20"/>
          <w:szCs w:val="20"/>
          <w:color w:val="auto"/>
        </w:rPr>
      </w:pPr>
      <w:r>
        <w:rPr>
          <w:rFonts w:ascii="Arial" w:cs="Arial" w:eastAsia="Arial" w:hAnsi="Arial"/>
          <w:sz w:val="17"/>
          <w:szCs w:val="17"/>
          <w:color w:val="auto"/>
        </w:rPr>
        <w:t>Before a person can acquire control of a U.S. insurance company, prior written approval must be obtained from the insurance commissioner of the state in which the insurer is domiciled. Prior to granting approval of an application to acquire control of a domestic insurer, the state insurance commissioner will consider factors such as the financial strength of the applicant; the integrity and management of the applicant’s Board of Directors and executive officers; the acquirer’s plans for the insurer’s Board of Directors and executive officers; the acquirer’s plans for the future operations of the domestic insurer; and any anti-competitive results that may arise from the consummation of the acquisition of control. Generally, state statutes provide that control over a domestic insurer is presumed to exist if any person, directly or indirectly, owns, controls, holds with the power to vote, or holds proxies representing 10% or more of the voting securities of the domestic insurer. Because a person acquiring 10% or more of our common shares would indirectly control the same percentage of the stock of our insurers, the insurance change of control laws would likely apply to such a transaction.</w:t>
      </w:r>
    </w:p>
    <w:p>
      <w:pPr>
        <w:spacing w:after="0" w:line="39" w:lineRule="exact"/>
        <w:rPr>
          <w:sz w:val="20"/>
          <w:szCs w:val="20"/>
          <w:color w:val="auto"/>
        </w:rPr>
      </w:pPr>
    </w:p>
    <w:p>
      <w:pPr>
        <w:jc w:val="both"/>
        <w:ind w:firstLine="362"/>
        <w:spacing w:after="0" w:line="278" w:lineRule="auto"/>
        <w:rPr>
          <w:sz w:val="20"/>
          <w:szCs w:val="20"/>
          <w:color w:val="auto"/>
        </w:rPr>
      </w:pPr>
      <w:r>
        <w:rPr>
          <w:rFonts w:ascii="Arial" w:cs="Arial" w:eastAsia="Arial" w:hAnsi="Arial"/>
          <w:sz w:val="19"/>
          <w:szCs w:val="19"/>
          <w:color w:val="auto"/>
        </w:rPr>
        <w:t>The NAIC has adopted an instruction requiring an annual certification of reserve adequacy by a qualified actuary. Because all the states in which our title insurers are domiciled require adherence to NAIC filing procedures, each such insurer, unless it qualifies for an exemption, must file an actuarial opinion with respect to the adequacy of its reserves.</w:t>
      </w:r>
    </w:p>
    <w:p>
      <w:pPr>
        <w:sectPr>
          <w:pgSz w:w="11880" w:h="15480" w:orient="portrait"/>
          <w:cols w:equalWidth="0" w:num="1">
            <w:col w:w="10040"/>
          </w:cols>
          <w:pgMar w:left="920" w:top="772"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w:t>
      </w:r>
    </w:p>
    <w:p>
      <w:pPr>
        <w:sectPr>
          <w:pgSz w:w="11880" w:h="15480" w:orient="portrait"/>
          <w:cols w:equalWidth="0" w:num="1">
            <w:col w:w="10040"/>
          </w:cols>
          <w:pgMar w:left="920" w:top="772" w:right="920" w:bottom="0" w:gutter="0" w:footer="0" w:header="0"/>
          <w:type w:val="continuous"/>
        </w:sectPr>
      </w:pPr>
    </w:p>
    <w:bookmarkStart w:id="25" w:name="page26"/>
    <w:bookmarkEnd w:id="25"/>
    <w:p>
      <w:pPr>
        <w:ind w:left="340"/>
        <w:spacing w:after="0"/>
        <w:rPr>
          <w:sz w:val="20"/>
          <w:szCs w:val="20"/>
          <w:color w:val="auto"/>
        </w:rPr>
      </w:pPr>
      <w:r>
        <w:rPr>
          <w:rFonts w:ascii="Arial" w:cs="Arial" w:eastAsia="Arial" w:hAnsi="Arial"/>
          <w:sz w:val="20"/>
          <w:szCs w:val="20"/>
          <w:color w:val="auto"/>
        </w:rPr>
        <w:t xml:space="preserve">For further information associated with regulation, refer to Item 1A. </w:t>
      </w:r>
      <w:r>
        <w:rPr>
          <w:rFonts w:ascii="Arial" w:cs="Arial" w:eastAsia="Arial" w:hAnsi="Arial"/>
          <w:sz w:val="20"/>
          <w:szCs w:val="20"/>
          <w:b w:val="1"/>
          <w:bCs w:val="1"/>
          <w:i w:val="1"/>
          <w:iCs w:val="1"/>
          <w:color w:val="auto"/>
        </w:rPr>
        <w:t>Risk Factors.</w:t>
      </w:r>
    </w:p>
    <w:p>
      <w:pPr>
        <w:spacing w:after="0" w:line="103" w:lineRule="exact"/>
        <w:rPr>
          <w:sz w:val="20"/>
          <w:szCs w:val="20"/>
          <w:color w:val="auto"/>
        </w:rPr>
      </w:pPr>
    </w:p>
    <w:p>
      <w:pPr>
        <w:jc w:val="both"/>
        <w:ind w:firstLine="353"/>
        <w:spacing w:after="0" w:line="307" w:lineRule="auto"/>
        <w:rPr>
          <w:sz w:val="20"/>
          <w:szCs w:val="20"/>
          <w:color w:val="auto"/>
        </w:rPr>
      </w:pPr>
      <w:r>
        <w:rPr>
          <w:rFonts w:ascii="Arial" w:cs="Arial" w:eastAsia="Arial" w:hAnsi="Arial"/>
          <w:sz w:val="17"/>
          <w:szCs w:val="17"/>
          <w:b w:val="1"/>
          <w:bCs w:val="1"/>
          <w:i w:val="1"/>
          <w:iCs w:val="1"/>
          <w:color w:val="auto"/>
        </w:rPr>
        <w:t xml:space="preserve">Title Insurance Ratings. </w:t>
      </w:r>
      <w:r>
        <w:rPr>
          <w:rFonts w:ascii="Arial" w:cs="Arial" w:eastAsia="Arial" w:hAnsi="Arial"/>
          <w:sz w:val="17"/>
          <w:szCs w:val="17"/>
          <w:color w:val="auto"/>
        </w:rPr>
        <w:t>Our title insurance underwriters are regularly assigned ratings by independent agencies designed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indicate their financial condition and/or claims paying ability. The rating agencies determine ratings by quantitatively and qualitatively analyzing financial data and other information. Our title subsidiaries include Alamo Title, Chicago Title, Commonwealth Land Title, FNTIC and National Title of New York. Standard &amp; Poor’s Ratings Group (“S&amp;P”) and Moody’s Investors Service (“Moody’s”) provide ratings for the FNF family of companies as a whole as follows:</w:t>
      </w:r>
    </w:p>
    <w:p>
      <w:pPr>
        <w:spacing w:after="0" w:line="99" w:lineRule="exact"/>
        <w:rPr>
          <w:sz w:val="20"/>
          <w:szCs w:val="20"/>
          <w:color w:val="auto"/>
        </w:rPr>
      </w:pPr>
    </w:p>
    <w:p>
      <w:pPr>
        <w:ind w:left="8360"/>
        <w:spacing w:after="0"/>
        <w:tabs>
          <w:tab w:leader="none" w:pos="9280" w:val="left"/>
        </w:tabs>
        <w:rPr>
          <w:sz w:val="20"/>
          <w:szCs w:val="20"/>
          <w:color w:val="auto"/>
        </w:rPr>
      </w:pPr>
      <w:r>
        <w:rPr>
          <w:rFonts w:ascii="Arial" w:cs="Arial" w:eastAsia="Arial" w:hAnsi="Arial"/>
          <w:sz w:val="16"/>
          <w:szCs w:val="16"/>
          <w:b w:val="1"/>
          <w:bCs w:val="1"/>
          <w:color w:val="auto"/>
        </w:rPr>
        <w:t>S&amp;P</w:t>
      </w:r>
      <w:r>
        <w:rPr>
          <w:sz w:val="20"/>
          <w:szCs w:val="20"/>
          <w:color w:val="auto"/>
        </w:rPr>
        <w:tab/>
      </w:r>
      <w:r>
        <w:rPr>
          <w:rFonts w:ascii="Arial" w:cs="Arial" w:eastAsia="Arial" w:hAnsi="Arial"/>
          <w:sz w:val="16"/>
          <w:szCs w:val="16"/>
          <w:b w:val="1"/>
          <w:bCs w:val="1"/>
          <w:color w:val="auto"/>
        </w:rPr>
        <w:t>Moody’s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5128895</wp:posOffset>
                </wp:positionH>
                <wp:positionV relativeFrom="paragraph">
                  <wp:posOffset>24130</wp:posOffset>
                </wp:positionV>
                <wp:extent cx="560070" cy="0"/>
                <wp:wrapNone/>
                <wp:docPr id="43" name="Shape 4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6007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43" o:spid="_x0000_s106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03.85pt,1.9pt" to="447.95pt,1.9pt" o:allowincell="f" strokecolor="#000000" strokeweight="1pt"/>
            </w:pict>
          </mc:Fallback>
        </mc:AlternateContent>
        <mc:AlternateContent>
          <mc:Choice Requires="wps">
            <w:drawing>
              <wp:anchor simplePos="0" relativeHeight="251657728" behindDoc="1" locked="0" layoutInCell="0" allowOverlap="1">
                <wp:simplePos x="0" y="0"/>
                <wp:positionH relativeFrom="column">
                  <wp:posOffset>5810250</wp:posOffset>
                </wp:positionH>
                <wp:positionV relativeFrom="paragraph">
                  <wp:posOffset>24130</wp:posOffset>
                </wp:positionV>
                <wp:extent cx="560070" cy="0"/>
                <wp:wrapNone/>
                <wp:docPr id="44" name="Shape 4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6007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44" o:spid="_x0000_s106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57.5pt,1.9pt" to="501.6pt,1.9pt" o:allowincell="f" strokecolor="#000000" strokeweight="1pt"/>
            </w:pict>
          </mc:Fallback>
        </mc:AlternateContent>
      </w:r>
    </w:p>
    <w:p>
      <w:pPr>
        <w:spacing w:after="0" w:line="45" w:lineRule="exact"/>
        <w:rPr>
          <w:sz w:val="20"/>
          <w:szCs w:val="20"/>
          <w:color w:val="auto"/>
        </w:rPr>
      </w:pPr>
    </w:p>
    <w:p>
      <w:pPr>
        <w:ind w:left="360"/>
        <w:spacing w:after="0"/>
        <w:tabs>
          <w:tab w:leader="none" w:pos="8420" w:val="left"/>
          <w:tab w:leader="none" w:pos="9460" w:val="left"/>
        </w:tabs>
        <w:rPr>
          <w:sz w:val="20"/>
          <w:szCs w:val="20"/>
          <w:color w:val="auto"/>
        </w:rPr>
      </w:pPr>
      <w:r>
        <w:rPr>
          <w:rFonts w:ascii="Arial" w:cs="Arial" w:eastAsia="Arial" w:hAnsi="Arial"/>
          <w:sz w:val="20"/>
          <w:szCs w:val="20"/>
          <w:color w:val="auto"/>
        </w:rPr>
        <w:t>FNF family of companies</w:t>
      </w:r>
      <w:r>
        <w:rPr>
          <w:sz w:val="20"/>
          <w:szCs w:val="20"/>
          <w:color w:val="auto"/>
        </w:rPr>
        <w:tab/>
      </w:r>
      <w:r>
        <w:rPr>
          <w:rFonts w:ascii="Arial" w:cs="Arial" w:eastAsia="Arial" w:hAnsi="Arial"/>
          <w:sz w:val="20"/>
          <w:szCs w:val="20"/>
          <w:color w:val="auto"/>
        </w:rPr>
        <w:t>A</w:t>
      </w:r>
      <w:r>
        <w:rPr>
          <w:sz w:val="20"/>
          <w:szCs w:val="20"/>
          <w:color w:val="auto"/>
        </w:rPr>
        <w:tab/>
      </w:r>
      <w:r>
        <w:rPr>
          <w:rFonts w:ascii="Arial" w:cs="Arial" w:eastAsia="Arial" w:hAnsi="Arial"/>
          <w:sz w:val="19"/>
          <w:szCs w:val="19"/>
          <w:color w:val="auto"/>
        </w:rPr>
        <w:t>A2</w:t>
      </w:r>
    </w:p>
    <w:p>
      <w:pPr>
        <w:spacing w:after="0" w:line="173" w:lineRule="exact"/>
        <w:rPr>
          <w:sz w:val="20"/>
          <w:szCs w:val="20"/>
          <w:color w:val="auto"/>
        </w:rPr>
      </w:pPr>
    </w:p>
    <w:p>
      <w:pPr>
        <w:ind w:left="340"/>
        <w:spacing w:after="0"/>
        <w:rPr>
          <w:sz w:val="20"/>
          <w:szCs w:val="20"/>
          <w:color w:val="auto"/>
        </w:rPr>
      </w:pPr>
      <w:r>
        <w:rPr>
          <w:rFonts w:ascii="Arial" w:cs="Arial" w:eastAsia="Arial" w:hAnsi="Arial"/>
          <w:sz w:val="19"/>
          <w:szCs w:val="19"/>
          <w:color w:val="auto"/>
        </w:rPr>
        <w:t>The relative position of each of our ratings among the ratings scale assigned by each rating agency is as follows:</w:t>
      </w:r>
    </w:p>
    <w:p>
      <w:pPr>
        <w:spacing w:after="0" w:line="115" w:lineRule="exact"/>
        <w:rPr>
          <w:sz w:val="20"/>
          <w:szCs w:val="20"/>
          <w:color w:val="auto"/>
        </w:rPr>
      </w:pPr>
    </w:p>
    <w:p>
      <w:pPr>
        <w:jc w:val="both"/>
        <w:ind w:left="700" w:hanging="355"/>
        <w:spacing w:after="0" w:line="252" w:lineRule="auto"/>
        <w:tabs>
          <w:tab w:leader="none" w:pos="700" w:val="left"/>
        </w:tabs>
        <w:numPr>
          <w:ilvl w:val="0"/>
          <w:numId w:val="19"/>
        </w:numPr>
        <w:rPr>
          <w:rFonts w:ascii="Arial" w:cs="Arial" w:eastAsia="Arial" w:hAnsi="Arial"/>
          <w:sz w:val="20"/>
          <w:szCs w:val="20"/>
          <w:color w:val="auto"/>
        </w:rPr>
      </w:pPr>
      <w:r>
        <w:rPr>
          <w:rFonts w:ascii="Arial" w:cs="Arial" w:eastAsia="Arial" w:hAnsi="Arial"/>
          <w:sz w:val="20"/>
          <w:szCs w:val="20"/>
          <w:color w:val="auto"/>
        </w:rPr>
        <w:t>An S&amp;P "A" rating is the third highest rating of eleven ratings for S&amp;P. According to S&amp;P, an insurer rated “A” has strong capacity to meet its financial commitments but is somewhat more susceptible to adverse effects of changes in circumstances and economic conditions than insurers with "AAA" or "AA" ratings.</w:t>
      </w:r>
    </w:p>
    <w:p>
      <w:pPr>
        <w:ind w:left="700" w:hanging="355"/>
        <w:spacing w:after="0" w:line="250" w:lineRule="auto"/>
        <w:tabs>
          <w:tab w:leader="none" w:pos="700" w:val="left"/>
        </w:tabs>
        <w:numPr>
          <w:ilvl w:val="0"/>
          <w:numId w:val="19"/>
        </w:numPr>
        <w:rPr>
          <w:rFonts w:ascii="Arial" w:cs="Arial" w:eastAsia="Arial" w:hAnsi="Arial"/>
          <w:sz w:val="20"/>
          <w:szCs w:val="20"/>
          <w:color w:val="auto"/>
        </w:rPr>
      </w:pPr>
      <w:r>
        <w:rPr>
          <w:rFonts w:ascii="Arial" w:cs="Arial" w:eastAsia="Arial" w:hAnsi="Arial"/>
          <w:sz w:val="20"/>
          <w:szCs w:val="20"/>
          <w:color w:val="auto"/>
        </w:rPr>
        <w:t>A Moody's "A2" rating is the third highest rating of nine ratings for Moody's. Moody's states that companies rated “A2” are judged to be upper-medium grade and are subject to low credit risk.</w:t>
      </w:r>
    </w:p>
    <w:p>
      <w:pPr>
        <w:spacing w:after="0" w:line="70" w:lineRule="exact"/>
        <w:rPr>
          <w:sz w:val="20"/>
          <w:szCs w:val="20"/>
          <w:color w:val="auto"/>
        </w:rPr>
      </w:pPr>
    </w:p>
    <w:p>
      <w:pPr>
        <w:ind w:left="340"/>
        <w:spacing w:after="0"/>
        <w:rPr>
          <w:sz w:val="20"/>
          <w:szCs w:val="20"/>
          <w:color w:val="auto"/>
        </w:rPr>
      </w:pPr>
      <w:r>
        <w:rPr>
          <w:rFonts w:ascii="Arial" w:cs="Arial" w:eastAsia="Arial" w:hAnsi="Arial"/>
          <w:sz w:val="17"/>
          <w:szCs w:val="17"/>
          <w:color w:val="auto"/>
        </w:rPr>
        <w:t>Demotech provides financial strength/stability ratings for each of our title insurance underwriters individually,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113665</wp:posOffset>
            </wp:positionV>
            <wp:extent cx="5989955" cy="91249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17">
                      <a:extLst>
                        <a:ext uri="{28A0092B-C50C-407E-A947-70E740481C1C}"/>
                      </a:extLst>
                    </a:blip>
                    <a:srcRect/>
                    <a:stretch>
                      <a:fillRect/>
                    </a:stretch>
                  </pic:blipFill>
                  <pic:spPr bwMode="auto">
                    <a:xfrm>
                      <a:off x="0" y="0"/>
                      <a:ext cx="5989955" cy="912495"/>
                    </a:xfrm>
                    <a:prstGeom prst="rect">
                      <a:avLst/>
                    </a:prstGeom>
                    <a:noFill/>
                  </pic:spPr>
                </pic:pic>
              </a:graphicData>
            </a:graphic>
          </wp:anchor>
        </w:drawing>
      </w:r>
    </w:p>
    <w:p>
      <w:pPr>
        <w:spacing w:after="0" w:line="237" w:lineRule="exact"/>
        <w:rPr>
          <w:sz w:val="20"/>
          <w:szCs w:val="20"/>
          <w:color w:val="auto"/>
        </w:rPr>
      </w:pPr>
    </w:p>
    <w:p>
      <w:pPr>
        <w:ind w:left="400"/>
        <w:spacing w:after="0"/>
        <w:tabs>
          <w:tab w:leader="none" w:pos="9360" w:val="left"/>
        </w:tabs>
        <w:rPr>
          <w:sz w:val="20"/>
          <w:szCs w:val="20"/>
          <w:color w:val="auto"/>
        </w:rPr>
      </w:pPr>
      <w:r>
        <w:rPr>
          <w:rFonts w:ascii="Arial" w:cs="Arial" w:eastAsia="Arial" w:hAnsi="Arial"/>
          <w:sz w:val="16"/>
          <w:szCs w:val="16"/>
          <w:color w:val="auto"/>
        </w:rPr>
        <w:t>Alamo Title</w:t>
      </w:r>
      <w:r>
        <w:rPr>
          <w:sz w:val="20"/>
          <w:szCs w:val="20"/>
          <w:color w:val="auto"/>
        </w:rPr>
        <w:tab/>
      </w:r>
      <w:r>
        <w:rPr>
          <w:rFonts w:ascii="Arial" w:cs="Arial" w:eastAsia="Arial" w:hAnsi="Arial"/>
          <w:sz w:val="16"/>
          <w:szCs w:val="16"/>
          <w:color w:val="auto"/>
        </w:rPr>
        <w:t>A'</w:t>
      </w:r>
    </w:p>
    <w:p>
      <w:pPr>
        <w:spacing w:after="0" w:line="95" w:lineRule="exact"/>
        <w:rPr>
          <w:sz w:val="20"/>
          <w:szCs w:val="20"/>
          <w:color w:val="auto"/>
        </w:rPr>
      </w:pPr>
    </w:p>
    <w:p>
      <w:pPr>
        <w:ind w:left="400"/>
        <w:spacing w:after="0"/>
        <w:tabs>
          <w:tab w:leader="none" w:pos="9360" w:val="left"/>
        </w:tabs>
        <w:rPr>
          <w:sz w:val="20"/>
          <w:szCs w:val="20"/>
          <w:color w:val="auto"/>
        </w:rPr>
      </w:pPr>
      <w:r>
        <w:rPr>
          <w:rFonts w:ascii="Arial" w:cs="Arial" w:eastAsia="Arial" w:hAnsi="Arial"/>
          <w:sz w:val="16"/>
          <w:szCs w:val="16"/>
          <w:color w:val="auto"/>
        </w:rPr>
        <w:t>Chicago Title</w:t>
      </w:r>
      <w:r>
        <w:rPr>
          <w:sz w:val="20"/>
          <w:szCs w:val="20"/>
          <w:color w:val="auto"/>
        </w:rPr>
        <w:tab/>
      </w:r>
      <w:r>
        <w:rPr>
          <w:rFonts w:ascii="Arial" w:cs="Arial" w:eastAsia="Arial" w:hAnsi="Arial"/>
          <w:sz w:val="15"/>
          <w:szCs w:val="15"/>
          <w:color w:val="auto"/>
        </w:rPr>
        <w:t>A''</w:t>
      </w:r>
    </w:p>
    <w:p>
      <w:pPr>
        <w:spacing w:after="0" w:line="95" w:lineRule="exact"/>
        <w:rPr>
          <w:sz w:val="20"/>
          <w:szCs w:val="20"/>
          <w:color w:val="auto"/>
        </w:rPr>
      </w:pPr>
    </w:p>
    <w:p>
      <w:pPr>
        <w:ind w:left="400"/>
        <w:spacing w:after="0"/>
        <w:tabs>
          <w:tab w:leader="none" w:pos="9360" w:val="left"/>
        </w:tabs>
        <w:rPr>
          <w:sz w:val="20"/>
          <w:szCs w:val="20"/>
          <w:color w:val="auto"/>
        </w:rPr>
      </w:pPr>
      <w:r>
        <w:rPr>
          <w:rFonts w:ascii="Arial" w:cs="Arial" w:eastAsia="Arial" w:hAnsi="Arial"/>
          <w:sz w:val="16"/>
          <w:szCs w:val="16"/>
          <w:color w:val="auto"/>
        </w:rPr>
        <w:t>Commonwealth Land Title</w:t>
      </w:r>
      <w:r>
        <w:rPr>
          <w:sz w:val="20"/>
          <w:szCs w:val="20"/>
          <w:color w:val="auto"/>
        </w:rPr>
        <w:tab/>
      </w:r>
      <w:r>
        <w:rPr>
          <w:rFonts w:ascii="Arial" w:cs="Arial" w:eastAsia="Arial" w:hAnsi="Arial"/>
          <w:sz w:val="16"/>
          <w:szCs w:val="16"/>
          <w:color w:val="auto"/>
        </w:rPr>
        <w:t>A'</w:t>
      </w:r>
    </w:p>
    <w:p>
      <w:pPr>
        <w:spacing w:after="0" w:line="95" w:lineRule="exact"/>
        <w:rPr>
          <w:sz w:val="20"/>
          <w:szCs w:val="20"/>
          <w:color w:val="auto"/>
        </w:rPr>
      </w:pPr>
    </w:p>
    <w:p>
      <w:pPr>
        <w:ind w:left="400"/>
        <w:spacing w:after="0"/>
        <w:tabs>
          <w:tab w:leader="none" w:pos="9360" w:val="left"/>
        </w:tabs>
        <w:rPr>
          <w:sz w:val="20"/>
          <w:szCs w:val="20"/>
          <w:color w:val="auto"/>
        </w:rPr>
      </w:pPr>
      <w:r>
        <w:rPr>
          <w:rFonts w:ascii="Arial" w:cs="Arial" w:eastAsia="Arial" w:hAnsi="Arial"/>
          <w:sz w:val="16"/>
          <w:szCs w:val="16"/>
          <w:color w:val="auto"/>
        </w:rPr>
        <w:t>FNTIC</w:t>
      </w:r>
      <w:r>
        <w:rPr>
          <w:sz w:val="20"/>
          <w:szCs w:val="20"/>
          <w:color w:val="auto"/>
        </w:rPr>
        <w:tab/>
      </w:r>
      <w:r>
        <w:rPr>
          <w:rFonts w:ascii="Arial" w:cs="Arial" w:eastAsia="Arial" w:hAnsi="Arial"/>
          <w:sz w:val="16"/>
          <w:szCs w:val="16"/>
          <w:color w:val="auto"/>
        </w:rPr>
        <w:t>A'</w:t>
      </w:r>
    </w:p>
    <w:p>
      <w:pPr>
        <w:spacing w:after="0" w:line="95" w:lineRule="exact"/>
        <w:rPr>
          <w:sz w:val="20"/>
          <w:szCs w:val="20"/>
          <w:color w:val="auto"/>
        </w:rPr>
      </w:pPr>
    </w:p>
    <w:p>
      <w:pPr>
        <w:ind w:left="400"/>
        <w:spacing w:after="0"/>
        <w:tabs>
          <w:tab w:leader="none" w:pos="9360" w:val="left"/>
        </w:tabs>
        <w:rPr>
          <w:sz w:val="20"/>
          <w:szCs w:val="20"/>
          <w:color w:val="auto"/>
        </w:rPr>
      </w:pPr>
      <w:r>
        <w:rPr>
          <w:rFonts w:ascii="Arial" w:cs="Arial" w:eastAsia="Arial" w:hAnsi="Arial"/>
          <w:sz w:val="16"/>
          <w:szCs w:val="16"/>
          <w:color w:val="auto"/>
        </w:rPr>
        <w:t>National Title of New York</w:t>
      </w:r>
      <w:r>
        <w:rPr>
          <w:sz w:val="20"/>
          <w:szCs w:val="20"/>
          <w:color w:val="auto"/>
        </w:rPr>
        <w:tab/>
      </w:r>
      <w:r>
        <w:rPr>
          <w:rFonts w:ascii="Arial" w:cs="Arial" w:eastAsia="Arial" w:hAnsi="Arial"/>
          <w:sz w:val="16"/>
          <w:szCs w:val="16"/>
          <w:color w:val="auto"/>
        </w:rPr>
        <w:t>A'</w:t>
      </w:r>
    </w:p>
    <w:p>
      <w:pPr>
        <w:spacing w:after="0" w:line="172" w:lineRule="exact"/>
        <w:rPr>
          <w:sz w:val="20"/>
          <w:szCs w:val="20"/>
          <w:color w:val="auto"/>
        </w:rPr>
      </w:pPr>
    </w:p>
    <w:p>
      <w:pPr>
        <w:jc w:val="both"/>
        <w:ind w:firstLine="371"/>
        <w:spacing w:after="0" w:line="254" w:lineRule="auto"/>
        <w:rPr>
          <w:sz w:val="20"/>
          <w:szCs w:val="20"/>
          <w:color w:val="auto"/>
        </w:rPr>
      </w:pPr>
      <w:r>
        <w:rPr>
          <w:rFonts w:ascii="Arial" w:cs="Arial" w:eastAsia="Arial" w:hAnsi="Arial"/>
          <w:sz w:val="20"/>
          <w:szCs w:val="20"/>
          <w:color w:val="auto"/>
        </w:rPr>
        <w:t>Demotech states that its ratings of A" and A' reflect its opinion that the insurer possesses unsurpassed ability to maintain liquidity of invested assets, quality reinsurance, acceptable financial leverage and realistic pricing while simultaneously establishing loss and loss adjustment expense reserves at reasonable levels. The A'' and A' ratings are the two highest ratings of Demotech's six ratings.</w:t>
      </w:r>
    </w:p>
    <w:p>
      <w:pPr>
        <w:spacing w:after="0" w:line="65" w:lineRule="exact"/>
        <w:rPr>
          <w:sz w:val="20"/>
          <w:szCs w:val="20"/>
          <w:color w:val="auto"/>
        </w:rPr>
      </w:pPr>
    </w:p>
    <w:p>
      <w:pPr>
        <w:jc w:val="both"/>
        <w:ind w:firstLine="353"/>
        <w:spacing w:after="0" w:line="258" w:lineRule="auto"/>
        <w:rPr>
          <w:sz w:val="20"/>
          <w:szCs w:val="20"/>
          <w:color w:val="auto"/>
        </w:rPr>
      </w:pPr>
      <w:r>
        <w:rPr>
          <w:rFonts w:ascii="Arial" w:cs="Arial" w:eastAsia="Arial" w:hAnsi="Arial"/>
          <w:sz w:val="20"/>
          <w:szCs w:val="20"/>
          <w:color w:val="auto"/>
        </w:rPr>
        <w:t>The ratings of S&amp;P, Moody’s, and Demotech described above are not designed to be, and do not serve as, measures of protection or valuation offered to investors. These financial strength ratings should not be relied on with respect to making an investment in our securities.</w:t>
      </w:r>
    </w:p>
    <w:p>
      <w:pPr>
        <w:spacing w:after="0" w:line="60" w:lineRule="exact"/>
        <w:rPr>
          <w:sz w:val="20"/>
          <w:szCs w:val="20"/>
          <w:color w:val="auto"/>
        </w:rPr>
      </w:pPr>
    </w:p>
    <w:p>
      <w:pPr>
        <w:ind w:left="340"/>
        <w:spacing w:after="0"/>
        <w:rPr>
          <w:sz w:val="20"/>
          <w:szCs w:val="20"/>
          <w:color w:val="auto"/>
        </w:rPr>
      </w:pPr>
      <w:r>
        <w:rPr>
          <w:rFonts w:ascii="Arial" w:cs="Arial" w:eastAsia="Arial" w:hAnsi="Arial"/>
          <w:sz w:val="20"/>
          <w:szCs w:val="20"/>
          <w:color w:val="auto"/>
        </w:rPr>
        <w:t xml:space="preserve">For further information associated with ratings, refer to Item 1A. </w:t>
      </w:r>
      <w:r>
        <w:rPr>
          <w:rFonts w:ascii="Arial" w:cs="Arial" w:eastAsia="Arial" w:hAnsi="Arial"/>
          <w:sz w:val="20"/>
          <w:szCs w:val="20"/>
          <w:b w:val="1"/>
          <w:bCs w:val="1"/>
          <w:i w:val="1"/>
          <w:iCs w:val="1"/>
          <w:color w:val="auto"/>
        </w:rPr>
        <w:t>Risk Factors.</w:t>
      </w:r>
    </w:p>
    <w:p>
      <w:pPr>
        <w:spacing w:after="0" w:line="103" w:lineRule="exact"/>
        <w:rPr>
          <w:sz w:val="20"/>
          <w:szCs w:val="20"/>
          <w:color w:val="auto"/>
        </w:rPr>
      </w:pPr>
    </w:p>
    <w:p>
      <w:pPr>
        <w:jc w:val="both"/>
        <w:ind w:firstLine="379"/>
        <w:spacing w:after="0" w:line="262" w:lineRule="auto"/>
        <w:rPr>
          <w:sz w:val="20"/>
          <w:szCs w:val="20"/>
          <w:color w:val="auto"/>
        </w:rPr>
      </w:pPr>
      <w:r>
        <w:rPr>
          <w:rFonts w:ascii="Arial" w:cs="Arial" w:eastAsia="Arial" w:hAnsi="Arial"/>
          <w:sz w:val="19"/>
          <w:szCs w:val="19"/>
          <w:b w:val="1"/>
          <w:bCs w:val="1"/>
          <w:i w:val="1"/>
          <w:iCs w:val="1"/>
          <w:color w:val="auto"/>
        </w:rPr>
        <w:t xml:space="preserve">Investment Policies and Investment Portfolio. </w:t>
      </w:r>
      <w:r>
        <w:rPr>
          <w:rFonts w:ascii="Arial" w:cs="Arial" w:eastAsia="Arial" w:hAnsi="Arial"/>
          <w:sz w:val="19"/>
          <w:szCs w:val="19"/>
          <w:color w:val="auto"/>
        </w:rPr>
        <w:t>Within our Title segment, our investment policy is designed to maximize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total return through investment income and capital appreciation consistent with moderate risk of principal, while providing adequate liquidity. Our insurance subsidiaries, including title insurers, underwritten title companies and insurance agencies, are subject to extensive regulation under applicable state laws. The various states in which we operate our underwriters regulate the types of assets that qualify for purposes of capital, surplus, and statutory unearned premium reserves. Our investment policy specifically limits duration and non-investment grade allocations in the FNF fixed-income portfolio. Maintaining shorter durations on the investment portfolio allows for the mitigation of interest rate risk. Equity securities and preferred stock are utilized to take advantage of perceived value or for strategic purposes. Due to the magnitude of the investment portfolio in relation to our claims loss reserves, durations of investments are not specifically matched to the cash outflows required to pay claims.</w:t>
      </w:r>
    </w:p>
    <w:p>
      <w:pPr>
        <w:spacing w:after="0" w:line="67" w:lineRule="exact"/>
        <w:rPr>
          <w:sz w:val="20"/>
          <w:szCs w:val="20"/>
          <w:color w:val="auto"/>
        </w:rPr>
      </w:pPr>
    </w:p>
    <w:p>
      <w:pPr>
        <w:jc w:val="both"/>
        <w:ind w:firstLine="353"/>
        <w:spacing w:after="0" w:line="258" w:lineRule="auto"/>
        <w:rPr>
          <w:sz w:val="20"/>
          <w:szCs w:val="20"/>
          <w:color w:val="auto"/>
        </w:rPr>
      </w:pPr>
      <w:r>
        <w:rPr>
          <w:rFonts w:ascii="Arial" w:cs="Arial" w:eastAsia="Arial" w:hAnsi="Arial"/>
          <w:sz w:val="20"/>
          <w:szCs w:val="20"/>
          <w:color w:val="auto"/>
        </w:rPr>
        <w:t>As of December 31, 2025 and 2024, the carrying amount of total investments within our Title segment, which approximates the fair value, excluding investments in unconsolidated affiliates, was approximately $3.5 billion and $3.3 billion, respectively.</w:t>
      </w:r>
    </w:p>
    <w:p>
      <w:pPr>
        <w:spacing w:after="0" w:line="62" w:lineRule="exact"/>
        <w:rPr>
          <w:sz w:val="20"/>
          <w:szCs w:val="20"/>
          <w:color w:val="auto"/>
        </w:rPr>
      </w:pPr>
    </w:p>
    <w:p>
      <w:pPr>
        <w:jc w:val="both"/>
        <w:ind w:firstLine="364"/>
        <w:spacing w:after="0" w:line="258" w:lineRule="auto"/>
        <w:rPr>
          <w:sz w:val="20"/>
          <w:szCs w:val="20"/>
          <w:color w:val="auto"/>
        </w:rPr>
      </w:pPr>
      <w:r>
        <w:rPr>
          <w:rFonts w:ascii="Arial" w:cs="Arial" w:eastAsia="Arial" w:hAnsi="Arial"/>
          <w:sz w:val="20"/>
          <w:szCs w:val="20"/>
          <w:color w:val="auto"/>
        </w:rPr>
        <w:t>We purchase investment grade fixed maturity securities, selected non-investment grade fixed maturity securities, preferred stock and equity securities. The securities in our portfolio are subject to economic conditions and normal market risks and uncertainties.</w:t>
      </w:r>
    </w:p>
    <w:p>
      <w:pPr>
        <w:sectPr>
          <w:pgSz w:w="11880" w:h="15480" w:orient="portrait"/>
          <w:cols w:equalWidth="0" w:num="1">
            <w:col w:w="10040"/>
          </w:cols>
          <w:pgMar w:left="920" w:top="770"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w:t>
      </w:r>
    </w:p>
    <w:p>
      <w:pPr>
        <w:sectPr>
          <w:pgSz w:w="11880" w:h="15480" w:orient="portrait"/>
          <w:cols w:equalWidth="0" w:num="1">
            <w:col w:w="10040"/>
          </w:cols>
          <w:pgMar w:left="920" w:top="770" w:right="920" w:bottom="0" w:gutter="0" w:footer="0" w:header="0"/>
          <w:type w:val="continuous"/>
        </w:sectPr>
      </w:pPr>
    </w:p>
    <w:bookmarkStart w:id="26" w:name="page27"/>
    <w:bookmarkEnd w:id="26"/>
    <w:p>
      <w:pPr>
        <w:ind w:firstLine="353"/>
        <w:spacing w:after="0" w:line="271" w:lineRule="auto"/>
        <w:rPr>
          <w:sz w:val="20"/>
          <w:szCs w:val="20"/>
          <w:color w:val="auto"/>
        </w:rPr>
      </w:pPr>
      <w:r>
        <w:rPr>
          <w:rFonts w:ascii="Arial" w:cs="Arial" w:eastAsia="Arial" w:hAnsi="Arial"/>
          <w:sz w:val="20"/>
          <w:szCs w:val="20"/>
          <w:color w:val="auto"/>
        </w:rPr>
        <w:t>The following table presents certain information regarding the investment ratings of our fixed maturity securities and preferred stock portfolio at December 31, 2025 and 2024:</w:t>
      </w:r>
    </w:p>
    <w:p>
      <w:pPr>
        <w:spacing w:after="0" w:line="122" w:lineRule="exact"/>
        <w:rPr>
          <w:sz w:val="20"/>
          <w:szCs w:val="20"/>
          <w:color w:val="auto"/>
        </w:rPr>
      </w:pPr>
    </w:p>
    <w:tbl>
      <w:tblPr>
        <w:tblLayout w:type="fixed"/>
        <w:tblInd w:w="40" w:type="dxa"/>
        <w:tblCellMar>
          <w:top w:w="0" w:type="dxa"/>
          <w:left w:w="0" w:type="dxa"/>
          <w:bottom w:w="0" w:type="dxa"/>
          <w:right w:w="0" w:type="dxa"/>
        </w:tblCellMar>
      </w:tblPr>
      <w:tr>
        <w:trPr>
          <w:trHeight w:val="213"/>
        </w:trPr>
        <w:tc>
          <w:tcPr>
            <w:tcW w:w="23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gridSpan w:val="4"/>
          </w:tcPr>
          <w:p>
            <w:pPr>
              <w:jc w:val="right"/>
              <w:ind w:right="402"/>
              <w:spacing w:after="0"/>
              <w:rPr>
                <w:sz w:val="20"/>
                <w:szCs w:val="20"/>
                <w:color w:val="auto"/>
              </w:rPr>
            </w:pPr>
            <w:r>
              <w:rPr>
                <w:rFonts w:ascii="Arial" w:cs="Arial" w:eastAsia="Arial" w:hAnsi="Arial"/>
                <w:sz w:val="16"/>
                <w:szCs w:val="16"/>
                <w:b w:val="1"/>
                <w:bCs w:val="1"/>
                <w:color w:val="auto"/>
              </w:rPr>
              <w:t>December 31,</w:t>
            </w:r>
          </w:p>
        </w:tc>
        <w:tc>
          <w:tcPr>
            <w:tcW w:w="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r>
      <w:tr>
        <w:trPr>
          <w:trHeight w:val="215"/>
        </w:trPr>
        <w:tc>
          <w:tcPr>
            <w:tcW w:w="23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gridSpan w:val="4"/>
          </w:tcPr>
          <w:p>
            <w:pPr>
              <w:jc w:val="right"/>
              <w:ind w:right="22"/>
              <w:spacing w:after="0"/>
              <w:rPr>
                <w:sz w:val="20"/>
                <w:szCs w:val="20"/>
                <w:color w:val="auto"/>
              </w:rPr>
            </w:pPr>
            <w:r>
              <w:rPr>
                <w:rFonts w:ascii="Arial" w:cs="Arial" w:eastAsia="Arial" w:hAnsi="Arial"/>
                <w:sz w:val="16"/>
                <w:szCs w:val="16"/>
                <w:b w:val="1"/>
                <w:bCs w:val="1"/>
                <w:color w:val="auto"/>
              </w:rPr>
              <w:t>2025</w:t>
            </w:r>
          </w:p>
        </w:tc>
        <w:tc>
          <w:tcPr>
            <w:tcW w:w="7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gridSpan w:val="4"/>
          </w:tcPr>
          <w:p>
            <w:pPr>
              <w:jc w:val="right"/>
              <w:ind w:right="2"/>
              <w:spacing w:after="0"/>
              <w:rPr>
                <w:sz w:val="20"/>
                <w:szCs w:val="20"/>
                <w:color w:val="auto"/>
              </w:rPr>
            </w:pPr>
            <w:r>
              <w:rPr>
                <w:rFonts w:ascii="Arial" w:cs="Arial" w:eastAsia="Arial" w:hAnsi="Arial"/>
                <w:sz w:val="16"/>
                <w:szCs w:val="16"/>
                <w:b w:val="1"/>
                <w:bCs w:val="1"/>
                <w:color w:val="auto"/>
              </w:rPr>
              <w:t>2024</w:t>
            </w:r>
          </w:p>
        </w:tc>
        <w:tc>
          <w:tcPr>
            <w:tcW w:w="7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r>
      <w:tr>
        <w:trPr>
          <w:trHeight w:val="223"/>
        </w:trPr>
        <w:tc>
          <w:tcPr>
            <w:tcW w:w="2320" w:type="dxa"/>
            <w:vAlign w:val="bottom"/>
          </w:tcPr>
          <w:p>
            <w:pPr>
              <w:spacing w:after="0"/>
              <w:rPr>
                <w:sz w:val="19"/>
                <w:szCs w:val="19"/>
                <w:color w:val="auto"/>
              </w:rPr>
            </w:pPr>
          </w:p>
        </w:tc>
        <w:tc>
          <w:tcPr>
            <w:tcW w:w="920" w:type="dxa"/>
            <w:vAlign w:val="bottom"/>
            <w:gridSpan w:val="2"/>
          </w:tcPr>
          <w:p>
            <w:pPr>
              <w:jc w:val="right"/>
              <w:ind w:right="22"/>
              <w:spacing w:after="0"/>
              <w:rPr>
                <w:sz w:val="20"/>
                <w:szCs w:val="20"/>
                <w:color w:val="auto"/>
              </w:rPr>
            </w:pPr>
            <w:r>
              <w:rPr>
                <w:rFonts w:ascii="Arial" w:cs="Arial" w:eastAsia="Arial" w:hAnsi="Arial"/>
                <w:sz w:val="16"/>
                <w:szCs w:val="16"/>
                <w:b w:val="1"/>
                <w:bCs w:val="1"/>
                <w:color w:val="auto"/>
              </w:rPr>
              <w:t>Amortized</w:t>
            </w:r>
          </w:p>
        </w:tc>
        <w:tc>
          <w:tcPr>
            <w:tcW w:w="80" w:type="dxa"/>
            <w:vAlign w:val="bottom"/>
          </w:tcPr>
          <w:p>
            <w:pPr>
              <w:spacing w:after="0"/>
              <w:rPr>
                <w:sz w:val="19"/>
                <w:szCs w:val="19"/>
                <w:color w:val="auto"/>
              </w:rPr>
            </w:pPr>
          </w:p>
        </w:tc>
        <w:tc>
          <w:tcPr>
            <w:tcW w:w="860" w:type="dxa"/>
            <w:vAlign w:val="bottom"/>
          </w:tcPr>
          <w:p>
            <w:pPr>
              <w:jc w:val="right"/>
              <w:ind w:right="182"/>
              <w:spacing w:after="0"/>
              <w:rPr>
                <w:sz w:val="20"/>
                <w:szCs w:val="20"/>
                <w:color w:val="auto"/>
              </w:rPr>
            </w:pPr>
            <w:r>
              <w:rPr>
                <w:rFonts w:ascii="Arial" w:cs="Arial" w:eastAsia="Arial" w:hAnsi="Arial"/>
                <w:sz w:val="16"/>
                <w:szCs w:val="16"/>
                <w:b w:val="1"/>
                <w:bCs w:val="1"/>
                <w:color w:val="auto"/>
              </w:rPr>
              <w:t>% of</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ind w:right="242"/>
              <w:spacing w:after="0"/>
              <w:rPr>
                <w:sz w:val="20"/>
                <w:szCs w:val="20"/>
                <w:color w:val="auto"/>
              </w:rPr>
            </w:pPr>
            <w:r>
              <w:rPr>
                <w:rFonts w:ascii="Arial" w:cs="Arial" w:eastAsia="Arial" w:hAnsi="Arial"/>
                <w:sz w:val="16"/>
                <w:szCs w:val="16"/>
                <w:b w:val="1"/>
                <w:bCs w:val="1"/>
                <w:color w:val="auto"/>
              </w:rPr>
              <w:t>Fair</w:t>
            </w:r>
          </w:p>
        </w:tc>
        <w:tc>
          <w:tcPr>
            <w:tcW w:w="80" w:type="dxa"/>
            <w:vAlign w:val="bottom"/>
          </w:tcPr>
          <w:p>
            <w:pPr>
              <w:spacing w:after="0"/>
              <w:rPr>
                <w:sz w:val="19"/>
                <w:szCs w:val="19"/>
                <w:color w:val="auto"/>
              </w:rPr>
            </w:pPr>
          </w:p>
        </w:tc>
        <w:tc>
          <w:tcPr>
            <w:tcW w:w="820" w:type="dxa"/>
            <w:vAlign w:val="bottom"/>
          </w:tcPr>
          <w:p>
            <w:pPr>
              <w:jc w:val="right"/>
              <w:ind w:right="162"/>
              <w:spacing w:after="0"/>
              <w:rPr>
                <w:sz w:val="20"/>
                <w:szCs w:val="20"/>
                <w:color w:val="auto"/>
              </w:rPr>
            </w:pPr>
            <w:r>
              <w:rPr>
                <w:rFonts w:ascii="Arial" w:cs="Arial" w:eastAsia="Arial" w:hAnsi="Arial"/>
                <w:sz w:val="16"/>
                <w:szCs w:val="16"/>
                <w:b w:val="1"/>
                <w:bCs w:val="1"/>
                <w:color w:val="auto"/>
              </w:rPr>
              <w:t>% of</w:t>
            </w:r>
          </w:p>
        </w:tc>
        <w:tc>
          <w:tcPr>
            <w:tcW w:w="80" w:type="dxa"/>
            <w:vAlign w:val="bottom"/>
          </w:tcPr>
          <w:p>
            <w:pPr>
              <w:spacing w:after="0"/>
              <w:rPr>
                <w:sz w:val="19"/>
                <w:szCs w:val="19"/>
                <w:color w:val="auto"/>
              </w:rPr>
            </w:pPr>
          </w:p>
        </w:tc>
        <w:tc>
          <w:tcPr>
            <w:tcW w:w="920" w:type="dxa"/>
            <w:vAlign w:val="bottom"/>
            <w:gridSpan w:val="2"/>
          </w:tcPr>
          <w:p>
            <w:pPr>
              <w:jc w:val="right"/>
              <w:ind w:right="22"/>
              <w:spacing w:after="0"/>
              <w:rPr>
                <w:sz w:val="20"/>
                <w:szCs w:val="20"/>
                <w:color w:val="auto"/>
              </w:rPr>
            </w:pPr>
            <w:r>
              <w:rPr>
                <w:rFonts w:ascii="Arial" w:cs="Arial" w:eastAsia="Arial" w:hAnsi="Arial"/>
                <w:sz w:val="16"/>
                <w:szCs w:val="16"/>
                <w:b w:val="1"/>
                <w:bCs w:val="1"/>
                <w:color w:val="auto"/>
              </w:rPr>
              <w:t>Amortized</w:t>
            </w:r>
          </w:p>
        </w:tc>
        <w:tc>
          <w:tcPr>
            <w:tcW w:w="80" w:type="dxa"/>
            <w:vAlign w:val="bottom"/>
          </w:tcPr>
          <w:p>
            <w:pPr>
              <w:spacing w:after="0"/>
              <w:rPr>
                <w:sz w:val="19"/>
                <w:szCs w:val="19"/>
                <w:color w:val="auto"/>
              </w:rPr>
            </w:pPr>
          </w:p>
        </w:tc>
        <w:tc>
          <w:tcPr>
            <w:tcW w:w="860" w:type="dxa"/>
            <w:vAlign w:val="bottom"/>
          </w:tcPr>
          <w:p>
            <w:pPr>
              <w:jc w:val="right"/>
              <w:ind w:right="182"/>
              <w:spacing w:after="0"/>
              <w:rPr>
                <w:sz w:val="20"/>
                <w:szCs w:val="20"/>
                <w:color w:val="auto"/>
              </w:rPr>
            </w:pPr>
            <w:r>
              <w:rPr>
                <w:rFonts w:ascii="Arial" w:cs="Arial" w:eastAsia="Arial" w:hAnsi="Arial"/>
                <w:sz w:val="16"/>
                <w:szCs w:val="16"/>
                <w:b w:val="1"/>
                <w:bCs w:val="1"/>
                <w:color w:val="auto"/>
              </w:rPr>
              <w:t>% of</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ind w:right="242"/>
              <w:spacing w:after="0"/>
              <w:rPr>
                <w:sz w:val="20"/>
                <w:szCs w:val="20"/>
                <w:color w:val="auto"/>
              </w:rPr>
            </w:pPr>
            <w:r>
              <w:rPr>
                <w:rFonts w:ascii="Arial" w:cs="Arial" w:eastAsia="Arial" w:hAnsi="Arial"/>
                <w:sz w:val="16"/>
                <w:szCs w:val="16"/>
                <w:b w:val="1"/>
                <w:bCs w:val="1"/>
                <w:color w:val="auto"/>
              </w:rPr>
              <w:t>Fair</w:t>
            </w:r>
          </w:p>
        </w:tc>
        <w:tc>
          <w:tcPr>
            <w:tcW w:w="80" w:type="dxa"/>
            <w:vAlign w:val="bottom"/>
          </w:tcPr>
          <w:p>
            <w:pPr>
              <w:spacing w:after="0"/>
              <w:rPr>
                <w:sz w:val="19"/>
                <w:szCs w:val="19"/>
                <w:color w:val="auto"/>
              </w:rPr>
            </w:pPr>
          </w:p>
        </w:tc>
        <w:tc>
          <w:tcPr>
            <w:tcW w:w="880" w:type="dxa"/>
            <w:vAlign w:val="bottom"/>
          </w:tcPr>
          <w:p>
            <w:pPr>
              <w:jc w:val="right"/>
              <w:ind w:right="202"/>
              <w:spacing w:after="0"/>
              <w:rPr>
                <w:sz w:val="20"/>
                <w:szCs w:val="20"/>
                <w:color w:val="auto"/>
              </w:rPr>
            </w:pPr>
            <w:r>
              <w:rPr>
                <w:rFonts w:ascii="Arial" w:cs="Arial" w:eastAsia="Arial" w:hAnsi="Arial"/>
                <w:sz w:val="16"/>
                <w:szCs w:val="16"/>
                <w:b w:val="1"/>
                <w:bCs w:val="1"/>
                <w:color w:val="auto"/>
              </w:rPr>
              <w:t>% of</w:t>
            </w:r>
          </w:p>
        </w:tc>
      </w:tr>
      <w:tr>
        <w:trPr>
          <w:trHeight w:val="257"/>
        </w:trPr>
        <w:tc>
          <w:tcPr>
            <w:tcW w:w="2320" w:type="dxa"/>
            <w:vAlign w:val="bottom"/>
          </w:tcPr>
          <w:p>
            <w:pPr>
              <w:spacing w:after="0"/>
              <w:rPr>
                <w:sz w:val="20"/>
                <w:szCs w:val="20"/>
                <w:color w:val="auto"/>
              </w:rPr>
            </w:pPr>
            <w:r>
              <w:rPr>
                <w:rFonts w:ascii="Arial" w:cs="Arial" w:eastAsia="Arial" w:hAnsi="Arial"/>
                <w:sz w:val="16"/>
                <w:szCs w:val="16"/>
                <w:b w:val="1"/>
                <w:bCs w:val="1"/>
                <w:color w:val="auto"/>
              </w:rPr>
              <w:t>Rating (1)</w:t>
            </w:r>
          </w:p>
        </w:tc>
        <w:tc>
          <w:tcPr>
            <w:tcW w:w="2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22"/>
              <w:spacing w:after="0"/>
              <w:rPr>
                <w:sz w:val="20"/>
                <w:szCs w:val="20"/>
                <w:color w:val="auto"/>
              </w:rPr>
            </w:pPr>
            <w:r>
              <w:rPr>
                <w:rFonts w:ascii="Arial" w:cs="Arial" w:eastAsia="Arial" w:hAnsi="Arial"/>
                <w:sz w:val="16"/>
                <w:szCs w:val="16"/>
                <w:b w:val="1"/>
                <w:bCs w:val="1"/>
                <w:color w:val="auto"/>
              </w:rPr>
              <w:t>Cost</w:t>
            </w:r>
          </w:p>
        </w:tc>
        <w:tc>
          <w:tcPr>
            <w:tcW w:w="80" w:type="dxa"/>
            <w:vAlign w:val="bottom"/>
          </w:tcPr>
          <w:p>
            <w:pPr>
              <w:spacing w:after="0"/>
              <w:rPr>
                <w:sz w:val="22"/>
                <w:szCs w:val="22"/>
                <w:color w:val="auto"/>
              </w:rPr>
            </w:pPr>
          </w:p>
        </w:tc>
        <w:tc>
          <w:tcPr>
            <w:tcW w:w="860" w:type="dxa"/>
            <w:vAlign w:val="bottom"/>
            <w:tcBorders>
              <w:bottom w:val="single" w:sz="8" w:color="auto"/>
            </w:tcBorders>
          </w:tcPr>
          <w:p>
            <w:pPr>
              <w:jc w:val="right"/>
              <w:ind w:right="162"/>
              <w:spacing w:after="0"/>
              <w:rPr>
                <w:sz w:val="20"/>
                <w:szCs w:val="20"/>
                <w:color w:val="auto"/>
              </w:rPr>
            </w:pPr>
            <w:r>
              <w:rPr>
                <w:rFonts w:ascii="Arial" w:cs="Arial" w:eastAsia="Arial" w:hAnsi="Arial"/>
                <w:sz w:val="16"/>
                <w:szCs w:val="16"/>
                <w:b w:val="1"/>
                <w:bCs w:val="1"/>
                <w:color w:val="auto"/>
              </w:rPr>
              <w:t>Total</w:t>
            </w:r>
          </w:p>
        </w:tc>
        <w:tc>
          <w:tcPr>
            <w:tcW w:w="8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182"/>
              <w:spacing w:after="0"/>
              <w:rPr>
                <w:sz w:val="20"/>
                <w:szCs w:val="20"/>
                <w:color w:val="auto"/>
              </w:rPr>
            </w:pPr>
            <w:r>
              <w:rPr>
                <w:rFonts w:ascii="Arial" w:cs="Arial" w:eastAsia="Arial" w:hAnsi="Arial"/>
                <w:sz w:val="16"/>
                <w:szCs w:val="16"/>
                <w:b w:val="1"/>
                <w:bCs w:val="1"/>
                <w:color w:val="auto"/>
              </w:rPr>
              <w:t>Value</w:t>
            </w:r>
          </w:p>
        </w:tc>
        <w:tc>
          <w:tcPr>
            <w:tcW w:w="80" w:type="dxa"/>
            <w:vAlign w:val="bottom"/>
          </w:tcPr>
          <w:p>
            <w:pPr>
              <w:spacing w:after="0"/>
              <w:rPr>
                <w:sz w:val="22"/>
                <w:szCs w:val="22"/>
                <w:color w:val="auto"/>
              </w:rPr>
            </w:pPr>
          </w:p>
        </w:tc>
        <w:tc>
          <w:tcPr>
            <w:tcW w:w="820" w:type="dxa"/>
            <w:vAlign w:val="bottom"/>
            <w:tcBorders>
              <w:bottom w:val="single" w:sz="8" w:color="auto"/>
            </w:tcBorders>
          </w:tcPr>
          <w:p>
            <w:pPr>
              <w:jc w:val="right"/>
              <w:ind w:right="162"/>
              <w:spacing w:after="0"/>
              <w:rPr>
                <w:sz w:val="20"/>
                <w:szCs w:val="20"/>
                <w:color w:val="auto"/>
              </w:rPr>
            </w:pPr>
            <w:r>
              <w:rPr>
                <w:rFonts w:ascii="Arial" w:cs="Arial" w:eastAsia="Arial" w:hAnsi="Arial"/>
                <w:sz w:val="16"/>
                <w:szCs w:val="16"/>
                <w:b w:val="1"/>
                <w:bCs w:val="1"/>
                <w:color w:val="auto"/>
              </w:rPr>
              <w:t>Total</w:t>
            </w:r>
          </w:p>
        </w:tc>
        <w:tc>
          <w:tcPr>
            <w:tcW w:w="8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22"/>
              <w:spacing w:after="0"/>
              <w:rPr>
                <w:sz w:val="20"/>
                <w:szCs w:val="20"/>
                <w:color w:val="auto"/>
              </w:rPr>
            </w:pPr>
            <w:r>
              <w:rPr>
                <w:rFonts w:ascii="Arial" w:cs="Arial" w:eastAsia="Arial" w:hAnsi="Arial"/>
                <w:sz w:val="16"/>
                <w:szCs w:val="16"/>
                <w:b w:val="1"/>
                <w:bCs w:val="1"/>
                <w:color w:val="auto"/>
              </w:rPr>
              <w:t>Cost</w:t>
            </w:r>
          </w:p>
        </w:tc>
        <w:tc>
          <w:tcPr>
            <w:tcW w:w="80" w:type="dxa"/>
            <w:vAlign w:val="bottom"/>
          </w:tcPr>
          <w:p>
            <w:pPr>
              <w:spacing w:after="0"/>
              <w:rPr>
                <w:sz w:val="22"/>
                <w:szCs w:val="22"/>
                <w:color w:val="auto"/>
              </w:rPr>
            </w:pPr>
          </w:p>
        </w:tc>
        <w:tc>
          <w:tcPr>
            <w:tcW w:w="860" w:type="dxa"/>
            <w:vAlign w:val="bottom"/>
            <w:tcBorders>
              <w:bottom w:val="single" w:sz="8" w:color="auto"/>
            </w:tcBorders>
          </w:tcPr>
          <w:p>
            <w:pPr>
              <w:jc w:val="right"/>
              <w:ind w:right="182"/>
              <w:spacing w:after="0"/>
              <w:rPr>
                <w:sz w:val="20"/>
                <w:szCs w:val="20"/>
                <w:color w:val="auto"/>
              </w:rPr>
            </w:pPr>
            <w:r>
              <w:rPr>
                <w:rFonts w:ascii="Arial" w:cs="Arial" w:eastAsia="Arial" w:hAnsi="Arial"/>
                <w:sz w:val="16"/>
                <w:szCs w:val="16"/>
                <w:b w:val="1"/>
                <w:bCs w:val="1"/>
                <w:color w:val="auto"/>
              </w:rPr>
              <w:t>Total</w:t>
            </w:r>
          </w:p>
        </w:tc>
        <w:tc>
          <w:tcPr>
            <w:tcW w:w="8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182"/>
              <w:spacing w:after="0"/>
              <w:rPr>
                <w:sz w:val="20"/>
                <w:szCs w:val="20"/>
                <w:color w:val="auto"/>
              </w:rPr>
            </w:pPr>
            <w:r>
              <w:rPr>
                <w:rFonts w:ascii="Arial" w:cs="Arial" w:eastAsia="Arial" w:hAnsi="Arial"/>
                <w:sz w:val="16"/>
                <w:szCs w:val="16"/>
                <w:b w:val="1"/>
                <w:bCs w:val="1"/>
                <w:color w:val="auto"/>
              </w:rPr>
              <w:t>Value</w:t>
            </w:r>
          </w:p>
        </w:tc>
        <w:tc>
          <w:tcPr>
            <w:tcW w:w="80" w:type="dxa"/>
            <w:vAlign w:val="bottom"/>
          </w:tcPr>
          <w:p>
            <w:pPr>
              <w:spacing w:after="0"/>
              <w:rPr>
                <w:sz w:val="22"/>
                <w:szCs w:val="22"/>
                <w:color w:val="auto"/>
              </w:rPr>
            </w:pPr>
          </w:p>
        </w:tc>
        <w:tc>
          <w:tcPr>
            <w:tcW w:w="880" w:type="dxa"/>
            <w:vAlign w:val="bottom"/>
            <w:tcBorders>
              <w:bottom w:val="single" w:sz="8" w:color="auto"/>
            </w:tcBorders>
          </w:tcPr>
          <w:p>
            <w:pPr>
              <w:jc w:val="right"/>
              <w:ind w:right="182"/>
              <w:spacing w:after="0"/>
              <w:rPr>
                <w:sz w:val="20"/>
                <w:szCs w:val="20"/>
                <w:color w:val="auto"/>
              </w:rPr>
            </w:pPr>
            <w:r>
              <w:rPr>
                <w:rFonts w:ascii="Arial" w:cs="Arial" w:eastAsia="Arial" w:hAnsi="Arial"/>
                <w:sz w:val="16"/>
                <w:szCs w:val="16"/>
                <w:b w:val="1"/>
                <w:bCs w:val="1"/>
                <w:color w:val="auto"/>
              </w:rPr>
              <w:t>Total</w:t>
            </w:r>
          </w:p>
        </w:tc>
      </w:tr>
      <w:tr>
        <w:trPr>
          <w:trHeight w:val="223"/>
        </w:trPr>
        <w:tc>
          <w:tcPr>
            <w:tcW w:w="2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20" w:type="dxa"/>
            <w:vAlign w:val="bottom"/>
            <w:gridSpan w:val="4"/>
          </w:tcPr>
          <w:p>
            <w:pPr>
              <w:jc w:val="right"/>
              <w:ind w:right="182"/>
              <w:spacing w:after="0"/>
              <w:rPr>
                <w:sz w:val="20"/>
                <w:szCs w:val="20"/>
                <w:color w:val="auto"/>
              </w:rPr>
            </w:pPr>
            <w:r>
              <w:rPr>
                <w:rFonts w:ascii="Arial" w:cs="Arial" w:eastAsia="Arial" w:hAnsi="Arial"/>
                <w:sz w:val="16"/>
                <w:szCs w:val="16"/>
                <w:b w:val="1"/>
                <w:bCs w:val="1"/>
                <w:color w:val="auto"/>
              </w:rPr>
              <w:t>(Dollars in millions)</w:t>
            </w:r>
          </w:p>
        </w:tc>
        <w:tc>
          <w:tcPr>
            <w:tcW w:w="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21"/>
        </w:trPr>
        <w:tc>
          <w:tcPr>
            <w:tcW w:w="2320" w:type="dxa"/>
            <w:vAlign w:val="bottom"/>
          </w:tcPr>
          <w:p>
            <w:pPr>
              <w:spacing w:after="0"/>
              <w:rPr>
                <w:sz w:val="20"/>
                <w:szCs w:val="20"/>
                <w:color w:val="auto"/>
              </w:rPr>
            </w:pPr>
            <w:r>
              <w:rPr>
                <w:rFonts w:ascii="Arial" w:cs="Arial" w:eastAsia="Arial" w:hAnsi="Arial"/>
                <w:sz w:val="16"/>
                <w:szCs w:val="16"/>
                <w:color w:val="auto"/>
              </w:rPr>
              <w:t>Aaa/AAA</w:t>
            </w:r>
          </w:p>
        </w:tc>
        <w:tc>
          <w:tcPr>
            <w:tcW w:w="22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165</w:t>
            </w: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8.0 %</w:t>
            </w:r>
          </w:p>
        </w:tc>
        <w:tc>
          <w:tcPr>
            <w:tcW w:w="280" w:type="dxa"/>
            <w:vAlign w:val="bottom"/>
            <w:gridSpan w:val="2"/>
          </w:tcPr>
          <w:p>
            <w:pPr>
              <w:jc w:val="right"/>
              <w:ind w:right="2"/>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163</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7.9 %</w:t>
            </w:r>
          </w:p>
        </w:tc>
        <w:tc>
          <w:tcPr>
            <w:tcW w:w="300" w:type="dxa"/>
            <w:vAlign w:val="bottom"/>
            <w:gridSpan w:val="2"/>
          </w:tcPr>
          <w:p>
            <w:pPr>
              <w:jc w:val="right"/>
              <w:ind w:right="22"/>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727</w:t>
            </w: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33.8 %</w:t>
            </w:r>
          </w:p>
        </w:tc>
        <w:tc>
          <w:tcPr>
            <w:tcW w:w="280" w:type="dxa"/>
            <w:vAlign w:val="bottom"/>
            <w:gridSpan w:val="2"/>
          </w:tcPr>
          <w:p>
            <w:pPr>
              <w:jc w:val="right"/>
              <w:ind w:right="2"/>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706</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33.5 %</w:t>
            </w:r>
          </w:p>
        </w:tc>
      </w:tr>
      <w:tr>
        <w:trPr>
          <w:trHeight w:val="220"/>
        </w:trPr>
        <w:tc>
          <w:tcPr>
            <w:tcW w:w="2320" w:type="dxa"/>
            <w:vAlign w:val="bottom"/>
          </w:tcPr>
          <w:p>
            <w:pPr>
              <w:spacing w:after="0"/>
              <w:rPr>
                <w:sz w:val="20"/>
                <w:szCs w:val="20"/>
                <w:color w:val="auto"/>
              </w:rPr>
            </w:pPr>
            <w:r>
              <w:rPr>
                <w:rFonts w:ascii="Arial" w:cs="Arial" w:eastAsia="Arial" w:hAnsi="Arial"/>
                <w:sz w:val="16"/>
                <w:szCs w:val="16"/>
                <w:color w:val="auto"/>
              </w:rPr>
              <w:t>Aa/AA</w:t>
            </w:r>
          </w:p>
        </w:tc>
        <w:tc>
          <w:tcPr>
            <w:tcW w:w="2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704</w:t>
            </w:r>
          </w:p>
        </w:tc>
        <w:tc>
          <w:tcPr>
            <w:tcW w:w="940" w:type="dxa"/>
            <w:vAlign w:val="bottom"/>
            <w:gridSpan w:val="2"/>
          </w:tcPr>
          <w:p>
            <w:pPr>
              <w:jc w:val="right"/>
              <w:ind w:right="122"/>
              <w:spacing w:after="0"/>
              <w:rPr>
                <w:sz w:val="20"/>
                <w:szCs w:val="20"/>
                <w:color w:val="auto"/>
              </w:rPr>
            </w:pPr>
            <w:r>
              <w:rPr>
                <w:rFonts w:ascii="Arial" w:cs="Arial" w:eastAsia="Arial" w:hAnsi="Arial"/>
                <w:sz w:val="16"/>
                <w:szCs w:val="16"/>
                <w:color w:val="auto"/>
              </w:rPr>
              <w:t>34.2</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706</w:t>
            </w:r>
          </w:p>
        </w:tc>
        <w:tc>
          <w:tcPr>
            <w:tcW w:w="900" w:type="dxa"/>
            <w:vAlign w:val="bottom"/>
            <w:gridSpan w:val="2"/>
          </w:tcPr>
          <w:p>
            <w:pPr>
              <w:jc w:val="right"/>
              <w:ind w:right="122"/>
              <w:spacing w:after="0"/>
              <w:rPr>
                <w:sz w:val="20"/>
                <w:szCs w:val="20"/>
                <w:color w:val="auto"/>
              </w:rPr>
            </w:pPr>
            <w:r>
              <w:rPr>
                <w:rFonts w:ascii="Arial" w:cs="Arial" w:eastAsia="Arial" w:hAnsi="Arial"/>
                <w:sz w:val="16"/>
                <w:szCs w:val="16"/>
                <w:color w:val="auto"/>
              </w:rPr>
              <w:t>34.3</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174</w:t>
            </w:r>
          </w:p>
        </w:tc>
        <w:tc>
          <w:tcPr>
            <w:tcW w:w="940" w:type="dxa"/>
            <w:vAlign w:val="bottom"/>
            <w:gridSpan w:val="2"/>
          </w:tcPr>
          <w:p>
            <w:pPr>
              <w:jc w:val="right"/>
              <w:ind w:right="122"/>
              <w:spacing w:after="0"/>
              <w:rPr>
                <w:sz w:val="20"/>
                <w:szCs w:val="20"/>
                <w:color w:val="auto"/>
              </w:rPr>
            </w:pPr>
            <w:r>
              <w:rPr>
                <w:rFonts w:ascii="Arial" w:cs="Arial" w:eastAsia="Arial" w:hAnsi="Arial"/>
                <w:sz w:val="16"/>
                <w:szCs w:val="16"/>
                <w:color w:val="auto"/>
              </w:rPr>
              <w:t>8.1</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170</w:t>
            </w:r>
          </w:p>
        </w:tc>
        <w:tc>
          <w:tcPr>
            <w:tcW w:w="960" w:type="dxa"/>
            <w:vAlign w:val="bottom"/>
            <w:gridSpan w:val="2"/>
          </w:tcPr>
          <w:p>
            <w:pPr>
              <w:jc w:val="right"/>
              <w:ind w:right="122"/>
              <w:spacing w:after="0"/>
              <w:rPr>
                <w:sz w:val="20"/>
                <w:szCs w:val="20"/>
                <w:color w:val="auto"/>
              </w:rPr>
            </w:pPr>
            <w:r>
              <w:rPr>
                <w:rFonts w:ascii="Arial" w:cs="Arial" w:eastAsia="Arial" w:hAnsi="Arial"/>
                <w:sz w:val="16"/>
                <w:szCs w:val="16"/>
                <w:color w:val="auto"/>
              </w:rPr>
              <w:t>8.1</w:t>
            </w:r>
          </w:p>
        </w:tc>
      </w:tr>
      <w:tr>
        <w:trPr>
          <w:trHeight w:val="221"/>
        </w:trPr>
        <w:tc>
          <w:tcPr>
            <w:tcW w:w="2320" w:type="dxa"/>
            <w:vAlign w:val="bottom"/>
          </w:tcPr>
          <w:p>
            <w:pPr>
              <w:spacing w:after="0"/>
              <w:rPr>
                <w:sz w:val="20"/>
                <w:szCs w:val="20"/>
                <w:color w:val="auto"/>
              </w:rPr>
            </w:pPr>
            <w:r>
              <w:rPr>
                <w:rFonts w:ascii="Arial" w:cs="Arial" w:eastAsia="Arial" w:hAnsi="Arial"/>
                <w:sz w:val="16"/>
                <w:szCs w:val="16"/>
                <w:color w:val="auto"/>
              </w:rPr>
              <w:t>A</w:t>
            </w:r>
          </w:p>
        </w:tc>
        <w:tc>
          <w:tcPr>
            <w:tcW w:w="2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555</w:t>
            </w:r>
          </w:p>
        </w:tc>
        <w:tc>
          <w:tcPr>
            <w:tcW w:w="940" w:type="dxa"/>
            <w:vAlign w:val="bottom"/>
            <w:gridSpan w:val="2"/>
          </w:tcPr>
          <w:p>
            <w:pPr>
              <w:jc w:val="right"/>
              <w:ind w:right="122"/>
              <w:spacing w:after="0"/>
              <w:rPr>
                <w:sz w:val="20"/>
                <w:szCs w:val="20"/>
                <w:color w:val="auto"/>
              </w:rPr>
            </w:pPr>
            <w:r>
              <w:rPr>
                <w:rFonts w:ascii="Arial" w:cs="Arial" w:eastAsia="Arial" w:hAnsi="Arial"/>
                <w:sz w:val="16"/>
                <w:szCs w:val="16"/>
                <w:color w:val="auto"/>
              </w:rPr>
              <w:t>27.0</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555</w:t>
            </w:r>
          </w:p>
        </w:tc>
        <w:tc>
          <w:tcPr>
            <w:tcW w:w="900" w:type="dxa"/>
            <w:vAlign w:val="bottom"/>
            <w:gridSpan w:val="2"/>
          </w:tcPr>
          <w:p>
            <w:pPr>
              <w:jc w:val="right"/>
              <w:ind w:right="122"/>
              <w:spacing w:after="0"/>
              <w:rPr>
                <w:sz w:val="20"/>
                <w:szCs w:val="20"/>
                <w:color w:val="auto"/>
              </w:rPr>
            </w:pPr>
            <w:r>
              <w:rPr>
                <w:rFonts w:ascii="Arial" w:cs="Arial" w:eastAsia="Arial" w:hAnsi="Arial"/>
                <w:sz w:val="16"/>
                <w:szCs w:val="16"/>
                <w:color w:val="auto"/>
              </w:rPr>
              <w:t>27.0</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506</w:t>
            </w:r>
          </w:p>
        </w:tc>
        <w:tc>
          <w:tcPr>
            <w:tcW w:w="940" w:type="dxa"/>
            <w:vAlign w:val="bottom"/>
            <w:gridSpan w:val="2"/>
          </w:tcPr>
          <w:p>
            <w:pPr>
              <w:jc w:val="right"/>
              <w:ind w:right="122"/>
              <w:spacing w:after="0"/>
              <w:rPr>
                <w:sz w:val="20"/>
                <w:szCs w:val="20"/>
                <w:color w:val="auto"/>
              </w:rPr>
            </w:pPr>
            <w:r>
              <w:rPr>
                <w:rFonts w:ascii="Arial" w:cs="Arial" w:eastAsia="Arial" w:hAnsi="Arial"/>
                <w:sz w:val="16"/>
                <w:szCs w:val="16"/>
                <w:color w:val="auto"/>
              </w:rPr>
              <w:t>23.5</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493</w:t>
            </w:r>
          </w:p>
        </w:tc>
        <w:tc>
          <w:tcPr>
            <w:tcW w:w="960" w:type="dxa"/>
            <w:vAlign w:val="bottom"/>
            <w:gridSpan w:val="2"/>
          </w:tcPr>
          <w:p>
            <w:pPr>
              <w:jc w:val="right"/>
              <w:ind w:right="122"/>
              <w:spacing w:after="0"/>
              <w:rPr>
                <w:sz w:val="20"/>
                <w:szCs w:val="20"/>
                <w:color w:val="auto"/>
              </w:rPr>
            </w:pPr>
            <w:r>
              <w:rPr>
                <w:rFonts w:ascii="Arial" w:cs="Arial" w:eastAsia="Arial" w:hAnsi="Arial"/>
                <w:sz w:val="16"/>
                <w:szCs w:val="16"/>
                <w:color w:val="auto"/>
              </w:rPr>
              <w:t>23.4</w:t>
            </w:r>
          </w:p>
        </w:tc>
      </w:tr>
      <w:tr>
        <w:trPr>
          <w:trHeight w:val="221"/>
        </w:trPr>
        <w:tc>
          <w:tcPr>
            <w:tcW w:w="2320" w:type="dxa"/>
            <w:vAlign w:val="bottom"/>
          </w:tcPr>
          <w:p>
            <w:pPr>
              <w:spacing w:after="0"/>
              <w:rPr>
                <w:sz w:val="20"/>
                <w:szCs w:val="20"/>
                <w:color w:val="auto"/>
              </w:rPr>
            </w:pPr>
            <w:r>
              <w:rPr>
                <w:rFonts w:ascii="Arial" w:cs="Arial" w:eastAsia="Arial" w:hAnsi="Arial"/>
                <w:sz w:val="16"/>
                <w:szCs w:val="16"/>
                <w:color w:val="auto"/>
              </w:rPr>
              <w:t>Baa/BBB</w:t>
            </w:r>
          </w:p>
        </w:tc>
        <w:tc>
          <w:tcPr>
            <w:tcW w:w="2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496</w:t>
            </w:r>
          </w:p>
        </w:tc>
        <w:tc>
          <w:tcPr>
            <w:tcW w:w="940" w:type="dxa"/>
            <w:vAlign w:val="bottom"/>
            <w:gridSpan w:val="2"/>
          </w:tcPr>
          <w:p>
            <w:pPr>
              <w:jc w:val="right"/>
              <w:ind w:right="122"/>
              <w:spacing w:after="0"/>
              <w:rPr>
                <w:sz w:val="20"/>
                <w:szCs w:val="20"/>
                <w:color w:val="auto"/>
              </w:rPr>
            </w:pPr>
            <w:r>
              <w:rPr>
                <w:rFonts w:ascii="Arial" w:cs="Arial" w:eastAsia="Arial" w:hAnsi="Arial"/>
                <w:sz w:val="16"/>
                <w:szCs w:val="16"/>
                <w:color w:val="auto"/>
              </w:rPr>
              <w:t>24.1</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497</w:t>
            </w:r>
          </w:p>
        </w:tc>
        <w:tc>
          <w:tcPr>
            <w:tcW w:w="900" w:type="dxa"/>
            <w:vAlign w:val="bottom"/>
            <w:gridSpan w:val="2"/>
          </w:tcPr>
          <w:p>
            <w:pPr>
              <w:jc w:val="right"/>
              <w:ind w:right="122"/>
              <w:spacing w:after="0"/>
              <w:rPr>
                <w:sz w:val="20"/>
                <w:szCs w:val="20"/>
                <w:color w:val="auto"/>
              </w:rPr>
            </w:pPr>
            <w:r>
              <w:rPr>
                <w:rFonts w:ascii="Arial" w:cs="Arial" w:eastAsia="Arial" w:hAnsi="Arial"/>
                <w:sz w:val="16"/>
                <w:szCs w:val="16"/>
                <w:color w:val="auto"/>
              </w:rPr>
              <w:t>24.1</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548</w:t>
            </w:r>
          </w:p>
        </w:tc>
        <w:tc>
          <w:tcPr>
            <w:tcW w:w="940" w:type="dxa"/>
            <w:vAlign w:val="bottom"/>
            <w:gridSpan w:val="2"/>
          </w:tcPr>
          <w:p>
            <w:pPr>
              <w:jc w:val="right"/>
              <w:ind w:right="122"/>
              <w:spacing w:after="0"/>
              <w:rPr>
                <w:sz w:val="20"/>
                <w:szCs w:val="20"/>
                <w:color w:val="auto"/>
              </w:rPr>
            </w:pPr>
            <w:r>
              <w:rPr>
                <w:rFonts w:ascii="Arial" w:cs="Arial" w:eastAsia="Arial" w:hAnsi="Arial"/>
                <w:sz w:val="16"/>
                <w:szCs w:val="16"/>
                <w:color w:val="auto"/>
              </w:rPr>
              <w:t>25.4</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537</w:t>
            </w:r>
          </w:p>
        </w:tc>
        <w:tc>
          <w:tcPr>
            <w:tcW w:w="960" w:type="dxa"/>
            <w:vAlign w:val="bottom"/>
            <w:gridSpan w:val="2"/>
          </w:tcPr>
          <w:p>
            <w:pPr>
              <w:jc w:val="right"/>
              <w:ind w:right="122"/>
              <w:spacing w:after="0"/>
              <w:rPr>
                <w:sz w:val="20"/>
                <w:szCs w:val="20"/>
                <w:color w:val="auto"/>
              </w:rPr>
            </w:pPr>
            <w:r>
              <w:rPr>
                <w:rFonts w:ascii="Arial" w:cs="Arial" w:eastAsia="Arial" w:hAnsi="Arial"/>
                <w:sz w:val="16"/>
                <w:szCs w:val="16"/>
                <w:color w:val="auto"/>
              </w:rPr>
              <w:t>25.5</w:t>
            </w:r>
          </w:p>
        </w:tc>
      </w:tr>
      <w:tr>
        <w:trPr>
          <w:trHeight w:val="220"/>
        </w:trPr>
        <w:tc>
          <w:tcPr>
            <w:tcW w:w="2320" w:type="dxa"/>
            <w:vAlign w:val="bottom"/>
          </w:tcPr>
          <w:p>
            <w:pPr>
              <w:spacing w:after="0"/>
              <w:rPr>
                <w:sz w:val="20"/>
                <w:szCs w:val="20"/>
                <w:color w:val="auto"/>
              </w:rPr>
            </w:pPr>
            <w:r>
              <w:rPr>
                <w:rFonts w:ascii="Arial" w:cs="Arial" w:eastAsia="Arial" w:hAnsi="Arial"/>
                <w:sz w:val="16"/>
                <w:szCs w:val="16"/>
                <w:color w:val="auto"/>
              </w:rPr>
              <w:t>Lower</w:t>
            </w:r>
          </w:p>
        </w:tc>
        <w:tc>
          <w:tcPr>
            <w:tcW w:w="2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94</w:t>
            </w:r>
          </w:p>
        </w:tc>
        <w:tc>
          <w:tcPr>
            <w:tcW w:w="940" w:type="dxa"/>
            <w:vAlign w:val="bottom"/>
            <w:gridSpan w:val="2"/>
          </w:tcPr>
          <w:p>
            <w:pPr>
              <w:jc w:val="right"/>
              <w:ind w:right="122"/>
              <w:spacing w:after="0"/>
              <w:rPr>
                <w:sz w:val="20"/>
                <w:szCs w:val="20"/>
                <w:color w:val="auto"/>
              </w:rPr>
            </w:pPr>
            <w:r>
              <w:rPr>
                <w:rFonts w:ascii="Arial" w:cs="Arial" w:eastAsia="Arial" w:hAnsi="Arial"/>
                <w:sz w:val="16"/>
                <w:szCs w:val="16"/>
                <w:color w:val="auto"/>
              </w:rPr>
              <w:t>4.6</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95</w:t>
            </w:r>
          </w:p>
        </w:tc>
        <w:tc>
          <w:tcPr>
            <w:tcW w:w="900" w:type="dxa"/>
            <w:vAlign w:val="bottom"/>
            <w:gridSpan w:val="2"/>
          </w:tcPr>
          <w:p>
            <w:pPr>
              <w:jc w:val="right"/>
              <w:ind w:right="122"/>
              <w:spacing w:after="0"/>
              <w:rPr>
                <w:sz w:val="20"/>
                <w:szCs w:val="20"/>
                <w:color w:val="auto"/>
              </w:rPr>
            </w:pPr>
            <w:r>
              <w:rPr>
                <w:rFonts w:ascii="Arial" w:cs="Arial" w:eastAsia="Arial" w:hAnsi="Arial"/>
                <w:sz w:val="16"/>
                <w:szCs w:val="16"/>
                <w:color w:val="auto"/>
              </w:rPr>
              <w:t>4.6</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154</w:t>
            </w:r>
          </w:p>
        </w:tc>
        <w:tc>
          <w:tcPr>
            <w:tcW w:w="940" w:type="dxa"/>
            <w:vAlign w:val="bottom"/>
            <w:gridSpan w:val="2"/>
          </w:tcPr>
          <w:p>
            <w:pPr>
              <w:jc w:val="right"/>
              <w:ind w:right="122"/>
              <w:spacing w:after="0"/>
              <w:rPr>
                <w:sz w:val="20"/>
                <w:szCs w:val="20"/>
                <w:color w:val="auto"/>
              </w:rPr>
            </w:pPr>
            <w:r>
              <w:rPr>
                <w:rFonts w:ascii="Arial" w:cs="Arial" w:eastAsia="Arial" w:hAnsi="Arial"/>
                <w:sz w:val="16"/>
                <w:szCs w:val="16"/>
                <w:color w:val="auto"/>
              </w:rPr>
              <w:t>7.1</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156</w:t>
            </w:r>
          </w:p>
        </w:tc>
        <w:tc>
          <w:tcPr>
            <w:tcW w:w="960" w:type="dxa"/>
            <w:vAlign w:val="bottom"/>
            <w:gridSpan w:val="2"/>
          </w:tcPr>
          <w:p>
            <w:pPr>
              <w:jc w:val="right"/>
              <w:ind w:right="122"/>
              <w:spacing w:after="0"/>
              <w:rPr>
                <w:sz w:val="20"/>
                <w:szCs w:val="20"/>
                <w:color w:val="auto"/>
              </w:rPr>
            </w:pPr>
            <w:r>
              <w:rPr>
                <w:rFonts w:ascii="Arial" w:cs="Arial" w:eastAsia="Arial" w:hAnsi="Arial"/>
                <w:sz w:val="16"/>
                <w:szCs w:val="16"/>
                <w:color w:val="auto"/>
              </w:rPr>
              <w:t>7.4</w:t>
            </w:r>
          </w:p>
        </w:tc>
      </w:tr>
      <w:tr>
        <w:trPr>
          <w:trHeight w:val="228"/>
        </w:trPr>
        <w:tc>
          <w:tcPr>
            <w:tcW w:w="2320" w:type="dxa"/>
            <w:vAlign w:val="bottom"/>
          </w:tcPr>
          <w:p>
            <w:pPr>
              <w:spacing w:after="0"/>
              <w:rPr>
                <w:sz w:val="20"/>
                <w:szCs w:val="20"/>
                <w:color w:val="auto"/>
              </w:rPr>
            </w:pPr>
            <w:r>
              <w:rPr>
                <w:rFonts w:ascii="Arial" w:cs="Arial" w:eastAsia="Arial" w:hAnsi="Arial"/>
                <w:sz w:val="16"/>
                <w:szCs w:val="16"/>
                <w:color w:val="auto"/>
              </w:rPr>
              <w:t>Other (2)</w:t>
            </w:r>
          </w:p>
        </w:tc>
        <w:tc>
          <w:tcPr>
            <w:tcW w:w="2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45</w:t>
            </w:r>
          </w:p>
        </w:tc>
        <w:tc>
          <w:tcPr>
            <w:tcW w:w="940" w:type="dxa"/>
            <w:vAlign w:val="bottom"/>
            <w:gridSpan w:val="2"/>
          </w:tcPr>
          <w:p>
            <w:pPr>
              <w:jc w:val="right"/>
              <w:ind w:right="122"/>
              <w:spacing w:after="0"/>
              <w:rPr>
                <w:sz w:val="20"/>
                <w:szCs w:val="20"/>
                <w:color w:val="auto"/>
              </w:rPr>
            </w:pPr>
            <w:r>
              <w:rPr>
                <w:rFonts w:ascii="Arial" w:cs="Arial" w:eastAsia="Arial" w:hAnsi="Arial"/>
                <w:sz w:val="16"/>
                <w:szCs w:val="16"/>
                <w:color w:val="auto"/>
              </w:rPr>
              <w:t>2.1</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43</w:t>
            </w:r>
          </w:p>
        </w:tc>
        <w:tc>
          <w:tcPr>
            <w:tcW w:w="900" w:type="dxa"/>
            <w:vAlign w:val="bottom"/>
            <w:gridSpan w:val="2"/>
          </w:tcPr>
          <w:p>
            <w:pPr>
              <w:jc w:val="right"/>
              <w:ind w:right="122"/>
              <w:spacing w:after="0"/>
              <w:rPr>
                <w:sz w:val="20"/>
                <w:szCs w:val="20"/>
                <w:color w:val="auto"/>
              </w:rPr>
            </w:pPr>
            <w:r>
              <w:rPr>
                <w:rFonts w:ascii="Arial" w:cs="Arial" w:eastAsia="Arial" w:hAnsi="Arial"/>
                <w:sz w:val="16"/>
                <w:szCs w:val="16"/>
                <w:color w:val="auto"/>
              </w:rPr>
              <w:t>2.1</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45</w:t>
            </w:r>
          </w:p>
        </w:tc>
        <w:tc>
          <w:tcPr>
            <w:tcW w:w="940" w:type="dxa"/>
            <w:vAlign w:val="bottom"/>
            <w:gridSpan w:val="2"/>
          </w:tcPr>
          <w:p>
            <w:pPr>
              <w:jc w:val="right"/>
              <w:ind w:right="122"/>
              <w:spacing w:after="0"/>
              <w:rPr>
                <w:sz w:val="20"/>
                <w:szCs w:val="20"/>
                <w:color w:val="auto"/>
              </w:rPr>
            </w:pPr>
            <w:r>
              <w:rPr>
                <w:rFonts w:ascii="Arial" w:cs="Arial" w:eastAsia="Arial" w:hAnsi="Arial"/>
                <w:sz w:val="16"/>
                <w:szCs w:val="16"/>
                <w:color w:val="auto"/>
              </w:rPr>
              <w:t>2.1</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45</w:t>
            </w:r>
          </w:p>
        </w:tc>
        <w:tc>
          <w:tcPr>
            <w:tcW w:w="960" w:type="dxa"/>
            <w:vAlign w:val="bottom"/>
            <w:gridSpan w:val="2"/>
          </w:tcPr>
          <w:p>
            <w:pPr>
              <w:jc w:val="right"/>
              <w:ind w:right="122"/>
              <w:spacing w:after="0"/>
              <w:rPr>
                <w:sz w:val="20"/>
                <w:szCs w:val="20"/>
                <w:color w:val="auto"/>
              </w:rPr>
            </w:pPr>
            <w:r>
              <w:rPr>
                <w:rFonts w:ascii="Arial" w:cs="Arial" w:eastAsia="Arial" w:hAnsi="Arial"/>
                <w:sz w:val="16"/>
                <w:szCs w:val="16"/>
                <w:color w:val="auto"/>
              </w:rPr>
              <w:t>2.1</w:t>
            </w:r>
          </w:p>
        </w:tc>
      </w:tr>
      <w:tr>
        <w:trPr>
          <w:trHeight w:val="181"/>
        </w:trPr>
        <w:tc>
          <w:tcPr>
            <w:tcW w:w="2320" w:type="dxa"/>
            <w:vAlign w:val="bottom"/>
          </w:tcPr>
          <w:p>
            <w:pPr>
              <w:spacing w:after="0"/>
              <w:rPr>
                <w:sz w:val="15"/>
                <w:szCs w:val="15"/>
                <w:color w:val="auto"/>
              </w:rPr>
            </w:pPr>
          </w:p>
        </w:tc>
        <w:tc>
          <w:tcPr>
            <w:tcW w:w="220" w:type="dxa"/>
            <w:vAlign w:val="bottom"/>
            <w:tcBorders>
              <w:top w:val="single" w:sz="8" w:color="auto"/>
              <w:bottom w:val="single" w:sz="8" w:color="auto"/>
            </w:tcBorders>
          </w:tcPr>
          <w:p>
            <w:pPr>
              <w:jc w:val="right"/>
              <w:ind w:right="22"/>
              <w:spacing w:after="0" w:line="181" w:lineRule="exact"/>
              <w:rPr>
                <w:sz w:val="20"/>
                <w:szCs w:val="20"/>
                <w:color w:val="auto"/>
              </w:rPr>
            </w:pPr>
            <w:r>
              <w:rPr>
                <w:rFonts w:ascii="Arial" w:cs="Arial" w:eastAsia="Arial" w:hAnsi="Arial"/>
                <w:sz w:val="16"/>
                <w:szCs w:val="16"/>
                <w:color w:val="auto"/>
              </w:rPr>
              <w:t>$</w:t>
            </w:r>
          </w:p>
        </w:tc>
        <w:tc>
          <w:tcPr>
            <w:tcW w:w="700" w:type="dxa"/>
            <w:vAlign w:val="bottom"/>
            <w:tcBorders>
              <w:top w:val="single" w:sz="8" w:color="auto"/>
              <w:bottom w:val="single" w:sz="8" w:color="auto"/>
            </w:tcBorders>
          </w:tcPr>
          <w:p>
            <w:pPr>
              <w:jc w:val="right"/>
              <w:spacing w:after="0" w:line="181" w:lineRule="exact"/>
              <w:rPr>
                <w:sz w:val="20"/>
                <w:szCs w:val="20"/>
                <w:color w:val="auto"/>
              </w:rPr>
            </w:pPr>
            <w:r>
              <w:rPr>
                <w:rFonts w:ascii="Arial" w:cs="Arial" w:eastAsia="Arial" w:hAnsi="Arial"/>
                <w:sz w:val="16"/>
                <w:szCs w:val="16"/>
                <w:color w:val="auto"/>
              </w:rPr>
              <w:t>2,059</w:t>
            </w:r>
          </w:p>
        </w:tc>
        <w:tc>
          <w:tcPr>
            <w:tcW w:w="80" w:type="dxa"/>
            <w:vAlign w:val="bottom"/>
          </w:tcPr>
          <w:p>
            <w:pPr>
              <w:spacing w:after="0"/>
              <w:rPr>
                <w:sz w:val="15"/>
                <w:szCs w:val="15"/>
                <w:color w:val="auto"/>
              </w:rPr>
            </w:pPr>
          </w:p>
        </w:tc>
        <w:tc>
          <w:tcPr>
            <w:tcW w:w="860" w:type="dxa"/>
            <w:vAlign w:val="bottom"/>
            <w:tcBorders>
              <w:top w:val="single" w:sz="8" w:color="auto"/>
              <w:bottom w:val="single" w:sz="8" w:color="auto"/>
            </w:tcBorders>
          </w:tcPr>
          <w:p>
            <w:pPr>
              <w:jc w:val="right"/>
              <w:spacing w:after="0" w:line="181" w:lineRule="exact"/>
              <w:rPr>
                <w:sz w:val="20"/>
                <w:szCs w:val="20"/>
                <w:color w:val="auto"/>
              </w:rPr>
            </w:pPr>
            <w:r>
              <w:rPr>
                <w:rFonts w:ascii="Arial" w:cs="Arial" w:eastAsia="Arial" w:hAnsi="Arial"/>
                <w:sz w:val="16"/>
                <w:szCs w:val="16"/>
                <w:color w:val="auto"/>
              </w:rPr>
              <w:t>100.0 %</w:t>
            </w:r>
          </w:p>
        </w:tc>
        <w:tc>
          <w:tcPr>
            <w:tcW w:w="80" w:type="dxa"/>
            <w:vAlign w:val="bottom"/>
          </w:tcPr>
          <w:p>
            <w:pPr>
              <w:spacing w:after="0"/>
              <w:rPr>
                <w:sz w:val="15"/>
                <w:szCs w:val="15"/>
                <w:color w:val="auto"/>
              </w:rPr>
            </w:pPr>
          </w:p>
        </w:tc>
        <w:tc>
          <w:tcPr>
            <w:tcW w:w="200" w:type="dxa"/>
            <w:vAlign w:val="bottom"/>
            <w:tcBorders>
              <w:top w:val="single" w:sz="8" w:color="auto"/>
              <w:bottom w:val="single" w:sz="8" w:color="auto"/>
            </w:tcBorders>
          </w:tcPr>
          <w:p>
            <w:pPr>
              <w:jc w:val="right"/>
              <w:ind w:right="2"/>
              <w:spacing w:after="0" w:line="181" w:lineRule="exact"/>
              <w:rPr>
                <w:sz w:val="20"/>
                <w:szCs w:val="20"/>
                <w:color w:val="auto"/>
              </w:rPr>
            </w:pPr>
            <w:r>
              <w:rPr>
                <w:rFonts w:ascii="Arial" w:cs="Arial" w:eastAsia="Arial" w:hAnsi="Arial"/>
                <w:sz w:val="16"/>
                <w:szCs w:val="16"/>
                <w:color w:val="auto"/>
              </w:rPr>
              <w:t>$</w:t>
            </w:r>
          </w:p>
        </w:tc>
        <w:tc>
          <w:tcPr>
            <w:tcW w:w="720" w:type="dxa"/>
            <w:vAlign w:val="bottom"/>
            <w:tcBorders>
              <w:top w:val="single" w:sz="8" w:color="auto"/>
              <w:bottom w:val="single" w:sz="8" w:color="auto"/>
            </w:tcBorders>
          </w:tcPr>
          <w:p>
            <w:pPr>
              <w:jc w:val="right"/>
              <w:spacing w:after="0" w:line="181" w:lineRule="exact"/>
              <w:rPr>
                <w:sz w:val="20"/>
                <w:szCs w:val="20"/>
                <w:color w:val="auto"/>
              </w:rPr>
            </w:pPr>
            <w:r>
              <w:rPr>
                <w:rFonts w:ascii="Arial" w:cs="Arial" w:eastAsia="Arial" w:hAnsi="Arial"/>
                <w:sz w:val="16"/>
                <w:szCs w:val="16"/>
                <w:color w:val="auto"/>
              </w:rPr>
              <w:t>2,059</w:t>
            </w:r>
          </w:p>
        </w:tc>
        <w:tc>
          <w:tcPr>
            <w:tcW w:w="80" w:type="dxa"/>
            <w:vAlign w:val="bottom"/>
          </w:tcPr>
          <w:p>
            <w:pPr>
              <w:spacing w:after="0"/>
              <w:rPr>
                <w:sz w:val="15"/>
                <w:szCs w:val="15"/>
                <w:color w:val="auto"/>
              </w:rPr>
            </w:pPr>
          </w:p>
        </w:tc>
        <w:tc>
          <w:tcPr>
            <w:tcW w:w="820" w:type="dxa"/>
            <w:vAlign w:val="bottom"/>
            <w:tcBorders>
              <w:top w:val="single" w:sz="8" w:color="auto"/>
              <w:bottom w:val="single" w:sz="8" w:color="auto"/>
            </w:tcBorders>
          </w:tcPr>
          <w:p>
            <w:pPr>
              <w:jc w:val="right"/>
              <w:spacing w:after="0" w:line="181" w:lineRule="exact"/>
              <w:rPr>
                <w:sz w:val="20"/>
                <w:szCs w:val="20"/>
                <w:color w:val="auto"/>
              </w:rPr>
            </w:pPr>
            <w:r>
              <w:rPr>
                <w:rFonts w:ascii="Arial" w:cs="Arial" w:eastAsia="Arial" w:hAnsi="Arial"/>
                <w:sz w:val="16"/>
                <w:szCs w:val="16"/>
                <w:color w:val="auto"/>
              </w:rPr>
              <w:t>100.0 %</w:t>
            </w:r>
          </w:p>
        </w:tc>
        <w:tc>
          <w:tcPr>
            <w:tcW w:w="80" w:type="dxa"/>
            <w:vAlign w:val="bottom"/>
          </w:tcPr>
          <w:p>
            <w:pPr>
              <w:spacing w:after="0"/>
              <w:rPr>
                <w:sz w:val="15"/>
                <w:szCs w:val="15"/>
                <w:color w:val="auto"/>
              </w:rPr>
            </w:pPr>
          </w:p>
        </w:tc>
        <w:tc>
          <w:tcPr>
            <w:tcW w:w="220" w:type="dxa"/>
            <w:vAlign w:val="bottom"/>
            <w:tcBorders>
              <w:top w:val="single" w:sz="8" w:color="auto"/>
              <w:bottom w:val="single" w:sz="8" w:color="auto"/>
            </w:tcBorders>
          </w:tcPr>
          <w:p>
            <w:pPr>
              <w:jc w:val="right"/>
              <w:ind w:right="22"/>
              <w:spacing w:after="0" w:line="181" w:lineRule="exact"/>
              <w:rPr>
                <w:sz w:val="20"/>
                <w:szCs w:val="20"/>
                <w:color w:val="auto"/>
              </w:rPr>
            </w:pPr>
            <w:r>
              <w:rPr>
                <w:rFonts w:ascii="Arial" w:cs="Arial" w:eastAsia="Arial" w:hAnsi="Arial"/>
                <w:sz w:val="16"/>
                <w:szCs w:val="16"/>
                <w:color w:val="auto"/>
              </w:rPr>
              <w:t>$</w:t>
            </w:r>
          </w:p>
        </w:tc>
        <w:tc>
          <w:tcPr>
            <w:tcW w:w="700" w:type="dxa"/>
            <w:vAlign w:val="bottom"/>
            <w:tcBorders>
              <w:top w:val="single" w:sz="8" w:color="auto"/>
              <w:bottom w:val="single" w:sz="8" w:color="auto"/>
            </w:tcBorders>
          </w:tcPr>
          <w:p>
            <w:pPr>
              <w:jc w:val="right"/>
              <w:spacing w:after="0" w:line="181" w:lineRule="exact"/>
              <w:rPr>
                <w:sz w:val="20"/>
                <w:szCs w:val="20"/>
                <w:color w:val="auto"/>
              </w:rPr>
            </w:pPr>
            <w:r>
              <w:rPr>
                <w:rFonts w:ascii="Arial" w:cs="Arial" w:eastAsia="Arial" w:hAnsi="Arial"/>
                <w:sz w:val="16"/>
                <w:szCs w:val="16"/>
                <w:color w:val="auto"/>
              </w:rPr>
              <w:t>2,154</w:t>
            </w:r>
          </w:p>
        </w:tc>
        <w:tc>
          <w:tcPr>
            <w:tcW w:w="80" w:type="dxa"/>
            <w:vAlign w:val="bottom"/>
          </w:tcPr>
          <w:p>
            <w:pPr>
              <w:spacing w:after="0"/>
              <w:rPr>
                <w:sz w:val="15"/>
                <w:szCs w:val="15"/>
                <w:color w:val="auto"/>
              </w:rPr>
            </w:pPr>
          </w:p>
        </w:tc>
        <w:tc>
          <w:tcPr>
            <w:tcW w:w="860" w:type="dxa"/>
            <w:vAlign w:val="bottom"/>
            <w:tcBorders>
              <w:top w:val="single" w:sz="8" w:color="auto"/>
              <w:bottom w:val="single" w:sz="8" w:color="auto"/>
            </w:tcBorders>
          </w:tcPr>
          <w:p>
            <w:pPr>
              <w:jc w:val="right"/>
              <w:spacing w:after="0" w:line="181" w:lineRule="exact"/>
              <w:rPr>
                <w:sz w:val="20"/>
                <w:szCs w:val="20"/>
                <w:color w:val="auto"/>
              </w:rPr>
            </w:pPr>
            <w:r>
              <w:rPr>
                <w:rFonts w:ascii="Arial" w:cs="Arial" w:eastAsia="Arial" w:hAnsi="Arial"/>
                <w:sz w:val="16"/>
                <w:szCs w:val="16"/>
                <w:color w:val="auto"/>
              </w:rPr>
              <w:t>100.0 %</w:t>
            </w:r>
          </w:p>
        </w:tc>
        <w:tc>
          <w:tcPr>
            <w:tcW w:w="80" w:type="dxa"/>
            <w:vAlign w:val="bottom"/>
          </w:tcPr>
          <w:p>
            <w:pPr>
              <w:spacing w:after="0"/>
              <w:rPr>
                <w:sz w:val="15"/>
                <w:szCs w:val="15"/>
                <w:color w:val="auto"/>
              </w:rPr>
            </w:pPr>
          </w:p>
        </w:tc>
        <w:tc>
          <w:tcPr>
            <w:tcW w:w="200" w:type="dxa"/>
            <w:vAlign w:val="bottom"/>
            <w:tcBorders>
              <w:top w:val="single" w:sz="8" w:color="auto"/>
              <w:bottom w:val="single" w:sz="8" w:color="auto"/>
            </w:tcBorders>
          </w:tcPr>
          <w:p>
            <w:pPr>
              <w:jc w:val="right"/>
              <w:ind w:right="2"/>
              <w:spacing w:after="0" w:line="181" w:lineRule="exact"/>
              <w:rPr>
                <w:sz w:val="20"/>
                <w:szCs w:val="20"/>
                <w:color w:val="auto"/>
              </w:rPr>
            </w:pPr>
            <w:r>
              <w:rPr>
                <w:rFonts w:ascii="Arial" w:cs="Arial" w:eastAsia="Arial" w:hAnsi="Arial"/>
                <w:sz w:val="16"/>
                <w:szCs w:val="16"/>
                <w:color w:val="auto"/>
              </w:rPr>
              <w:t>$</w:t>
            </w:r>
          </w:p>
        </w:tc>
        <w:tc>
          <w:tcPr>
            <w:tcW w:w="720" w:type="dxa"/>
            <w:vAlign w:val="bottom"/>
            <w:tcBorders>
              <w:top w:val="single" w:sz="8" w:color="auto"/>
              <w:bottom w:val="single" w:sz="8" w:color="auto"/>
            </w:tcBorders>
          </w:tcPr>
          <w:p>
            <w:pPr>
              <w:jc w:val="right"/>
              <w:spacing w:after="0" w:line="181" w:lineRule="exact"/>
              <w:rPr>
                <w:sz w:val="20"/>
                <w:szCs w:val="20"/>
                <w:color w:val="auto"/>
              </w:rPr>
            </w:pPr>
            <w:r>
              <w:rPr>
                <w:rFonts w:ascii="Arial" w:cs="Arial" w:eastAsia="Arial" w:hAnsi="Arial"/>
                <w:sz w:val="16"/>
                <w:szCs w:val="16"/>
                <w:color w:val="auto"/>
              </w:rPr>
              <w:t>2,107</w:t>
            </w:r>
          </w:p>
        </w:tc>
        <w:tc>
          <w:tcPr>
            <w:tcW w:w="80" w:type="dxa"/>
            <w:vAlign w:val="bottom"/>
          </w:tcPr>
          <w:p>
            <w:pPr>
              <w:spacing w:after="0"/>
              <w:rPr>
                <w:sz w:val="15"/>
                <w:szCs w:val="15"/>
                <w:color w:val="auto"/>
              </w:rPr>
            </w:pPr>
          </w:p>
        </w:tc>
        <w:tc>
          <w:tcPr>
            <w:tcW w:w="880" w:type="dxa"/>
            <w:vAlign w:val="bottom"/>
            <w:tcBorders>
              <w:top w:val="single" w:sz="8" w:color="auto"/>
              <w:bottom w:val="single" w:sz="8" w:color="auto"/>
            </w:tcBorders>
          </w:tcPr>
          <w:p>
            <w:pPr>
              <w:jc w:val="right"/>
              <w:spacing w:after="0" w:line="181" w:lineRule="exact"/>
              <w:rPr>
                <w:sz w:val="20"/>
                <w:szCs w:val="20"/>
                <w:color w:val="auto"/>
              </w:rPr>
            </w:pPr>
            <w:r>
              <w:rPr>
                <w:rFonts w:ascii="Arial" w:cs="Arial" w:eastAsia="Arial" w:hAnsi="Arial"/>
                <w:sz w:val="16"/>
                <w:szCs w:val="16"/>
                <w:color w:val="auto"/>
              </w:rPr>
              <w:t>100.0 %</w:t>
            </w:r>
          </w:p>
        </w:tc>
      </w:tr>
      <w:tr>
        <w:trPr>
          <w:trHeight w:val="20"/>
        </w:trPr>
        <w:tc>
          <w:tcPr>
            <w:tcW w:w="2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-1010920</wp:posOffset>
            </wp:positionV>
            <wp:extent cx="6391275" cy="101790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18">
                      <a:extLst>
                        <a:ext uri="{28A0092B-C50C-407E-A947-70E740481C1C}"/>
                      </a:extLst>
                    </a:blip>
                    <a:srcRect/>
                    <a:stretch>
                      <a:fillRect/>
                    </a:stretch>
                  </pic:blipFill>
                  <pic:spPr bwMode="auto">
                    <a:xfrm>
                      <a:off x="0" y="0"/>
                      <a:ext cx="6391275" cy="1017905"/>
                    </a:xfrm>
                    <a:prstGeom prst="rect">
                      <a:avLst/>
                    </a:prstGeom>
                    <a:noFill/>
                  </pic:spPr>
                </pic:pic>
              </a:graphicData>
            </a:graphic>
          </wp:anchor>
        </w:drawing>
      </w:r>
    </w:p>
    <w:p>
      <w:pPr>
        <w:spacing w:after="0" w:line="7" w:lineRule="exact"/>
        <w:rPr>
          <w:sz w:val="20"/>
          <w:szCs w:val="20"/>
          <w:color w:val="auto"/>
        </w:rPr>
      </w:pPr>
    </w:p>
    <w:p>
      <w:pPr>
        <w:ind w:left="700" w:hanging="355"/>
        <w:spacing w:after="0"/>
        <w:tabs>
          <w:tab w:leader="none" w:pos="700" w:val="left"/>
        </w:tabs>
        <w:numPr>
          <w:ilvl w:val="0"/>
          <w:numId w:val="20"/>
        </w:numPr>
        <w:rPr>
          <w:rFonts w:ascii="Arial" w:cs="Arial" w:eastAsia="Arial" w:hAnsi="Arial"/>
          <w:sz w:val="20"/>
          <w:szCs w:val="20"/>
          <w:color w:val="auto"/>
        </w:rPr>
      </w:pPr>
      <w:r>
        <w:rPr>
          <w:rFonts w:ascii="Arial" w:cs="Arial" w:eastAsia="Arial" w:hAnsi="Arial"/>
          <w:sz w:val="20"/>
          <w:szCs w:val="20"/>
          <w:color w:val="auto"/>
        </w:rPr>
        <w:t>Ratings as assigned by Moody’s, or S&amp;P, if a Moody's rating is unavailable.</w:t>
      </w:r>
    </w:p>
    <w:p>
      <w:pPr>
        <w:spacing w:after="0" w:line="103" w:lineRule="exact"/>
        <w:rPr>
          <w:rFonts w:ascii="Arial" w:cs="Arial" w:eastAsia="Arial" w:hAnsi="Arial"/>
          <w:sz w:val="20"/>
          <w:szCs w:val="20"/>
          <w:color w:val="auto"/>
        </w:rPr>
      </w:pPr>
    </w:p>
    <w:p>
      <w:pPr>
        <w:ind w:left="700" w:hanging="355"/>
        <w:spacing w:after="0"/>
        <w:tabs>
          <w:tab w:leader="none" w:pos="700" w:val="left"/>
        </w:tabs>
        <w:numPr>
          <w:ilvl w:val="0"/>
          <w:numId w:val="20"/>
        </w:numPr>
        <w:rPr>
          <w:rFonts w:ascii="Arial" w:cs="Arial" w:eastAsia="Arial" w:hAnsi="Arial"/>
          <w:sz w:val="20"/>
          <w:szCs w:val="20"/>
          <w:color w:val="auto"/>
        </w:rPr>
      </w:pPr>
      <w:r>
        <w:rPr>
          <w:rFonts w:ascii="Arial" w:cs="Arial" w:eastAsia="Arial" w:hAnsi="Arial"/>
          <w:sz w:val="20"/>
          <w:szCs w:val="20"/>
          <w:color w:val="auto"/>
        </w:rPr>
        <w:t>This category is composed of unrated securities.</w:t>
      </w:r>
    </w:p>
    <w:p>
      <w:pPr>
        <w:spacing w:after="0" w:line="103"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presents certain information regarding contractual maturities of our fixed maturity securities as of</w:t>
      </w:r>
    </w:p>
    <w:p>
      <w:pPr>
        <w:spacing w:after="0" w:line="59" w:lineRule="exact"/>
        <w:rPr>
          <w:sz w:val="20"/>
          <w:szCs w:val="20"/>
          <w:color w:val="auto"/>
        </w:rPr>
      </w:pPr>
    </w:p>
    <w:p>
      <w:pPr>
        <w:spacing w:after="0"/>
        <w:rPr>
          <w:sz w:val="20"/>
          <w:szCs w:val="20"/>
          <w:color w:val="auto"/>
        </w:rPr>
      </w:pPr>
      <w:r>
        <w:rPr>
          <w:rFonts w:ascii="Arial" w:cs="Arial" w:eastAsia="Arial" w:hAnsi="Arial"/>
          <w:sz w:val="20"/>
          <w:szCs w:val="20"/>
          <w:color w:val="auto"/>
        </w:rPr>
        <w:t>December 31, 2025 and 2024:</w:t>
      </w:r>
    </w:p>
    <w:p>
      <w:pPr>
        <w:spacing w:after="0" w:line="157" w:lineRule="exact"/>
        <w:rPr>
          <w:sz w:val="20"/>
          <w:szCs w:val="20"/>
          <w:color w:val="auto"/>
        </w:rPr>
      </w:pPr>
    </w:p>
    <w:tbl>
      <w:tblPr>
        <w:tblLayout w:type="fixed"/>
        <w:tblInd w:w="40" w:type="dxa"/>
        <w:tblCellMar>
          <w:top w:w="0" w:type="dxa"/>
          <w:left w:w="0" w:type="dxa"/>
          <w:bottom w:w="0" w:type="dxa"/>
          <w:right w:w="0" w:type="dxa"/>
        </w:tblCellMar>
      </w:tblPr>
      <w:tr>
        <w:trPr>
          <w:trHeight w:val="213"/>
        </w:trPr>
        <w:tc>
          <w:tcPr>
            <w:tcW w:w="6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gridSpan w:val="4"/>
          </w:tcPr>
          <w:p>
            <w:pPr>
              <w:ind w:left="240"/>
              <w:spacing w:after="0"/>
              <w:rPr>
                <w:sz w:val="20"/>
                <w:szCs w:val="20"/>
                <w:color w:val="auto"/>
              </w:rPr>
            </w:pPr>
            <w:r>
              <w:rPr>
                <w:rFonts w:ascii="Arial" w:cs="Arial" w:eastAsia="Arial" w:hAnsi="Arial"/>
                <w:sz w:val="16"/>
                <w:szCs w:val="16"/>
                <w:b w:val="1"/>
                <w:bCs w:val="1"/>
                <w:color w:val="auto"/>
              </w:rPr>
              <w:t>December 31, 2025</w:t>
            </w:r>
          </w:p>
        </w:tc>
        <w:tc>
          <w:tcPr>
            <w:tcW w:w="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r>
      <w:tr>
        <w:trPr>
          <w:trHeight w:val="252"/>
        </w:trPr>
        <w:tc>
          <w:tcPr>
            <w:tcW w:w="6220" w:type="dxa"/>
            <w:vAlign w:val="bottom"/>
          </w:tcPr>
          <w:p>
            <w:pPr>
              <w:spacing w:after="0"/>
              <w:rPr>
                <w:sz w:val="21"/>
                <w:szCs w:val="21"/>
                <w:color w:val="auto"/>
              </w:rPr>
            </w:pPr>
          </w:p>
        </w:tc>
        <w:tc>
          <w:tcPr>
            <w:tcW w:w="960" w:type="dxa"/>
            <w:vAlign w:val="bottom"/>
            <w:gridSpan w:val="2"/>
          </w:tcPr>
          <w:p>
            <w:pPr>
              <w:jc w:val="center"/>
              <w:spacing w:after="0"/>
              <w:rPr>
                <w:sz w:val="20"/>
                <w:szCs w:val="20"/>
                <w:color w:val="auto"/>
              </w:rPr>
            </w:pPr>
            <w:r>
              <w:rPr>
                <w:rFonts w:ascii="Arial" w:cs="Arial" w:eastAsia="Arial" w:hAnsi="Arial"/>
                <w:sz w:val="16"/>
                <w:szCs w:val="16"/>
                <w:b w:val="1"/>
                <w:bCs w:val="1"/>
                <w:color w:val="auto"/>
                <w:w w:val="91"/>
              </w:rPr>
              <w:t>Amortized</w:t>
            </w:r>
          </w:p>
        </w:tc>
        <w:tc>
          <w:tcPr>
            <w:tcW w:w="60" w:type="dxa"/>
            <w:vAlign w:val="bottom"/>
          </w:tcPr>
          <w:p>
            <w:pPr>
              <w:spacing w:after="0"/>
              <w:rPr>
                <w:sz w:val="21"/>
                <w:szCs w:val="21"/>
                <w:color w:val="auto"/>
              </w:rPr>
            </w:pPr>
          </w:p>
        </w:tc>
        <w:tc>
          <w:tcPr>
            <w:tcW w:w="820" w:type="dxa"/>
            <w:vAlign w:val="bottom"/>
          </w:tcPr>
          <w:p>
            <w:pPr>
              <w:jc w:val="right"/>
              <w:ind w:right="162"/>
              <w:spacing w:after="0"/>
              <w:rPr>
                <w:sz w:val="20"/>
                <w:szCs w:val="20"/>
                <w:color w:val="auto"/>
              </w:rPr>
            </w:pPr>
            <w:r>
              <w:rPr>
                <w:rFonts w:ascii="Arial" w:cs="Arial" w:eastAsia="Arial" w:hAnsi="Arial"/>
                <w:sz w:val="16"/>
                <w:szCs w:val="16"/>
                <w:b w:val="1"/>
                <w:bCs w:val="1"/>
                <w:color w:val="auto"/>
              </w:rPr>
              <w:t>% of</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jc w:val="center"/>
              <w:ind w:right="122"/>
              <w:spacing w:after="0"/>
              <w:rPr>
                <w:sz w:val="20"/>
                <w:szCs w:val="20"/>
                <w:color w:val="auto"/>
              </w:rPr>
            </w:pPr>
            <w:r>
              <w:rPr>
                <w:rFonts w:ascii="Arial" w:cs="Arial" w:eastAsia="Arial" w:hAnsi="Arial"/>
                <w:sz w:val="16"/>
                <w:szCs w:val="16"/>
                <w:b w:val="1"/>
                <w:bCs w:val="1"/>
                <w:color w:val="auto"/>
              </w:rPr>
              <w:t>Fair</w:t>
            </w:r>
          </w:p>
        </w:tc>
        <w:tc>
          <w:tcPr>
            <w:tcW w:w="80" w:type="dxa"/>
            <w:vAlign w:val="bottom"/>
          </w:tcPr>
          <w:p>
            <w:pPr>
              <w:spacing w:after="0"/>
              <w:rPr>
                <w:sz w:val="21"/>
                <w:szCs w:val="21"/>
                <w:color w:val="auto"/>
              </w:rPr>
            </w:pPr>
          </w:p>
        </w:tc>
        <w:tc>
          <w:tcPr>
            <w:tcW w:w="820" w:type="dxa"/>
            <w:vAlign w:val="bottom"/>
          </w:tcPr>
          <w:p>
            <w:pPr>
              <w:ind w:left="240"/>
              <w:spacing w:after="0"/>
              <w:rPr>
                <w:sz w:val="20"/>
                <w:szCs w:val="20"/>
                <w:color w:val="auto"/>
              </w:rPr>
            </w:pPr>
            <w:r>
              <w:rPr>
                <w:rFonts w:ascii="Arial" w:cs="Arial" w:eastAsia="Arial" w:hAnsi="Arial"/>
                <w:sz w:val="16"/>
                <w:szCs w:val="16"/>
                <w:b w:val="1"/>
                <w:bCs w:val="1"/>
                <w:color w:val="auto"/>
              </w:rPr>
              <w:t>% of</w:t>
            </w:r>
          </w:p>
        </w:tc>
      </w:tr>
      <w:tr>
        <w:trPr>
          <w:trHeight w:val="242"/>
        </w:trPr>
        <w:tc>
          <w:tcPr>
            <w:tcW w:w="6220" w:type="dxa"/>
            <w:vAlign w:val="bottom"/>
          </w:tcPr>
          <w:p>
            <w:pPr>
              <w:spacing w:after="0"/>
              <w:rPr>
                <w:sz w:val="20"/>
                <w:szCs w:val="20"/>
                <w:color w:val="auto"/>
              </w:rPr>
            </w:pPr>
            <w:r>
              <w:rPr>
                <w:rFonts w:ascii="Arial" w:cs="Arial" w:eastAsia="Arial" w:hAnsi="Arial"/>
                <w:sz w:val="16"/>
                <w:szCs w:val="16"/>
                <w:b w:val="1"/>
                <w:bCs w:val="1"/>
                <w:color w:val="auto"/>
              </w:rPr>
              <w:t>Maturity</w:t>
            </w:r>
          </w:p>
        </w:tc>
        <w:tc>
          <w:tcPr>
            <w:tcW w:w="24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center"/>
              <w:ind w:right="162"/>
              <w:spacing w:after="0"/>
              <w:rPr>
                <w:sz w:val="20"/>
                <w:szCs w:val="20"/>
                <w:color w:val="auto"/>
              </w:rPr>
            </w:pPr>
            <w:r>
              <w:rPr>
                <w:rFonts w:ascii="Arial" w:cs="Arial" w:eastAsia="Arial" w:hAnsi="Arial"/>
                <w:sz w:val="16"/>
                <w:szCs w:val="16"/>
                <w:b w:val="1"/>
                <w:bCs w:val="1"/>
                <w:color w:val="auto"/>
                <w:w w:val="89"/>
              </w:rPr>
              <w:t>Cost</w:t>
            </w:r>
          </w:p>
        </w:tc>
        <w:tc>
          <w:tcPr>
            <w:tcW w:w="60" w:type="dxa"/>
            <w:vAlign w:val="bottom"/>
          </w:tcPr>
          <w:p>
            <w:pPr>
              <w:spacing w:after="0"/>
              <w:rPr>
                <w:sz w:val="21"/>
                <w:szCs w:val="21"/>
                <w:color w:val="auto"/>
              </w:rPr>
            </w:pPr>
          </w:p>
        </w:tc>
        <w:tc>
          <w:tcPr>
            <w:tcW w:w="820" w:type="dxa"/>
            <w:vAlign w:val="bottom"/>
            <w:tcBorders>
              <w:bottom w:val="single" w:sz="8" w:color="auto"/>
            </w:tcBorders>
          </w:tcPr>
          <w:p>
            <w:pPr>
              <w:ind w:left="240"/>
              <w:spacing w:after="0"/>
              <w:rPr>
                <w:sz w:val="20"/>
                <w:szCs w:val="20"/>
                <w:color w:val="auto"/>
              </w:rPr>
            </w:pPr>
            <w:r>
              <w:rPr>
                <w:rFonts w:ascii="Arial" w:cs="Arial" w:eastAsia="Arial" w:hAnsi="Arial"/>
                <w:sz w:val="16"/>
                <w:szCs w:val="16"/>
                <w:b w:val="1"/>
                <w:bCs w:val="1"/>
                <w:color w:val="auto"/>
              </w:rPr>
              <w:t>Total</w:t>
            </w:r>
          </w:p>
        </w:tc>
        <w:tc>
          <w:tcPr>
            <w:tcW w:w="8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center"/>
              <w:ind w:right="122"/>
              <w:spacing w:after="0"/>
              <w:rPr>
                <w:sz w:val="20"/>
                <w:szCs w:val="20"/>
                <w:color w:val="auto"/>
              </w:rPr>
            </w:pPr>
            <w:r>
              <w:rPr>
                <w:rFonts w:ascii="Arial" w:cs="Arial" w:eastAsia="Arial" w:hAnsi="Arial"/>
                <w:sz w:val="16"/>
                <w:szCs w:val="16"/>
                <w:b w:val="1"/>
                <w:bCs w:val="1"/>
                <w:color w:val="auto"/>
                <w:w w:val="88"/>
              </w:rPr>
              <w:t>Value</w:t>
            </w:r>
          </w:p>
        </w:tc>
        <w:tc>
          <w:tcPr>
            <w:tcW w:w="80" w:type="dxa"/>
            <w:vAlign w:val="bottom"/>
          </w:tcPr>
          <w:p>
            <w:pPr>
              <w:spacing w:after="0"/>
              <w:rPr>
                <w:sz w:val="21"/>
                <w:szCs w:val="21"/>
                <w:color w:val="auto"/>
              </w:rPr>
            </w:pPr>
          </w:p>
        </w:tc>
        <w:tc>
          <w:tcPr>
            <w:tcW w:w="820" w:type="dxa"/>
            <w:vAlign w:val="bottom"/>
            <w:tcBorders>
              <w:bottom w:val="single" w:sz="8" w:color="auto"/>
            </w:tcBorders>
          </w:tcPr>
          <w:p>
            <w:pPr>
              <w:ind w:left="220"/>
              <w:spacing w:after="0"/>
              <w:rPr>
                <w:sz w:val="20"/>
                <w:szCs w:val="20"/>
                <w:color w:val="auto"/>
              </w:rPr>
            </w:pPr>
            <w:r>
              <w:rPr>
                <w:rFonts w:ascii="Arial" w:cs="Arial" w:eastAsia="Arial" w:hAnsi="Arial"/>
                <w:sz w:val="16"/>
                <w:szCs w:val="16"/>
                <w:b w:val="1"/>
                <w:bCs w:val="1"/>
                <w:color w:val="auto"/>
              </w:rPr>
              <w:t>Total</w:t>
            </w:r>
          </w:p>
        </w:tc>
      </w:tr>
      <w:tr>
        <w:trPr>
          <w:trHeight w:val="208"/>
        </w:trPr>
        <w:tc>
          <w:tcPr>
            <w:tcW w:w="6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40" w:type="dxa"/>
            <w:vAlign w:val="bottom"/>
            <w:gridSpan w:val="4"/>
          </w:tcPr>
          <w:p>
            <w:pPr>
              <w:jc w:val="right"/>
              <w:ind w:right="222"/>
              <w:spacing w:after="0"/>
              <w:rPr>
                <w:sz w:val="20"/>
                <w:szCs w:val="20"/>
                <w:color w:val="auto"/>
              </w:rPr>
            </w:pPr>
            <w:r>
              <w:rPr>
                <w:rFonts w:ascii="Arial" w:cs="Arial" w:eastAsia="Arial" w:hAnsi="Arial"/>
                <w:sz w:val="16"/>
                <w:szCs w:val="16"/>
                <w:b w:val="1"/>
                <w:bCs w:val="1"/>
                <w:color w:val="auto"/>
              </w:rPr>
              <w:t>(Dollars in millions)</w:t>
            </w: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20"/>
        </w:trPr>
        <w:tc>
          <w:tcPr>
            <w:tcW w:w="6220" w:type="dxa"/>
            <w:vAlign w:val="bottom"/>
          </w:tcPr>
          <w:p>
            <w:pPr>
              <w:spacing w:after="0"/>
              <w:rPr>
                <w:sz w:val="20"/>
                <w:szCs w:val="20"/>
                <w:color w:val="auto"/>
              </w:rPr>
            </w:pPr>
            <w:r>
              <w:rPr>
                <w:rFonts w:ascii="Arial" w:cs="Arial" w:eastAsia="Arial" w:hAnsi="Arial"/>
                <w:sz w:val="16"/>
                <w:szCs w:val="16"/>
                <w:color w:val="auto"/>
              </w:rPr>
              <w:t>One year or less</w:t>
            </w:r>
          </w:p>
        </w:tc>
        <w:tc>
          <w:tcPr>
            <w:tcW w:w="24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2"/>
              <w:spacing w:after="0"/>
              <w:rPr>
                <w:sz w:val="20"/>
                <w:szCs w:val="20"/>
                <w:color w:val="auto"/>
              </w:rPr>
            </w:pPr>
            <w:r>
              <w:rPr>
                <w:rFonts w:ascii="Arial" w:cs="Arial" w:eastAsia="Arial" w:hAnsi="Arial"/>
                <w:sz w:val="16"/>
                <w:szCs w:val="16"/>
                <w:color w:val="auto"/>
              </w:rPr>
              <w:t>292</w:t>
            </w: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15.6 %</w:t>
            </w:r>
          </w:p>
        </w:tc>
        <w:tc>
          <w:tcPr>
            <w:tcW w:w="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289</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15.5 %</w:t>
            </w:r>
          </w:p>
        </w:tc>
      </w:tr>
      <w:tr>
        <w:trPr>
          <w:trHeight w:val="220"/>
        </w:trPr>
        <w:tc>
          <w:tcPr>
            <w:tcW w:w="6220" w:type="dxa"/>
            <w:vAlign w:val="bottom"/>
          </w:tcPr>
          <w:p>
            <w:pPr>
              <w:spacing w:after="0"/>
              <w:rPr>
                <w:sz w:val="20"/>
                <w:szCs w:val="20"/>
                <w:color w:val="auto"/>
              </w:rPr>
            </w:pPr>
            <w:r>
              <w:rPr>
                <w:rFonts w:ascii="Arial" w:cs="Arial" w:eastAsia="Arial" w:hAnsi="Arial"/>
                <w:sz w:val="16"/>
                <w:szCs w:val="16"/>
                <w:color w:val="auto"/>
              </w:rPr>
              <w:t>After one year through five years</w:t>
            </w:r>
          </w:p>
        </w:tc>
        <w:tc>
          <w:tcPr>
            <w:tcW w:w="240" w:type="dxa"/>
            <w:vAlign w:val="bottom"/>
          </w:tcPr>
          <w:p>
            <w:pPr>
              <w:spacing w:after="0"/>
              <w:rPr>
                <w:sz w:val="19"/>
                <w:szCs w:val="19"/>
                <w:color w:val="auto"/>
              </w:rPr>
            </w:pPr>
          </w:p>
        </w:tc>
        <w:tc>
          <w:tcPr>
            <w:tcW w:w="720" w:type="dxa"/>
            <w:vAlign w:val="bottom"/>
          </w:tcPr>
          <w:p>
            <w:pPr>
              <w:jc w:val="right"/>
              <w:ind w:right="2"/>
              <w:spacing w:after="0"/>
              <w:rPr>
                <w:sz w:val="20"/>
                <w:szCs w:val="20"/>
                <w:color w:val="auto"/>
              </w:rPr>
            </w:pPr>
            <w:r>
              <w:rPr>
                <w:rFonts w:ascii="Arial" w:cs="Arial" w:eastAsia="Arial" w:hAnsi="Arial"/>
                <w:sz w:val="16"/>
                <w:szCs w:val="16"/>
                <w:color w:val="auto"/>
              </w:rPr>
              <w:t>1,045</w:t>
            </w:r>
          </w:p>
        </w:tc>
        <w:tc>
          <w:tcPr>
            <w:tcW w:w="880" w:type="dxa"/>
            <w:vAlign w:val="bottom"/>
            <w:gridSpan w:val="2"/>
          </w:tcPr>
          <w:p>
            <w:pPr>
              <w:jc w:val="right"/>
              <w:ind w:right="122"/>
              <w:spacing w:after="0"/>
              <w:rPr>
                <w:sz w:val="20"/>
                <w:szCs w:val="20"/>
                <w:color w:val="auto"/>
              </w:rPr>
            </w:pPr>
            <w:r>
              <w:rPr>
                <w:rFonts w:ascii="Arial" w:cs="Arial" w:eastAsia="Arial" w:hAnsi="Arial"/>
                <w:sz w:val="16"/>
                <w:szCs w:val="16"/>
                <w:color w:val="auto"/>
              </w:rPr>
              <w:t>55.9</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1,040</w:t>
            </w:r>
          </w:p>
        </w:tc>
        <w:tc>
          <w:tcPr>
            <w:tcW w:w="900" w:type="dxa"/>
            <w:vAlign w:val="bottom"/>
            <w:gridSpan w:val="2"/>
          </w:tcPr>
          <w:p>
            <w:pPr>
              <w:jc w:val="right"/>
              <w:ind w:right="122"/>
              <w:spacing w:after="0"/>
              <w:rPr>
                <w:sz w:val="20"/>
                <w:szCs w:val="20"/>
                <w:color w:val="auto"/>
              </w:rPr>
            </w:pPr>
            <w:r>
              <w:rPr>
                <w:rFonts w:ascii="Arial" w:cs="Arial" w:eastAsia="Arial" w:hAnsi="Arial"/>
                <w:sz w:val="16"/>
                <w:szCs w:val="16"/>
                <w:color w:val="auto"/>
              </w:rPr>
              <w:t>55.9</w:t>
            </w:r>
          </w:p>
        </w:tc>
      </w:tr>
      <w:tr>
        <w:trPr>
          <w:trHeight w:val="221"/>
        </w:trPr>
        <w:tc>
          <w:tcPr>
            <w:tcW w:w="6220" w:type="dxa"/>
            <w:vAlign w:val="bottom"/>
          </w:tcPr>
          <w:p>
            <w:pPr>
              <w:spacing w:after="0"/>
              <w:rPr>
                <w:sz w:val="20"/>
                <w:szCs w:val="20"/>
                <w:color w:val="auto"/>
              </w:rPr>
            </w:pPr>
            <w:r>
              <w:rPr>
                <w:rFonts w:ascii="Arial" w:cs="Arial" w:eastAsia="Arial" w:hAnsi="Arial"/>
                <w:sz w:val="16"/>
                <w:szCs w:val="16"/>
                <w:color w:val="auto"/>
              </w:rPr>
              <w:t>After five years through ten years</w:t>
            </w:r>
          </w:p>
        </w:tc>
        <w:tc>
          <w:tcPr>
            <w:tcW w:w="240" w:type="dxa"/>
            <w:vAlign w:val="bottom"/>
          </w:tcPr>
          <w:p>
            <w:pPr>
              <w:spacing w:after="0"/>
              <w:rPr>
                <w:sz w:val="19"/>
                <w:szCs w:val="19"/>
                <w:color w:val="auto"/>
              </w:rPr>
            </w:pPr>
          </w:p>
        </w:tc>
        <w:tc>
          <w:tcPr>
            <w:tcW w:w="720" w:type="dxa"/>
            <w:vAlign w:val="bottom"/>
          </w:tcPr>
          <w:p>
            <w:pPr>
              <w:jc w:val="right"/>
              <w:ind w:right="2"/>
              <w:spacing w:after="0"/>
              <w:rPr>
                <w:sz w:val="20"/>
                <w:szCs w:val="20"/>
                <w:color w:val="auto"/>
              </w:rPr>
            </w:pPr>
            <w:r>
              <w:rPr>
                <w:rFonts w:ascii="Arial" w:cs="Arial" w:eastAsia="Arial" w:hAnsi="Arial"/>
                <w:sz w:val="16"/>
                <w:szCs w:val="16"/>
                <w:color w:val="auto"/>
              </w:rPr>
              <w:t>413</w:t>
            </w:r>
          </w:p>
        </w:tc>
        <w:tc>
          <w:tcPr>
            <w:tcW w:w="880" w:type="dxa"/>
            <w:vAlign w:val="bottom"/>
            <w:gridSpan w:val="2"/>
          </w:tcPr>
          <w:p>
            <w:pPr>
              <w:jc w:val="right"/>
              <w:ind w:right="122"/>
              <w:spacing w:after="0"/>
              <w:rPr>
                <w:sz w:val="20"/>
                <w:szCs w:val="20"/>
                <w:color w:val="auto"/>
              </w:rPr>
            </w:pPr>
            <w:r>
              <w:rPr>
                <w:rFonts w:ascii="Arial" w:cs="Arial" w:eastAsia="Arial" w:hAnsi="Arial"/>
                <w:sz w:val="16"/>
                <w:szCs w:val="16"/>
                <w:color w:val="auto"/>
              </w:rPr>
              <w:t>22.1</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418</w:t>
            </w:r>
          </w:p>
        </w:tc>
        <w:tc>
          <w:tcPr>
            <w:tcW w:w="900" w:type="dxa"/>
            <w:vAlign w:val="bottom"/>
            <w:gridSpan w:val="2"/>
          </w:tcPr>
          <w:p>
            <w:pPr>
              <w:jc w:val="right"/>
              <w:ind w:right="122"/>
              <w:spacing w:after="0"/>
              <w:rPr>
                <w:sz w:val="20"/>
                <w:szCs w:val="20"/>
                <w:color w:val="auto"/>
              </w:rPr>
            </w:pPr>
            <w:r>
              <w:rPr>
                <w:rFonts w:ascii="Arial" w:cs="Arial" w:eastAsia="Arial" w:hAnsi="Arial"/>
                <w:sz w:val="16"/>
                <w:szCs w:val="16"/>
                <w:color w:val="auto"/>
              </w:rPr>
              <w:t>22.4</w:t>
            </w:r>
          </w:p>
        </w:tc>
      </w:tr>
      <w:tr>
        <w:trPr>
          <w:trHeight w:val="220"/>
        </w:trPr>
        <w:tc>
          <w:tcPr>
            <w:tcW w:w="6220" w:type="dxa"/>
            <w:vAlign w:val="bottom"/>
          </w:tcPr>
          <w:p>
            <w:pPr>
              <w:spacing w:after="0"/>
              <w:rPr>
                <w:sz w:val="20"/>
                <w:szCs w:val="20"/>
                <w:color w:val="auto"/>
              </w:rPr>
            </w:pPr>
            <w:r>
              <w:rPr>
                <w:rFonts w:ascii="Arial" w:cs="Arial" w:eastAsia="Arial" w:hAnsi="Arial"/>
                <w:sz w:val="16"/>
                <w:szCs w:val="16"/>
                <w:color w:val="auto"/>
              </w:rPr>
              <w:t>After ten years</w:t>
            </w:r>
          </w:p>
        </w:tc>
        <w:tc>
          <w:tcPr>
            <w:tcW w:w="240" w:type="dxa"/>
            <w:vAlign w:val="bottom"/>
          </w:tcPr>
          <w:p>
            <w:pPr>
              <w:spacing w:after="0"/>
              <w:rPr>
                <w:sz w:val="19"/>
                <w:szCs w:val="19"/>
                <w:color w:val="auto"/>
              </w:rPr>
            </w:pPr>
          </w:p>
        </w:tc>
        <w:tc>
          <w:tcPr>
            <w:tcW w:w="720" w:type="dxa"/>
            <w:vAlign w:val="bottom"/>
          </w:tcPr>
          <w:p>
            <w:pPr>
              <w:jc w:val="right"/>
              <w:ind w:right="2"/>
              <w:spacing w:after="0"/>
              <w:rPr>
                <w:sz w:val="20"/>
                <w:szCs w:val="20"/>
                <w:color w:val="auto"/>
              </w:rPr>
            </w:pPr>
            <w:r>
              <w:rPr>
                <w:rFonts w:ascii="Arial" w:cs="Arial" w:eastAsia="Arial" w:hAnsi="Arial"/>
                <w:sz w:val="16"/>
                <w:szCs w:val="16"/>
                <w:color w:val="auto"/>
              </w:rPr>
              <w:t>64</w:t>
            </w:r>
          </w:p>
        </w:tc>
        <w:tc>
          <w:tcPr>
            <w:tcW w:w="880" w:type="dxa"/>
            <w:vAlign w:val="bottom"/>
            <w:gridSpan w:val="2"/>
          </w:tcPr>
          <w:p>
            <w:pPr>
              <w:jc w:val="right"/>
              <w:ind w:right="122"/>
              <w:spacing w:after="0"/>
              <w:rPr>
                <w:sz w:val="20"/>
                <w:szCs w:val="20"/>
                <w:color w:val="auto"/>
              </w:rPr>
            </w:pPr>
            <w:r>
              <w:rPr>
                <w:rFonts w:ascii="Arial" w:cs="Arial" w:eastAsia="Arial" w:hAnsi="Arial"/>
                <w:sz w:val="16"/>
                <w:szCs w:val="16"/>
                <w:color w:val="auto"/>
              </w:rPr>
              <w:t>3.4</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58</w:t>
            </w:r>
          </w:p>
        </w:tc>
        <w:tc>
          <w:tcPr>
            <w:tcW w:w="900" w:type="dxa"/>
            <w:vAlign w:val="bottom"/>
            <w:gridSpan w:val="2"/>
          </w:tcPr>
          <w:p>
            <w:pPr>
              <w:jc w:val="right"/>
              <w:ind w:right="122"/>
              <w:spacing w:after="0"/>
              <w:rPr>
                <w:sz w:val="20"/>
                <w:szCs w:val="20"/>
                <w:color w:val="auto"/>
              </w:rPr>
            </w:pPr>
            <w:r>
              <w:rPr>
                <w:rFonts w:ascii="Arial" w:cs="Arial" w:eastAsia="Arial" w:hAnsi="Arial"/>
                <w:sz w:val="16"/>
                <w:szCs w:val="16"/>
                <w:color w:val="auto"/>
              </w:rPr>
              <w:t>3.1</w:t>
            </w:r>
          </w:p>
        </w:tc>
      </w:tr>
      <w:tr>
        <w:trPr>
          <w:trHeight w:val="228"/>
        </w:trPr>
        <w:tc>
          <w:tcPr>
            <w:tcW w:w="6220" w:type="dxa"/>
            <w:vAlign w:val="bottom"/>
          </w:tcPr>
          <w:p>
            <w:pPr>
              <w:spacing w:after="0"/>
              <w:rPr>
                <w:sz w:val="20"/>
                <w:szCs w:val="20"/>
                <w:color w:val="auto"/>
              </w:rPr>
            </w:pPr>
            <w:r>
              <w:rPr>
                <w:rFonts w:ascii="Arial" w:cs="Arial" w:eastAsia="Arial" w:hAnsi="Arial"/>
                <w:sz w:val="16"/>
                <w:szCs w:val="16"/>
                <w:color w:val="auto"/>
              </w:rPr>
              <w:t>Mortgage-backed/asset-backed securities</w:t>
            </w:r>
          </w:p>
        </w:tc>
        <w:tc>
          <w:tcPr>
            <w:tcW w:w="240" w:type="dxa"/>
            <w:vAlign w:val="bottom"/>
          </w:tcPr>
          <w:p>
            <w:pPr>
              <w:spacing w:after="0"/>
              <w:rPr>
                <w:sz w:val="19"/>
                <w:szCs w:val="19"/>
                <w:color w:val="auto"/>
              </w:rPr>
            </w:pPr>
          </w:p>
        </w:tc>
        <w:tc>
          <w:tcPr>
            <w:tcW w:w="720" w:type="dxa"/>
            <w:vAlign w:val="bottom"/>
          </w:tcPr>
          <w:p>
            <w:pPr>
              <w:jc w:val="right"/>
              <w:ind w:right="2"/>
              <w:spacing w:after="0"/>
              <w:rPr>
                <w:sz w:val="20"/>
                <w:szCs w:val="20"/>
                <w:color w:val="auto"/>
              </w:rPr>
            </w:pPr>
            <w:r>
              <w:rPr>
                <w:rFonts w:ascii="Arial" w:cs="Arial" w:eastAsia="Arial" w:hAnsi="Arial"/>
                <w:sz w:val="16"/>
                <w:szCs w:val="16"/>
                <w:color w:val="auto"/>
              </w:rPr>
              <w:t>57</w:t>
            </w:r>
          </w:p>
        </w:tc>
        <w:tc>
          <w:tcPr>
            <w:tcW w:w="880" w:type="dxa"/>
            <w:vAlign w:val="bottom"/>
            <w:gridSpan w:val="2"/>
          </w:tcPr>
          <w:p>
            <w:pPr>
              <w:jc w:val="right"/>
              <w:ind w:right="122"/>
              <w:spacing w:after="0"/>
              <w:rPr>
                <w:sz w:val="20"/>
                <w:szCs w:val="20"/>
                <w:color w:val="auto"/>
              </w:rPr>
            </w:pPr>
            <w:r>
              <w:rPr>
                <w:rFonts w:ascii="Arial" w:cs="Arial" w:eastAsia="Arial" w:hAnsi="Arial"/>
                <w:sz w:val="16"/>
                <w:szCs w:val="16"/>
                <w:color w:val="auto"/>
              </w:rPr>
              <w:t>3.0</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57</w:t>
            </w:r>
          </w:p>
        </w:tc>
        <w:tc>
          <w:tcPr>
            <w:tcW w:w="900" w:type="dxa"/>
            <w:vAlign w:val="bottom"/>
            <w:gridSpan w:val="2"/>
          </w:tcPr>
          <w:p>
            <w:pPr>
              <w:jc w:val="right"/>
              <w:ind w:right="122"/>
              <w:spacing w:after="0"/>
              <w:rPr>
                <w:sz w:val="20"/>
                <w:szCs w:val="20"/>
                <w:color w:val="auto"/>
              </w:rPr>
            </w:pPr>
            <w:r>
              <w:rPr>
                <w:rFonts w:ascii="Arial" w:cs="Arial" w:eastAsia="Arial" w:hAnsi="Arial"/>
                <w:sz w:val="16"/>
                <w:szCs w:val="16"/>
                <w:color w:val="auto"/>
              </w:rPr>
              <w:t>3.1</w:t>
            </w:r>
          </w:p>
        </w:tc>
      </w:tr>
      <w:tr>
        <w:trPr>
          <w:trHeight w:val="181"/>
        </w:trPr>
        <w:tc>
          <w:tcPr>
            <w:tcW w:w="6220" w:type="dxa"/>
            <w:vAlign w:val="bottom"/>
          </w:tcPr>
          <w:p>
            <w:pPr>
              <w:spacing w:after="0"/>
              <w:rPr>
                <w:sz w:val="15"/>
                <w:szCs w:val="15"/>
                <w:color w:val="auto"/>
              </w:rPr>
            </w:pPr>
          </w:p>
        </w:tc>
        <w:tc>
          <w:tcPr>
            <w:tcW w:w="240" w:type="dxa"/>
            <w:vAlign w:val="bottom"/>
            <w:tcBorders>
              <w:top w:val="single" w:sz="8" w:color="auto"/>
              <w:bottom w:val="single" w:sz="8" w:color="auto"/>
            </w:tcBorders>
          </w:tcPr>
          <w:p>
            <w:pPr>
              <w:jc w:val="right"/>
              <w:ind w:right="22"/>
              <w:spacing w:after="0" w:line="181" w:lineRule="exact"/>
              <w:rPr>
                <w:sz w:val="20"/>
                <w:szCs w:val="20"/>
                <w:color w:val="auto"/>
              </w:rPr>
            </w:pPr>
            <w:r>
              <w:rPr>
                <w:rFonts w:ascii="Arial" w:cs="Arial" w:eastAsia="Arial" w:hAnsi="Arial"/>
                <w:sz w:val="16"/>
                <w:szCs w:val="16"/>
                <w:color w:val="auto"/>
              </w:rPr>
              <w:t>$</w:t>
            </w:r>
          </w:p>
        </w:tc>
        <w:tc>
          <w:tcPr>
            <w:tcW w:w="720" w:type="dxa"/>
            <w:vAlign w:val="bottom"/>
            <w:tcBorders>
              <w:top w:val="single" w:sz="8" w:color="auto"/>
              <w:bottom w:val="single" w:sz="8" w:color="auto"/>
            </w:tcBorders>
          </w:tcPr>
          <w:p>
            <w:pPr>
              <w:jc w:val="right"/>
              <w:ind w:right="2"/>
              <w:spacing w:after="0" w:line="181" w:lineRule="exact"/>
              <w:rPr>
                <w:sz w:val="20"/>
                <w:szCs w:val="20"/>
                <w:color w:val="auto"/>
              </w:rPr>
            </w:pPr>
            <w:r>
              <w:rPr>
                <w:rFonts w:ascii="Arial" w:cs="Arial" w:eastAsia="Arial" w:hAnsi="Arial"/>
                <w:sz w:val="16"/>
                <w:szCs w:val="16"/>
                <w:color w:val="auto"/>
              </w:rPr>
              <w:t>1,871</w:t>
            </w:r>
          </w:p>
        </w:tc>
        <w:tc>
          <w:tcPr>
            <w:tcW w:w="60" w:type="dxa"/>
            <w:vAlign w:val="bottom"/>
          </w:tcPr>
          <w:p>
            <w:pPr>
              <w:spacing w:after="0"/>
              <w:rPr>
                <w:sz w:val="15"/>
                <w:szCs w:val="15"/>
                <w:color w:val="auto"/>
              </w:rPr>
            </w:pPr>
          </w:p>
        </w:tc>
        <w:tc>
          <w:tcPr>
            <w:tcW w:w="820" w:type="dxa"/>
            <w:vAlign w:val="bottom"/>
            <w:tcBorders>
              <w:top w:val="single" w:sz="8" w:color="auto"/>
              <w:bottom w:val="single" w:sz="8" w:color="auto"/>
            </w:tcBorders>
          </w:tcPr>
          <w:p>
            <w:pPr>
              <w:jc w:val="right"/>
              <w:spacing w:after="0" w:line="181" w:lineRule="exact"/>
              <w:rPr>
                <w:sz w:val="20"/>
                <w:szCs w:val="20"/>
                <w:color w:val="auto"/>
              </w:rPr>
            </w:pPr>
            <w:r>
              <w:rPr>
                <w:rFonts w:ascii="Arial" w:cs="Arial" w:eastAsia="Arial" w:hAnsi="Arial"/>
                <w:sz w:val="16"/>
                <w:szCs w:val="16"/>
                <w:color w:val="auto"/>
              </w:rPr>
              <w:t>100.0 %</w:t>
            </w:r>
          </w:p>
        </w:tc>
        <w:tc>
          <w:tcPr>
            <w:tcW w:w="80" w:type="dxa"/>
            <w:vAlign w:val="bottom"/>
          </w:tcPr>
          <w:p>
            <w:pPr>
              <w:spacing w:after="0"/>
              <w:rPr>
                <w:sz w:val="15"/>
                <w:szCs w:val="15"/>
                <w:color w:val="auto"/>
              </w:rPr>
            </w:pPr>
          </w:p>
        </w:tc>
        <w:tc>
          <w:tcPr>
            <w:tcW w:w="200" w:type="dxa"/>
            <w:vAlign w:val="bottom"/>
            <w:tcBorders>
              <w:top w:val="single" w:sz="8" w:color="auto"/>
              <w:bottom w:val="single" w:sz="8" w:color="auto"/>
            </w:tcBorders>
          </w:tcPr>
          <w:p>
            <w:pPr>
              <w:jc w:val="right"/>
              <w:spacing w:after="0" w:line="181" w:lineRule="exact"/>
              <w:rPr>
                <w:sz w:val="20"/>
                <w:szCs w:val="20"/>
                <w:color w:val="auto"/>
              </w:rPr>
            </w:pPr>
            <w:r>
              <w:rPr>
                <w:rFonts w:ascii="Arial" w:cs="Arial" w:eastAsia="Arial" w:hAnsi="Arial"/>
                <w:sz w:val="16"/>
                <w:szCs w:val="16"/>
                <w:color w:val="auto"/>
              </w:rPr>
              <w:t>$</w:t>
            </w:r>
          </w:p>
        </w:tc>
        <w:tc>
          <w:tcPr>
            <w:tcW w:w="740" w:type="dxa"/>
            <w:vAlign w:val="bottom"/>
            <w:tcBorders>
              <w:top w:val="single" w:sz="8" w:color="auto"/>
              <w:bottom w:val="single" w:sz="8" w:color="auto"/>
            </w:tcBorders>
          </w:tcPr>
          <w:p>
            <w:pPr>
              <w:jc w:val="right"/>
              <w:spacing w:after="0" w:line="181" w:lineRule="exact"/>
              <w:rPr>
                <w:sz w:val="20"/>
                <w:szCs w:val="20"/>
                <w:color w:val="auto"/>
              </w:rPr>
            </w:pPr>
            <w:r>
              <w:rPr>
                <w:rFonts w:ascii="Arial" w:cs="Arial" w:eastAsia="Arial" w:hAnsi="Arial"/>
                <w:sz w:val="16"/>
                <w:szCs w:val="16"/>
                <w:color w:val="auto"/>
              </w:rPr>
              <w:t>1,862</w:t>
            </w:r>
          </w:p>
        </w:tc>
        <w:tc>
          <w:tcPr>
            <w:tcW w:w="80" w:type="dxa"/>
            <w:vAlign w:val="bottom"/>
          </w:tcPr>
          <w:p>
            <w:pPr>
              <w:spacing w:after="0"/>
              <w:rPr>
                <w:sz w:val="15"/>
                <w:szCs w:val="15"/>
                <w:color w:val="auto"/>
              </w:rPr>
            </w:pPr>
          </w:p>
        </w:tc>
        <w:tc>
          <w:tcPr>
            <w:tcW w:w="820" w:type="dxa"/>
            <w:vAlign w:val="bottom"/>
            <w:tcBorders>
              <w:top w:val="single" w:sz="8" w:color="auto"/>
              <w:bottom w:val="single" w:sz="8" w:color="auto"/>
            </w:tcBorders>
          </w:tcPr>
          <w:p>
            <w:pPr>
              <w:jc w:val="right"/>
              <w:spacing w:after="0" w:line="181" w:lineRule="exact"/>
              <w:rPr>
                <w:sz w:val="20"/>
                <w:szCs w:val="20"/>
                <w:color w:val="auto"/>
              </w:rPr>
            </w:pPr>
            <w:r>
              <w:rPr>
                <w:rFonts w:ascii="Arial" w:cs="Arial" w:eastAsia="Arial" w:hAnsi="Arial"/>
                <w:sz w:val="16"/>
                <w:szCs w:val="16"/>
                <w:color w:val="auto"/>
              </w:rPr>
              <w:t>100.0 %</w:t>
            </w:r>
          </w:p>
        </w:tc>
      </w:tr>
      <w:tr>
        <w:trPr>
          <w:trHeight w:val="20"/>
        </w:trPr>
        <w:tc>
          <w:tcPr>
            <w:tcW w:w="6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410"/>
        </w:trPr>
        <w:tc>
          <w:tcPr>
            <w:tcW w:w="62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gridSpan w:val="4"/>
          </w:tcPr>
          <w:p>
            <w:pPr>
              <w:ind w:left="240"/>
              <w:spacing w:after="0"/>
              <w:rPr>
                <w:sz w:val="20"/>
                <w:szCs w:val="20"/>
                <w:color w:val="auto"/>
              </w:rPr>
            </w:pPr>
            <w:r>
              <w:rPr>
                <w:rFonts w:ascii="Arial" w:cs="Arial" w:eastAsia="Arial" w:hAnsi="Arial"/>
                <w:sz w:val="16"/>
                <w:szCs w:val="16"/>
                <w:b w:val="1"/>
                <w:bCs w:val="1"/>
                <w:color w:val="auto"/>
              </w:rPr>
              <w:t>December 31, 2024</w:t>
            </w:r>
          </w:p>
        </w:tc>
        <w:tc>
          <w:tcPr>
            <w:tcW w:w="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r>
      <w:tr>
        <w:trPr>
          <w:trHeight w:val="252"/>
        </w:trPr>
        <w:tc>
          <w:tcPr>
            <w:tcW w:w="6220" w:type="dxa"/>
            <w:vAlign w:val="bottom"/>
          </w:tcPr>
          <w:p>
            <w:pPr>
              <w:spacing w:after="0"/>
              <w:rPr>
                <w:sz w:val="21"/>
                <w:szCs w:val="21"/>
                <w:color w:val="auto"/>
              </w:rPr>
            </w:pPr>
          </w:p>
        </w:tc>
        <w:tc>
          <w:tcPr>
            <w:tcW w:w="960" w:type="dxa"/>
            <w:vAlign w:val="bottom"/>
            <w:gridSpan w:val="2"/>
          </w:tcPr>
          <w:p>
            <w:pPr>
              <w:jc w:val="center"/>
              <w:spacing w:after="0"/>
              <w:rPr>
                <w:sz w:val="20"/>
                <w:szCs w:val="20"/>
                <w:color w:val="auto"/>
              </w:rPr>
            </w:pPr>
            <w:r>
              <w:rPr>
                <w:rFonts w:ascii="Arial" w:cs="Arial" w:eastAsia="Arial" w:hAnsi="Arial"/>
                <w:sz w:val="16"/>
                <w:szCs w:val="16"/>
                <w:b w:val="1"/>
                <w:bCs w:val="1"/>
                <w:color w:val="auto"/>
                <w:w w:val="91"/>
              </w:rPr>
              <w:t>Amortized</w:t>
            </w:r>
          </w:p>
        </w:tc>
        <w:tc>
          <w:tcPr>
            <w:tcW w:w="60" w:type="dxa"/>
            <w:vAlign w:val="bottom"/>
          </w:tcPr>
          <w:p>
            <w:pPr>
              <w:spacing w:after="0"/>
              <w:rPr>
                <w:sz w:val="21"/>
                <w:szCs w:val="21"/>
                <w:color w:val="auto"/>
              </w:rPr>
            </w:pPr>
          </w:p>
        </w:tc>
        <w:tc>
          <w:tcPr>
            <w:tcW w:w="820" w:type="dxa"/>
            <w:vAlign w:val="bottom"/>
          </w:tcPr>
          <w:p>
            <w:pPr>
              <w:jc w:val="right"/>
              <w:ind w:right="162"/>
              <w:spacing w:after="0"/>
              <w:rPr>
                <w:sz w:val="20"/>
                <w:szCs w:val="20"/>
                <w:color w:val="auto"/>
              </w:rPr>
            </w:pPr>
            <w:r>
              <w:rPr>
                <w:rFonts w:ascii="Arial" w:cs="Arial" w:eastAsia="Arial" w:hAnsi="Arial"/>
                <w:sz w:val="16"/>
                <w:szCs w:val="16"/>
                <w:b w:val="1"/>
                <w:bCs w:val="1"/>
                <w:color w:val="auto"/>
              </w:rPr>
              <w:t>% of</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jc w:val="center"/>
              <w:ind w:right="122"/>
              <w:spacing w:after="0"/>
              <w:rPr>
                <w:sz w:val="20"/>
                <w:szCs w:val="20"/>
                <w:color w:val="auto"/>
              </w:rPr>
            </w:pPr>
            <w:r>
              <w:rPr>
                <w:rFonts w:ascii="Arial" w:cs="Arial" w:eastAsia="Arial" w:hAnsi="Arial"/>
                <w:sz w:val="16"/>
                <w:szCs w:val="16"/>
                <w:b w:val="1"/>
                <w:bCs w:val="1"/>
                <w:color w:val="auto"/>
              </w:rPr>
              <w:t>Fair</w:t>
            </w:r>
          </w:p>
        </w:tc>
        <w:tc>
          <w:tcPr>
            <w:tcW w:w="80" w:type="dxa"/>
            <w:vAlign w:val="bottom"/>
          </w:tcPr>
          <w:p>
            <w:pPr>
              <w:spacing w:after="0"/>
              <w:rPr>
                <w:sz w:val="21"/>
                <w:szCs w:val="21"/>
                <w:color w:val="auto"/>
              </w:rPr>
            </w:pPr>
          </w:p>
        </w:tc>
        <w:tc>
          <w:tcPr>
            <w:tcW w:w="820" w:type="dxa"/>
            <w:vAlign w:val="bottom"/>
          </w:tcPr>
          <w:p>
            <w:pPr>
              <w:ind w:left="240"/>
              <w:spacing w:after="0"/>
              <w:rPr>
                <w:sz w:val="20"/>
                <w:szCs w:val="20"/>
                <w:color w:val="auto"/>
              </w:rPr>
            </w:pPr>
            <w:r>
              <w:rPr>
                <w:rFonts w:ascii="Arial" w:cs="Arial" w:eastAsia="Arial" w:hAnsi="Arial"/>
                <w:sz w:val="16"/>
                <w:szCs w:val="16"/>
                <w:b w:val="1"/>
                <w:bCs w:val="1"/>
                <w:color w:val="auto"/>
              </w:rPr>
              <w:t>% of</w:t>
            </w:r>
          </w:p>
        </w:tc>
      </w:tr>
      <w:tr>
        <w:trPr>
          <w:trHeight w:val="242"/>
        </w:trPr>
        <w:tc>
          <w:tcPr>
            <w:tcW w:w="6220" w:type="dxa"/>
            <w:vAlign w:val="bottom"/>
          </w:tcPr>
          <w:p>
            <w:pPr>
              <w:spacing w:after="0"/>
              <w:rPr>
                <w:sz w:val="20"/>
                <w:szCs w:val="20"/>
                <w:color w:val="auto"/>
              </w:rPr>
            </w:pPr>
            <w:r>
              <w:rPr>
                <w:rFonts w:ascii="Arial" w:cs="Arial" w:eastAsia="Arial" w:hAnsi="Arial"/>
                <w:sz w:val="16"/>
                <w:szCs w:val="16"/>
                <w:b w:val="1"/>
                <w:bCs w:val="1"/>
                <w:color w:val="auto"/>
              </w:rPr>
              <w:t>Maturity</w:t>
            </w:r>
          </w:p>
        </w:tc>
        <w:tc>
          <w:tcPr>
            <w:tcW w:w="24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center"/>
              <w:ind w:right="162"/>
              <w:spacing w:after="0"/>
              <w:rPr>
                <w:sz w:val="20"/>
                <w:szCs w:val="20"/>
                <w:color w:val="auto"/>
              </w:rPr>
            </w:pPr>
            <w:r>
              <w:rPr>
                <w:rFonts w:ascii="Arial" w:cs="Arial" w:eastAsia="Arial" w:hAnsi="Arial"/>
                <w:sz w:val="16"/>
                <w:szCs w:val="16"/>
                <w:b w:val="1"/>
                <w:bCs w:val="1"/>
                <w:color w:val="auto"/>
                <w:w w:val="89"/>
              </w:rPr>
              <w:t>Cost</w:t>
            </w:r>
          </w:p>
        </w:tc>
        <w:tc>
          <w:tcPr>
            <w:tcW w:w="60" w:type="dxa"/>
            <w:vAlign w:val="bottom"/>
          </w:tcPr>
          <w:p>
            <w:pPr>
              <w:spacing w:after="0"/>
              <w:rPr>
                <w:sz w:val="21"/>
                <w:szCs w:val="21"/>
                <w:color w:val="auto"/>
              </w:rPr>
            </w:pPr>
          </w:p>
        </w:tc>
        <w:tc>
          <w:tcPr>
            <w:tcW w:w="820" w:type="dxa"/>
            <w:vAlign w:val="bottom"/>
            <w:tcBorders>
              <w:bottom w:val="single" w:sz="8" w:color="auto"/>
            </w:tcBorders>
          </w:tcPr>
          <w:p>
            <w:pPr>
              <w:ind w:left="240"/>
              <w:spacing w:after="0"/>
              <w:rPr>
                <w:sz w:val="20"/>
                <w:szCs w:val="20"/>
                <w:color w:val="auto"/>
              </w:rPr>
            </w:pPr>
            <w:r>
              <w:rPr>
                <w:rFonts w:ascii="Arial" w:cs="Arial" w:eastAsia="Arial" w:hAnsi="Arial"/>
                <w:sz w:val="16"/>
                <w:szCs w:val="16"/>
                <w:b w:val="1"/>
                <w:bCs w:val="1"/>
                <w:color w:val="auto"/>
              </w:rPr>
              <w:t>Total</w:t>
            </w:r>
          </w:p>
        </w:tc>
        <w:tc>
          <w:tcPr>
            <w:tcW w:w="8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center"/>
              <w:ind w:right="122"/>
              <w:spacing w:after="0"/>
              <w:rPr>
                <w:sz w:val="20"/>
                <w:szCs w:val="20"/>
                <w:color w:val="auto"/>
              </w:rPr>
            </w:pPr>
            <w:r>
              <w:rPr>
                <w:rFonts w:ascii="Arial" w:cs="Arial" w:eastAsia="Arial" w:hAnsi="Arial"/>
                <w:sz w:val="16"/>
                <w:szCs w:val="16"/>
                <w:b w:val="1"/>
                <w:bCs w:val="1"/>
                <w:color w:val="auto"/>
                <w:w w:val="88"/>
              </w:rPr>
              <w:t>Value</w:t>
            </w:r>
          </w:p>
        </w:tc>
        <w:tc>
          <w:tcPr>
            <w:tcW w:w="80" w:type="dxa"/>
            <w:vAlign w:val="bottom"/>
          </w:tcPr>
          <w:p>
            <w:pPr>
              <w:spacing w:after="0"/>
              <w:rPr>
                <w:sz w:val="21"/>
                <w:szCs w:val="21"/>
                <w:color w:val="auto"/>
              </w:rPr>
            </w:pPr>
          </w:p>
        </w:tc>
        <w:tc>
          <w:tcPr>
            <w:tcW w:w="820" w:type="dxa"/>
            <w:vAlign w:val="bottom"/>
            <w:tcBorders>
              <w:bottom w:val="single" w:sz="8" w:color="auto"/>
            </w:tcBorders>
          </w:tcPr>
          <w:p>
            <w:pPr>
              <w:ind w:left="220"/>
              <w:spacing w:after="0"/>
              <w:rPr>
                <w:sz w:val="20"/>
                <w:szCs w:val="20"/>
                <w:color w:val="auto"/>
              </w:rPr>
            </w:pPr>
            <w:r>
              <w:rPr>
                <w:rFonts w:ascii="Arial" w:cs="Arial" w:eastAsia="Arial" w:hAnsi="Arial"/>
                <w:sz w:val="16"/>
                <w:szCs w:val="16"/>
                <w:b w:val="1"/>
                <w:bCs w:val="1"/>
                <w:color w:val="auto"/>
              </w:rPr>
              <w:t>Total</w:t>
            </w:r>
          </w:p>
        </w:tc>
      </w:tr>
      <w:tr>
        <w:trPr>
          <w:trHeight w:val="208"/>
        </w:trPr>
        <w:tc>
          <w:tcPr>
            <w:tcW w:w="6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40" w:type="dxa"/>
            <w:vAlign w:val="bottom"/>
            <w:gridSpan w:val="4"/>
          </w:tcPr>
          <w:p>
            <w:pPr>
              <w:jc w:val="right"/>
              <w:ind w:right="222"/>
              <w:spacing w:after="0"/>
              <w:rPr>
                <w:sz w:val="20"/>
                <w:szCs w:val="20"/>
                <w:color w:val="auto"/>
              </w:rPr>
            </w:pPr>
            <w:r>
              <w:rPr>
                <w:rFonts w:ascii="Arial" w:cs="Arial" w:eastAsia="Arial" w:hAnsi="Arial"/>
                <w:sz w:val="16"/>
                <w:szCs w:val="16"/>
                <w:b w:val="1"/>
                <w:bCs w:val="1"/>
                <w:color w:val="auto"/>
              </w:rPr>
              <w:t>(Dollars in millions)</w:t>
            </w: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21"/>
        </w:trPr>
        <w:tc>
          <w:tcPr>
            <w:tcW w:w="6220" w:type="dxa"/>
            <w:vAlign w:val="bottom"/>
          </w:tcPr>
          <w:p>
            <w:pPr>
              <w:spacing w:after="0"/>
              <w:rPr>
                <w:sz w:val="20"/>
                <w:szCs w:val="20"/>
                <w:color w:val="auto"/>
              </w:rPr>
            </w:pPr>
            <w:r>
              <w:rPr>
                <w:rFonts w:ascii="Arial" w:cs="Arial" w:eastAsia="Arial" w:hAnsi="Arial"/>
                <w:sz w:val="16"/>
                <w:szCs w:val="16"/>
                <w:color w:val="auto"/>
              </w:rPr>
              <w:t>One year or less</w:t>
            </w:r>
          </w:p>
        </w:tc>
        <w:tc>
          <w:tcPr>
            <w:tcW w:w="24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2"/>
              <w:spacing w:after="0"/>
              <w:rPr>
                <w:sz w:val="20"/>
                <w:szCs w:val="20"/>
                <w:color w:val="auto"/>
              </w:rPr>
            </w:pPr>
            <w:r>
              <w:rPr>
                <w:rFonts w:ascii="Arial" w:cs="Arial" w:eastAsia="Arial" w:hAnsi="Arial"/>
                <w:sz w:val="16"/>
                <w:szCs w:val="16"/>
                <w:color w:val="auto"/>
              </w:rPr>
              <w:t>435</w:t>
            </w: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22.3 %</w:t>
            </w:r>
          </w:p>
        </w:tc>
        <w:tc>
          <w:tcPr>
            <w:tcW w:w="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431</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22.7 %</w:t>
            </w:r>
          </w:p>
        </w:tc>
      </w:tr>
      <w:tr>
        <w:trPr>
          <w:trHeight w:val="220"/>
        </w:trPr>
        <w:tc>
          <w:tcPr>
            <w:tcW w:w="6220" w:type="dxa"/>
            <w:vAlign w:val="bottom"/>
          </w:tcPr>
          <w:p>
            <w:pPr>
              <w:spacing w:after="0"/>
              <w:rPr>
                <w:sz w:val="20"/>
                <w:szCs w:val="20"/>
                <w:color w:val="auto"/>
              </w:rPr>
            </w:pPr>
            <w:r>
              <w:rPr>
                <w:rFonts w:ascii="Arial" w:cs="Arial" w:eastAsia="Arial" w:hAnsi="Arial"/>
                <w:sz w:val="16"/>
                <w:szCs w:val="16"/>
                <w:color w:val="auto"/>
              </w:rPr>
              <w:t>After one year through five years</w:t>
            </w:r>
          </w:p>
        </w:tc>
        <w:tc>
          <w:tcPr>
            <w:tcW w:w="240" w:type="dxa"/>
            <w:vAlign w:val="bottom"/>
          </w:tcPr>
          <w:p>
            <w:pPr>
              <w:spacing w:after="0"/>
              <w:rPr>
                <w:sz w:val="19"/>
                <w:szCs w:val="19"/>
                <w:color w:val="auto"/>
              </w:rPr>
            </w:pPr>
          </w:p>
        </w:tc>
        <w:tc>
          <w:tcPr>
            <w:tcW w:w="720" w:type="dxa"/>
            <w:vAlign w:val="bottom"/>
          </w:tcPr>
          <w:p>
            <w:pPr>
              <w:jc w:val="right"/>
              <w:ind w:right="2"/>
              <w:spacing w:after="0"/>
              <w:rPr>
                <w:sz w:val="20"/>
                <w:szCs w:val="20"/>
                <w:color w:val="auto"/>
              </w:rPr>
            </w:pPr>
            <w:r>
              <w:rPr>
                <w:rFonts w:ascii="Arial" w:cs="Arial" w:eastAsia="Arial" w:hAnsi="Arial"/>
                <w:sz w:val="16"/>
                <w:szCs w:val="16"/>
                <w:color w:val="auto"/>
              </w:rPr>
              <w:t>982</w:t>
            </w:r>
          </w:p>
        </w:tc>
        <w:tc>
          <w:tcPr>
            <w:tcW w:w="880" w:type="dxa"/>
            <w:vAlign w:val="bottom"/>
            <w:gridSpan w:val="2"/>
          </w:tcPr>
          <w:p>
            <w:pPr>
              <w:jc w:val="right"/>
              <w:ind w:right="122"/>
              <w:spacing w:after="0"/>
              <w:rPr>
                <w:sz w:val="20"/>
                <w:szCs w:val="20"/>
                <w:color w:val="auto"/>
              </w:rPr>
            </w:pPr>
            <w:r>
              <w:rPr>
                <w:rFonts w:ascii="Arial" w:cs="Arial" w:eastAsia="Arial" w:hAnsi="Arial"/>
                <w:sz w:val="16"/>
                <w:szCs w:val="16"/>
                <w:color w:val="auto"/>
              </w:rPr>
              <w:t>50.3</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955</w:t>
            </w:r>
          </w:p>
        </w:tc>
        <w:tc>
          <w:tcPr>
            <w:tcW w:w="900" w:type="dxa"/>
            <w:vAlign w:val="bottom"/>
            <w:gridSpan w:val="2"/>
          </w:tcPr>
          <w:p>
            <w:pPr>
              <w:jc w:val="right"/>
              <w:ind w:right="122"/>
              <w:spacing w:after="0"/>
              <w:rPr>
                <w:sz w:val="20"/>
                <w:szCs w:val="20"/>
                <w:color w:val="auto"/>
              </w:rPr>
            </w:pPr>
            <w:r>
              <w:rPr>
                <w:rFonts w:ascii="Arial" w:cs="Arial" w:eastAsia="Arial" w:hAnsi="Arial"/>
                <w:sz w:val="16"/>
                <w:szCs w:val="16"/>
                <w:color w:val="auto"/>
              </w:rPr>
              <w:t>50.2</w:t>
            </w:r>
          </w:p>
        </w:tc>
      </w:tr>
      <w:tr>
        <w:trPr>
          <w:trHeight w:val="220"/>
        </w:trPr>
        <w:tc>
          <w:tcPr>
            <w:tcW w:w="6220" w:type="dxa"/>
            <w:vAlign w:val="bottom"/>
          </w:tcPr>
          <w:p>
            <w:pPr>
              <w:spacing w:after="0"/>
              <w:rPr>
                <w:sz w:val="20"/>
                <w:szCs w:val="20"/>
                <w:color w:val="auto"/>
              </w:rPr>
            </w:pPr>
            <w:r>
              <w:rPr>
                <w:rFonts w:ascii="Arial" w:cs="Arial" w:eastAsia="Arial" w:hAnsi="Arial"/>
                <w:sz w:val="16"/>
                <w:szCs w:val="16"/>
                <w:color w:val="auto"/>
              </w:rPr>
              <w:t>After five years through ten years</w:t>
            </w:r>
          </w:p>
        </w:tc>
        <w:tc>
          <w:tcPr>
            <w:tcW w:w="240" w:type="dxa"/>
            <w:vAlign w:val="bottom"/>
          </w:tcPr>
          <w:p>
            <w:pPr>
              <w:spacing w:after="0"/>
              <w:rPr>
                <w:sz w:val="19"/>
                <w:szCs w:val="19"/>
                <w:color w:val="auto"/>
              </w:rPr>
            </w:pPr>
          </w:p>
        </w:tc>
        <w:tc>
          <w:tcPr>
            <w:tcW w:w="720" w:type="dxa"/>
            <w:vAlign w:val="bottom"/>
          </w:tcPr>
          <w:p>
            <w:pPr>
              <w:jc w:val="right"/>
              <w:ind w:right="2"/>
              <w:spacing w:after="0"/>
              <w:rPr>
                <w:sz w:val="20"/>
                <w:szCs w:val="20"/>
                <w:color w:val="auto"/>
              </w:rPr>
            </w:pPr>
            <w:r>
              <w:rPr>
                <w:rFonts w:ascii="Arial" w:cs="Arial" w:eastAsia="Arial" w:hAnsi="Arial"/>
                <w:sz w:val="16"/>
                <w:szCs w:val="16"/>
                <w:color w:val="auto"/>
              </w:rPr>
              <w:t>381</w:t>
            </w:r>
          </w:p>
        </w:tc>
        <w:tc>
          <w:tcPr>
            <w:tcW w:w="880" w:type="dxa"/>
            <w:vAlign w:val="bottom"/>
            <w:gridSpan w:val="2"/>
          </w:tcPr>
          <w:p>
            <w:pPr>
              <w:jc w:val="right"/>
              <w:ind w:right="122"/>
              <w:spacing w:after="0"/>
              <w:rPr>
                <w:sz w:val="20"/>
                <w:szCs w:val="20"/>
                <w:color w:val="auto"/>
              </w:rPr>
            </w:pPr>
            <w:r>
              <w:rPr>
                <w:rFonts w:ascii="Arial" w:cs="Arial" w:eastAsia="Arial" w:hAnsi="Arial"/>
                <w:sz w:val="16"/>
                <w:szCs w:val="16"/>
                <w:color w:val="auto"/>
              </w:rPr>
              <w:t>19.5</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370</w:t>
            </w:r>
          </w:p>
        </w:tc>
        <w:tc>
          <w:tcPr>
            <w:tcW w:w="900" w:type="dxa"/>
            <w:vAlign w:val="bottom"/>
            <w:gridSpan w:val="2"/>
          </w:tcPr>
          <w:p>
            <w:pPr>
              <w:jc w:val="right"/>
              <w:ind w:right="122"/>
              <w:spacing w:after="0"/>
              <w:rPr>
                <w:sz w:val="20"/>
                <w:szCs w:val="20"/>
                <w:color w:val="auto"/>
              </w:rPr>
            </w:pPr>
            <w:r>
              <w:rPr>
                <w:rFonts w:ascii="Arial" w:cs="Arial" w:eastAsia="Arial" w:hAnsi="Arial"/>
                <w:sz w:val="16"/>
                <w:szCs w:val="16"/>
                <w:color w:val="auto"/>
              </w:rPr>
              <w:t>19.5</w:t>
            </w:r>
          </w:p>
        </w:tc>
      </w:tr>
      <w:tr>
        <w:trPr>
          <w:trHeight w:val="220"/>
        </w:trPr>
        <w:tc>
          <w:tcPr>
            <w:tcW w:w="6220" w:type="dxa"/>
            <w:vAlign w:val="bottom"/>
          </w:tcPr>
          <w:p>
            <w:pPr>
              <w:spacing w:after="0"/>
              <w:rPr>
                <w:sz w:val="20"/>
                <w:szCs w:val="20"/>
                <w:color w:val="auto"/>
              </w:rPr>
            </w:pPr>
            <w:r>
              <w:rPr>
                <w:rFonts w:ascii="Arial" w:cs="Arial" w:eastAsia="Arial" w:hAnsi="Arial"/>
                <w:sz w:val="16"/>
                <w:szCs w:val="16"/>
                <w:color w:val="auto"/>
              </w:rPr>
              <w:t>After ten years</w:t>
            </w:r>
          </w:p>
        </w:tc>
        <w:tc>
          <w:tcPr>
            <w:tcW w:w="240" w:type="dxa"/>
            <w:vAlign w:val="bottom"/>
          </w:tcPr>
          <w:p>
            <w:pPr>
              <w:spacing w:after="0"/>
              <w:rPr>
                <w:sz w:val="19"/>
                <w:szCs w:val="19"/>
                <w:color w:val="auto"/>
              </w:rPr>
            </w:pPr>
          </w:p>
        </w:tc>
        <w:tc>
          <w:tcPr>
            <w:tcW w:w="720" w:type="dxa"/>
            <w:vAlign w:val="bottom"/>
          </w:tcPr>
          <w:p>
            <w:pPr>
              <w:jc w:val="right"/>
              <w:ind w:right="2"/>
              <w:spacing w:after="0"/>
              <w:rPr>
                <w:sz w:val="20"/>
                <w:szCs w:val="20"/>
                <w:color w:val="auto"/>
              </w:rPr>
            </w:pPr>
            <w:r>
              <w:rPr>
                <w:rFonts w:ascii="Arial" w:cs="Arial" w:eastAsia="Arial" w:hAnsi="Arial"/>
                <w:sz w:val="16"/>
                <w:szCs w:val="16"/>
                <w:color w:val="auto"/>
              </w:rPr>
              <w:t>87</w:t>
            </w:r>
          </w:p>
        </w:tc>
        <w:tc>
          <w:tcPr>
            <w:tcW w:w="880" w:type="dxa"/>
            <w:vAlign w:val="bottom"/>
            <w:gridSpan w:val="2"/>
          </w:tcPr>
          <w:p>
            <w:pPr>
              <w:jc w:val="right"/>
              <w:ind w:right="122"/>
              <w:spacing w:after="0"/>
              <w:rPr>
                <w:sz w:val="20"/>
                <w:szCs w:val="20"/>
                <w:color w:val="auto"/>
              </w:rPr>
            </w:pPr>
            <w:r>
              <w:rPr>
                <w:rFonts w:ascii="Arial" w:cs="Arial" w:eastAsia="Arial" w:hAnsi="Arial"/>
                <w:sz w:val="16"/>
                <w:szCs w:val="16"/>
                <w:color w:val="auto"/>
              </w:rPr>
              <w:t>4.5</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79</w:t>
            </w:r>
          </w:p>
        </w:tc>
        <w:tc>
          <w:tcPr>
            <w:tcW w:w="900" w:type="dxa"/>
            <w:vAlign w:val="bottom"/>
            <w:gridSpan w:val="2"/>
          </w:tcPr>
          <w:p>
            <w:pPr>
              <w:jc w:val="right"/>
              <w:ind w:right="122"/>
              <w:spacing w:after="0"/>
              <w:rPr>
                <w:sz w:val="20"/>
                <w:szCs w:val="20"/>
                <w:color w:val="auto"/>
              </w:rPr>
            </w:pPr>
            <w:r>
              <w:rPr>
                <w:rFonts w:ascii="Arial" w:cs="Arial" w:eastAsia="Arial" w:hAnsi="Arial"/>
                <w:sz w:val="16"/>
                <w:szCs w:val="16"/>
                <w:color w:val="auto"/>
              </w:rPr>
              <w:t>4.1</w:t>
            </w:r>
          </w:p>
        </w:tc>
      </w:tr>
      <w:tr>
        <w:trPr>
          <w:trHeight w:val="228"/>
        </w:trPr>
        <w:tc>
          <w:tcPr>
            <w:tcW w:w="6220" w:type="dxa"/>
            <w:vAlign w:val="bottom"/>
          </w:tcPr>
          <w:p>
            <w:pPr>
              <w:spacing w:after="0"/>
              <w:rPr>
                <w:sz w:val="20"/>
                <w:szCs w:val="20"/>
                <w:color w:val="auto"/>
              </w:rPr>
            </w:pPr>
            <w:r>
              <w:rPr>
                <w:rFonts w:ascii="Arial" w:cs="Arial" w:eastAsia="Arial" w:hAnsi="Arial"/>
                <w:sz w:val="16"/>
                <w:szCs w:val="16"/>
                <w:color w:val="auto"/>
              </w:rPr>
              <w:t>Mortgage-backed/asset-backed securities</w:t>
            </w:r>
          </w:p>
        </w:tc>
        <w:tc>
          <w:tcPr>
            <w:tcW w:w="240" w:type="dxa"/>
            <w:vAlign w:val="bottom"/>
          </w:tcPr>
          <w:p>
            <w:pPr>
              <w:spacing w:after="0"/>
              <w:rPr>
                <w:sz w:val="19"/>
                <w:szCs w:val="19"/>
                <w:color w:val="auto"/>
              </w:rPr>
            </w:pPr>
          </w:p>
        </w:tc>
        <w:tc>
          <w:tcPr>
            <w:tcW w:w="720" w:type="dxa"/>
            <w:vAlign w:val="bottom"/>
          </w:tcPr>
          <w:p>
            <w:pPr>
              <w:jc w:val="right"/>
              <w:ind w:right="2"/>
              <w:spacing w:after="0"/>
              <w:rPr>
                <w:sz w:val="20"/>
                <w:szCs w:val="20"/>
                <w:color w:val="auto"/>
              </w:rPr>
            </w:pPr>
            <w:r>
              <w:rPr>
                <w:rFonts w:ascii="Arial" w:cs="Arial" w:eastAsia="Arial" w:hAnsi="Arial"/>
                <w:sz w:val="16"/>
                <w:szCs w:val="16"/>
                <w:color w:val="auto"/>
              </w:rPr>
              <w:t>67</w:t>
            </w:r>
          </w:p>
        </w:tc>
        <w:tc>
          <w:tcPr>
            <w:tcW w:w="880" w:type="dxa"/>
            <w:vAlign w:val="bottom"/>
            <w:gridSpan w:val="2"/>
          </w:tcPr>
          <w:p>
            <w:pPr>
              <w:jc w:val="right"/>
              <w:ind w:right="122"/>
              <w:spacing w:after="0"/>
              <w:rPr>
                <w:sz w:val="20"/>
                <w:szCs w:val="20"/>
                <w:color w:val="auto"/>
              </w:rPr>
            </w:pPr>
            <w:r>
              <w:rPr>
                <w:rFonts w:ascii="Arial" w:cs="Arial" w:eastAsia="Arial" w:hAnsi="Arial"/>
                <w:sz w:val="16"/>
                <w:szCs w:val="16"/>
                <w:color w:val="auto"/>
              </w:rPr>
              <w:t>3.4</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66</w:t>
            </w:r>
          </w:p>
        </w:tc>
        <w:tc>
          <w:tcPr>
            <w:tcW w:w="900" w:type="dxa"/>
            <w:vAlign w:val="bottom"/>
            <w:gridSpan w:val="2"/>
          </w:tcPr>
          <w:p>
            <w:pPr>
              <w:jc w:val="right"/>
              <w:ind w:right="122"/>
              <w:spacing w:after="0"/>
              <w:rPr>
                <w:sz w:val="20"/>
                <w:szCs w:val="20"/>
                <w:color w:val="auto"/>
              </w:rPr>
            </w:pPr>
            <w:r>
              <w:rPr>
                <w:rFonts w:ascii="Arial" w:cs="Arial" w:eastAsia="Arial" w:hAnsi="Arial"/>
                <w:sz w:val="16"/>
                <w:szCs w:val="16"/>
                <w:color w:val="auto"/>
              </w:rPr>
              <w:t>3.5</w:t>
            </w:r>
          </w:p>
        </w:tc>
      </w:tr>
      <w:tr>
        <w:trPr>
          <w:trHeight w:val="181"/>
        </w:trPr>
        <w:tc>
          <w:tcPr>
            <w:tcW w:w="6220" w:type="dxa"/>
            <w:vAlign w:val="bottom"/>
          </w:tcPr>
          <w:p>
            <w:pPr>
              <w:spacing w:after="0"/>
              <w:rPr>
                <w:sz w:val="15"/>
                <w:szCs w:val="15"/>
                <w:color w:val="auto"/>
              </w:rPr>
            </w:pPr>
          </w:p>
        </w:tc>
        <w:tc>
          <w:tcPr>
            <w:tcW w:w="240" w:type="dxa"/>
            <w:vAlign w:val="bottom"/>
            <w:tcBorders>
              <w:top w:val="single" w:sz="8" w:color="auto"/>
              <w:bottom w:val="single" w:sz="8" w:color="auto"/>
            </w:tcBorders>
          </w:tcPr>
          <w:p>
            <w:pPr>
              <w:jc w:val="right"/>
              <w:ind w:right="22"/>
              <w:spacing w:after="0" w:line="181" w:lineRule="exact"/>
              <w:rPr>
                <w:sz w:val="20"/>
                <w:szCs w:val="20"/>
                <w:color w:val="auto"/>
              </w:rPr>
            </w:pPr>
            <w:r>
              <w:rPr>
                <w:rFonts w:ascii="Arial" w:cs="Arial" w:eastAsia="Arial" w:hAnsi="Arial"/>
                <w:sz w:val="16"/>
                <w:szCs w:val="16"/>
                <w:color w:val="auto"/>
              </w:rPr>
              <w:t>$</w:t>
            </w:r>
          </w:p>
        </w:tc>
        <w:tc>
          <w:tcPr>
            <w:tcW w:w="720" w:type="dxa"/>
            <w:vAlign w:val="bottom"/>
            <w:tcBorders>
              <w:top w:val="single" w:sz="8" w:color="auto"/>
              <w:bottom w:val="single" w:sz="8" w:color="auto"/>
            </w:tcBorders>
          </w:tcPr>
          <w:p>
            <w:pPr>
              <w:jc w:val="right"/>
              <w:ind w:right="2"/>
              <w:spacing w:after="0" w:line="181" w:lineRule="exact"/>
              <w:rPr>
                <w:sz w:val="20"/>
                <w:szCs w:val="20"/>
                <w:color w:val="auto"/>
              </w:rPr>
            </w:pPr>
            <w:r>
              <w:rPr>
                <w:rFonts w:ascii="Arial" w:cs="Arial" w:eastAsia="Arial" w:hAnsi="Arial"/>
                <w:sz w:val="16"/>
                <w:szCs w:val="16"/>
                <w:color w:val="auto"/>
              </w:rPr>
              <w:t>1,952</w:t>
            </w:r>
          </w:p>
        </w:tc>
        <w:tc>
          <w:tcPr>
            <w:tcW w:w="60" w:type="dxa"/>
            <w:vAlign w:val="bottom"/>
          </w:tcPr>
          <w:p>
            <w:pPr>
              <w:spacing w:after="0"/>
              <w:rPr>
                <w:sz w:val="15"/>
                <w:szCs w:val="15"/>
                <w:color w:val="auto"/>
              </w:rPr>
            </w:pPr>
          </w:p>
        </w:tc>
        <w:tc>
          <w:tcPr>
            <w:tcW w:w="820" w:type="dxa"/>
            <w:vAlign w:val="bottom"/>
            <w:tcBorders>
              <w:top w:val="single" w:sz="8" w:color="auto"/>
              <w:bottom w:val="single" w:sz="8" w:color="auto"/>
            </w:tcBorders>
          </w:tcPr>
          <w:p>
            <w:pPr>
              <w:jc w:val="right"/>
              <w:spacing w:after="0" w:line="181" w:lineRule="exact"/>
              <w:rPr>
                <w:sz w:val="20"/>
                <w:szCs w:val="20"/>
                <w:color w:val="auto"/>
              </w:rPr>
            </w:pPr>
            <w:r>
              <w:rPr>
                <w:rFonts w:ascii="Arial" w:cs="Arial" w:eastAsia="Arial" w:hAnsi="Arial"/>
                <w:sz w:val="16"/>
                <w:szCs w:val="16"/>
                <w:color w:val="auto"/>
              </w:rPr>
              <w:t>100.0 %</w:t>
            </w:r>
          </w:p>
        </w:tc>
        <w:tc>
          <w:tcPr>
            <w:tcW w:w="80" w:type="dxa"/>
            <w:vAlign w:val="bottom"/>
          </w:tcPr>
          <w:p>
            <w:pPr>
              <w:spacing w:after="0"/>
              <w:rPr>
                <w:sz w:val="15"/>
                <w:szCs w:val="15"/>
                <w:color w:val="auto"/>
              </w:rPr>
            </w:pPr>
          </w:p>
        </w:tc>
        <w:tc>
          <w:tcPr>
            <w:tcW w:w="200" w:type="dxa"/>
            <w:vAlign w:val="bottom"/>
            <w:tcBorders>
              <w:top w:val="single" w:sz="8" w:color="auto"/>
              <w:bottom w:val="single" w:sz="8" w:color="auto"/>
            </w:tcBorders>
          </w:tcPr>
          <w:p>
            <w:pPr>
              <w:jc w:val="right"/>
              <w:spacing w:after="0" w:line="181" w:lineRule="exact"/>
              <w:rPr>
                <w:sz w:val="20"/>
                <w:szCs w:val="20"/>
                <w:color w:val="auto"/>
              </w:rPr>
            </w:pPr>
            <w:r>
              <w:rPr>
                <w:rFonts w:ascii="Arial" w:cs="Arial" w:eastAsia="Arial" w:hAnsi="Arial"/>
                <w:sz w:val="16"/>
                <w:szCs w:val="16"/>
                <w:color w:val="auto"/>
              </w:rPr>
              <w:t>$</w:t>
            </w:r>
          </w:p>
        </w:tc>
        <w:tc>
          <w:tcPr>
            <w:tcW w:w="740" w:type="dxa"/>
            <w:vAlign w:val="bottom"/>
            <w:tcBorders>
              <w:top w:val="single" w:sz="8" w:color="auto"/>
              <w:bottom w:val="single" w:sz="8" w:color="auto"/>
            </w:tcBorders>
          </w:tcPr>
          <w:p>
            <w:pPr>
              <w:jc w:val="right"/>
              <w:spacing w:after="0" w:line="181" w:lineRule="exact"/>
              <w:rPr>
                <w:sz w:val="20"/>
                <w:szCs w:val="20"/>
                <w:color w:val="auto"/>
              </w:rPr>
            </w:pPr>
            <w:r>
              <w:rPr>
                <w:rFonts w:ascii="Arial" w:cs="Arial" w:eastAsia="Arial" w:hAnsi="Arial"/>
                <w:sz w:val="16"/>
                <w:szCs w:val="16"/>
                <w:color w:val="auto"/>
              </w:rPr>
              <w:t>1,901</w:t>
            </w:r>
          </w:p>
        </w:tc>
        <w:tc>
          <w:tcPr>
            <w:tcW w:w="80" w:type="dxa"/>
            <w:vAlign w:val="bottom"/>
          </w:tcPr>
          <w:p>
            <w:pPr>
              <w:spacing w:after="0"/>
              <w:rPr>
                <w:sz w:val="15"/>
                <w:szCs w:val="15"/>
                <w:color w:val="auto"/>
              </w:rPr>
            </w:pPr>
          </w:p>
        </w:tc>
        <w:tc>
          <w:tcPr>
            <w:tcW w:w="820" w:type="dxa"/>
            <w:vAlign w:val="bottom"/>
            <w:tcBorders>
              <w:top w:val="single" w:sz="8" w:color="auto"/>
              <w:bottom w:val="single" w:sz="8" w:color="auto"/>
            </w:tcBorders>
          </w:tcPr>
          <w:p>
            <w:pPr>
              <w:jc w:val="right"/>
              <w:spacing w:after="0" w:line="181" w:lineRule="exact"/>
              <w:rPr>
                <w:sz w:val="20"/>
                <w:szCs w:val="20"/>
                <w:color w:val="auto"/>
              </w:rPr>
            </w:pPr>
            <w:r>
              <w:rPr>
                <w:rFonts w:ascii="Arial" w:cs="Arial" w:eastAsia="Arial" w:hAnsi="Arial"/>
                <w:sz w:val="16"/>
                <w:szCs w:val="16"/>
                <w:color w:val="auto"/>
              </w:rPr>
              <w:t>100.0 %</w:t>
            </w:r>
          </w:p>
        </w:tc>
      </w:tr>
      <w:tr>
        <w:trPr>
          <w:trHeight w:val="20"/>
        </w:trPr>
        <w:tc>
          <w:tcPr>
            <w:tcW w:w="6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-2473325</wp:posOffset>
            </wp:positionV>
            <wp:extent cx="6391275" cy="87820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19">
                      <a:extLst>
                        <a:ext uri="{28A0092B-C50C-407E-A947-70E740481C1C}"/>
                      </a:extLst>
                    </a:blip>
                    <a:srcRect/>
                    <a:stretch>
                      <a:fillRect/>
                    </a:stretch>
                  </pic:blipFill>
                  <pic:spPr bwMode="auto">
                    <a:xfrm>
                      <a:off x="0" y="0"/>
                      <a:ext cx="6391275" cy="878205"/>
                    </a:xfrm>
                    <a:prstGeom prst="rect">
                      <a:avLst/>
                    </a:prstGeom>
                    <a:noFill/>
                  </pic:spPr>
                </pic:pic>
              </a:graphicData>
            </a:graphic>
          </wp:anchor>
        </w:drawing>
        <w:drawing>
          <wp:anchor simplePos="0" relativeHeight="251657728" behindDoc="1" locked="0" layoutInCell="0" allowOverlap="1">
            <wp:simplePos x="0" y="0"/>
            <wp:positionH relativeFrom="column">
              <wp:posOffset>-16510</wp:posOffset>
            </wp:positionH>
            <wp:positionV relativeFrom="paragraph">
              <wp:posOffset>-871220</wp:posOffset>
            </wp:positionV>
            <wp:extent cx="6391275" cy="87820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20">
                      <a:extLst>
                        <a:ext uri="{28A0092B-C50C-407E-A947-70E740481C1C}"/>
                      </a:extLst>
                    </a:blip>
                    <a:srcRect/>
                    <a:stretch>
                      <a:fillRect/>
                    </a:stretch>
                  </pic:blipFill>
                  <pic:spPr bwMode="auto">
                    <a:xfrm>
                      <a:off x="0" y="0"/>
                      <a:ext cx="6391275" cy="878205"/>
                    </a:xfrm>
                    <a:prstGeom prst="rect">
                      <a:avLst/>
                    </a:prstGeom>
                    <a:noFill/>
                  </pic:spPr>
                </pic:pic>
              </a:graphicData>
            </a:graphic>
          </wp:anchor>
        </w:drawing>
      </w:r>
    </w:p>
    <w:p>
      <w:pPr>
        <w:spacing w:after="0" w:line="105" w:lineRule="exact"/>
        <w:rPr>
          <w:sz w:val="20"/>
          <w:szCs w:val="20"/>
          <w:color w:val="auto"/>
        </w:rPr>
      </w:pPr>
    </w:p>
    <w:p>
      <w:pPr>
        <w:jc w:val="both"/>
        <w:ind w:firstLine="389"/>
        <w:spacing w:after="0" w:line="258" w:lineRule="auto"/>
        <w:rPr>
          <w:sz w:val="20"/>
          <w:szCs w:val="20"/>
          <w:color w:val="auto"/>
        </w:rPr>
      </w:pPr>
      <w:r>
        <w:rPr>
          <w:rFonts w:ascii="Arial" w:cs="Arial" w:eastAsia="Arial" w:hAnsi="Arial"/>
          <w:sz w:val="20"/>
          <w:szCs w:val="20"/>
          <w:color w:val="auto"/>
        </w:rPr>
        <w:t>Expected maturities may differ from contractual maturities because certain borrowers have the right to call or prepay obligations with or without call or prepayment penalties. Because of the potential for prepayment on mortgage-backed and asset-backed securities, they are not categorized by contractual maturity.</w:t>
      </w:r>
    </w:p>
    <w:p>
      <w:pPr>
        <w:spacing w:after="0" w:line="62" w:lineRule="exact"/>
        <w:rPr>
          <w:sz w:val="20"/>
          <w:szCs w:val="20"/>
          <w:color w:val="auto"/>
        </w:rPr>
      </w:pPr>
    </w:p>
    <w:p>
      <w:pPr>
        <w:jc w:val="both"/>
        <w:ind w:firstLine="353"/>
        <w:spacing w:after="0" w:line="271" w:lineRule="auto"/>
        <w:rPr>
          <w:sz w:val="20"/>
          <w:szCs w:val="20"/>
          <w:color w:val="auto"/>
        </w:rPr>
      </w:pPr>
      <w:r>
        <w:rPr>
          <w:rFonts w:ascii="Arial" w:cs="Arial" w:eastAsia="Arial" w:hAnsi="Arial"/>
          <w:sz w:val="20"/>
          <w:szCs w:val="20"/>
          <w:color w:val="auto"/>
        </w:rPr>
        <w:t>As of December 31, 2025 and 2024, we held $288 million and $166 million, respectively, in investments that are accounted for using the equity method of accounting.</w:t>
      </w:r>
    </w:p>
    <w:p>
      <w:pPr>
        <w:spacing w:after="0" w:line="49" w:lineRule="exact"/>
        <w:rPr>
          <w:sz w:val="20"/>
          <w:szCs w:val="20"/>
          <w:color w:val="auto"/>
        </w:rPr>
      </w:pPr>
    </w:p>
    <w:p>
      <w:pPr>
        <w:jc w:val="both"/>
        <w:ind w:firstLine="364"/>
        <w:spacing w:after="0" w:line="258" w:lineRule="auto"/>
        <w:rPr>
          <w:sz w:val="20"/>
          <w:szCs w:val="20"/>
          <w:color w:val="auto"/>
        </w:rPr>
      </w:pPr>
      <w:r>
        <w:rPr>
          <w:rFonts w:ascii="Arial" w:cs="Arial" w:eastAsia="Arial" w:hAnsi="Arial"/>
          <w:sz w:val="20"/>
          <w:szCs w:val="20"/>
          <w:color w:val="auto"/>
        </w:rPr>
        <w:t>As of December 31, 2025 and 2024, other long-term investments $131 million and $126 million, respectively. Other long-term investments include other investments carried at fair value and company-owned life insurance policies carried at cash surrender value.</w:t>
      </w:r>
    </w:p>
    <w:p>
      <w:pPr>
        <w:spacing w:after="0" w:line="62" w:lineRule="exact"/>
        <w:rPr>
          <w:sz w:val="20"/>
          <w:szCs w:val="20"/>
          <w:color w:val="auto"/>
        </w:rPr>
      </w:pPr>
    </w:p>
    <w:p>
      <w:pPr>
        <w:jc w:val="both"/>
        <w:ind w:firstLine="366"/>
        <w:spacing w:after="0" w:line="278" w:lineRule="auto"/>
        <w:rPr>
          <w:sz w:val="20"/>
          <w:szCs w:val="20"/>
          <w:color w:val="auto"/>
        </w:rPr>
      </w:pPr>
      <w:r>
        <w:rPr>
          <w:rFonts w:ascii="Arial" w:cs="Arial" w:eastAsia="Arial" w:hAnsi="Arial"/>
          <w:sz w:val="19"/>
          <w:szCs w:val="19"/>
          <w:color w:val="auto"/>
        </w:rPr>
        <w:t>Short-term investments, which consist primarily of commercial paper and money market instruments that have an original maturity of one year or less, are carried at amortized cost, which approximates fair value. As of December 31, 2025 and 2024, short-term investments were approximately $876 million and $640 million, respectively.</w:t>
      </w:r>
    </w:p>
    <w:p>
      <w:pPr>
        <w:sectPr>
          <w:pgSz w:w="11880" w:h="15480" w:orient="portrait"/>
          <w:cols w:equalWidth="0" w:num="1">
            <w:col w:w="10040"/>
          </w:cols>
          <w:pgMar w:left="920" w:top="772"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w:t>
      </w:r>
    </w:p>
    <w:p>
      <w:pPr>
        <w:sectPr>
          <w:pgSz w:w="11880" w:h="15480" w:orient="portrait"/>
          <w:cols w:equalWidth="0" w:num="1">
            <w:col w:w="10040"/>
          </w:cols>
          <w:pgMar w:left="920" w:top="772" w:right="920" w:bottom="0" w:gutter="0" w:footer="0" w:header="0"/>
          <w:type w:val="continuous"/>
        </w:sectPr>
      </w:pPr>
    </w:p>
    <w:bookmarkStart w:id="27" w:name="page28"/>
    <w:bookmarkEnd w:id="27"/>
    <w:p>
      <w:pPr>
        <w:ind w:left="340"/>
        <w:spacing w:after="0"/>
        <w:rPr>
          <w:sz w:val="20"/>
          <w:szCs w:val="20"/>
          <w:color w:val="auto"/>
        </w:rPr>
      </w:pPr>
      <w:r>
        <w:rPr>
          <w:rFonts w:ascii="Arial" w:cs="Arial" w:eastAsia="Arial" w:hAnsi="Arial"/>
          <w:sz w:val="20"/>
          <w:szCs w:val="20"/>
          <w:color w:val="auto"/>
        </w:rPr>
        <w:t>Our investment results for the years ended December 31, 2025, 2024, and 2023 were as follows:</w:t>
      </w:r>
    </w:p>
    <w:p>
      <w:pPr>
        <w:spacing w:after="0" w:line="176" w:lineRule="exact"/>
        <w:rPr>
          <w:sz w:val="20"/>
          <w:szCs w:val="20"/>
          <w:color w:val="auto"/>
        </w:rPr>
      </w:pPr>
    </w:p>
    <w:tbl>
      <w:tblPr>
        <w:tblLayout w:type="fixed"/>
        <w:tblInd w:w="40" w:type="dxa"/>
        <w:tblCellMar>
          <w:top w:w="0" w:type="dxa"/>
          <w:left w:w="0" w:type="dxa"/>
          <w:bottom w:w="0" w:type="dxa"/>
          <w:right w:w="0" w:type="dxa"/>
        </w:tblCellMar>
      </w:tblPr>
      <w:tr>
        <w:trPr>
          <w:trHeight w:val="213"/>
        </w:trPr>
        <w:tc>
          <w:tcPr>
            <w:tcW w:w="69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gridSpan w:val="2"/>
          </w:tcPr>
          <w:p>
            <w:pPr>
              <w:ind w:left="40"/>
              <w:spacing w:after="0"/>
              <w:rPr>
                <w:sz w:val="20"/>
                <w:szCs w:val="20"/>
                <w:color w:val="auto"/>
              </w:rPr>
            </w:pPr>
            <w:r>
              <w:rPr>
                <w:rFonts w:ascii="Arial" w:cs="Arial" w:eastAsia="Arial" w:hAnsi="Arial"/>
                <w:sz w:val="16"/>
                <w:szCs w:val="16"/>
                <w:b w:val="1"/>
                <w:bCs w:val="1"/>
                <w:color w:val="auto"/>
                <w:w w:val="90"/>
              </w:rPr>
              <w:t>December 31,</w:t>
            </w:r>
          </w:p>
        </w:tc>
        <w:tc>
          <w:tcPr>
            <w:tcW w:w="6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r>
      <w:tr>
        <w:trPr>
          <w:trHeight w:val="230"/>
        </w:trPr>
        <w:tc>
          <w:tcPr>
            <w:tcW w:w="69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262"/>
              <w:spacing w:after="0"/>
              <w:rPr>
                <w:sz w:val="20"/>
                <w:szCs w:val="20"/>
                <w:color w:val="auto"/>
              </w:rPr>
            </w:pPr>
            <w:r>
              <w:rPr>
                <w:rFonts w:ascii="Arial" w:cs="Arial" w:eastAsia="Arial" w:hAnsi="Arial"/>
                <w:sz w:val="16"/>
                <w:szCs w:val="16"/>
                <w:b w:val="1"/>
                <w:bCs w:val="1"/>
                <w:color w:val="auto"/>
              </w:rPr>
              <w:t>2025</w:t>
            </w:r>
          </w:p>
        </w:tc>
        <w:tc>
          <w:tcPr>
            <w:tcW w:w="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262"/>
              <w:spacing w:after="0"/>
              <w:rPr>
                <w:sz w:val="20"/>
                <w:szCs w:val="20"/>
                <w:color w:val="auto"/>
              </w:rPr>
            </w:pPr>
            <w:r>
              <w:rPr>
                <w:rFonts w:ascii="Arial" w:cs="Arial" w:eastAsia="Arial" w:hAnsi="Arial"/>
                <w:sz w:val="16"/>
                <w:szCs w:val="16"/>
                <w:b w:val="1"/>
                <w:bCs w:val="1"/>
                <w:color w:val="auto"/>
              </w:rPr>
              <w:t>2024</w:t>
            </w:r>
          </w:p>
        </w:tc>
        <w:tc>
          <w:tcPr>
            <w:tcW w:w="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262"/>
              <w:spacing w:after="0"/>
              <w:rPr>
                <w:sz w:val="20"/>
                <w:szCs w:val="20"/>
                <w:color w:val="auto"/>
              </w:rPr>
            </w:pPr>
            <w:r>
              <w:rPr>
                <w:rFonts w:ascii="Arial" w:cs="Arial" w:eastAsia="Arial" w:hAnsi="Arial"/>
                <w:sz w:val="16"/>
                <w:szCs w:val="16"/>
                <w:b w:val="1"/>
                <w:bCs w:val="1"/>
                <w:color w:val="auto"/>
              </w:rPr>
              <w:t>2023</w:t>
            </w:r>
          </w:p>
        </w:tc>
      </w:tr>
      <w:tr>
        <w:trPr>
          <w:trHeight w:val="223"/>
        </w:trPr>
        <w:tc>
          <w:tcPr>
            <w:tcW w:w="6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120" w:type="dxa"/>
            <w:vAlign w:val="bottom"/>
            <w:gridSpan w:val="6"/>
          </w:tcPr>
          <w:p>
            <w:pPr>
              <w:jc w:val="right"/>
              <w:ind w:right="140"/>
              <w:spacing w:after="0"/>
              <w:rPr>
                <w:sz w:val="20"/>
                <w:szCs w:val="20"/>
                <w:color w:val="auto"/>
              </w:rPr>
            </w:pPr>
            <w:r>
              <w:rPr>
                <w:rFonts w:ascii="Arial" w:cs="Arial" w:eastAsia="Arial" w:hAnsi="Arial"/>
                <w:sz w:val="16"/>
                <w:szCs w:val="16"/>
                <w:b w:val="1"/>
                <w:bCs w:val="1"/>
                <w:color w:val="auto"/>
              </w:rPr>
              <w:t>(Dollars in millions)</w:t>
            </w:r>
          </w:p>
        </w:tc>
        <w:tc>
          <w:tcPr>
            <w:tcW w:w="760" w:type="dxa"/>
            <w:vAlign w:val="bottom"/>
          </w:tcPr>
          <w:p>
            <w:pPr>
              <w:spacing w:after="0"/>
              <w:rPr>
                <w:sz w:val="19"/>
                <w:szCs w:val="19"/>
                <w:color w:val="auto"/>
              </w:rPr>
            </w:pPr>
          </w:p>
        </w:tc>
      </w:tr>
      <w:tr>
        <w:trPr>
          <w:trHeight w:val="250"/>
        </w:trPr>
        <w:tc>
          <w:tcPr>
            <w:tcW w:w="6900" w:type="dxa"/>
            <w:vAlign w:val="bottom"/>
          </w:tcPr>
          <w:p>
            <w:pPr>
              <w:spacing w:after="0"/>
              <w:rPr>
                <w:sz w:val="20"/>
                <w:szCs w:val="20"/>
                <w:color w:val="auto"/>
              </w:rPr>
            </w:pPr>
            <w:r>
              <w:rPr>
                <w:rFonts w:ascii="Arial" w:cs="Arial" w:eastAsia="Arial" w:hAnsi="Arial"/>
                <w:sz w:val="16"/>
                <w:szCs w:val="16"/>
                <w:color w:val="auto"/>
              </w:rPr>
              <w:t>Net investment income (1)</w:t>
            </w:r>
          </w:p>
        </w:tc>
        <w:tc>
          <w:tcPr>
            <w:tcW w:w="22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122"/>
              <w:spacing w:after="0"/>
              <w:rPr>
                <w:sz w:val="20"/>
                <w:szCs w:val="20"/>
                <w:color w:val="auto"/>
              </w:rPr>
            </w:pPr>
            <w:r>
              <w:rPr>
                <w:rFonts w:ascii="Arial" w:cs="Arial" w:eastAsia="Arial" w:hAnsi="Arial"/>
                <w:sz w:val="16"/>
                <w:szCs w:val="16"/>
                <w:color w:val="auto"/>
              </w:rPr>
              <w:t>401</w:t>
            </w:r>
          </w:p>
        </w:tc>
        <w:tc>
          <w:tcPr>
            <w:tcW w:w="300" w:type="dxa"/>
            <w:vAlign w:val="bottom"/>
            <w:gridSpan w:val="2"/>
          </w:tcPr>
          <w:p>
            <w:pPr>
              <w:ind w:left="120"/>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122"/>
              <w:spacing w:after="0"/>
              <w:rPr>
                <w:sz w:val="20"/>
                <w:szCs w:val="20"/>
                <w:color w:val="auto"/>
              </w:rPr>
            </w:pPr>
            <w:r>
              <w:rPr>
                <w:rFonts w:ascii="Arial" w:cs="Arial" w:eastAsia="Arial" w:hAnsi="Arial"/>
                <w:sz w:val="16"/>
                <w:szCs w:val="16"/>
                <w:color w:val="auto"/>
              </w:rPr>
              <w:t>405</w:t>
            </w:r>
          </w:p>
        </w:tc>
        <w:tc>
          <w:tcPr>
            <w:tcW w:w="3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122"/>
              <w:spacing w:after="0"/>
              <w:rPr>
                <w:sz w:val="20"/>
                <w:szCs w:val="20"/>
                <w:color w:val="auto"/>
              </w:rPr>
            </w:pPr>
            <w:r>
              <w:rPr>
                <w:rFonts w:ascii="Arial" w:cs="Arial" w:eastAsia="Arial" w:hAnsi="Arial"/>
                <w:sz w:val="16"/>
                <w:szCs w:val="16"/>
                <w:color w:val="auto"/>
              </w:rPr>
              <w:t>396</w:t>
            </w:r>
          </w:p>
        </w:tc>
      </w:tr>
      <w:tr>
        <w:trPr>
          <w:trHeight w:val="250"/>
        </w:trPr>
        <w:tc>
          <w:tcPr>
            <w:tcW w:w="6900" w:type="dxa"/>
            <w:vAlign w:val="bottom"/>
          </w:tcPr>
          <w:p>
            <w:pPr>
              <w:spacing w:after="0"/>
              <w:rPr>
                <w:sz w:val="20"/>
                <w:szCs w:val="20"/>
                <w:color w:val="auto"/>
              </w:rPr>
            </w:pPr>
            <w:r>
              <w:rPr>
                <w:rFonts w:ascii="Arial" w:cs="Arial" w:eastAsia="Arial" w:hAnsi="Arial"/>
                <w:sz w:val="16"/>
                <w:szCs w:val="16"/>
                <w:color w:val="auto"/>
              </w:rPr>
              <w:t>Average cash and invested assets (2)</w:t>
            </w:r>
          </w:p>
        </w:tc>
        <w:tc>
          <w:tcPr>
            <w:tcW w:w="22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122"/>
              <w:spacing w:after="0"/>
              <w:rPr>
                <w:sz w:val="20"/>
                <w:szCs w:val="20"/>
                <w:color w:val="auto"/>
              </w:rPr>
            </w:pPr>
            <w:r>
              <w:rPr>
                <w:rFonts w:ascii="Arial" w:cs="Arial" w:eastAsia="Arial" w:hAnsi="Arial"/>
                <w:sz w:val="16"/>
                <w:szCs w:val="16"/>
                <w:color w:val="auto"/>
              </w:rPr>
              <w:t>9,309</w:t>
            </w:r>
          </w:p>
        </w:tc>
        <w:tc>
          <w:tcPr>
            <w:tcW w:w="300" w:type="dxa"/>
            <w:vAlign w:val="bottom"/>
            <w:gridSpan w:val="2"/>
          </w:tcPr>
          <w:p>
            <w:pPr>
              <w:ind w:left="120"/>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122"/>
              <w:spacing w:after="0"/>
              <w:rPr>
                <w:sz w:val="20"/>
                <w:szCs w:val="20"/>
                <w:color w:val="auto"/>
              </w:rPr>
            </w:pPr>
            <w:r>
              <w:rPr>
                <w:rFonts w:ascii="Arial" w:cs="Arial" w:eastAsia="Arial" w:hAnsi="Arial"/>
                <w:sz w:val="16"/>
                <w:szCs w:val="16"/>
                <w:color w:val="auto"/>
              </w:rPr>
              <w:t>8,298</w:t>
            </w:r>
          </w:p>
        </w:tc>
        <w:tc>
          <w:tcPr>
            <w:tcW w:w="3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122"/>
              <w:spacing w:after="0"/>
              <w:rPr>
                <w:sz w:val="20"/>
                <w:szCs w:val="20"/>
                <w:color w:val="auto"/>
              </w:rPr>
            </w:pPr>
            <w:r>
              <w:rPr>
                <w:rFonts w:ascii="Arial" w:cs="Arial" w:eastAsia="Arial" w:hAnsi="Arial"/>
                <w:sz w:val="16"/>
                <w:szCs w:val="16"/>
                <w:color w:val="auto"/>
              </w:rPr>
              <w:t>9,271</w:t>
            </w:r>
          </w:p>
        </w:tc>
      </w:tr>
      <w:tr>
        <w:trPr>
          <w:trHeight w:val="250"/>
        </w:trPr>
        <w:tc>
          <w:tcPr>
            <w:tcW w:w="6900" w:type="dxa"/>
            <w:vAlign w:val="bottom"/>
          </w:tcPr>
          <w:p>
            <w:pPr>
              <w:spacing w:after="0"/>
              <w:rPr>
                <w:sz w:val="20"/>
                <w:szCs w:val="20"/>
                <w:color w:val="auto"/>
              </w:rPr>
            </w:pPr>
            <w:r>
              <w:rPr>
                <w:rFonts w:ascii="Arial" w:cs="Arial" w:eastAsia="Arial" w:hAnsi="Arial"/>
                <w:sz w:val="16"/>
                <w:szCs w:val="16"/>
                <w:color w:val="auto"/>
              </w:rPr>
              <w:t>Effective return on average cash and invested assets</w:t>
            </w:r>
          </w:p>
        </w:tc>
        <w:tc>
          <w:tcPr>
            <w:tcW w:w="2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4.3 %</w:t>
            </w: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4.9 %</w:t>
            </w: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4.3 %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-477520</wp:posOffset>
            </wp:positionV>
            <wp:extent cx="6400800" cy="5016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21">
                      <a:extLst>
                        <a:ext uri="{28A0092B-C50C-407E-A947-70E740481C1C}"/>
                      </a:extLst>
                    </a:blip>
                    <a:srcRect/>
                    <a:stretch>
                      <a:fillRect/>
                    </a:stretch>
                  </pic:blipFill>
                  <pic:spPr bwMode="auto">
                    <a:xfrm>
                      <a:off x="0" y="0"/>
                      <a:ext cx="6400800" cy="501650"/>
                    </a:xfrm>
                    <a:prstGeom prst="rect">
                      <a:avLst/>
                    </a:prstGeom>
                    <a:noFill/>
                  </pic:spPr>
                </pic:pic>
              </a:graphicData>
            </a:graphic>
          </wp:anchor>
        </w:drawing>
      </w:r>
    </w:p>
    <w:p>
      <w:pPr>
        <w:spacing w:after="0" w:line="152" w:lineRule="exact"/>
        <w:rPr>
          <w:sz w:val="20"/>
          <w:szCs w:val="20"/>
          <w:color w:val="auto"/>
        </w:rPr>
      </w:pPr>
    </w:p>
    <w:p>
      <w:pPr>
        <w:jc w:val="both"/>
        <w:ind w:left="700" w:hanging="355"/>
        <w:spacing w:after="0" w:line="303" w:lineRule="auto"/>
        <w:tabs>
          <w:tab w:leader="none" w:pos="700" w:val="left"/>
        </w:tabs>
        <w:numPr>
          <w:ilvl w:val="0"/>
          <w:numId w:val="21"/>
        </w:numPr>
        <w:rPr>
          <w:rFonts w:ascii="Arial" w:cs="Arial" w:eastAsia="Arial" w:hAnsi="Arial"/>
          <w:sz w:val="17"/>
          <w:szCs w:val="17"/>
          <w:color w:val="auto"/>
        </w:rPr>
      </w:pPr>
      <w:r>
        <w:rPr>
          <w:rFonts w:ascii="Arial" w:cs="Arial" w:eastAsia="Arial" w:hAnsi="Arial"/>
          <w:sz w:val="17"/>
          <w:szCs w:val="17"/>
          <w:color w:val="auto"/>
        </w:rPr>
        <w:t xml:space="preserve">Net investment income as reported in our Consolidated Statements of Earnings has been adjusted in the presentation above to provide the tax equivalent yield on tax exempt investments. Net investment income includes fees earned by holding customer funds in escrow (off-balance sheet) during facilitation of tax-deferred property exchanges. For the years ended December 31, 2025, 2024, and 2023, fees earned during facilitation of tax-deferred property exchanges were $175 million, $180 million, and $202 million, respectively. See Note D </w:t>
      </w:r>
      <w:r>
        <w:rPr>
          <w:rFonts w:ascii="Arial" w:cs="Arial" w:eastAsia="Arial" w:hAnsi="Arial"/>
          <w:sz w:val="17"/>
          <w:szCs w:val="17"/>
          <w:b w:val="1"/>
          <w:bCs w:val="1"/>
          <w:i w:val="1"/>
          <w:iCs w:val="1"/>
          <w:color w:val="auto"/>
        </w:rPr>
        <w:t>Investments</w:t>
      </w:r>
      <w:r>
        <w:rPr>
          <w:rFonts w:ascii="Arial" w:cs="Arial" w:eastAsia="Arial" w:hAnsi="Arial"/>
          <w:sz w:val="17"/>
          <w:szCs w:val="17"/>
          <w:color w:val="auto"/>
        </w:rPr>
        <w:t xml:space="preserve"> to our Consolidated Financial Statements included in Item 8 of Part II of this Annual Report for a detail of our interest income.</w:t>
      </w:r>
    </w:p>
    <w:p>
      <w:pPr>
        <w:spacing w:after="0" w:line="48" w:lineRule="exact"/>
        <w:rPr>
          <w:rFonts w:ascii="Arial" w:cs="Arial" w:eastAsia="Arial" w:hAnsi="Arial"/>
          <w:sz w:val="17"/>
          <w:szCs w:val="17"/>
          <w:color w:val="auto"/>
        </w:rPr>
      </w:pPr>
    </w:p>
    <w:p>
      <w:pPr>
        <w:jc w:val="both"/>
        <w:ind w:left="700" w:hanging="355"/>
        <w:spacing w:after="0" w:line="258" w:lineRule="auto"/>
        <w:tabs>
          <w:tab w:leader="none" w:pos="700" w:val="left"/>
        </w:tabs>
        <w:numPr>
          <w:ilvl w:val="0"/>
          <w:numId w:val="21"/>
        </w:numPr>
        <w:rPr>
          <w:rFonts w:ascii="Arial" w:cs="Arial" w:eastAsia="Arial" w:hAnsi="Arial"/>
          <w:sz w:val="20"/>
          <w:szCs w:val="20"/>
          <w:color w:val="auto"/>
        </w:rPr>
      </w:pPr>
      <w:r>
        <w:rPr>
          <w:rFonts w:ascii="Arial" w:cs="Arial" w:eastAsia="Arial" w:hAnsi="Arial"/>
          <w:sz w:val="20"/>
          <w:szCs w:val="20"/>
          <w:color w:val="auto"/>
        </w:rPr>
        <w:t>For the years ended December 31, 2025, 2024, and 2023, average invested assets include off-balance sheet customer funds used in the facilitation of tax-deferred property exchanges of $4,641 million, $3,613, million and $4,436 million, respectively.</w:t>
      </w:r>
    </w:p>
    <w:p>
      <w:pPr>
        <w:spacing w:after="0" w:line="7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F&amp;G</w:t>
      </w:r>
    </w:p>
    <w:p>
      <w:pPr>
        <w:spacing w:after="0" w:line="189" w:lineRule="exact"/>
        <w:rPr>
          <w:sz w:val="20"/>
          <w:szCs w:val="20"/>
          <w:color w:val="auto"/>
        </w:rPr>
      </w:pPr>
    </w:p>
    <w:p>
      <w:pPr>
        <w:jc w:val="both"/>
        <w:ind w:firstLine="353"/>
        <w:spacing w:after="0" w:line="254" w:lineRule="auto"/>
        <w:rPr>
          <w:sz w:val="20"/>
          <w:szCs w:val="20"/>
          <w:color w:val="auto"/>
        </w:rPr>
      </w:pPr>
      <w:r>
        <w:rPr>
          <w:rFonts w:ascii="Arial" w:cs="Arial" w:eastAsia="Arial" w:hAnsi="Arial"/>
          <w:sz w:val="20"/>
          <w:szCs w:val="20"/>
          <w:color w:val="auto"/>
        </w:rPr>
        <w:t>Through F&amp;G, and its wholly-owned insurance subsidiaries, we market a broad portfolio of annuities, including fixed indexed annuities (“FIAs”), registered index-linked annuities (“RILAs”), (together referred to as “indexed annuities”), multi-year guarantee annuities (“MYGAs”) as well as pension risk transfer (“PRT”) solutions, indexed universal life (“IUL”) insurance and institutional funding agreements.</w:t>
      </w:r>
    </w:p>
    <w:p>
      <w:pPr>
        <w:spacing w:after="0" w:line="55" w:lineRule="exact"/>
        <w:rPr>
          <w:sz w:val="20"/>
          <w:szCs w:val="20"/>
          <w:color w:val="auto"/>
        </w:rPr>
      </w:pPr>
    </w:p>
    <w:p>
      <w:pPr>
        <w:jc w:val="both"/>
        <w:ind w:firstLine="353"/>
        <w:spacing w:after="0" w:line="303" w:lineRule="auto"/>
        <w:rPr>
          <w:sz w:val="20"/>
          <w:szCs w:val="20"/>
          <w:color w:val="auto"/>
        </w:rPr>
      </w:pPr>
      <w:r>
        <w:rPr>
          <w:rFonts w:ascii="Arial" w:cs="Arial" w:eastAsia="Arial" w:hAnsi="Arial"/>
          <w:sz w:val="17"/>
          <w:szCs w:val="17"/>
          <w:color w:val="auto"/>
        </w:rPr>
        <w:t>For more than 60 years, F&amp;G has helped middle-income Americans prepare for retirement and for their loved ones' financial security. We partner with leading IMOs and their agents to serve the needs of the middle-income market and develop competitive products to align with their evolving needs. During 2020, F&amp;G entered the bank and broker dealer distribution channels to connect with even more customers. As of December 31, 2025, F&amp;G has approximately 778,000 policyholders who count on the safety and protection features our fixed annuity and life insurance products provide. We also serve approximately 145,000 plan participants who will receive their pension payments from F&amp;G through our pension risk transfer solutions.</w:t>
      </w:r>
    </w:p>
    <w:p>
      <w:pPr>
        <w:spacing w:after="0" w:line="19" w:lineRule="exact"/>
        <w:rPr>
          <w:sz w:val="20"/>
          <w:szCs w:val="20"/>
          <w:color w:val="auto"/>
        </w:rPr>
      </w:pPr>
    </w:p>
    <w:p>
      <w:pPr>
        <w:jc w:val="both"/>
        <w:ind w:firstLine="353"/>
        <w:spacing w:after="0" w:line="296" w:lineRule="auto"/>
        <w:rPr>
          <w:sz w:val="20"/>
          <w:szCs w:val="20"/>
          <w:color w:val="auto"/>
        </w:rPr>
      </w:pPr>
      <w:r>
        <w:rPr>
          <w:rFonts w:ascii="Arial" w:cs="Arial" w:eastAsia="Arial" w:hAnsi="Arial"/>
          <w:sz w:val="17"/>
          <w:szCs w:val="17"/>
          <w:color w:val="auto"/>
        </w:rPr>
        <w:t>Through the efforts of F&amp;G's over 1,100 employees, most of whom are located in Des Moines, Iowa, and through a network of approximately 300 IMOs and 26 leading banks and independent broker dealers, representing approximately 187,000 independent agents and advisers, we offer various types of fixed annuities and life insurance products. Our fixed annuities serve as a retirement and savings tool for which our customers rely on principal protection and predictable income streams. In addition, our IUL insurance products provide our customers with a complementary product that allows them to build on their savings and provide a payment to their designated beneficiaries upon the policyholder’s death. Our most popular products are indexed annuities that tie contractual returns to specific market indices, such as the S&amp;P 500 Composite Stock Price Index (the "S&amp;P 500 Index"). Our customers value our indexed annuities, which provide a portion of the gains of an underlying market index, while also providing principal protection. We believe this mix of “some upside but limited downside” fills the need for middle-income Americans who must save for retirement but who want to limit the risk of decline in their savings.</w:t>
      </w:r>
    </w:p>
    <w:p>
      <w:pPr>
        <w:spacing w:after="0" w:line="29" w:lineRule="exact"/>
        <w:rPr>
          <w:sz w:val="20"/>
          <w:szCs w:val="20"/>
          <w:color w:val="auto"/>
        </w:rPr>
      </w:pPr>
    </w:p>
    <w:p>
      <w:pPr>
        <w:jc w:val="both"/>
        <w:ind w:firstLine="353"/>
        <w:spacing w:after="0" w:line="303" w:lineRule="auto"/>
        <w:rPr>
          <w:sz w:val="20"/>
          <w:szCs w:val="20"/>
          <w:color w:val="auto"/>
        </w:rPr>
      </w:pPr>
      <w:r>
        <w:rPr>
          <w:rFonts w:ascii="Arial" w:cs="Arial" w:eastAsia="Arial" w:hAnsi="Arial"/>
          <w:sz w:val="17"/>
          <w:szCs w:val="17"/>
          <w:color w:val="auto"/>
        </w:rPr>
        <w:t>For the year ended December 31, 2025, FIAs generated approximately 46% of our total gross sales. The remaining 54% of sales were primarily generated from fixed rate annuities, 26%, PRT sales, 15%, funding agreements, 12%, and IUL, 1%. We invest the proceeds primarily in fixed income securities. We also use options and futures that hedge the index credit of our FIA and IUL liabilities by replicating the market index returns to our policyholders. We invest in options on indices such as the S&amp;P 500 Index. Most of our products allow for active management to achieve targeted lifetime returns. In addition, our annuity contracts generally either cannot be surrendered or include surrender charges that discourage early redemptions.</w:t>
      </w:r>
    </w:p>
    <w:p>
      <w:pPr>
        <w:spacing w:after="0" w:line="17" w:lineRule="exact"/>
        <w:rPr>
          <w:sz w:val="20"/>
          <w:szCs w:val="20"/>
          <w:color w:val="auto"/>
        </w:rPr>
      </w:pPr>
    </w:p>
    <w:p>
      <w:pPr>
        <w:jc w:val="both"/>
        <w:ind w:firstLine="353"/>
        <w:spacing w:after="0" w:line="307" w:lineRule="auto"/>
        <w:rPr>
          <w:sz w:val="20"/>
          <w:szCs w:val="20"/>
          <w:color w:val="auto"/>
        </w:rPr>
      </w:pPr>
      <w:r>
        <w:rPr>
          <w:rFonts w:ascii="Arial" w:cs="Arial" w:eastAsia="Arial" w:hAnsi="Arial"/>
          <w:sz w:val="17"/>
          <w:szCs w:val="17"/>
          <w:b w:val="1"/>
          <w:bCs w:val="1"/>
          <w:i w:val="1"/>
          <w:iCs w:val="1"/>
          <w:color w:val="auto"/>
        </w:rPr>
        <w:t xml:space="preserve">Annuities. </w:t>
      </w:r>
      <w:r>
        <w:rPr>
          <w:rFonts w:ascii="Arial" w:cs="Arial" w:eastAsia="Arial" w:hAnsi="Arial"/>
          <w:sz w:val="17"/>
          <w:szCs w:val="17"/>
          <w:color w:val="auto"/>
        </w:rPr>
        <w:t>Through F&amp;G’s insurance subsidiaries, we issue a broad portfolio of deferred annuities (indexed annuities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fixed rate annuities), immediate annuities, and PRT solutions. A deferred annuity is a type of contract that accumulates value on a tax deferred basis and typically begins making specified periodic or lump sum payments a certain number of years after the contract has been issued. An immediate annuity is a type of contract that begins making specified payments within one annuity period (e.g., one month or one year) and typically pays principal and earnings in equal payments over some period of time.</w:t>
      </w:r>
    </w:p>
    <w:p>
      <w:pPr>
        <w:sectPr>
          <w:pgSz w:w="11880" w:h="15480" w:orient="portrait"/>
          <w:cols w:equalWidth="0" w:num="1">
            <w:col w:w="10040"/>
          </w:cols>
          <w:pgMar w:left="920" w:top="772"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w:t>
      </w:r>
    </w:p>
    <w:p>
      <w:pPr>
        <w:sectPr>
          <w:pgSz w:w="11880" w:h="15480" w:orient="portrait"/>
          <w:cols w:equalWidth="0" w:num="1">
            <w:col w:w="10040"/>
          </w:cols>
          <w:pgMar w:left="920" w:top="772" w:right="920" w:bottom="0" w:gutter="0" w:footer="0" w:header="0"/>
          <w:type w:val="continuous"/>
        </w:sectPr>
      </w:pPr>
    </w:p>
    <w:bookmarkStart w:id="28" w:name="page29"/>
    <w:bookmarkEnd w:id="28"/>
    <w:p>
      <w:pPr>
        <w:jc w:val="both"/>
        <w:ind w:firstLine="353"/>
        <w:spacing w:after="0" w:line="299" w:lineRule="auto"/>
        <w:rPr>
          <w:sz w:val="20"/>
          <w:szCs w:val="20"/>
          <w:color w:val="auto"/>
        </w:rPr>
      </w:pPr>
      <w:r>
        <w:rPr>
          <w:rFonts w:ascii="Arial" w:cs="Arial" w:eastAsia="Arial" w:hAnsi="Arial"/>
          <w:sz w:val="17"/>
          <w:szCs w:val="17"/>
          <w:b w:val="1"/>
          <w:bCs w:val="1"/>
          <w:i w:val="1"/>
          <w:iCs w:val="1"/>
          <w:color w:val="auto"/>
        </w:rPr>
        <w:t xml:space="preserve">Deferred Annuities </w:t>
      </w:r>
      <w:r>
        <w:rPr>
          <w:rFonts w:ascii="Arial" w:cs="Arial" w:eastAsia="Arial" w:hAnsi="Arial"/>
          <w:sz w:val="17"/>
          <w:szCs w:val="17"/>
          <w:color w:val="auto"/>
        </w:rPr>
        <w:t>–</w:t>
      </w:r>
      <w:r>
        <w:rPr>
          <w:rFonts w:ascii="Arial" w:cs="Arial" w:eastAsia="Arial" w:hAnsi="Arial"/>
          <w:sz w:val="17"/>
          <w:szCs w:val="17"/>
          <w:b w:val="1"/>
          <w:bCs w:val="1"/>
          <w:i w:val="1"/>
          <w:iCs w:val="1"/>
          <w:color w:val="auto"/>
        </w:rPr>
        <w:t xml:space="preserve"> FIAs</w:t>
      </w:r>
      <w:r>
        <w:rPr>
          <w:rFonts w:ascii="Arial" w:cs="Arial" w:eastAsia="Arial" w:hAnsi="Arial"/>
          <w:sz w:val="17"/>
          <w:szCs w:val="17"/>
          <w:color w:val="auto"/>
        </w:rPr>
        <w:t>. Our FIAs allow contract owners the possibility of earning returns linked to the performance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 specified market index, such as the S&amp;P 500 Index, while providing principal protection. The contract owners typically make a single deposit into our deferred annuities. The contracts include a provision for a minimum guaranteed surrender value calculated in accordance with applicable law. A market index tracks the performance of a specific group of stocks representing a particular segment of the market, or in some cases an entire market. For example, the S&amp;P 500 Composite Stock Price Index is an index of 500 stocks intended to be representative of a broad segment of the market. All FIA products allow policyholders to allocate funds once a year among several different crediting strategies, including one or more index-based strategies and a traditional fixed rate strategy. Surrender charges apply for early withdrawal, typically for seven to fourteen years after purchase.</w:t>
      </w:r>
    </w:p>
    <w:p>
      <w:pPr>
        <w:spacing w:after="0" w:line="53" w:lineRule="exact"/>
        <w:rPr>
          <w:sz w:val="20"/>
          <w:szCs w:val="20"/>
          <w:color w:val="auto"/>
        </w:rPr>
      </w:pPr>
    </w:p>
    <w:p>
      <w:pPr>
        <w:jc w:val="both"/>
        <w:ind w:firstLine="353"/>
        <w:spacing w:after="0" w:line="293" w:lineRule="auto"/>
        <w:rPr>
          <w:sz w:val="20"/>
          <w:szCs w:val="20"/>
          <w:color w:val="auto"/>
        </w:rPr>
      </w:pPr>
      <w:r>
        <w:rPr>
          <w:rFonts w:ascii="Arial" w:cs="Arial" w:eastAsia="Arial" w:hAnsi="Arial"/>
          <w:sz w:val="17"/>
          <w:szCs w:val="17"/>
          <w:color w:val="auto"/>
        </w:rPr>
        <w:t>We purchase derivatives consisting predominantly of over-the-counter options and, to a lesser degree, futures contracts (specifically for FIA contracts) on the equity indices underlying the applicable policy such as the S&amp;P 500 Index. These derivatives are used to fund the index credits due to policyholders under the FIA and IUL contracts based upon policyholders’ contract elections. The down-side risk to F&amp;G is limited to the cost of the options because if the value of the options decreases there is no index credit. The cost of the hedge is included in the pricing of the product and can be reset on an annual basis for each policy based on market conditions. The majority of all such equity options are one-year options purchased to match the funding requirements underlying the FIA/IUL contracts. On the anniversary dates of the FIA/IUL contracts, the market index used to compute the annual index credit under the contracts is reset. At such time, we purchase new equity options to fund the next index credit. We manage the cost of these purchases through the terms of our FIA/IUL contracts, which permit us to change caps or participation rates, subject to certain guaranteed minimums on each contract’s anniversary date. The change in the fair value of the options and futures contracts is generally designed to offset the equity market related change in the fair value of the FIA/IUL contract’s related reserve liability. The options and futures contracts are marked to fair value with the change in fair value included as a component of “Recognized gains and losses, net” in our Consolidated Statements of Operations. The change in fair value of the options and futures contracts includes the gains and losses recognized at the expiration of the instrument’s term or upon early termination and the changes in fair value of open positions. Generally accepted accounting principles (“GAAP”) accounting of the reserve liability for products with embedded derivatives such as FIA creates additional volatility beyond the accounting for the options and the futures.</w:t>
      </w:r>
    </w:p>
    <w:p>
      <w:pPr>
        <w:spacing w:after="0" w:line="298" w:lineRule="exact"/>
        <w:rPr>
          <w:sz w:val="20"/>
          <w:szCs w:val="20"/>
          <w:color w:val="auto"/>
        </w:rPr>
      </w:pPr>
    </w:p>
    <w:p>
      <w:pPr>
        <w:jc w:val="both"/>
        <w:ind w:firstLine="353"/>
        <w:spacing w:after="0" w:line="262" w:lineRule="auto"/>
        <w:rPr>
          <w:sz w:val="20"/>
          <w:szCs w:val="20"/>
          <w:color w:val="auto"/>
        </w:rPr>
      </w:pPr>
      <w:r>
        <w:rPr>
          <w:rFonts w:ascii="Arial" w:cs="Arial" w:eastAsia="Arial" w:hAnsi="Arial"/>
          <w:sz w:val="19"/>
          <w:szCs w:val="19"/>
          <w:color w:val="auto"/>
        </w:rPr>
        <w:t>The contractholder account value of a FIA contract is equal to the sum of deposits paid, premium bonuses, if any, (described below), and index credits based on the change in the relevant market index (subject to a cap, spread and/or a participation rate) less any fees for riders and any withdrawals taken to-date. Caps (a maximum rate that may be credited) generally range from 1% to 10% when measured annually and 1% to 3% when measured monthly, spreads (a credited rate determined by deducting a specific rate from the index return) generally range from 1% to 3% when measured annually, and participation rates (a credited rate equal to a percentage of index return) generally range from 50% to 250% of the performance of the applicable market index. The cap, spread and participation rate can typically be reset annually and in some instances every two to five years. Certain riders provide a variety of benefits, such as the ability to increase their cap, lifetime income or additional liquidity for a set fee. As this fee is fixed, the contract holder may lose principal if the index credits received do not exceed the amount of such fee.</w:t>
      </w:r>
    </w:p>
    <w:p>
      <w:pPr>
        <w:spacing w:after="0" w:line="84" w:lineRule="exact"/>
        <w:rPr>
          <w:sz w:val="20"/>
          <w:szCs w:val="20"/>
          <w:color w:val="auto"/>
        </w:rPr>
      </w:pPr>
    </w:p>
    <w:p>
      <w:pPr>
        <w:jc w:val="both"/>
        <w:ind w:firstLine="353"/>
        <w:spacing w:after="0" w:line="268" w:lineRule="auto"/>
        <w:rPr>
          <w:sz w:val="20"/>
          <w:szCs w:val="20"/>
          <w:color w:val="auto"/>
        </w:rPr>
      </w:pPr>
      <w:r>
        <w:rPr>
          <w:rFonts w:ascii="Arial" w:cs="Arial" w:eastAsia="Arial" w:hAnsi="Arial"/>
          <w:sz w:val="19"/>
          <w:szCs w:val="19"/>
          <w:color w:val="auto"/>
        </w:rPr>
        <w:t>Approximately 39% of the FIA sales for the year ended December 31, 2025, involved premium bonuses or vesting bonuses. Premium bonuses increase the initial annuity deposit by a specified rate of 2%. The vesting bonuses, which range from 3% to 17%, increase the initial annuity deposit liability but are subject to adjustment for unvested amounts in the event of surrender by the policyholder prior to the end of the vesting period. We made compensating adjustments in the commission paid to the agent or the surrender charges on the policy to offset the premium bonus.</w:t>
      </w:r>
    </w:p>
    <w:p>
      <w:pPr>
        <w:spacing w:after="0" w:line="74" w:lineRule="exact"/>
        <w:rPr>
          <w:sz w:val="20"/>
          <w:szCs w:val="20"/>
          <w:color w:val="auto"/>
        </w:rPr>
      </w:pPr>
    </w:p>
    <w:p>
      <w:pPr>
        <w:jc w:val="both"/>
        <w:ind w:firstLine="353"/>
        <w:spacing w:after="0" w:line="299" w:lineRule="auto"/>
        <w:rPr>
          <w:sz w:val="20"/>
          <w:szCs w:val="20"/>
          <w:color w:val="auto"/>
        </w:rPr>
      </w:pPr>
      <w:r>
        <w:rPr>
          <w:rFonts w:ascii="Arial" w:cs="Arial" w:eastAsia="Arial" w:hAnsi="Arial"/>
          <w:sz w:val="17"/>
          <w:szCs w:val="17"/>
          <w:color w:val="auto"/>
        </w:rPr>
        <w:t>Approximately 77% of our FIA contracts were issued with a guaranteed minimum withdrawal benefit (“GMWB”) rider for the year ended December 31, 2025. With this rider, a contract owner can elect to receive guaranteed payments for life from the FIA contract without requiring the owner to annuitize the FIA contract value. The amount of the income benefit available is determined by the growth in the policy’s benefit base value as defined in the FIA contract rider. Typically, this accumulates for 10 years based on a guaranteed rate of 3% to 10%. Guaranteed withdrawal payments may be stopped and restarted at the election of the contract owner. Some of the FIA contract riders that we offer include an additional death benefit or an increase in benefit amounts under chronic health conditions. Rider fees range from 0% to 1%. Unlike a variable annuity, policyholder values do not decline with market movements.</w:t>
      </w:r>
    </w:p>
    <w:p>
      <w:pPr>
        <w:sectPr>
          <w:pgSz w:w="11880" w:h="15480" w:orient="portrait"/>
          <w:cols w:equalWidth="0" w:num="1">
            <w:col w:w="10040"/>
          </w:cols>
          <w:pgMar w:left="920" w:top="770"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w:t>
      </w:r>
    </w:p>
    <w:p>
      <w:pPr>
        <w:sectPr>
          <w:pgSz w:w="11880" w:h="15480" w:orient="portrait"/>
          <w:cols w:equalWidth="0" w:num="1">
            <w:col w:w="10040"/>
          </w:cols>
          <w:pgMar w:left="920" w:top="770" w:right="920" w:bottom="0" w:gutter="0" w:footer="0" w:header="0"/>
          <w:type w:val="continuous"/>
        </w:sectPr>
      </w:pPr>
    </w:p>
    <w:bookmarkStart w:id="29" w:name="page30"/>
    <w:bookmarkEnd w:id="29"/>
    <w:p>
      <w:pPr>
        <w:jc w:val="both"/>
        <w:ind w:firstLine="353"/>
        <w:spacing w:after="0" w:line="264" w:lineRule="auto"/>
        <w:rPr>
          <w:sz w:val="20"/>
          <w:szCs w:val="20"/>
          <w:color w:val="auto"/>
        </w:rPr>
      </w:pPr>
      <w:r>
        <w:rPr>
          <w:rFonts w:ascii="Arial" w:cs="Arial" w:eastAsia="Arial" w:hAnsi="Arial"/>
          <w:sz w:val="19"/>
          <w:szCs w:val="19"/>
          <w:b w:val="1"/>
          <w:bCs w:val="1"/>
          <w:i w:val="1"/>
          <w:iCs w:val="1"/>
          <w:color w:val="auto"/>
        </w:rPr>
        <w:t xml:space="preserve">Deferred Annuities </w:t>
      </w:r>
      <w:r>
        <w:rPr>
          <w:rFonts w:ascii="Arial" w:cs="Arial" w:eastAsia="Arial" w:hAnsi="Arial"/>
          <w:sz w:val="19"/>
          <w:szCs w:val="19"/>
          <w:color w:val="auto"/>
        </w:rPr>
        <w:t>–</w:t>
      </w:r>
      <w:r>
        <w:rPr>
          <w:rFonts w:ascii="Arial" w:cs="Arial" w:eastAsia="Arial" w:hAnsi="Arial"/>
          <w:sz w:val="19"/>
          <w:szCs w:val="19"/>
          <w:b w:val="1"/>
          <w:bCs w:val="1"/>
          <w:i w:val="1"/>
          <w:iCs w:val="1"/>
          <w:color w:val="auto"/>
        </w:rPr>
        <w:t xml:space="preserve"> Fixed Rate Annuities</w:t>
      </w:r>
      <w:r>
        <w:rPr>
          <w:rFonts w:ascii="Arial" w:cs="Arial" w:eastAsia="Arial" w:hAnsi="Arial"/>
          <w:sz w:val="19"/>
          <w:szCs w:val="19"/>
          <w:color w:val="auto"/>
        </w:rPr>
        <w:t>. Fixed rate annuities are typically single deposit contracts and include annual</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reset and multi-year rate guaranteed policies. Fixed rate annual reset annuities issued by us have an annual interest rate (the “crediting rate”) that is guaranteed for the first policy year. After the first policy year, we have the discretionary ability to change the crediting rate once annually to any rate at or above a guaranteed minimum rate. MYGAs are similar to fixed rate annual reset annuities except that the initial crediting rate is guaranteed for a specified number of years before it may be changed at our discretion. As of December 31, 2025, crediting rates on outstanding single-year guaranteed annuities generally ranged from 2% to 6% and MYGA ranged from 1% to 6%. The average crediting rate on all outstanding fixed rate annuities as of December 31, 2025, was 5%.</w:t>
      </w:r>
    </w:p>
    <w:p>
      <w:pPr>
        <w:spacing w:after="0" w:line="77" w:lineRule="exact"/>
        <w:rPr>
          <w:sz w:val="20"/>
          <w:szCs w:val="20"/>
          <w:color w:val="auto"/>
        </w:rPr>
      </w:pPr>
    </w:p>
    <w:p>
      <w:pPr>
        <w:jc w:val="both"/>
        <w:ind w:firstLine="353"/>
        <w:spacing w:after="0" w:line="262" w:lineRule="auto"/>
        <w:rPr>
          <w:sz w:val="20"/>
          <w:szCs w:val="20"/>
          <w:color w:val="auto"/>
        </w:rPr>
      </w:pPr>
      <w:r>
        <w:rPr>
          <w:rFonts w:ascii="Arial" w:cs="Arial" w:eastAsia="Arial" w:hAnsi="Arial"/>
          <w:sz w:val="19"/>
          <w:szCs w:val="19"/>
          <w:b w:val="1"/>
          <w:bCs w:val="1"/>
          <w:i w:val="1"/>
          <w:iCs w:val="1"/>
          <w:color w:val="auto"/>
        </w:rPr>
        <w:t xml:space="preserve">Deferred Annuities - Registered Index-Linked Annuities </w:t>
      </w:r>
      <w:r>
        <w:rPr>
          <w:rFonts w:ascii="Arial" w:cs="Arial" w:eastAsia="Arial" w:hAnsi="Arial"/>
          <w:sz w:val="19"/>
          <w:szCs w:val="19"/>
          <w:color w:val="auto"/>
        </w:rPr>
        <w:t>(“RILA”). In early 2024, we entered the RILA markets. RILAs are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similar to indexed annuities in offering the policyholder the opportunity for tax-deferred growth based in part on the performance of a market index. Compared to an indexed annuity, RILAs have the potential for higher returns but also have the potential for risk of loss to principal and related earnings. RILAs provide the ability for the policyholder to participate in the positive performance of certain market indices during a term, limited by a cap or adjusted for a participation rate. Negative performance of the market indices during a term can result in negative policyholder returns, with downside protection typically provided in the form of either a “buffer” or a “floor” to limit the policyholder’s exposure to market loss. A "buffer" is protection from negative exposure up to a certain percentage, typically 10% or 20%. A "floor" is protection from negative exposure less than a stated percentage (i.e., the policyholder risks exposure of loss up to the "floor", but is protected against any loss in excess of this amount).</w:t>
      </w:r>
    </w:p>
    <w:p>
      <w:pPr>
        <w:spacing w:after="0" w:line="84" w:lineRule="exact"/>
        <w:rPr>
          <w:sz w:val="20"/>
          <w:szCs w:val="20"/>
          <w:color w:val="auto"/>
        </w:rPr>
      </w:pPr>
    </w:p>
    <w:p>
      <w:pPr>
        <w:jc w:val="both"/>
        <w:ind w:firstLine="353"/>
        <w:spacing w:after="0" w:line="295" w:lineRule="auto"/>
        <w:rPr>
          <w:sz w:val="20"/>
          <w:szCs w:val="20"/>
          <w:color w:val="auto"/>
        </w:rPr>
      </w:pPr>
      <w:r>
        <w:rPr>
          <w:rFonts w:ascii="Arial" w:cs="Arial" w:eastAsia="Arial" w:hAnsi="Arial"/>
          <w:sz w:val="17"/>
          <w:szCs w:val="17"/>
          <w:b w:val="1"/>
          <w:bCs w:val="1"/>
          <w:i w:val="1"/>
          <w:iCs w:val="1"/>
          <w:color w:val="auto"/>
        </w:rPr>
        <w:t>Withdrawal Options for Deferred Annuities</w:t>
      </w:r>
      <w:r>
        <w:rPr>
          <w:rFonts w:ascii="Arial" w:cs="Arial" w:eastAsia="Arial" w:hAnsi="Arial"/>
          <w:sz w:val="17"/>
          <w:szCs w:val="17"/>
          <w:color w:val="auto"/>
        </w:rPr>
        <w:t>. After the first year following the issuance of a deferred annuity policy, holders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of deferred annuities are typically permitted penalty-free withdrawals up to a contractually specified amount. The penalty-free withdrawal amount is typically 10% of the prior year account value for indexed annuities and is typically up to accumulated interest for fixed rate annuities, subject to certain restrictions. Withdrawals in excess of allowable penalty-free amounts are assessed a surrender charge if such withdrawals are made during the penalty period of the deferred annuity policy. The penalty period typically ranges from seven to fourteen years for indexed annuities and three to ten years for fixed rate annuities. This surrender charge initially ranges from 7% to 15% of the contract value for indexed annuities and is 8% of the contract value for fixed rate annuities. The charge generally decreases by approximately one to two percentage points per year during the penalty period. The average surrender charge was 7% for our indexed annuities and 7% for our fixed rate annuities as of December 31, 2025. A market value adjustment (“MVA”) will also apply in most states to any withdrawal that incurs a surrender charge, subject to certain exceptions. The MVA is based on a formula that accounts for changes in interest rates since contract issuance. Generally, if interest rates have risen, the MVA will decrease surrender value, whereas if rates have fallen, it will increase surrender value. As of December 31, 2025, approximately 83% of our business included an MVA feature.</w:t>
      </w:r>
    </w:p>
    <w:p>
      <w:pPr>
        <w:spacing w:after="0" w:line="24" w:lineRule="exact"/>
        <w:rPr>
          <w:sz w:val="20"/>
          <w:szCs w:val="20"/>
          <w:color w:val="auto"/>
        </w:rPr>
      </w:pPr>
    </w:p>
    <w:p>
      <w:pPr>
        <w:ind w:left="480"/>
        <w:spacing w:after="0"/>
        <w:rPr>
          <w:sz w:val="20"/>
          <w:szCs w:val="20"/>
          <w:color w:val="auto"/>
        </w:rPr>
      </w:pPr>
      <w:r>
        <w:rPr>
          <w:rFonts w:ascii="Arial" w:cs="Arial" w:eastAsia="Arial" w:hAnsi="Arial"/>
          <w:sz w:val="17"/>
          <w:szCs w:val="17"/>
          <w:color w:val="auto"/>
        </w:rPr>
        <w:t>The following table summarizes our deferred annuity account values and surrender charge protection as of December 31,</w:t>
      </w:r>
    </w:p>
    <w:p>
      <w:pPr>
        <w:spacing w:after="0" w:line="59" w:lineRule="exact"/>
        <w:rPr>
          <w:sz w:val="20"/>
          <w:szCs w:val="20"/>
          <w:color w:val="auto"/>
        </w:rPr>
      </w:pPr>
    </w:p>
    <w:p>
      <w:pPr>
        <w:spacing w:after="0"/>
        <w:rPr>
          <w:sz w:val="20"/>
          <w:szCs w:val="20"/>
          <w:color w:val="auto"/>
        </w:rPr>
      </w:pPr>
      <w:r>
        <w:rPr>
          <w:rFonts w:ascii="Arial" w:cs="Arial" w:eastAsia="Arial" w:hAnsi="Arial"/>
          <w:sz w:val="20"/>
          <w:szCs w:val="20"/>
          <w:color w:val="auto"/>
        </w:rPr>
        <w:t>2025:</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0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jc w:val="center"/>
              <w:ind w:right="62"/>
              <w:spacing w:after="0"/>
              <w:rPr>
                <w:sz w:val="20"/>
                <w:szCs w:val="20"/>
                <w:color w:val="auto"/>
              </w:rPr>
            </w:pPr>
            <w:r>
              <w:rPr>
                <w:rFonts w:ascii="Arial" w:cs="Arial" w:eastAsia="Arial" w:hAnsi="Arial"/>
                <w:sz w:val="16"/>
                <w:szCs w:val="16"/>
                <w:b w:val="1"/>
                <w:bCs w:val="1"/>
                <w:color w:val="auto"/>
                <w:w w:val="89"/>
              </w:rPr>
              <w:t>Fixed Rate and</w:t>
            </w:r>
          </w:p>
        </w:tc>
        <w:tc>
          <w:tcPr>
            <w:tcW w:w="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80" w:type="dxa"/>
            <w:vAlign w:val="bottom"/>
          </w:tcPr>
          <w:p>
            <w:pPr>
              <w:jc w:val="center"/>
              <w:spacing w:after="0"/>
              <w:rPr>
                <w:sz w:val="20"/>
                <w:szCs w:val="20"/>
                <w:color w:val="auto"/>
              </w:rPr>
            </w:pPr>
            <w:r>
              <w:rPr>
                <w:rFonts w:ascii="Arial" w:cs="Arial" w:eastAsia="Arial" w:hAnsi="Arial"/>
                <w:sz w:val="16"/>
                <w:szCs w:val="16"/>
                <w:b w:val="1"/>
                <w:bCs w:val="1"/>
                <w:color w:val="auto"/>
                <w:w w:val="91"/>
              </w:rPr>
              <w:t>Weighted</w:t>
            </w:r>
          </w:p>
        </w:tc>
        <w:tc>
          <w:tcPr>
            <w:tcW w:w="0" w:type="dxa"/>
            <w:vAlign w:val="bottom"/>
          </w:tcPr>
          <w:p>
            <w:pPr>
              <w:spacing w:after="0"/>
              <w:rPr>
                <w:sz w:val="1"/>
                <w:szCs w:val="1"/>
                <w:color w:val="auto"/>
              </w:rPr>
            </w:pPr>
          </w:p>
        </w:tc>
      </w:tr>
      <w:tr>
        <w:trPr>
          <w:trHeight w:val="157"/>
        </w:trPr>
        <w:tc>
          <w:tcPr>
            <w:tcW w:w="60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jc w:val="center"/>
              <w:ind w:right="62"/>
              <w:spacing w:after="0" w:line="157" w:lineRule="exact"/>
              <w:rPr>
                <w:sz w:val="20"/>
                <w:szCs w:val="20"/>
                <w:color w:val="auto"/>
              </w:rPr>
            </w:pPr>
            <w:r>
              <w:rPr>
                <w:rFonts w:ascii="Arial" w:cs="Arial" w:eastAsia="Arial" w:hAnsi="Arial"/>
                <w:sz w:val="16"/>
                <w:szCs w:val="16"/>
                <w:b w:val="1"/>
                <w:bCs w:val="1"/>
                <w:color w:val="auto"/>
                <w:w w:val="89"/>
              </w:rPr>
              <w:t>Indexed</w:t>
            </w:r>
          </w:p>
        </w:tc>
        <w:tc>
          <w:tcPr>
            <w:tcW w:w="6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80" w:type="dxa"/>
            <w:vAlign w:val="bottom"/>
          </w:tcPr>
          <w:p>
            <w:pPr>
              <w:jc w:val="center"/>
              <w:spacing w:after="0" w:line="157" w:lineRule="exact"/>
              <w:rPr>
                <w:sz w:val="20"/>
                <w:szCs w:val="20"/>
                <w:color w:val="auto"/>
              </w:rPr>
            </w:pPr>
            <w:r>
              <w:rPr>
                <w:rFonts w:ascii="Arial" w:cs="Arial" w:eastAsia="Arial" w:hAnsi="Arial"/>
                <w:sz w:val="16"/>
                <w:szCs w:val="16"/>
                <w:b w:val="1"/>
                <w:bCs w:val="1"/>
                <w:color w:val="auto"/>
                <w:w w:val="88"/>
              </w:rPr>
              <w:t>Average</w:t>
            </w:r>
          </w:p>
        </w:tc>
        <w:tc>
          <w:tcPr>
            <w:tcW w:w="0" w:type="dxa"/>
            <w:vAlign w:val="bottom"/>
          </w:tcPr>
          <w:p>
            <w:pPr>
              <w:spacing w:after="0"/>
              <w:rPr>
                <w:sz w:val="1"/>
                <w:szCs w:val="1"/>
                <w:color w:val="auto"/>
              </w:rPr>
            </w:pPr>
          </w:p>
        </w:tc>
      </w:tr>
      <w:tr>
        <w:trPr>
          <w:trHeight w:val="157"/>
        </w:trPr>
        <w:tc>
          <w:tcPr>
            <w:tcW w:w="604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SURRENDER CHARGE EXPIRATION BY YEAR</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jc w:val="center"/>
              <w:ind w:right="42"/>
              <w:spacing w:after="0" w:line="157" w:lineRule="exact"/>
              <w:rPr>
                <w:sz w:val="20"/>
                <w:szCs w:val="20"/>
                <w:color w:val="auto"/>
              </w:rPr>
            </w:pPr>
            <w:r>
              <w:rPr>
                <w:rFonts w:ascii="Arial" w:cs="Arial" w:eastAsia="Arial" w:hAnsi="Arial"/>
                <w:sz w:val="16"/>
                <w:szCs w:val="16"/>
                <w:b w:val="1"/>
                <w:bCs w:val="1"/>
                <w:color w:val="auto"/>
                <w:w w:val="87"/>
              </w:rPr>
              <w:t>Annuities</w:t>
            </w:r>
          </w:p>
        </w:tc>
        <w:tc>
          <w:tcPr>
            <w:tcW w:w="60" w:type="dxa"/>
            <w:vAlign w:val="bottom"/>
          </w:tcPr>
          <w:p>
            <w:pPr>
              <w:spacing w:after="0"/>
              <w:rPr>
                <w:sz w:val="13"/>
                <w:szCs w:val="13"/>
                <w:color w:val="auto"/>
              </w:rPr>
            </w:pPr>
          </w:p>
        </w:tc>
        <w:tc>
          <w:tcPr>
            <w:tcW w:w="1260" w:type="dxa"/>
            <w:vAlign w:val="bottom"/>
            <w:vMerge w:val="restart"/>
          </w:tcPr>
          <w:p>
            <w:pPr>
              <w:jc w:val="right"/>
              <w:ind w:right="2"/>
              <w:spacing w:after="0"/>
              <w:rPr>
                <w:sz w:val="20"/>
                <w:szCs w:val="20"/>
                <w:color w:val="auto"/>
              </w:rPr>
            </w:pPr>
            <w:r>
              <w:rPr>
                <w:rFonts w:ascii="Arial" w:cs="Arial" w:eastAsia="Arial" w:hAnsi="Arial"/>
                <w:sz w:val="16"/>
                <w:szCs w:val="16"/>
                <w:b w:val="1"/>
                <w:bCs w:val="1"/>
                <w:color w:val="auto"/>
                <w:w w:val="95"/>
              </w:rPr>
              <w:t>Percent of Total</w:t>
            </w:r>
          </w:p>
        </w:tc>
        <w:tc>
          <w:tcPr>
            <w:tcW w:w="60" w:type="dxa"/>
            <w:vAlign w:val="bottom"/>
            <w:vMerge w:val="restart"/>
          </w:tcPr>
          <w:p>
            <w:pPr>
              <w:spacing w:after="0"/>
              <w:rPr>
                <w:sz w:val="13"/>
                <w:szCs w:val="13"/>
                <w:color w:val="auto"/>
              </w:rPr>
            </w:pPr>
          </w:p>
        </w:tc>
        <w:tc>
          <w:tcPr>
            <w:tcW w:w="1280" w:type="dxa"/>
            <w:vAlign w:val="bottom"/>
          </w:tcPr>
          <w:p>
            <w:pPr>
              <w:jc w:val="center"/>
              <w:spacing w:after="0" w:line="157" w:lineRule="exact"/>
              <w:rPr>
                <w:sz w:val="20"/>
                <w:szCs w:val="20"/>
                <w:color w:val="auto"/>
              </w:rPr>
            </w:pPr>
            <w:r>
              <w:rPr>
                <w:rFonts w:ascii="Arial" w:cs="Arial" w:eastAsia="Arial" w:hAnsi="Arial"/>
                <w:sz w:val="16"/>
                <w:szCs w:val="16"/>
                <w:b w:val="1"/>
                <w:bCs w:val="1"/>
                <w:color w:val="auto"/>
                <w:w w:val="91"/>
              </w:rPr>
              <w:t>Surrender</w:t>
            </w:r>
          </w:p>
        </w:tc>
        <w:tc>
          <w:tcPr>
            <w:tcW w:w="0" w:type="dxa"/>
            <w:vAlign w:val="bottom"/>
          </w:tcPr>
          <w:p>
            <w:pPr>
              <w:spacing w:after="0"/>
              <w:rPr>
                <w:sz w:val="1"/>
                <w:szCs w:val="1"/>
                <w:color w:val="auto"/>
              </w:rPr>
            </w:pPr>
          </w:p>
        </w:tc>
      </w:tr>
      <w:tr>
        <w:trPr>
          <w:trHeight w:val="210"/>
        </w:trPr>
        <w:tc>
          <w:tcPr>
            <w:tcW w:w="6040" w:type="dxa"/>
            <w:vAlign w:val="bottom"/>
            <w:tcBorders>
              <w:bottom w:val="single" w:sz="8" w:color="auto"/>
            </w:tcBorders>
            <w:vMerge w:val="continue"/>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center"/>
              <w:ind w:right="62"/>
              <w:spacing w:after="0"/>
              <w:rPr>
                <w:sz w:val="20"/>
                <w:szCs w:val="20"/>
                <w:color w:val="auto"/>
              </w:rPr>
            </w:pPr>
            <w:r>
              <w:rPr>
                <w:rFonts w:ascii="Arial" w:cs="Arial" w:eastAsia="Arial" w:hAnsi="Arial"/>
                <w:sz w:val="16"/>
                <w:szCs w:val="16"/>
                <w:b w:val="1"/>
                <w:bCs w:val="1"/>
                <w:color w:val="auto"/>
                <w:w w:val="88"/>
              </w:rPr>
              <w:t>Account Value</w:t>
            </w:r>
          </w:p>
        </w:tc>
        <w:tc>
          <w:tcPr>
            <w:tcW w:w="60" w:type="dxa"/>
            <w:vAlign w:val="bottom"/>
          </w:tcPr>
          <w:p>
            <w:pPr>
              <w:spacing w:after="0"/>
              <w:rPr>
                <w:sz w:val="18"/>
                <w:szCs w:val="18"/>
                <w:color w:val="auto"/>
              </w:rPr>
            </w:pPr>
          </w:p>
        </w:tc>
        <w:tc>
          <w:tcPr>
            <w:tcW w:w="1260" w:type="dxa"/>
            <w:vAlign w:val="bottom"/>
            <w:tcBorders>
              <w:bottom w:val="single" w:sz="8" w:color="auto"/>
            </w:tcBorders>
            <w:vMerge w:val="continue"/>
          </w:tcPr>
          <w:p>
            <w:pPr>
              <w:spacing w:after="0"/>
              <w:rPr>
                <w:sz w:val="18"/>
                <w:szCs w:val="18"/>
                <w:color w:val="auto"/>
              </w:rPr>
            </w:pPr>
          </w:p>
        </w:tc>
        <w:tc>
          <w:tcPr>
            <w:tcW w:w="60" w:type="dxa"/>
            <w:vAlign w:val="bottom"/>
            <w:vMerge w:val="continue"/>
          </w:tcPr>
          <w:p>
            <w:pPr>
              <w:spacing w:after="0"/>
              <w:rPr>
                <w:sz w:val="18"/>
                <w:szCs w:val="18"/>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0"/>
              </w:rPr>
              <w:t>Charge</w:t>
            </w:r>
          </w:p>
        </w:tc>
        <w:tc>
          <w:tcPr>
            <w:tcW w:w="0" w:type="dxa"/>
            <w:vAlign w:val="bottom"/>
          </w:tcPr>
          <w:p>
            <w:pPr>
              <w:spacing w:after="0"/>
              <w:rPr>
                <w:sz w:val="1"/>
                <w:szCs w:val="1"/>
                <w:color w:val="auto"/>
              </w:rPr>
            </w:pPr>
          </w:p>
        </w:tc>
      </w:tr>
      <w:tr>
        <w:trPr>
          <w:trHeight w:val="223"/>
        </w:trPr>
        <w:tc>
          <w:tcPr>
            <w:tcW w:w="60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380" w:type="dxa"/>
            <w:vAlign w:val="bottom"/>
            <w:gridSpan w:val="3"/>
          </w:tcPr>
          <w:p>
            <w:pPr>
              <w:ind w:left="40"/>
              <w:spacing w:after="0"/>
              <w:rPr>
                <w:sz w:val="20"/>
                <w:szCs w:val="20"/>
                <w:color w:val="auto"/>
              </w:rPr>
            </w:pPr>
            <w:r>
              <w:rPr>
                <w:rFonts w:ascii="Arial" w:cs="Arial" w:eastAsia="Arial" w:hAnsi="Arial"/>
                <w:sz w:val="16"/>
                <w:szCs w:val="16"/>
                <w:b w:val="1"/>
                <w:bCs w:val="1"/>
                <w:color w:val="auto"/>
                <w:w w:val="88"/>
              </w:rPr>
              <w:t>(Dollars in millions)</w:t>
            </w: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6040" w:type="dxa"/>
            <w:vAlign w:val="bottom"/>
          </w:tcPr>
          <w:p>
            <w:pPr>
              <w:ind w:left="40"/>
              <w:spacing w:after="0"/>
              <w:rPr>
                <w:sz w:val="20"/>
                <w:szCs w:val="20"/>
                <w:color w:val="auto"/>
              </w:rPr>
            </w:pPr>
            <w:r>
              <w:rPr>
                <w:rFonts w:ascii="Arial" w:cs="Arial" w:eastAsia="Arial" w:hAnsi="Arial"/>
                <w:sz w:val="16"/>
                <w:szCs w:val="16"/>
                <w:color w:val="auto"/>
              </w:rPr>
              <w:t>Out of surrender charge</w:t>
            </w:r>
          </w:p>
        </w:tc>
        <w:tc>
          <w:tcPr>
            <w:tcW w:w="1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2"/>
              <w:spacing w:after="0"/>
              <w:rPr>
                <w:sz w:val="20"/>
                <w:szCs w:val="20"/>
                <w:color w:val="auto"/>
              </w:rPr>
            </w:pPr>
            <w:r>
              <w:rPr>
                <w:rFonts w:ascii="Arial" w:cs="Arial" w:eastAsia="Arial" w:hAnsi="Arial"/>
                <w:sz w:val="16"/>
                <w:szCs w:val="16"/>
                <w:color w:val="auto"/>
              </w:rPr>
              <w:t>2,637</w:t>
            </w:r>
          </w:p>
        </w:tc>
        <w:tc>
          <w:tcPr>
            <w:tcW w:w="1320" w:type="dxa"/>
            <w:vAlign w:val="bottom"/>
            <w:gridSpan w:val="2"/>
          </w:tcPr>
          <w:p>
            <w:pPr>
              <w:jc w:val="right"/>
              <w:spacing w:after="0"/>
              <w:rPr>
                <w:sz w:val="20"/>
                <w:szCs w:val="20"/>
                <w:color w:val="auto"/>
              </w:rPr>
            </w:pPr>
            <w:r>
              <w:rPr>
                <w:rFonts w:ascii="Arial" w:cs="Arial" w:eastAsia="Arial" w:hAnsi="Arial"/>
                <w:sz w:val="16"/>
                <w:szCs w:val="16"/>
                <w:color w:val="auto"/>
              </w:rPr>
              <w:t>7 %</w:t>
            </w:r>
          </w:p>
        </w:tc>
        <w:tc>
          <w:tcPr>
            <w:tcW w:w="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 %</w:t>
            </w:r>
          </w:p>
        </w:tc>
        <w:tc>
          <w:tcPr>
            <w:tcW w:w="0" w:type="dxa"/>
            <w:vAlign w:val="bottom"/>
          </w:tcPr>
          <w:p>
            <w:pPr>
              <w:spacing w:after="0"/>
              <w:rPr>
                <w:sz w:val="1"/>
                <w:szCs w:val="1"/>
                <w:color w:val="auto"/>
              </w:rPr>
            </w:pPr>
          </w:p>
        </w:tc>
      </w:tr>
      <w:tr>
        <w:trPr>
          <w:trHeight w:val="250"/>
        </w:trPr>
        <w:tc>
          <w:tcPr>
            <w:tcW w:w="6040" w:type="dxa"/>
            <w:vAlign w:val="bottom"/>
          </w:tcPr>
          <w:p>
            <w:pPr>
              <w:ind w:left="40"/>
              <w:spacing w:after="0"/>
              <w:rPr>
                <w:sz w:val="20"/>
                <w:szCs w:val="20"/>
                <w:color w:val="auto"/>
              </w:rPr>
            </w:pPr>
            <w:r>
              <w:rPr>
                <w:rFonts w:ascii="Arial" w:cs="Arial" w:eastAsia="Arial" w:hAnsi="Arial"/>
                <w:sz w:val="16"/>
                <w:szCs w:val="16"/>
                <w:color w:val="auto"/>
              </w:rPr>
              <w:t>2025</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jc w:val="right"/>
              <w:ind w:right="2"/>
              <w:spacing w:after="0"/>
              <w:rPr>
                <w:sz w:val="20"/>
                <w:szCs w:val="20"/>
                <w:color w:val="auto"/>
              </w:rPr>
            </w:pPr>
            <w:r>
              <w:rPr>
                <w:rFonts w:ascii="Arial" w:cs="Arial" w:eastAsia="Arial" w:hAnsi="Arial"/>
                <w:sz w:val="16"/>
                <w:szCs w:val="16"/>
                <w:color w:val="auto"/>
              </w:rPr>
              <w:t>2,166</w:t>
            </w:r>
          </w:p>
        </w:tc>
        <w:tc>
          <w:tcPr>
            <w:tcW w:w="1320" w:type="dxa"/>
            <w:vAlign w:val="bottom"/>
            <w:gridSpan w:val="2"/>
          </w:tcPr>
          <w:p>
            <w:pPr>
              <w:jc w:val="right"/>
              <w:spacing w:after="0"/>
              <w:rPr>
                <w:sz w:val="20"/>
                <w:szCs w:val="20"/>
                <w:color w:val="auto"/>
              </w:rPr>
            </w:pPr>
            <w:r>
              <w:rPr>
                <w:rFonts w:ascii="Arial" w:cs="Arial" w:eastAsia="Arial" w:hAnsi="Arial"/>
                <w:sz w:val="16"/>
                <w:szCs w:val="16"/>
                <w:color w:val="auto"/>
              </w:rPr>
              <w:t>6 %</w:t>
            </w:r>
          </w:p>
        </w:tc>
        <w:tc>
          <w:tcPr>
            <w:tcW w:w="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4 %</w:t>
            </w:r>
          </w:p>
        </w:tc>
        <w:tc>
          <w:tcPr>
            <w:tcW w:w="0" w:type="dxa"/>
            <w:vAlign w:val="bottom"/>
          </w:tcPr>
          <w:p>
            <w:pPr>
              <w:spacing w:after="0"/>
              <w:rPr>
                <w:sz w:val="1"/>
                <w:szCs w:val="1"/>
                <w:color w:val="auto"/>
              </w:rPr>
            </w:pPr>
          </w:p>
        </w:tc>
      </w:tr>
      <w:tr>
        <w:trPr>
          <w:trHeight w:val="250"/>
        </w:trPr>
        <w:tc>
          <w:tcPr>
            <w:tcW w:w="6040" w:type="dxa"/>
            <w:vAlign w:val="bottom"/>
          </w:tcPr>
          <w:p>
            <w:pPr>
              <w:ind w:left="40"/>
              <w:spacing w:after="0"/>
              <w:rPr>
                <w:sz w:val="20"/>
                <w:szCs w:val="20"/>
                <w:color w:val="auto"/>
              </w:rPr>
            </w:pPr>
            <w:r>
              <w:rPr>
                <w:rFonts w:ascii="Arial" w:cs="Arial" w:eastAsia="Arial" w:hAnsi="Arial"/>
                <w:sz w:val="16"/>
                <w:szCs w:val="16"/>
                <w:color w:val="auto"/>
              </w:rPr>
              <w:t>2026-2028</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jc w:val="right"/>
              <w:ind w:right="2"/>
              <w:spacing w:after="0"/>
              <w:rPr>
                <w:sz w:val="20"/>
                <w:szCs w:val="20"/>
                <w:color w:val="auto"/>
              </w:rPr>
            </w:pPr>
            <w:r>
              <w:rPr>
                <w:rFonts w:ascii="Arial" w:cs="Arial" w:eastAsia="Arial" w:hAnsi="Arial"/>
                <w:sz w:val="16"/>
                <w:szCs w:val="16"/>
                <w:color w:val="auto"/>
              </w:rPr>
              <w:t>8,774</w:t>
            </w:r>
          </w:p>
        </w:tc>
        <w:tc>
          <w:tcPr>
            <w:tcW w:w="1320" w:type="dxa"/>
            <w:vAlign w:val="bottom"/>
            <w:gridSpan w:val="2"/>
          </w:tcPr>
          <w:p>
            <w:pPr>
              <w:jc w:val="right"/>
              <w:spacing w:after="0"/>
              <w:rPr>
                <w:sz w:val="20"/>
                <w:szCs w:val="20"/>
                <w:color w:val="auto"/>
              </w:rPr>
            </w:pPr>
            <w:r>
              <w:rPr>
                <w:rFonts w:ascii="Arial" w:cs="Arial" w:eastAsia="Arial" w:hAnsi="Arial"/>
                <w:sz w:val="16"/>
                <w:szCs w:val="16"/>
                <w:color w:val="auto"/>
              </w:rPr>
              <w:t>24 %</w:t>
            </w:r>
          </w:p>
        </w:tc>
        <w:tc>
          <w:tcPr>
            <w:tcW w:w="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6 %</w:t>
            </w:r>
          </w:p>
        </w:tc>
        <w:tc>
          <w:tcPr>
            <w:tcW w:w="0" w:type="dxa"/>
            <w:vAlign w:val="bottom"/>
          </w:tcPr>
          <w:p>
            <w:pPr>
              <w:spacing w:after="0"/>
              <w:rPr>
                <w:sz w:val="1"/>
                <w:szCs w:val="1"/>
                <w:color w:val="auto"/>
              </w:rPr>
            </w:pPr>
          </w:p>
        </w:tc>
      </w:tr>
      <w:tr>
        <w:trPr>
          <w:trHeight w:val="250"/>
        </w:trPr>
        <w:tc>
          <w:tcPr>
            <w:tcW w:w="6040" w:type="dxa"/>
            <w:vAlign w:val="bottom"/>
          </w:tcPr>
          <w:p>
            <w:pPr>
              <w:ind w:left="40"/>
              <w:spacing w:after="0"/>
              <w:rPr>
                <w:sz w:val="20"/>
                <w:szCs w:val="20"/>
                <w:color w:val="auto"/>
              </w:rPr>
            </w:pPr>
            <w:r>
              <w:rPr>
                <w:rFonts w:ascii="Arial" w:cs="Arial" w:eastAsia="Arial" w:hAnsi="Arial"/>
                <w:sz w:val="16"/>
                <w:szCs w:val="16"/>
                <w:color w:val="auto"/>
              </w:rPr>
              <w:t>2029-2030</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jc w:val="right"/>
              <w:ind w:right="2"/>
              <w:spacing w:after="0"/>
              <w:rPr>
                <w:sz w:val="20"/>
                <w:szCs w:val="20"/>
                <w:color w:val="auto"/>
              </w:rPr>
            </w:pPr>
            <w:r>
              <w:rPr>
                <w:rFonts w:ascii="Arial" w:cs="Arial" w:eastAsia="Arial" w:hAnsi="Arial"/>
                <w:sz w:val="16"/>
                <w:szCs w:val="16"/>
                <w:color w:val="auto"/>
              </w:rPr>
              <w:t>6,367</w:t>
            </w:r>
          </w:p>
        </w:tc>
        <w:tc>
          <w:tcPr>
            <w:tcW w:w="1320" w:type="dxa"/>
            <w:vAlign w:val="bottom"/>
            <w:gridSpan w:val="2"/>
          </w:tcPr>
          <w:p>
            <w:pPr>
              <w:jc w:val="right"/>
              <w:spacing w:after="0"/>
              <w:rPr>
                <w:sz w:val="20"/>
                <w:szCs w:val="20"/>
                <w:color w:val="auto"/>
              </w:rPr>
            </w:pPr>
            <w:r>
              <w:rPr>
                <w:rFonts w:ascii="Arial" w:cs="Arial" w:eastAsia="Arial" w:hAnsi="Arial"/>
                <w:sz w:val="16"/>
                <w:szCs w:val="16"/>
                <w:color w:val="auto"/>
              </w:rPr>
              <w:t>18 %</w:t>
            </w:r>
          </w:p>
        </w:tc>
        <w:tc>
          <w:tcPr>
            <w:tcW w:w="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7 %</w:t>
            </w:r>
          </w:p>
        </w:tc>
        <w:tc>
          <w:tcPr>
            <w:tcW w:w="0" w:type="dxa"/>
            <w:vAlign w:val="bottom"/>
          </w:tcPr>
          <w:p>
            <w:pPr>
              <w:spacing w:after="0"/>
              <w:rPr>
                <w:sz w:val="1"/>
                <w:szCs w:val="1"/>
                <w:color w:val="auto"/>
              </w:rPr>
            </w:pPr>
          </w:p>
        </w:tc>
      </w:tr>
      <w:tr>
        <w:trPr>
          <w:trHeight w:val="250"/>
        </w:trPr>
        <w:tc>
          <w:tcPr>
            <w:tcW w:w="6040" w:type="dxa"/>
            <w:vAlign w:val="bottom"/>
          </w:tcPr>
          <w:p>
            <w:pPr>
              <w:ind w:left="40"/>
              <w:spacing w:after="0"/>
              <w:rPr>
                <w:sz w:val="20"/>
                <w:szCs w:val="20"/>
                <w:color w:val="auto"/>
              </w:rPr>
            </w:pPr>
            <w:r>
              <w:rPr>
                <w:rFonts w:ascii="Arial" w:cs="Arial" w:eastAsia="Arial" w:hAnsi="Arial"/>
                <w:sz w:val="16"/>
                <w:szCs w:val="16"/>
                <w:color w:val="auto"/>
              </w:rPr>
              <w:t>2031-2032</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jc w:val="right"/>
              <w:ind w:right="2"/>
              <w:spacing w:after="0"/>
              <w:rPr>
                <w:sz w:val="20"/>
                <w:szCs w:val="20"/>
                <w:color w:val="auto"/>
              </w:rPr>
            </w:pPr>
            <w:r>
              <w:rPr>
                <w:rFonts w:ascii="Arial" w:cs="Arial" w:eastAsia="Arial" w:hAnsi="Arial"/>
                <w:sz w:val="16"/>
                <w:szCs w:val="16"/>
                <w:color w:val="auto"/>
              </w:rPr>
              <w:t>6,763</w:t>
            </w:r>
          </w:p>
        </w:tc>
        <w:tc>
          <w:tcPr>
            <w:tcW w:w="1320" w:type="dxa"/>
            <w:vAlign w:val="bottom"/>
            <w:gridSpan w:val="2"/>
          </w:tcPr>
          <w:p>
            <w:pPr>
              <w:jc w:val="right"/>
              <w:spacing w:after="0"/>
              <w:rPr>
                <w:sz w:val="20"/>
                <w:szCs w:val="20"/>
                <w:color w:val="auto"/>
              </w:rPr>
            </w:pPr>
            <w:r>
              <w:rPr>
                <w:rFonts w:ascii="Arial" w:cs="Arial" w:eastAsia="Arial" w:hAnsi="Arial"/>
                <w:sz w:val="16"/>
                <w:szCs w:val="16"/>
                <w:color w:val="auto"/>
              </w:rPr>
              <w:t>19 %</w:t>
            </w:r>
          </w:p>
        </w:tc>
        <w:tc>
          <w:tcPr>
            <w:tcW w:w="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8 %</w:t>
            </w:r>
          </w:p>
        </w:tc>
        <w:tc>
          <w:tcPr>
            <w:tcW w:w="0" w:type="dxa"/>
            <w:vAlign w:val="bottom"/>
          </w:tcPr>
          <w:p>
            <w:pPr>
              <w:spacing w:after="0"/>
              <w:rPr>
                <w:sz w:val="1"/>
                <w:szCs w:val="1"/>
                <w:color w:val="auto"/>
              </w:rPr>
            </w:pPr>
          </w:p>
        </w:tc>
      </w:tr>
      <w:tr>
        <w:trPr>
          <w:trHeight w:val="257"/>
        </w:trPr>
        <w:tc>
          <w:tcPr>
            <w:tcW w:w="6040" w:type="dxa"/>
            <w:vAlign w:val="bottom"/>
          </w:tcPr>
          <w:p>
            <w:pPr>
              <w:ind w:left="40"/>
              <w:spacing w:after="0"/>
              <w:rPr>
                <w:sz w:val="20"/>
                <w:szCs w:val="20"/>
                <w:color w:val="auto"/>
              </w:rPr>
            </w:pPr>
            <w:r>
              <w:rPr>
                <w:rFonts w:ascii="Arial" w:cs="Arial" w:eastAsia="Arial" w:hAnsi="Arial"/>
                <w:sz w:val="16"/>
                <w:szCs w:val="16"/>
                <w:color w:val="auto"/>
              </w:rPr>
              <w:t>Thereafter</w:t>
            </w:r>
          </w:p>
        </w:tc>
        <w:tc>
          <w:tcPr>
            <w:tcW w:w="6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9,402</w:t>
            </w:r>
          </w:p>
        </w:tc>
        <w:tc>
          <w:tcPr>
            <w:tcW w:w="60" w:type="dxa"/>
            <w:vAlign w:val="bottom"/>
          </w:tcPr>
          <w:p>
            <w:pPr>
              <w:spacing w:after="0"/>
              <w:rPr>
                <w:sz w:val="22"/>
                <w:szCs w:val="22"/>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26 %</w:t>
            </w:r>
          </w:p>
        </w:tc>
        <w:tc>
          <w:tcPr>
            <w:tcW w:w="6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11 %</w:t>
            </w:r>
          </w:p>
        </w:tc>
        <w:tc>
          <w:tcPr>
            <w:tcW w:w="0" w:type="dxa"/>
            <w:vAlign w:val="bottom"/>
          </w:tcPr>
          <w:p>
            <w:pPr>
              <w:spacing w:after="0"/>
              <w:rPr>
                <w:sz w:val="1"/>
                <w:szCs w:val="1"/>
                <w:color w:val="auto"/>
              </w:rPr>
            </w:pPr>
          </w:p>
        </w:tc>
      </w:tr>
      <w:tr>
        <w:trPr>
          <w:trHeight w:val="210"/>
        </w:trPr>
        <w:tc>
          <w:tcPr>
            <w:tcW w:w="6040" w:type="dxa"/>
            <w:vAlign w:val="bottom"/>
          </w:tcPr>
          <w:p>
            <w:pPr>
              <w:ind w:left="280"/>
              <w:spacing w:after="0"/>
              <w:rPr>
                <w:sz w:val="20"/>
                <w:szCs w:val="20"/>
                <w:color w:val="auto"/>
              </w:rPr>
            </w:pPr>
            <w:r>
              <w:rPr>
                <w:rFonts w:ascii="Arial" w:cs="Arial" w:eastAsia="Arial" w:hAnsi="Arial"/>
                <w:sz w:val="16"/>
                <w:szCs w:val="16"/>
                <w:color w:val="auto"/>
              </w:rPr>
              <w:t>Total</w:t>
            </w:r>
          </w:p>
        </w:tc>
        <w:tc>
          <w:tcPr>
            <w:tcW w:w="1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2"/>
              <w:spacing w:after="0"/>
              <w:rPr>
                <w:sz w:val="20"/>
                <w:szCs w:val="20"/>
                <w:color w:val="auto"/>
              </w:rPr>
            </w:pPr>
            <w:r>
              <w:rPr>
                <w:rFonts w:ascii="Arial" w:cs="Arial" w:eastAsia="Arial" w:hAnsi="Arial"/>
                <w:sz w:val="16"/>
                <w:szCs w:val="16"/>
                <w:color w:val="auto"/>
              </w:rPr>
              <w:t>36,109</w:t>
            </w:r>
          </w:p>
        </w:tc>
        <w:tc>
          <w:tcPr>
            <w:tcW w:w="1320" w:type="dxa"/>
            <w:vAlign w:val="bottom"/>
            <w:gridSpan w:val="2"/>
          </w:tcPr>
          <w:p>
            <w:pPr>
              <w:jc w:val="right"/>
              <w:spacing w:after="0"/>
              <w:rPr>
                <w:sz w:val="20"/>
                <w:szCs w:val="20"/>
                <w:color w:val="auto"/>
              </w:rPr>
            </w:pPr>
            <w:r>
              <w:rPr>
                <w:rFonts w:ascii="Arial" w:cs="Arial" w:eastAsia="Arial" w:hAnsi="Arial"/>
                <w:sz w:val="16"/>
                <w:szCs w:val="16"/>
                <w:color w:val="auto"/>
              </w:rPr>
              <w:t>100 %</w:t>
            </w:r>
          </w:p>
        </w:tc>
        <w:tc>
          <w:tcPr>
            <w:tcW w:w="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7 %</w:t>
            </w:r>
          </w:p>
        </w:tc>
        <w:tc>
          <w:tcPr>
            <w:tcW w:w="0" w:type="dxa"/>
            <w:vAlign w:val="bottom"/>
          </w:tcPr>
          <w:p>
            <w:pPr>
              <w:spacing w:after="0"/>
              <w:rPr>
                <w:sz w:val="1"/>
                <w:szCs w:val="1"/>
                <w:color w:val="auto"/>
              </w:rPr>
            </w:pPr>
          </w:p>
        </w:tc>
      </w:tr>
      <w:tr>
        <w:trPr>
          <w:trHeight w:val="20"/>
        </w:trPr>
        <w:tc>
          <w:tcPr>
            <w:tcW w:w="6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-1300480</wp:posOffset>
            </wp:positionV>
            <wp:extent cx="6410325" cy="130746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22">
                      <a:extLst>
                        <a:ext uri="{28A0092B-C50C-407E-A947-70E740481C1C}"/>
                      </a:extLst>
                    </a:blip>
                    <a:srcRect/>
                    <a:stretch>
                      <a:fillRect/>
                    </a:stretch>
                  </pic:blipFill>
                  <pic:spPr bwMode="auto">
                    <a:xfrm>
                      <a:off x="0" y="0"/>
                      <a:ext cx="6410325" cy="1307465"/>
                    </a:xfrm>
                    <a:prstGeom prst="rect">
                      <a:avLst/>
                    </a:prstGeom>
                    <a:noFill/>
                  </pic:spPr>
                </pic:pic>
              </a:graphicData>
            </a:graphic>
          </wp:anchor>
        </w:drawing>
      </w:r>
    </w:p>
    <w:p>
      <w:pPr>
        <w:spacing w:after="0" w:line="86" w:lineRule="exact"/>
        <w:rPr>
          <w:sz w:val="20"/>
          <w:szCs w:val="20"/>
          <w:color w:val="auto"/>
        </w:rPr>
      </w:pPr>
    </w:p>
    <w:p>
      <w:pPr>
        <w:jc w:val="both"/>
        <w:ind w:firstLine="353"/>
        <w:spacing w:after="0" w:line="254" w:lineRule="auto"/>
        <w:rPr>
          <w:sz w:val="20"/>
          <w:szCs w:val="20"/>
          <w:color w:val="auto"/>
        </w:rPr>
      </w:pPr>
      <w:r>
        <w:rPr>
          <w:rFonts w:ascii="Arial" w:cs="Arial" w:eastAsia="Arial" w:hAnsi="Arial"/>
          <w:sz w:val="20"/>
          <w:szCs w:val="20"/>
          <w:color w:val="auto"/>
        </w:rPr>
        <w:t>Subsequent to the penalty period, the policyholder may elect to take the proceeds of the surrender either in a single payment or in a series of payments over the life of the policy or for a fixed number of years (or a combination of these payment options). In addition to the foregoing withdrawal rights, policyholders may also elect to have additional withdrawal benefits by purchasing a GMWB.</w:t>
      </w:r>
    </w:p>
    <w:p>
      <w:pPr>
        <w:spacing w:after="0" w:line="83" w:lineRule="exact"/>
        <w:rPr>
          <w:sz w:val="20"/>
          <w:szCs w:val="20"/>
          <w:color w:val="auto"/>
        </w:rPr>
      </w:pPr>
    </w:p>
    <w:p>
      <w:pPr>
        <w:jc w:val="both"/>
        <w:ind w:firstLine="353"/>
        <w:spacing w:after="0" w:line="266" w:lineRule="auto"/>
        <w:rPr>
          <w:sz w:val="20"/>
          <w:szCs w:val="20"/>
          <w:color w:val="auto"/>
        </w:rPr>
      </w:pPr>
      <w:r>
        <w:rPr>
          <w:rFonts w:ascii="Arial" w:cs="Arial" w:eastAsia="Arial" w:hAnsi="Arial"/>
          <w:sz w:val="19"/>
          <w:szCs w:val="19"/>
          <w:b w:val="1"/>
          <w:bCs w:val="1"/>
          <w:i w:val="1"/>
          <w:iCs w:val="1"/>
          <w:color w:val="auto"/>
        </w:rPr>
        <w:t>Single Premium Immediate Annuities</w:t>
      </w:r>
      <w:r>
        <w:rPr>
          <w:rFonts w:ascii="Arial" w:cs="Arial" w:eastAsia="Arial" w:hAnsi="Arial"/>
          <w:sz w:val="19"/>
          <w:szCs w:val="19"/>
          <w:color w:val="auto"/>
        </w:rPr>
        <w:t>. We have previously sold single premium immediate annuities (“SPIAs”), which</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provide a series of periodic payments for a fixed period of time or for the life of the contract, according to the policyholder’s choice at the time of issue. The amounts, frequency and length of time of the payments are fixed at the outset of the annuity contract. SPIAs are often purchased by persons at or near retirement age who desire a steady stream of payments over a future period of years. Existing policyholders may elect to surrender their contract and use the proceeds to purchase a supplementary contract, which functions as a SPIA.</w:t>
      </w:r>
    </w:p>
    <w:p>
      <w:pPr>
        <w:sectPr>
          <w:pgSz w:w="11880" w:h="15480" w:orient="portrait"/>
          <w:cols w:equalWidth="0" w:num="1">
            <w:col w:w="10040"/>
          </w:cols>
          <w:pgMar w:left="920" w:top="770" w:right="920" w:bottom="0" w:gutter="0" w:footer="0" w:header="0"/>
        </w:sect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w:t>
      </w:r>
    </w:p>
    <w:p>
      <w:pPr>
        <w:sectPr>
          <w:pgSz w:w="11880" w:h="15480" w:orient="portrait"/>
          <w:cols w:equalWidth="0" w:num="1">
            <w:col w:w="10040"/>
          </w:cols>
          <w:pgMar w:left="920" w:top="770" w:right="920" w:bottom="0" w:gutter="0" w:footer="0" w:header="0"/>
          <w:type w:val="continuous"/>
        </w:sectPr>
      </w:pPr>
    </w:p>
    <w:bookmarkStart w:id="30" w:name="page31"/>
    <w:bookmarkEnd w:id="30"/>
    <w:p>
      <w:pPr>
        <w:jc w:val="both"/>
        <w:ind w:firstLine="353"/>
        <w:spacing w:after="0" w:line="301" w:lineRule="auto"/>
        <w:rPr>
          <w:sz w:val="20"/>
          <w:szCs w:val="20"/>
          <w:color w:val="auto"/>
        </w:rPr>
      </w:pPr>
      <w:r>
        <w:rPr>
          <w:rFonts w:ascii="Arial" w:cs="Arial" w:eastAsia="Arial" w:hAnsi="Arial"/>
          <w:sz w:val="17"/>
          <w:szCs w:val="17"/>
          <w:b w:val="1"/>
          <w:bCs w:val="1"/>
          <w:i w:val="1"/>
          <w:iCs w:val="1"/>
          <w:color w:val="auto"/>
        </w:rPr>
        <w:t xml:space="preserve">Life Insurance. </w:t>
      </w:r>
      <w:r>
        <w:rPr>
          <w:rFonts w:ascii="Arial" w:cs="Arial" w:eastAsia="Arial" w:hAnsi="Arial"/>
          <w:sz w:val="17"/>
          <w:szCs w:val="17"/>
          <w:color w:val="auto"/>
        </w:rPr>
        <w:t>We currently offer IUL insurance policies and have previously sold universal life, term and whole life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insurance products. Holders of universal life insurance policies may make periodic payments over the life of the contract and earn returns on their policies, which are credited to the policyholder’s cash value account. The insurer periodically deducts its expenses and the cost of life insurance protection from the cash value account. The balance of the cash value account is credited interest at a fixed rate or returns based on the performance of a market index, or both, at the option of the policyholder, using a method similar to that described above for indexed annuities. In addition to the annual renewal premium, we are diversifying earnings through strong growth in our middle market life insurance business.</w:t>
      </w:r>
    </w:p>
    <w:p>
      <w:pPr>
        <w:spacing w:after="0" w:line="48" w:lineRule="exact"/>
        <w:rPr>
          <w:sz w:val="20"/>
          <w:szCs w:val="20"/>
          <w:color w:val="auto"/>
        </w:rPr>
      </w:pPr>
    </w:p>
    <w:p>
      <w:pPr>
        <w:jc w:val="both"/>
        <w:ind w:firstLine="353"/>
        <w:spacing w:after="0" w:line="301" w:lineRule="auto"/>
        <w:rPr>
          <w:sz w:val="20"/>
          <w:szCs w:val="20"/>
          <w:color w:val="auto"/>
        </w:rPr>
      </w:pPr>
      <w:r>
        <w:rPr>
          <w:rFonts w:ascii="Arial" w:cs="Arial" w:eastAsia="Arial" w:hAnsi="Arial"/>
          <w:sz w:val="17"/>
          <w:szCs w:val="17"/>
          <w:b w:val="1"/>
          <w:bCs w:val="1"/>
          <w:i w:val="1"/>
          <w:iCs w:val="1"/>
          <w:color w:val="auto"/>
        </w:rPr>
        <w:t xml:space="preserve">Funding Agreements. </w:t>
      </w:r>
      <w:r>
        <w:rPr>
          <w:rFonts w:ascii="Arial" w:cs="Arial" w:eastAsia="Arial" w:hAnsi="Arial"/>
          <w:sz w:val="17"/>
          <w:szCs w:val="17"/>
          <w:color w:val="auto"/>
        </w:rPr>
        <w:t>As defined by the Iowa Insurance Division (the "IID"), a funding agreement is an agreement for an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insurer to accept and accumulate funds and to make one or more payments at future dates in amounts that are not based on mortality or morbidity contingencies of the person to whom the funding agreement is issued. In essence, funding agreement providers are agreeing to a defined stream of future payments in exchange for a single upfront premium. This type of business is sometimes referred to as spread lending, as funding agreement providers invest upfront premiums with the intent to earn an investment spread on the funds prior to making agreed upon maturity and interest payments. The structure of the payments can take several forms but are commonly a fixed or variable interest payment with a single maturity principal re-payment.</w:t>
      </w:r>
    </w:p>
    <w:p>
      <w:pPr>
        <w:spacing w:after="0" w:line="50" w:lineRule="exact"/>
        <w:rPr>
          <w:sz w:val="20"/>
          <w:szCs w:val="20"/>
          <w:color w:val="auto"/>
        </w:rPr>
      </w:pPr>
    </w:p>
    <w:p>
      <w:pPr>
        <w:jc w:val="both"/>
        <w:ind w:firstLine="353"/>
        <w:spacing w:after="0" w:line="268" w:lineRule="auto"/>
        <w:rPr>
          <w:sz w:val="20"/>
          <w:szCs w:val="20"/>
          <w:color w:val="auto"/>
        </w:rPr>
      </w:pPr>
      <w:r>
        <w:rPr>
          <w:rFonts w:ascii="Arial" w:cs="Arial" w:eastAsia="Arial" w:hAnsi="Arial"/>
          <w:sz w:val="19"/>
          <w:szCs w:val="19"/>
          <w:color w:val="auto"/>
        </w:rPr>
        <w:t>F&amp;G currently utilizes two forms of funding agreement offerings. The first is through the issuance of collateralized funding agreements with the FHLB. This enables spread-based income without longevity or mortality exposure given the certainty in liability profile. Funding agreements through the FHLB are flexible in their format and the ability to issue during broad windows, as long as sufficient eligible collateral has been deposited with the bank. F&amp;G and its predecessors have been entering into funding agreements with the FHLB since at least 2004.</w:t>
      </w:r>
    </w:p>
    <w:p>
      <w:pPr>
        <w:spacing w:after="0" w:line="74" w:lineRule="exact"/>
        <w:rPr>
          <w:sz w:val="20"/>
          <w:szCs w:val="20"/>
          <w:color w:val="auto"/>
        </w:rPr>
      </w:pPr>
    </w:p>
    <w:p>
      <w:pPr>
        <w:jc w:val="both"/>
        <w:ind w:firstLine="353"/>
        <w:spacing w:after="0" w:line="303" w:lineRule="auto"/>
        <w:rPr>
          <w:sz w:val="20"/>
          <w:szCs w:val="20"/>
          <w:color w:val="auto"/>
        </w:rPr>
      </w:pPr>
      <w:r>
        <w:rPr>
          <w:rFonts w:ascii="Arial" w:cs="Arial" w:eastAsia="Arial" w:hAnsi="Arial"/>
          <w:sz w:val="17"/>
          <w:szCs w:val="17"/>
          <w:color w:val="auto"/>
        </w:rPr>
        <w:t>In June 2021, we established a FABN Program, which is a medium term note program under which funding agreements are issued to a special-purpose trust that issues marketable notes. The notes are underwritten and marketed by major investment banks’ broker-dealer operations and are sold to institutional investors. These FABN offerings are more limited regarding timing of issuance, but do not require collateralization as with the FHLB. The maximum aggregate principal amount permitted to be outstanding at any one time under the FABN Program is currently $5.0 billion. As of December 31, 2025, we had approximately $3.3 billion outstanding under the FABN Program with an additional $750 million issued in January 2026.</w:t>
      </w:r>
    </w:p>
    <w:p>
      <w:pPr>
        <w:spacing w:after="0" w:line="46" w:lineRule="exact"/>
        <w:rPr>
          <w:sz w:val="20"/>
          <w:szCs w:val="20"/>
          <w:color w:val="auto"/>
        </w:rPr>
      </w:pPr>
    </w:p>
    <w:p>
      <w:pPr>
        <w:jc w:val="both"/>
        <w:ind w:firstLine="353"/>
        <w:spacing w:after="0" w:line="250" w:lineRule="auto"/>
        <w:rPr>
          <w:sz w:val="20"/>
          <w:szCs w:val="20"/>
          <w:color w:val="auto"/>
        </w:rPr>
      </w:pPr>
      <w:r>
        <w:rPr>
          <w:rFonts w:ascii="Arial" w:cs="Arial" w:eastAsia="Arial" w:hAnsi="Arial"/>
          <w:sz w:val="20"/>
          <w:szCs w:val="20"/>
          <w:b w:val="1"/>
          <w:bCs w:val="1"/>
          <w:i w:val="1"/>
          <w:iCs w:val="1"/>
          <w:color w:val="auto"/>
        </w:rPr>
        <w:t xml:space="preserve">Pension Risk Transfer. </w:t>
      </w:r>
      <w:r>
        <w:rPr>
          <w:rFonts w:ascii="Arial" w:cs="Arial" w:eastAsia="Arial" w:hAnsi="Arial"/>
          <w:sz w:val="20"/>
          <w:szCs w:val="20"/>
          <w:color w:val="auto"/>
        </w:rPr>
        <w:t>In July 2021, we entered the PRT market. A PRT occurs when a defined-benefit pension provider</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seeks to remove some or all of its obligation to pay guaranteed retirement income or post-retirement benefits to plan participants. There are four major types of PRT strategies: longevity reinsurance, buy-in, buy-out, and paying in lump sums. We are currently active in plan buy-outs, where we have a direct, irrevocable commitment to each covered participant to make the specified annuity payments based upon the terms of the pension plan. Plan buy-out transactions fully and permanently transfer all investment, mortality, and administrative risk, associated with covered benefits, from the pension plan sponsor to the insurance provider.</w:t>
      </w:r>
    </w:p>
    <w:p>
      <w:pPr>
        <w:spacing w:after="0" w:line="59" w:lineRule="exact"/>
        <w:rPr>
          <w:sz w:val="20"/>
          <w:szCs w:val="20"/>
          <w:color w:val="auto"/>
        </w:rPr>
      </w:pPr>
    </w:p>
    <w:p>
      <w:pPr>
        <w:jc w:val="both"/>
        <w:ind w:firstLine="353"/>
        <w:spacing w:after="0" w:line="266" w:lineRule="auto"/>
        <w:rPr>
          <w:sz w:val="20"/>
          <w:szCs w:val="20"/>
          <w:color w:val="auto"/>
        </w:rPr>
      </w:pPr>
      <w:r>
        <w:rPr>
          <w:rFonts w:ascii="Arial" w:cs="Arial" w:eastAsia="Arial" w:hAnsi="Arial"/>
          <w:sz w:val="19"/>
          <w:szCs w:val="19"/>
          <w:color w:val="auto"/>
        </w:rPr>
        <w:t>Our PRT products are comparable to income annuities, as we generally receive a single, upfront premium in exchange for paying a guaranteed stream of future income payments, which are typically fixed in nature, but may vary in duration based on participant mortality experience. These products primarily create earnings through spread income. In each transaction FGL Insurance and/or FGL NY Insurance issues a group annuity contract to discharge pension plan liabilities from a pension plan sponsor, either through a separate account or through a general account guarantee. Certificate holders covered under a group annuity contract have a guaranteed benefit from the insurance company.</w:t>
      </w:r>
    </w:p>
    <w:p>
      <w:pPr>
        <w:spacing w:after="0" w:line="76" w:lineRule="exact"/>
        <w:rPr>
          <w:sz w:val="20"/>
          <w:szCs w:val="20"/>
          <w:color w:val="auto"/>
        </w:rPr>
      </w:pPr>
    </w:p>
    <w:p>
      <w:pPr>
        <w:jc w:val="both"/>
        <w:ind w:firstLine="353"/>
        <w:spacing w:after="0" w:line="258" w:lineRule="auto"/>
        <w:rPr>
          <w:sz w:val="20"/>
          <w:szCs w:val="20"/>
          <w:color w:val="auto"/>
        </w:rPr>
      </w:pPr>
      <w:r>
        <w:rPr>
          <w:rFonts w:ascii="Arial" w:cs="Arial" w:eastAsia="Arial" w:hAnsi="Arial"/>
          <w:sz w:val="20"/>
          <w:szCs w:val="20"/>
          <w:color w:val="auto"/>
        </w:rPr>
        <w:t>We entered the PRT solutions business by building a team of experienced professionals, then working with brokers and institutional consultants for distribution. As of December 31, 2025, we had completed PRT transactions that represented pension obligations of $9.1 billion.</w:t>
      </w:r>
    </w:p>
    <w:p>
      <w:pPr>
        <w:spacing w:after="0" w:line="80" w:lineRule="exact"/>
        <w:rPr>
          <w:sz w:val="20"/>
          <w:szCs w:val="20"/>
          <w:color w:val="auto"/>
        </w:rPr>
      </w:pPr>
    </w:p>
    <w:p>
      <w:pPr>
        <w:jc w:val="both"/>
        <w:ind w:firstLine="353"/>
        <w:spacing w:after="0" w:line="272" w:lineRule="auto"/>
        <w:rPr>
          <w:sz w:val="20"/>
          <w:szCs w:val="20"/>
          <w:color w:val="auto"/>
        </w:rPr>
      </w:pPr>
      <w:r>
        <w:rPr>
          <w:rFonts w:ascii="Arial" w:cs="Arial" w:eastAsia="Arial" w:hAnsi="Arial"/>
          <w:sz w:val="19"/>
          <w:szCs w:val="19"/>
          <w:b w:val="1"/>
          <w:bCs w:val="1"/>
          <w:i w:val="1"/>
          <w:iCs w:val="1"/>
          <w:color w:val="auto"/>
        </w:rPr>
        <w:t xml:space="preserve">Reinsurance philosophy/arrangements. </w:t>
      </w:r>
      <w:r>
        <w:rPr>
          <w:rFonts w:ascii="Arial" w:cs="Arial" w:eastAsia="Arial" w:hAnsi="Arial"/>
          <w:sz w:val="19"/>
          <w:szCs w:val="19"/>
          <w:color w:val="auto"/>
        </w:rPr>
        <w:t>Within our F&amp;G segment, we cede insurance to other insurance companies. We use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reinsurance to diversify risks and earnings, to manage loss exposures, to enhance our capital position, and to manage new business volume. The effects of certain reinsurance agreements are not accounted for as reinsurance as they do not reinsure insurance contracts, or they do not transfer the risks of the reinsured policies.</w:t>
      </w:r>
    </w:p>
    <w:p>
      <w:pPr>
        <w:spacing w:after="0" w:line="70" w:lineRule="exact"/>
        <w:rPr>
          <w:sz w:val="20"/>
          <w:szCs w:val="20"/>
          <w:color w:val="auto"/>
        </w:rPr>
      </w:pPr>
    </w:p>
    <w:p>
      <w:pPr>
        <w:jc w:val="both"/>
        <w:ind w:firstLine="353"/>
        <w:spacing w:after="0" w:line="306" w:lineRule="auto"/>
        <w:rPr>
          <w:sz w:val="20"/>
          <w:szCs w:val="20"/>
          <w:color w:val="auto"/>
        </w:rPr>
      </w:pPr>
      <w:r>
        <w:rPr>
          <w:rFonts w:ascii="Arial" w:cs="Arial" w:eastAsia="Arial" w:hAnsi="Arial"/>
          <w:sz w:val="17"/>
          <w:szCs w:val="17"/>
          <w:color w:val="auto"/>
        </w:rPr>
        <w:t>In instances where we are the ceding company, we pay a premium to a reinsurer in exchange for the reinsurer assuming a portion of our liabilities under the policies we issued and collect expense allowances in return for our administration of the ceded policies. Use of reinsurance does not discharge our liability as the ceding company because we remain directly liable to our policyholders and are required to pay the full amount of our policy obligations in the event that our reinsurers fail to satisfy their obligations. We collect reimbursement from our reinsurers when we pay claims on policies that are reinsured.</w:t>
      </w:r>
    </w:p>
    <w:p>
      <w:pPr>
        <w:spacing w:after="0" w:line="47" w:lineRule="exact"/>
        <w:rPr>
          <w:sz w:val="20"/>
          <w:szCs w:val="20"/>
          <w:color w:val="auto"/>
        </w:rPr>
      </w:pPr>
    </w:p>
    <w:p>
      <w:pPr>
        <w:jc w:val="both"/>
        <w:ind w:firstLine="353"/>
        <w:spacing w:after="0" w:line="325" w:lineRule="auto"/>
        <w:rPr>
          <w:sz w:val="20"/>
          <w:szCs w:val="20"/>
          <w:color w:val="auto"/>
        </w:rPr>
      </w:pPr>
      <w:r>
        <w:rPr>
          <w:rFonts w:ascii="Arial" w:cs="Arial" w:eastAsia="Arial" w:hAnsi="Arial"/>
          <w:sz w:val="17"/>
          <w:szCs w:val="17"/>
          <w:color w:val="auto"/>
        </w:rPr>
        <w:t>We monitor the credit risk related to the ability of our reinsurers to honor their obligations under various agreements. To minimize the risk of credit loss on such contracts, we generally diversify our exposures among many reinsurers and limit the amount of exposure to each based on financial strength ratings, which are reviewed annually. We are able to further manage</w:t>
      </w:r>
    </w:p>
    <w:p>
      <w:pPr>
        <w:sectPr>
          <w:pgSz w:w="11880" w:h="15480" w:orient="portrait"/>
          <w:cols w:equalWidth="0" w:num="1">
            <w:col w:w="10040"/>
          </w:cols>
          <w:pgMar w:left="920" w:top="770" w:right="920" w:bottom="0" w:gutter="0" w:footer="0" w:header="0"/>
        </w:sect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19</w:t>
      </w:r>
    </w:p>
    <w:p>
      <w:pPr>
        <w:sectPr>
          <w:pgSz w:w="11880" w:h="15480" w:orient="portrait"/>
          <w:cols w:equalWidth="0" w:num="1">
            <w:col w:w="10040"/>
          </w:cols>
          <w:pgMar w:left="920" w:top="770" w:right="920" w:bottom="0" w:gutter="0" w:footer="0" w:header="0"/>
          <w:type w:val="continuous"/>
        </w:sectPr>
      </w:pPr>
    </w:p>
    <w:bookmarkStart w:id="31" w:name="page32"/>
    <w:bookmarkEnd w:id="31"/>
    <w:p>
      <w:pPr>
        <w:jc w:val="both"/>
        <w:spacing w:after="0" w:line="271" w:lineRule="auto"/>
        <w:rPr>
          <w:sz w:val="20"/>
          <w:szCs w:val="20"/>
          <w:color w:val="auto"/>
        </w:rPr>
      </w:pPr>
      <w:r>
        <w:rPr>
          <w:rFonts w:ascii="Arial" w:cs="Arial" w:eastAsia="Arial" w:hAnsi="Arial"/>
          <w:sz w:val="20"/>
          <w:szCs w:val="20"/>
          <w:color w:val="auto"/>
        </w:rPr>
        <w:t>risk with various forms of collateral or collateral arrangements, including secured trusts, funds withheld arrangements and irrevocable letters of credit.</w:t>
      </w:r>
    </w:p>
    <w:p>
      <w:pPr>
        <w:spacing w:after="0" w:line="67" w:lineRule="exact"/>
        <w:rPr>
          <w:sz w:val="20"/>
          <w:szCs w:val="20"/>
          <w:color w:val="auto"/>
        </w:rPr>
      </w:pPr>
    </w:p>
    <w:p>
      <w:pPr>
        <w:jc w:val="both"/>
        <w:ind w:firstLine="353"/>
        <w:spacing w:after="0" w:line="259" w:lineRule="auto"/>
        <w:rPr>
          <w:sz w:val="20"/>
          <w:szCs w:val="20"/>
          <w:color w:val="auto"/>
        </w:rPr>
      </w:pPr>
      <w:r>
        <w:rPr>
          <w:rFonts w:ascii="Arial" w:cs="Arial" w:eastAsia="Arial" w:hAnsi="Arial"/>
          <w:sz w:val="20"/>
          <w:szCs w:val="20"/>
          <w:color w:val="auto"/>
        </w:rPr>
        <w:t xml:space="preserve">Please refer to Note N F&amp;G </w:t>
      </w:r>
      <w:r>
        <w:rPr>
          <w:rFonts w:ascii="Arial" w:cs="Arial" w:eastAsia="Arial" w:hAnsi="Arial"/>
          <w:sz w:val="20"/>
          <w:szCs w:val="20"/>
          <w:b w:val="1"/>
          <w:bCs w:val="1"/>
          <w:i w:val="1"/>
          <w:iCs w:val="1"/>
          <w:color w:val="auto"/>
        </w:rPr>
        <w:t>Reinsurance</w:t>
      </w:r>
      <w:r>
        <w:rPr>
          <w:rFonts w:ascii="Arial" w:cs="Arial" w:eastAsia="Arial" w:hAnsi="Arial"/>
          <w:sz w:val="20"/>
          <w:szCs w:val="20"/>
          <w:color w:val="auto"/>
        </w:rPr>
        <w:t xml:space="preserve"> to our Consolidated Financial Statements included in Part II - Item 8 of this Annual Report on Form 10-K for further discussion on reinsurance, reinsurance recoverables for our largest reinsurers and credit risk and counterparty risk.</w:t>
      </w:r>
    </w:p>
    <w:p>
      <w:pPr>
        <w:spacing w:after="0" w:line="80" w:lineRule="exact"/>
        <w:rPr>
          <w:sz w:val="20"/>
          <w:szCs w:val="20"/>
          <w:color w:val="auto"/>
        </w:rPr>
      </w:pPr>
    </w:p>
    <w:p>
      <w:pPr>
        <w:jc w:val="both"/>
        <w:ind w:firstLine="353"/>
        <w:spacing w:after="0" w:line="271" w:lineRule="auto"/>
        <w:rPr>
          <w:sz w:val="20"/>
          <w:szCs w:val="20"/>
          <w:color w:val="auto"/>
        </w:rPr>
      </w:pPr>
      <w:r>
        <w:rPr>
          <w:rFonts w:ascii="Arial" w:cs="Arial" w:eastAsia="Arial" w:hAnsi="Arial"/>
          <w:sz w:val="20"/>
          <w:szCs w:val="20"/>
          <w:color w:val="auto"/>
        </w:rPr>
        <w:t>See “Item 7A. Quantitative and Qualitative Disclosures About Market Risk” for further discussion on credit risk and counterparty risk.</w:t>
      </w:r>
    </w:p>
    <w:p>
      <w:pPr>
        <w:spacing w:after="0" w:line="69" w:lineRule="exact"/>
        <w:rPr>
          <w:sz w:val="20"/>
          <w:szCs w:val="20"/>
          <w:color w:val="auto"/>
        </w:rPr>
      </w:pPr>
    </w:p>
    <w:p>
      <w:pPr>
        <w:jc w:val="both"/>
        <w:ind w:firstLine="353"/>
        <w:spacing w:after="0" w:line="271" w:lineRule="auto"/>
        <w:rPr>
          <w:sz w:val="20"/>
          <w:szCs w:val="20"/>
          <w:color w:val="auto"/>
        </w:rPr>
      </w:pPr>
      <w:r>
        <w:rPr>
          <w:rFonts w:ascii="Arial" w:cs="Arial" w:eastAsia="Arial" w:hAnsi="Arial"/>
          <w:sz w:val="20"/>
          <w:szCs w:val="20"/>
          <w:color w:val="auto"/>
        </w:rPr>
        <w:t>See “Item 1A. Risk Factors” for further discussion of credit risk related to reinsurance agreements. A description of significant ceded reinsurance transactions appears below.</w:t>
      </w:r>
    </w:p>
    <w:p>
      <w:pPr>
        <w:spacing w:after="0" w:line="67" w:lineRule="exact"/>
        <w:rPr>
          <w:sz w:val="20"/>
          <w:szCs w:val="20"/>
          <w:color w:val="auto"/>
        </w:rPr>
      </w:pPr>
    </w:p>
    <w:p>
      <w:pPr>
        <w:jc w:val="both"/>
        <w:ind w:firstLine="353"/>
        <w:spacing w:after="0" w:line="301" w:lineRule="auto"/>
        <w:rPr>
          <w:sz w:val="20"/>
          <w:szCs w:val="20"/>
          <w:color w:val="auto"/>
        </w:rPr>
      </w:pPr>
      <w:r>
        <w:rPr>
          <w:rFonts w:ascii="Arial" w:cs="Arial" w:eastAsia="Arial" w:hAnsi="Arial"/>
          <w:sz w:val="17"/>
          <w:szCs w:val="17"/>
          <w:b w:val="1"/>
          <w:bCs w:val="1"/>
          <w:i w:val="1"/>
          <w:iCs w:val="1"/>
          <w:color w:val="auto"/>
        </w:rPr>
        <w:t xml:space="preserve">Wilton Reinsurance Transaction. </w:t>
      </w:r>
      <w:r>
        <w:rPr>
          <w:rFonts w:ascii="Arial" w:cs="Arial" w:eastAsia="Arial" w:hAnsi="Arial"/>
          <w:sz w:val="17"/>
          <w:szCs w:val="17"/>
          <w:color w:val="auto"/>
        </w:rPr>
        <w:t>Almost all of the life insurance policies in force issued before March 1, 2010, except for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return of premium benefits on term life insurance products, are subject to a reinsurance arrangement with Wilton Reassurance Company (“Wilton Re”). Pursuant to the agreed upon terms, Wilton Re purchased through a 100% quota share reinsurance agreement certain FGL Insurance life insurance policies that are subject to redundant reserves, reported on a statutory basis, under Regulation XXX and Guideline AXXX, as well as another block of FGL Insurance’s in-force traditional, universal life and IUL insurance policies. The effects of this agreement are accounted for as reinsurance as the ceded policies qualify as insurance products and because the agreement satisfies the risk transfer requirements for GAAP.</w:t>
      </w:r>
    </w:p>
    <w:p>
      <w:pPr>
        <w:spacing w:after="0" w:line="48" w:lineRule="exact"/>
        <w:rPr>
          <w:sz w:val="20"/>
          <w:szCs w:val="20"/>
          <w:color w:val="auto"/>
        </w:rPr>
      </w:pPr>
    </w:p>
    <w:p>
      <w:pPr>
        <w:jc w:val="both"/>
        <w:ind w:firstLine="353"/>
        <w:spacing w:after="0" w:line="303" w:lineRule="auto"/>
        <w:rPr>
          <w:sz w:val="20"/>
          <w:szCs w:val="20"/>
          <w:color w:val="auto"/>
        </w:rPr>
      </w:pPr>
      <w:r>
        <w:rPr>
          <w:rFonts w:ascii="Arial" w:cs="Arial" w:eastAsia="Arial" w:hAnsi="Arial"/>
          <w:sz w:val="17"/>
          <w:szCs w:val="17"/>
          <w:b w:val="1"/>
          <w:bCs w:val="1"/>
          <w:i w:val="1"/>
          <w:iCs w:val="1"/>
          <w:color w:val="auto"/>
        </w:rPr>
        <w:t>Hannover Reinsurance Transaction</w:t>
      </w:r>
      <w:r>
        <w:rPr>
          <w:rFonts w:ascii="Arial" w:cs="Arial" w:eastAsia="Arial" w:hAnsi="Arial"/>
          <w:sz w:val="17"/>
          <w:szCs w:val="17"/>
          <w:color w:val="auto"/>
        </w:rPr>
        <w:t>. FGL Insurance has a reinsurance agreement with Hannover Life Reassurance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Company of America (Bermuda) Ltd., an unaffiliated reinsurer, to reinsure an in-force block of its indexed annuity and fixed deferred annuity contracts with GMWB and Guaranteed Minimum Death Benefit (“GMDB”) guarantees. In accordance with the terms of this agreement, we cede 70% net retention of secondary guarantee payments in excess of account value for GMWB and GMDB guarantees. The effects of this agreement are not accounted for as reinsurance as it does not satisfy the risk transfer requirements for GAAP; therefore, deposit accounting is applied.</w:t>
      </w:r>
    </w:p>
    <w:p>
      <w:pPr>
        <w:spacing w:after="0" w:line="48" w:lineRule="exact"/>
        <w:rPr>
          <w:sz w:val="20"/>
          <w:szCs w:val="20"/>
          <w:color w:val="auto"/>
        </w:rPr>
      </w:pPr>
    </w:p>
    <w:p>
      <w:pPr>
        <w:jc w:val="both"/>
        <w:ind w:firstLine="353"/>
        <w:spacing w:after="0" w:line="266" w:lineRule="auto"/>
        <w:rPr>
          <w:sz w:val="20"/>
          <w:szCs w:val="20"/>
          <w:color w:val="auto"/>
        </w:rPr>
      </w:pPr>
      <w:r>
        <w:rPr>
          <w:rFonts w:ascii="Arial" w:cs="Arial" w:eastAsia="Arial" w:hAnsi="Arial"/>
          <w:sz w:val="19"/>
          <w:szCs w:val="19"/>
          <w:b w:val="1"/>
          <w:bCs w:val="1"/>
          <w:i w:val="1"/>
          <w:iCs w:val="1"/>
          <w:color w:val="auto"/>
        </w:rPr>
        <w:t xml:space="preserve">Kubera Reinsurance Transaction. </w:t>
      </w:r>
      <w:r>
        <w:rPr>
          <w:rFonts w:ascii="Arial" w:cs="Arial" w:eastAsia="Arial" w:hAnsi="Arial"/>
          <w:sz w:val="19"/>
          <w:szCs w:val="19"/>
          <w:color w:val="auto"/>
        </w:rPr>
        <w:t>FGL Insurance has a reinsurance agreement with Kubera Insurance (SAC) Ltd.</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(“Kubera”), an unaffiliated reinsurer, to cede a quota share of certain indexed annuity statutory reserves on a coinsurance funds withheld basis, net of applicable existing reinsurance. This agreement has been amended several times to include additional FIA policies, with the latest amendment effective December 1, 2025. The effects of this agreement are not accounted for as reinsurance as it does not satisfy the risk transfer requirements for GAAP; therefore, deposit accounting is applied and FGL Insurance applies the right of offset in the reinsurance agreement.</w:t>
      </w:r>
    </w:p>
    <w:p>
      <w:pPr>
        <w:spacing w:after="0" w:line="78" w:lineRule="exact"/>
        <w:rPr>
          <w:sz w:val="20"/>
          <w:szCs w:val="20"/>
          <w:color w:val="auto"/>
        </w:rPr>
      </w:pPr>
    </w:p>
    <w:p>
      <w:pPr>
        <w:jc w:val="both"/>
        <w:ind w:firstLine="353"/>
        <w:spacing w:after="0" w:line="262" w:lineRule="auto"/>
        <w:rPr>
          <w:sz w:val="20"/>
          <w:szCs w:val="20"/>
          <w:color w:val="auto"/>
        </w:rPr>
      </w:pPr>
      <w:r>
        <w:rPr>
          <w:rFonts w:ascii="Arial" w:cs="Arial" w:eastAsia="Arial" w:hAnsi="Arial"/>
          <w:sz w:val="19"/>
          <w:szCs w:val="19"/>
          <w:color w:val="auto"/>
        </w:rPr>
        <w:t>To enhance Kubera's ability to pay its obligations under the amended reinsurance agreement, F&amp;G entered into a Variable Note Purchase Agreement (the “NPA”), whereby F&amp;G agreed to fund a note to Kubera to be used to ultimately settle with F&amp;G, with principal increases up to a maximum amount of $435 million, to the extent a potential funding shortfall (treaty assets are less than the total funding requirement) is projected relative to the business ceded to Kubera from F&amp;G as part of the amended reinsurance agreement. The potential funding shortfall will be determined quarterly and, among other items, is impacted by the market value of the assets in the funds withheld account related to the reinsurance agreement and Kubera's capital as calculated on a Bermuda regulatory basis. The NPA matures on November 30, 2071. Based on the current level of the treaty assets and projections that these policies will be profitable over the lifetime of the agreement, we do not expect significant fundings to occur under the NPA. As of December 31, 2024 and 2023, the amount funded under the NPA was insignificant.</w:t>
      </w:r>
    </w:p>
    <w:p>
      <w:pPr>
        <w:spacing w:after="0" w:line="83" w:lineRule="exact"/>
        <w:rPr>
          <w:sz w:val="20"/>
          <w:szCs w:val="20"/>
          <w:color w:val="auto"/>
        </w:rPr>
      </w:pPr>
    </w:p>
    <w:p>
      <w:pPr>
        <w:jc w:val="both"/>
        <w:ind w:firstLine="353"/>
        <w:spacing w:after="0" w:line="301" w:lineRule="auto"/>
        <w:rPr>
          <w:sz w:val="20"/>
          <w:szCs w:val="20"/>
          <w:color w:val="auto"/>
        </w:rPr>
      </w:pPr>
      <w:r>
        <w:rPr>
          <w:rFonts w:ascii="Arial" w:cs="Arial" w:eastAsia="Arial" w:hAnsi="Arial"/>
          <w:sz w:val="17"/>
          <w:szCs w:val="17"/>
          <w:b w:val="1"/>
          <w:bCs w:val="1"/>
          <w:i w:val="1"/>
          <w:iCs w:val="1"/>
          <w:color w:val="auto"/>
        </w:rPr>
        <w:t xml:space="preserve">Kubera &amp; Somerset Reinsurance Transactions. </w:t>
      </w:r>
      <w:r>
        <w:rPr>
          <w:rFonts w:ascii="Arial" w:cs="Arial" w:eastAsia="Arial" w:hAnsi="Arial"/>
          <w:sz w:val="17"/>
          <w:szCs w:val="17"/>
          <w:color w:val="auto"/>
        </w:rPr>
        <w:t>FGL Insurance entered into a reinsurance agreement with Kubera, effective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December 31, 2018, to cede certain fixed rate annuity (including MYGA) GAAP and statutory reserves on a coinsurance funds withheld basis, net of applicable existing reinsurance. Effective October 31, 2021, this agreement was novated from Kubera to Somerset Reinsurance Ltd. (“Somerset”), a certified third-party reinsurer. Effective December 1, 2023, FGL Insurance executed an additional coinsurance funds withheld agreement with Somerset to cede certain flow MYGA business written effective on or after December 1, 2023. As the policies ceded to Somerset are investment contracts, there is no significant insurance risk present and these portions of the reinsurance agreements are accounted for as separate investment contracts.</w:t>
      </w:r>
    </w:p>
    <w:p>
      <w:pPr>
        <w:spacing w:after="0" w:line="50" w:lineRule="exact"/>
        <w:rPr>
          <w:sz w:val="20"/>
          <w:szCs w:val="20"/>
          <w:color w:val="auto"/>
        </w:rPr>
      </w:pPr>
    </w:p>
    <w:p>
      <w:pPr>
        <w:jc w:val="both"/>
        <w:ind w:firstLine="353"/>
        <w:spacing w:after="0" w:line="312" w:lineRule="auto"/>
        <w:rPr>
          <w:sz w:val="20"/>
          <w:szCs w:val="20"/>
          <w:color w:val="auto"/>
        </w:rPr>
      </w:pPr>
      <w:r>
        <w:rPr>
          <w:rFonts w:ascii="Arial" w:cs="Arial" w:eastAsia="Arial" w:hAnsi="Arial"/>
          <w:sz w:val="17"/>
          <w:szCs w:val="17"/>
          <w:color w:val="auto"/>
        </w:rPr>
        <w:t>Effective July 1, 2024, FGL Insurance amended the existing flow reinsurance agreement with Somerset to additionally cede the base contract benefits and GMWB riders attached under certain FIA policies on a coinsurance funds withheld quota share basis written on or after July 1, 2024. As the base contract benefits and GWMB riders are ceded to Somerset, there is sufficient insurance risk present that results in this portion of the reinsurance agreement being accounted for as reinsurance.</w:t>
      </w:r>
    </w:p>
    <w:p>
      <w:pPr>
        <w:sectPr>
          <w:pgSz w:w="11880" w:h="15480" w:orient="portrait"/>
          <w:cols w:equalWidth="0" w:num="1">
            <w:col w:w="10040"/>
          </w:cols>
          <w:pgMar w:left="920" w:top="772"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20</w:t>
      </w:r>
    </w:p>
    <w:p>
      <w:pPr>
        <w:sectPr>
          <w:pgSz w:w="11880" w:h="15480" w:orient="portrait"/>
          <w:cols w:equalWidth="0" w:num="1">
            <w:col w:w="10040"/>
          </w:cols>
          <w:pgMar w:left="920" w:top="772" w:right="920" w:bottom="0" w:gutter="0" w:footer="0" w:header="0"/>
          <w:type w:val="continuous"/>
        </w:sectPr>
      </w:pPr>
    </w:p>
    <w:bookmarkStart w:id="32" w:name="page33"/>
    <w:bookmarkEnd w:id="32"/>
    <w:p>
      <w:pPr>
        <w:jc w:val="both"/>
        <w:ind w:firstLine="353"/>
        <w:spacing w:after="0" w:line="313" w:lineRule="auto"/>
        <w:rPr>
          <w:sz w:val="20"/>
          <w:szCs w:val="20"/>
          <w:color w:val="auto"/>
        </w:rPr>
      </w:pPr>
      <w:r>
        <w:rPr>
          <w:rFonts w:ascii="Arial" w:cs="Arial" w:eastAsia="Arial" w:hAnsi="Arial"/>
          <w:sz w:val="17"/>
          <w:szCs w:val="17"/>
          <w:b w:val="1"/>
          <w:bCs w:val="1"/>
          <w:i w:val="1"/>
          <w:iCs w:val="1"/>
          <w:color w:val="auto"/>
        </w:rPr>
        <w:t xml:space="preserve">Everlake Reinsurance Transaction. </w:t>
      </w:r>
      <w:r>
        <w:rPr>
          <w:rFonts w:ascii="Arial" w:cs="Arial" w:eastAsia="Arial" w:hAnsi="Arial"/>
          <w:sz w:val="17"/>
          <w:szCs w:val="17"/>
          <w:color w:val="auto"/>
        </w:rPr>
        <w:t>Effective September 1, 2023, FGL Insurance executed a coinsurance agreement with</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Everlake Life Insurance Company (“Everlake”), an unaffiliated reinsurer to cede, on a quota share basis, certain flow MYGA business written effective on or after September 1, 2023. As the policies ceded to Everlake are investment contracts, there is no significant insurance risk present and the effects of this agreement are accounted for as a separate investment contract.</w:t>
      </w:r>
    </w:p>
    <w:p>
      <w:pPr>
        <w:spacing w:after="0" w:line="39" w:lineRule="exact"/>
        <w:rPr>
          <w:sz w:val="20"/>
          <w:szCs w:val="20"/>
          <w:color w:val="auto"/>
        </w:rPr>
      </w:pPr>
    </w:p>
    <w:p>
      <w:pPr>
        <w:jc w:val="both"/>
        <w:ind w:firstLine="353"/>
        <w:spacing w:after="0" w:line="313" w:lineRule="auto"/>
        <w:rPr>
          <w:sz w:val="20"/>
          <w:szCs w:val="20"/>
          <w:color w:val="auto"/>
        </w:rPr>
      </w:pPr>
      <w:r>
        <w:rPr>
          <w:rFonts w:ascii="Arial" w:cs="Arial" w:eastAsia="Arial" w:hAnsi="Arial"/>
          <w:sz w:val="17"/>
          <w:szCs w:val="17"/>
          <w:b w:val="1"/>
          <w:bCs w:val="1"/>
          <w:i w:val="1"/>
          <w:iCs w:val="1"/>
          <w:color w:val="auto"/>
        </w:rPr>
        <w:t xml:space="preserve">Aspida Reinsurance Transaction. </w:t>
      </w:r>
      <w:r>
        <w:rPr>
          <w:rFonts w:ascii="Arial" w:cs="Arial" w:eastAsia="Arial" w:hAnsi="Arial"/>
          <w:sz w:val="17"/>
          <w:szCs w:val="17"/>
          <w:color w:val="auto"/>
        </w:rPr>
        <w:t>FGL Insurance has a reinsurance agreement with ASPIDA Life Re Ltd. (“Aspida Re”),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 unaffiliated reinsurer, to cede certain flow MYGA business, on a funds withheld coinsurance basis, net of applicable existing reinsurance, written effective on or after January 15, 2021. As the policies ceded to Aspida Re are investment contracts, there is no significant insurance risk present and therefore the reinsurance agreement is accounted for as a separate investment contract.</w:t>
      </w:r>
    </w:p>
    <w:p>
      <w:pPr>
        <w:spacing w:after="0" w:line="40" w:lineRule="exact"/>
        <w:rPr>
          <w:sz w:val="20"/>
          <w:szCs w:val="20"/>
          <w:color w:val="auto"/>
        </w:rPr>
      </w:pPr>
    </w:p>
    <w:p>
      <w:pPr>
        <w:jc w:val="both"/>
        <w:ind w:firstLine="353"/>
        <w:spacing w:after="0" w:line="312" w:lineRule="auto"/>
        <w:rPr>
          <w:sz w:val="20"/>
          <w:szCs w:val="20"/>
          <w:color w:val="auto"/>
        </w:rPr>
      </w:pPr>
      <w:r>
        <w:rPr>
          <w:rFonts w:ascii="Arial" w:cs="Arial" w:eastAsia="Arial" w:hAnsi="Arial"/>
          <w:sz w:val="17"/>
          <w:szCs w:val="17"/>
          <w:color w:val="auto"/>
        </w:rPr>
        <w:t>FGL insurance entered into a reinsurance agreement with Aspida Re Cayman Ltd. (“Aspida Re Cayman”), an unaffiliated reinsurer, to ceded certain flow MYGA business, on a funds withheld coinsurance basis, net of applicable existing reinsurance, written effective on or after November 1, 2025. As the policies ceded to Aspida Re Cayman are investment contracts, there is no significant insurance risk present and therefore the reinsurance agreement is accounted for as a separate investment contract.</w:t>
      </w:r>
    </w:p>
    <w:p>
      <w:pPr>
        <w:spacing w:after="0" w:line="40" w:lineRule="exact"/>
        <w:rPr>
          <w:sz w:val="20"/>
          <w:szCs w:val="20"/>
          <w:color w:val="auto"/>
        </w:rPr>
      </w:pPr>
    </w:p>
    <w:p>
      <w:pPr>
        <w:jc w:val="both"/>
        <w:ind w:firstLine="353"/>
        <w:spacing w:after="0" w:line="296" w:lineRule="auto"/>
        <w:rPr>
          <w:sz w:val="20"/>
          <w:szCs w:val="20"/>
          <w:color w:val="auto"/>
        </w:rPr>
      </w:pPr>
      <w:r>
        <w:rPr>
          <w:rFonts w:ascii="Arial" w:cs="Arial" w:eastAsia="Arial" w:hAnsi="Arial"/>
          <w:sz w:val="17"/>
          <w:szCs w:val="17"/>
          <w:b w:val="1"/>
          <w:bCs w:val="1"/>
          <w:i w:val="1"/>
          <w:iCs w:val="1"/>
          <w:color w:val="auto"/>
        </w:rPr>
        <w:t xml:space="preserve">New Re Reinsurance Transaction. </w:t>
      </w:r>
      <w:r>
        <w:rPr>
          <w:rFonts w:ascii="Arial" w:cs="Arial" w:eastAsia="Arial" w:hAnsi="Arial"/>
          <w:sz w:val="17"/>
          <w:szCs w:val="17"/>
          <w:color w:val="auto"/>
        </w:rPr>
        <w:t>Effective December 31, 2022, FGL Insurance entered into an indemnity reinsurance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agreement with New Reinsurance Company Ltd., an unaffiliated reinsurer and wholly owned subsidiary of Münchener Rückversicherungs-Gesellschaft Aktiengesellschaft in München (d/b/a “Munich Re”), to cede certain FIA policies. Effective July 1, 2023, this agreement was amended to reinsure additional FIA products. The coinsurance quota share is applicable to the base contract benefits under the FIA policies and the yearly renewable term is applicable to the waiver of surrender charges and return of premium. Effective October 1, 2025, this agreement was recaptured and terminated and FGL Insurance entered into a new indemnity reinsurance agreement with Munich Re to cede certain inforce and future flow FIA policies on a coinsurance basis, applicable to the base contract benefits, waiver of surrender charges, and minimum guaranteed surrender value benefits and for certain FIA policies, return of premium rider and minimum interest credit rider benefits. The effects of these agreements are not accounted for as reinsurance as they do not satisfy the risk transfer requirements for GAAP; therefore, deposit accounting is applied and FGL Insurance applies the right of offset in the reinsurance agreements.</w:t>
      </w:r>
    </w:p>
    <w:p>
      <w:pPr>
        <w:spacing w:after="0" w:line="53" w:lineRule="exact"/>
        <w:rPr>
          <w:sz w:val="20"/>
          <w:szCs w:val="20"/>
          <w:color w:val="auto"/>
        </w:rPr>
      </w:pPr>
    </w:p>
    <w:p>
      <w:pPr>
        <w:jc w:val="both"/>
        <w:ind w:firstLine="353"/>
        <w:spacing w:after="0" w:line="272" w:lineRule="auto"/>
        <w:rPr>
          <w:sz w:val="20"/>
          <w:szCs w:val="20"/>
          <w:color w:val="auto"/>
        </w:rPr>
      </w:pPr>
      <w:r>
        <w:rPr>
          <w:rFonts w:ascii="Arial" w:cs="Arial" w:eastAsia="Arial" w:hAnsi="Arial"/>
          <w:sz w:val="19"/>
          <w:szCs w:val="19"/>
          <w:b w:val="1"/>
          <w:bCs w:val="1"/>
          <w:i w:val="1"/>
          <w:iCs w:val="1"/>
          <w:color w:val="auto"/>
        </w:rPr>
        <w:t xml:space="preserve">The CARVM Facility. </w:t>
      </w:r>
      <w:r>
        <w:rPr>
          <w:rFonts w:ascii="Arial" w:cs="Arial" w:eastAsia="Arial" w:hAnsi="Arial"/>
          <w:sz w:val="19"/>
          <w:szCs w:val="19"/>
          <w:color w:val="auto"/>
        </w:rPr>
        <w:t>Life insurance companies operating in the United States must calculate required reserves for life and</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annuity policies based on statutory principles. The insurance divisions have adopted the methodology contained in the NAIC Valuation Manual as the prescribed methodology for the insurance industry. The industry has reduced or eliminated redundancies thereby increasing capital using a variety of techniques including reserve facilities.</w:t>
      </w:r>
    </w:p>
    <w:p>
      <w:pPr>
        <w:spacing w:after="0" w:line="70" w:lineRule="exact"/>
        <w:rPr>
          <w:sz w:val="20"/>
          <w:szCs w:val="20"/>
          <w:color w:val="auto"/>
        </w:rPr>
      </w:pPr>
    </w:p>
    <w:p>
      <w:pPr>
        <w:jc w:val="both"/>
        <w:ind w:firstLine="353"/>
        <w:spacing w:after="0" w:line="294" w:lineRule="auto"/>
        <w:rPr>
          <w:sz w:val="20"/>
          <w:szCs w:val="20"/>
          <w:color w:val="auto"/>
        </w:rPr>
      </w:pPr>
      <w:r>
        <w:rPr>
          <w:rFonts w:ascii="Arial" w:cs="Arial" w:eastAsia="Arial" w:hAnsi="Arial"/>
          <w:sz w:val="17"/>
          <w:szCs w:val="17"/>
          <w:color w:val="auto"/>
        </w:rPr>
        <w:t>FGL Insurance has a reinsurance treaty with Raven Reinsurance Company (“Raven Re”), its wholly owned captive reinsurance company, to cede the Commissioners Annuity Reserve Valuation Method (“CARVM”) liability for annuity benefits where surrender charges are waived related to certain indexed annuities, deferred annuity and MYGA policies. In connection with the CARVM reinsurance agreement, FGL Insurance and Raven Re entered into an agreement with Nomura Bank International plc (“NBI”) to establish a reserve financing facility in the form of a letter of credit issued by NBI. The financing facility has $150 million available to draw on as of December 31, 2025. The amended facility may terminate earlier than the current termination date of October 1, 2027, in accordance with the terms of the reimbursement agreement. Under the terms of the reimbursement agreement, in the event the letter of credit is drawn upon, Raven Re is required to repay the amounts utilized, and FGAL is obligated to repay the amounts utilized if Raven Re fails to make the required reimbursement. Under the terms of the agreement, F&amp;G Annuities &amp; Life, Inc. (“FGAL”) is also required to make a capital contribution to Raven Re in certain circumstances, including in the event that Raven Re’s statutory capital and surplus falls below defined levels. As of December 31, 2025 and 2024, no capital contributions were required to be made due to these conditions. As this letter of credit is provided by an unaffiliated financial institution, Raven Re is permitted to carry the letter of credit as an admitted asset on the Raven Re statutory balance sheet.</w:t>
      </w:r>
    </w:p>
    <w:p>
      <w:pPr>
        <w:spacing w:after="0" w:line="296" w:lineRule="exact"/>
        <w:rPr>
          <w:sz w:val="20"/>
          <w:szCs w:val="20"/>
          <w:color w:val="auto"/>
        </w:rPr>
      </w:pPr>
    </w:p>
    <w:p>
      <w:pPr>
        <w:jc w:val="both"/>
        <w:ind w:firstLine="353"/>
        <w:spacing w:after="0" w:line="295" w:lineRule="auto"/>
        <w:rPr>
          <w:sz w:val="20"/>
          <w:szCs w:val="20"/>
          <w:color w:val="auto"/>
        </w:rPr>
      </w:pPr>
      <w:r>
        <w:rPr>
          <w:rFonts w:ascii="Arial" w:cs="Arial" w:eastAsia="Arial" w:hAnsi="Arial"/>
          <w:sz w:val="17"/>
          <w:szCs w:val="17"/>
          <w:b w:val="1"/>
          <w:bCs w:val="1"/>
          <w:i w:val="1"/>
          <w:iCs w:val="1"/>
          <w:color w:val="auto"/>
        </w:rPr>
        <w:t>GMWB/GWP Reinsurance Transaction</w:t>
      </w:r>
      <w:r>
        <w:rPr>
          <w:rFonts w:ascii="Arial" w:cs="Arial" w:eastAsia="Arial" w:hAnsi="Arial"/>
          <w:sz w:val="17"/>
          <w:szCs w:val="17"/>
          <w:color w:val="auto"/>
        </w:rPr>
        <w:t>. Effective December 31, 2023, FGL Insurance recaptured its reinsurance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arrangement with Canada Life Assurance Company (“Canada Life”) United States Branch covering indexed annuity policies with GMWB and guaranteed withdrawal payment (“GWP”) features and entered into a reinsurance treaty with Corbeau Re, Inc. (“Corbeau Re”), its wholly owned captive reinsurance company, to cede certain indexed annuity policies with GMWB and GWP. In connection with the reinsurance agreement between FGL Insurance and Corbeau Re, Corbeau Re entered into an excess of loss reinsurance agreement (“XOL”) with Canada Life Barbados Branch to finance the portion of statutory reserves considered to be non-economic. The XOL matures on December 31, 2043, and provides for coverage on losses up to $2.4 billion as of December 31, 2024. With Corbeau Re, non-economic reserves were financed through the maturity date of the XOL and statutory reserves are recorded for all risks expected to be incurred after the maturity date of the XOL. The XOL is not accounted for as reinsurance as it does not satisfy the risk transfer requirements for GAAP; therefore, deposit accounting is applied. Under the terms of the agreement, FGAL is required to make a capital contribution to Corbeau Re in certain circumstances, including in the event that Corbeau Re’s statutory capital and surplus falls below defined levels. As of December 31, 2025, no capital contributions were required to be made due to these conditions. Corbeau Re is permitted to</w:t>
      </w:r>
    </w:p>
    <w:p>
      <w:pPr>
        <w:sectPr>
          <w:pgSz w:w="11880" w:h="15480" w:orient="portrait"/>
          <w:cols w:equalWidth="0" w:num="1">
            <w:col w:w="10040"/>
          </w:cols>
          <w:pgMar w:left="920" w:top="770"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21</w:t>
      </w:r>
    </w:p>
    <w:p>
      <w:pPr>
        <w:sectPr>
          <w:pgSz w:w="11880" w:h="15480" w:orient="portrait"/>
          <w:cols w:equalWidth="0" w:num="1">
            <w:col w:w="10040"/>
          </w:cols>
          <w:pgMar w:left="920" w:top="770" w:right="920" w:bottom="0" w:gutter="0" w:footer="0" w:header="0"/>
          <w:type w:val="continuous"/>
        </w:sectPr>
      </w:pPr>
    </w:p>
    <w:bookmarkStart w:id="33" w:name="page34"/>
    <w:bookmarkEnd w:id="33"/>
    <w:p>
      <w:pPr>
        <w:jc w:val="both"/>
        <w:spacing w:after="0" w:line="271" w:lineRule="auto"/>
        <w:rPr>
          <w:sz w:val="20"/>
          <w:szCs w:val="20"/>
          <w:color w:val="auto"/>
        </w:rPr>
      </w:pPr>
      <w:r>
        <w:rPr>
          <w:rFonts w:ascii="Arial" w:cs="Arial" w:eastAsia="Arial" w:hAnsi="Arial"/>
          <w:sz w:val="20"/>
          <w:szCs w:val="20"/>
          <w:color w:val="auto"/>
        </w:rPr>
        <w:t>account for the excess of loss reinsurance agreement from Canada Life as an admitted asset on the Corbeau Re statutory balance sheet.</w:t>
      </w:r>
    </w:p>
    <w:p>
      <w:pPr>
        <w:spacing w:after="0" w:line="67" w:lineRule="exact"/>
        <w:rPr>
          <w:sz w:val="20"/>
          <w:szCs w:val="20"/>
          <w:color w:val="auto"/>
        </w:rPr>
      </w:pPr>
    </w:p>
    <w:p>
      <w:pPr>
        <w:jc w:val="both"/>
        <w:ind w:firstLine="353"/>
        <w:spacing w:after="0" w:line="295" w:lineRule="auto"/>
        <w:rPr>
          <w:sz w:val="20"/>
          <w:szCs w:val="20"/>
          <w:color w:val="auto"/>
        </w:rPr>
      </w:pPr>
      <w:r>
        <w:rPr>
          <w:rFonts w:ascii="Arial" w:cs="Arial" w:eastAsia="Arial" w:hAnsi="Arial"/>
          <w:sz w:val="17"/>
          <w:szCs w:val="17"/>
          <w:b w:val="1"/>
          <w:bCs w:val="1"/>
          <w:i w:val="1"/>
          <w:iCs w:val="1"/>
          <w:color w:val="auto"/>
        </w:rPr>
        <w:t>PRT Reinsurance Transaction</w:t>
      </w:r>
      <w:r>
        <w:rPr>
          <w:rFonts w:ascii="Arial" w:cs="Arial" w:eastAsia="Arial" w:hAnsi="Arial"/>
          <w:sz w:val="17"/>
          <w:szCs w:val="17"/>
          <w:color w:val="auto"/>
        </w:rPr>
        <w:t>. Effective October 1, 2023, FGL Insurance recaptured a reinsurance agreement with its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affiliate F&amp;G Life Re Ltd. (“F&amp;G Life Re”), a Bermuda reinsurer, covering a quota share of certain pension risk transfer group annuity contracts and entered into an agreement with its affiliate F&amp;G Cayman Re Ltd. (“F&amp;G Cayman Re”), a Cayman Islands reinsurer, to reinsure a quota share of certain PRT group annuity contracts (previously ceded to F&amp;G Life Re) in addition to flow PRT group annuity contracts. Some of the contracts reinsured are held by FGL Insurance’s general account and others are held by a FGL Insurance separate account (which does not meet the GAAP definition of a separate account). Reinsurance of the general account contracts are maintained on a coinsurance funds withheld basis for the general account statutory reserves. Reinsurance of the separate account contracts are maintained on a modified coinsurance basis for the separate account statutory reserves and coinsurance basis for the general account statutory reserves supporting the separate account. In connection with the agreement, F&amp;G Cayman Re entered into a financing agreement with Deutsche Bank AG (“DB”), operating out of its New York branch, whereby DB issued a letter of credit used to support the coinsured general account statutory reserves (generally considered to be the non-economic reserves).</w:t>
      </w:r>
    </w:p>
    <w:p>
      <w:pPr>
        <w:spacing w:after="0" w:line="57" w:lineRule="exact"/>
        <w:rPr>
          <w:sz w:val="20"/>
          <w:szCs w:val="20"/>
          <w:color w:val="auto"/>
        </w:rPr>
      </w:pPr>
    </w:p>
    <w:p>
      <w:pPr>
        <w:jc w:val="both"/>
        <w:ind w:firstLine="353"/>
        <w:spacing w:after="0" w:line="250" w:lineRule="auto"/>
        <w:rPr>
          <w:sz w:val="20"/>
          <w:szCs w:val="20"/>
          <w:color w:val="auto"/>
        </w:rPr>
      </w:pPr>
      <w:r>
        <w:rPr>
          <w:rFonts w:ascii="Arial" w:cs="Arial" w:eastAsia="Arial" w:hAnsi="Arial"/>
          <w:sz w:val="20"/>
          <w:szCs w:val="20"/>
          <w:b w:val="1"/>
          <w:bCs w:val="1"/>
          <w:i w:val="1"/>
          <w:iCs w:val="1"/>
          <w:color w:val="auto"/>
        </w:rPr>
        <w:t xml:space="preserve">IUL YRT Reinsurance. </w:t>
      </w:r>
      <w:r>
        <w:rPr>
          <w:rFonts w:ascii="Arial" w:cs="Arial" w:eastAsia="Arial" w:hAnsi="Arial"/>
          <w:sz w:val="20"/>
          <w:szCs w:val="20"/>
          <w:color w:val="auto"/>
        </w:rPr>
        <w:t>Effective January 1, 2025, F&amp;G entered into separate flow reinsurance agreements with several</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reinsurance companies to reinsure mortality risk on certain IUL policies on a yearly renewable term basis. Effective July 1, 2025, F&amp;G entered into separate reinsurance agreements with several reinsurance companies to reinsure mortality risk on certain inforce IUL policies on a yearly renewable term basis. In accordance with the terms of these agreements, F&amp;G cedes the net amount at risk on the IUL policies, which is the difference between the stated death benefit and the contractholder funds balance.</w:t>
      </w:r>
    </w:p>
    <w:p>
      <w:pPr>
        <w:spacing w:after="0" w:line="91" w:lineRule="exact"/>
        <w:rPr>
          <w:sz w:val="20"/>
          <w:szCs w:val="20"/>
          <w:color w:val="auto"/>
        </w:rPr>
      </w:pPr>
    </w:p>
    <w:p>
      <w:pPr>
        <w:jc w:val="both"/>
        <w:ind w:firstLine="353"/>
        <w:spacing w:after="0" w:line="301" w:lineRule="auto"/>
        <w:rPr>
          <w:sz w:val="20"/>
          <w:szCs w:val="20"/>
          <w:color w:val="auto"/>
        </w:rPr>
      </w:pPr>
      <w:r>
        <w:rPr>
          <w:rFonts w:ascii="Arial" w:cs="Arial" w:eastAsia="Arial" w:hAnsi="Arial"/>
          <w:sz w:val="17"/>
          <w:szCs w:val="17"/>
          <w:b w:val="1"/>
          <w:bCs w:val="1"/>
          <w:i w:val="1"/>
          <w:iCs w:val="1"/>
          <w:color w:val="auto"/>
        </w:rPr>
        <w:t xml:space="preserve">New Reinsurance Vehicle. </w:t>
      </w:r>
      <w:r>
        <w:rPr>
          <w:rFonts w:ascii="Arial" w:cs="Arial" w:eastAsia="Arial" w:hAnsi="Arial"/>
          <w:sz w:val="17"/>
          <w:szCs w:val="17"/>
          <w:color w:val="auto"/>
        </w:rPr>
        <w:t>During the third quarter of 2025, F&amp;G announced the launch of a strategic partnership with 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new reinsurance vehicle backed by Blackstone managed funds, with approximately $1 billion in anticipated capital commitments. Effective August 1, 2025, F&amp;G executed this forward flow reinsurance agreement with Fort Greene Reinsurance SPC Limited Segregated Portfolio No. 1, (“Fort Greene”) to cede certain FIA policies on a coinsurance funds withheld quota share basis and certain funding agreements on a modified coinsurance basis. F&amp;G does not hold any ownership stake in the unaffiliated Fort Greene entity. As the policies ceded to Fort Greene are investment contracts, there is no significant insurance risk present and therefore the reinsurance agreement is accounted for as a separate investment contract.</w:t>
      </w:r>
    </w:p>
    <w:p>
      <w:pPr>
        <w:spacing w:after="0" w:line="48" w:lineRule="exact"/>
        <w:rPr>
          <w:sz w:val="20"/>
          <w:szCs w:val="20"/>
          <w:color w:val="auto"/>
        </w:rPr>
      </w:pPr>
    </w:p>
    <w:p>
      <w:pPr>
        <w:jc w:val="both"/>
        <w:ind w:firstLine="353"/>
        <w:spacing w:after="0" w:line="273" w:lineRule="auto"/>
        <w:rPr>
          <w:sz w:val="20"/>
          <w:szCs w:val="20"/>
          <w:color w:val="auto"/>
        </w:rPr>
      </w:pPr>
      <w:r>
        <w:rPr>
          <w:rFonts w:ascii="Arial" w:cs="Arial" w:eastAsia="Arial" w:hAnsi="Arial"/>
          <w:sz w:val="20"/>
          <w:szCs w:val="20"/>
          <w:b w:val="1"/>
          <w:bCs w:val="1"/>
          <w:i w:val="1"/>
          <w:iCs w:val="1"/>
          <w:color w:val="auto"/>
        </w:rPr>
        <w:t xml:space="preserve">F&amp;G Life Re. </w:t>
      </w:r>
      <w:r>
        <w:rPr>
          <w:rFonts w:ascii="Arial" w:cs="Arial" w:eastAsia="Arial" w:hAnsi="Arial"/>
          <w:sz w:val="20"/>
          <w:szCs w:val="20"/>
          <w:color w:val="auto"/>
        </w:rPr>
        <w:t>Effective December 1, 2025, FGL Insurance recaptured a portion of the reinsurance agreement with its</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affiliate F&amp;G Life Re, covering a quota share of certain FIA policies.</w:t>
      </w:r>
    </w:p>
    <w:p>
      <w:pPr>
        <w:spacing w:after="0" w:line="67" w:lineRule="exact"/>
        <w:rPr>
          <w:sz w:val="20"/>
          <w:szCs w:val="20"/>
          <w:color w:val="auto"/>
        </w:rPr>
      </w:pPr>
    </w:p>
    <w:p>
      <w:pPr>
        <w:ind w:right="120" w:firstLine="353"/>
        <w:spacing w:after="0" w:line="258" w:lineRule="auto"/>
        <w:rPr>
          <w:sz w:val="20"/>
          <w:szCs w:val="20"/>
          <w:color w:val="auto"/>
        </w:rPr>
      </w:pPr>
      <w:r>
        <w:rPr>
          <w:rFonts w:ascii="Arial" w:cs="Arial" w:eastAsia="Arial" w:hAnsi="Arial"/>
          <w:sz w:val="20"/>
          <w:szCs w:val="20"/>
          <w:color w:val="auto"/>
        </w:rPr>
        <w:t xml:space="preserve">All intercompany balances have been eliminated in the preparation of the accompanying Consolidated Financial Statements. See Note N </w:t>
      </w:r>
      <w:r>
        <w:rPr>
          <w:rFonts w:ascii="Arial" w:cs="Arial" w:eastAsia="Arial" w:hAnsi="Arial"/>
          <w:sz w:val="20"/>
          <w:szCs w:val="20"/>
          <w:b w:val="1"/>
          <w:bCs w:val="1"/>
          <w:i w:val="1"/>
          <w:iCs w:val="1"/>
          <w:color w:val="auto"/>
        </w:rPr>
        <w:t>F&amp;G Reinsurance</w:t>
      </w:r>
      <w:r>
        <w:rPr>
          <w:rFonts w:ascii="Arial" w:cs="Arial" w:eastAsia="Arial" w:hAnsi="Arial"/>
          <w:sz w:val="20"/>
          <w:szCs w:val="20"/>
          <w:color w:val="auto"/>
        </w:rPr>
        <w:t xml:space="preserve"> to our Consolidated Financial Statements included in Part II - Item 8 of this Annual Report on Form 10-K.</w:t>
      </w:r>
    </w:p>
    <w:p>
      <w:pPr>
        <w:spacing w:after="0" w:line="80" w:lineRule="exact"/>
        <w:rPr>
          <w:sz w:val="20"/>
          <w:szCs w:val="20"/>
          <w:color w:val="auto"/>
        </w:rPr>
      </w:pPr>
    </w:p>
    <w:p>
      <w:pPr>
        <w:ind w:left="340"/>
        <w:spacing w:after="0"/>
        <w:rPr>
          <w:sz w:val="20"/>
          <w:szCs w:val="20"/>
          <w:color w:val="auto"/>
        </w:rPr>
      </w:pPr>
      <w:r>
        <w:rPr>
          <w:rFonts w:ascii="Arial" w:cs="Arial" w:eastAsia="Arial" w:hAnsi="Arial"/>
          <w:sz w:val="17"/>
          <w:szCs w:val="17"/>
          <w:b w:val="1"/>
          <w:bCs w:val="1"/>
          <w:i w:val="1"/>
          <w:iCs w:val="1"/>
          <w:color w:val="auto"/>
        </w:rPr>
        <w:t>Distribution</w:t>
      </w:r>
      <w:r>
        <w:rPr>
          <w:rFonts w:ascii="Arial" w:cs="Arial" w:eastAsia="Arial" w:hAnsi="Arial"/>
          <w:sz w:val="17"/>
          <w:szCs w:val="17"/>
          <w:color w:val="auto"/>
        </w:rPr>
        <w:t>. We distribute our annuity and life insurance products through three main retail channels of distribution:</w:t>
      </w:r>
    </w:p>
    <w:p>
      <w:pPr>
        <w:spacing w:after="0" w:line="61" w:lineRule="exact"/>
        <w:rPr>
          <w:sz w:val="20"/>
          <w:szCs w:val="20"/>
          <w:color w:val="auto"/>
        </w:rPr>
      </w:pPr>
    </w:p>
    <w:p>
      <w:pPr>
        <w:spacing w:after="0"/>
        <w:rPr>
          <w:sz w:val="20"/>
          <w:szCs w:val="20"/>
          <w:color w:val="auto"/>
        </w:rPr>
      </w:pPr>
      <w:r>
        <w:rPr>
          <w:rFonts w:ascii="Arial" w:cs="Arial" w:eastAsia="Arial" w:hAnsi="Arial"/>
          <w:sz w:val="20"/>
          <w:szCs w:val="20"/>
          <w:color w:val="auto"/>
        </w:rPr>
        <w:t>independent agents, banks, and broker dealers.</w:t>
      </w:r>
    </w:p>
    <w:p>
      <w:pPr>
        <w:spacing w:after="0" w:line="103" w:lineRule="exact"/>
        <w:rPr>
          <w:sz w:val="20"/>
          <w:szCs w:val="20"/>
          <w:color w:val="auto"/>
        </w:rPr>
      </w:pPr>
    </w:p>
    <w:p>
      <w:pPr>
        <w:jc w:val="both"/>
        <w:ind w:firstLine="353"/>
        <w:spacing w:after="0" w:line="264" w:lineRule="auto"/>
        <w:rPr>
          <w:sz w:val="20"/>
          <w:szCs w:val="20"/>
          <w:color w:val="auto"/>
        </w:rPr>
      </w:pPr>
      <w:r>
        <w:rPr>
          <w:rFonts w:ascii="Arial" w:cs="Arial" w:eastAsia="Arial" w:hAnsi="Arial"/>
          <w:sz w:val="19"/>
          <w:szCs w:val="19"/>
          <w:color w:val="auto"/>
        </w:rPr>
        <w:t>In our independent agent channel, the sale of our products typically occurs as part of a four-party, three stage sales process between FGL Insurance, an IMO, the agent, and the customer. FGL Insurance designs, manufactures, issues, and services the product. The IMOs will typically sign contracts with multiple insurance carriers to provide their agents with a broad and competitive product portfolio. The IMO provides training and discusses product options with agents in preparation for meetings with clients. The IMO staff also provide assistance to the agent during the selling and application process. The agent may get customer leads from the IMOs. The agent conducts a fact finding and presents suitable product choices to the customers. We monitor the business issued by each distribution partner for pricing metrics, mortality, persistency, as well as market conduct and suitability.</w:t>
      </w:r>
    </w:p>
    <w:p>
      <w:pPr>
        <w:spacing w:after="0" w:line="77" w:lineRule="exact"/>
        <w:rPr>
          <w:sz w:val="20"/>
          <w:szCs w:val="20"/>
          <w:color w:val="auto"/>
        </w:rPr>
      </w:pPr>
    </w:p>
    <w:p>
      <w:pPr>
        <w:jc w:val="both"/>
        <w:ind w:firstLine="353"/>
        <w:spacing w:after="0" w:line="312" w:lineRule="auto"/>
        <w:rPr>
          <w:sz w:val="20"/>
          <w:szCs w:val="20"/>
          <w:color w:val="auto"/>
        </w:rPr>
      </w:pPr>
      <w:r>
        <w:rPr>
          <w:rFonts w:ascii="Arial" w:cs="Arial" w:eastAsia="Arial" w:hAnsi="Arial"/>
          <w:sz w:val="17"/>
          <w:szCs w:val="17"/>
          <w:color w:val="auto"/>
        </w:rPr>
        <w:t>We offer our products through a network of approximately 300 IMOs, representing approximately 173,000 agents. We believe that our relationships with these IMOs are strong. We identify Power Partners as those who have demonstrated the ability to generate significant production for our business. We currently have 58 Power Partners, comprised of 24 annuity IMOs and 34 life insurance IMOs. The average tenure of the Power Partners is approximately 21 years.</w:t>
      </w:r>
    </w:p>
    <w:p>
      <w:pPr>
        <w:spacing w:after="0" w:line="42" w:lineRule="exact"/>
        <w:rPr>
          <w:sz w:val="20"/>
          <w:szCs w:val="20"/>
          <w:color w:val="auto"/>
        </w:rPr>
      </w:pPr>
    </w:p>
    <w:p>
      <w:pPr>
        <w:jc w:val="both"/>
        <w:ind w:firstLine="353"/>
        <w:spacing w:after="0" w:line="300" w:lineRule="auto"/>
        <w:rPr>
          <w:sz w:val="20"/>
          <w:szCs w:val="20"/>
          <w:color w:val="auto"/>
        </w:rPr>
      </w:pPr>
      <w:r>
        <w:rPr>
          <w:rFonts w:ascii="Arial" w:cs="Arial" w:eastAsia="Arial" w:hAnsi="Arial"/>
          <w:sz w:val="17"/>
          <w:szCs w:val="17"/>
          <w:color w:val="auto"/>
        </w:rPr>
        <w:t>We took a similar approach in launching products as a new entrant into the bank and broker dealer channels by partnering with one of the largest broker dealers in the industry. In 2020, F&amp;G launched a set of fixed rate annuity and indexed annuity products to banks and broker dealers and gained selling agreements with some of the largest banks and broker dealers in the United States. We offer our products through a network of approximately 26 banks and broker dealers, representing approximately 14,000 financial advisers. The financial advisers at our bank and broker dealer partners can offer their clients guaranteed rates of return, protected growth, and income for life through our secure series of annuity products. We employ a hybrid distribution model in this channel, whereby some financial institutions partner directly with F&amp;G and our sales team,</w:t>
      </w:r>
    </w:p>
    <w:p>
      <w:pPr>
        <w:sectPr>
          <w:pgSz w:w="11880" w:h="15480" w:orient="portrait"/>
          <w:cols w:equalWidth="0" w:num="1">
            <w:col w:w="10040"/>
          </w:cols>
          <w:pgMar w:left="920" w:top="772" w:right="920" w:bottom="0" w:gutter="0" w:footer="0" w:header="0"/>
        </w:sect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22</w:t>
      </w:r>
    </w:p>
    <w:p>
      <w:pPr>
        <w:sectPr>
          <w:pgSz w:w="11880" w:h="15480" w:orient="portrait"/>
          <w:cols w:equalWidth="0" w:num="1">
            <w:col w:w="10040"/>
          </w:cols>
          <w:pgMar w:left="920" w:top="772" w:right="920" w:bottom="0" w:gutter="0" w:footer="0" w:header="0"/>
          <w:type w:val="continuous"/>
        </w:sectPr>
      </w:pPr>
    </w:p>
    <w:bookmarkStart w:id="34" w:name="page35"/>
    <w:bookmarkEnd w:id="34"/>
    <w:p>
      <w:pPr>
        <w:jc w:val="both"/>
        <w:spacing w:after="0" w:line="254" w:lineRule="auto"/>
        <w:rPr>
          <w:sz w:val="20"/>
          <w:szCs w:val="20"/>
          <w:color w:val="auto"/>
        </w:rPr>
      </w:pPr>
      <w:r>
        <w:rPr>
          <w:rFonts w:ascii="Arial" w:cs="Arial" w:eastAsia="Arial" w:hAnsi="Arial"/>
          <w:sz w:val="20"/>
          <w:szCs w:val="20"/>
          <w:color w:val="auto"/>
        </w:rPr>
        <w:t>and others work with an intermediary. As such, we partner with a select number of financial institution intermediaries who have expertise in the channel and maintain the appropriate field wholesaling forces to be successful in this channel. In 2025, the top five firms represented 81% of channel sales. Bank and broker dealers represented 36% of annuity sales for the year ended December 31, 2025.</w:t>
      </w:r>
    </w:p>
    <w:p>
      <w:pPr>
        <w:spacing w:after="0" w:line="85" w:lineRule="exact"/>
        <w:rPr>
          <w:sz w:val="20"/>
          <w:szCs w:val="20"/>
          <w:color w:val="auto"/>
        </w:rPr>
      </w:pPr>
    </w:p>
    <w:p>
      <w:pPr>
        <w:jc w:val="both"/>
        <w:ind w:firstLine="353"/>
        <w:spacing w:after="0" w:line="298" w:lineRule="auto"/>
        <w:rPr>
          <w:sz w:val="20"/>
          <w:szCs w:val="20"/>
          <w:color w:val="auto"/>
        </w:rPr>
      </w:pPr>
      <w:r>
        <w:rPr>
          <w:rFonts w:ascii="Arial" w:cs="Arial" w:eastAsia="Arial" w:hAnsi="Arial"/>
          <w:sz w:val="19"/>
          <w:szCs w:val="19"/>
          <w:color w:val="auto"/>
        </w:rPr>
        <w:t>The top 5 states for the distribution of F&amp;G retail products in the year ended December 31, 2025, were California, Florida, Pennsylvania, Texas and New Jersey, which together accounted for 40% of FGL Insurance’s premiums.</w:t>
      </w:r>
    </w:p>
    <w:p>
      <w:pPr>
        <w:spacing w:after="0" w:line="44" w:lineRule="exact"/>
        <w:rPr>
          <w:sz w:val="20"/>
          <w:szCs w:val="20"/>
          <w:color w:val="auto"/>
        </w:rPr>
      </w:pPr>
    </w:p>
    <w:p>
      <w:pPr>
        <w:jc w:val="both"/>
        <w:ind w:firstLine="353"/>
        <w:spacing w:after="0" w:line="250" w:lineRule="auto"/>
        <w:rPr>
          <w:sz w:val="20"/>
          <w:szCs w:val="20"/>
          <w:color w:val="auto"/>
        </w:rPr>
      </w:pPr>
      <w:r>
        <w:rPr>
          <w:rFonts w:ascii="Arial" w:cs="Arial" w:eastAsia="Arial" w:hAnsi="Arial"/>
          <w:sz w:val="20"/>
          <w:szCs w:val="20"/>
          <w:b w:val="1"/>
          <w:bCs w:val="1"/>
          <w:i w:val="1"/>
          <w:iCs w:val="1"/>
          <w:color w:val="auto"/>
        </w:rPr>
        <w:t xml:space="preserve">Investments. </w:t>
      </w:r>
      <w:r>
        <w:rPr>
          <w:rFonts w:ascii="Arial" w:cs="Arial" w:eastAsia="Arial" w:hAnsi="Arial"/>
          <w:sz w:val="20"/>
          <w:szCs w:val="20"/>
          <w:color w:val="auto"/>
        </w:rPr>
        <w:t>Within our F&amp;G segment, we embrace a long-term conservative investment philosophy, investing nearly all</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the insurance premiums we receive in a wide range of high-quality debt securities. Our investment strategy is designed to preserve capital, provide consistent yield and investment income and achieve attractive absolute returns. We base all our decisions on fundamental, bottom-up research, coupled with a top-down view that respects the cyclicality of certain asset classes. The types of assets in which we may invest are influenced by various state laws, which prescribe qualified investment assets applicable to insurance companies.</w:t>
      </w:r>
    </w:p>
    <w:p>
      <w:pPr>
        <w:spacing w:after="0" w:line="93" w:lineRule="exact"/>
        <w:rPr>
          <w:sz w:val="20"/>
          <w:szCs w:val="20"/>
          <w:color w:val="auto"/>
        </w:rPr>
      </w:pPr>
    </w:p>
    <w:p>
      <w:pPr>
        <w:jc w:val="both"/>
        <w:ind w:firstLine="353"/>
        <w:spacing w:after="0" w:line="264" w:lineRule="auto"/>
        <w:rPr>
          <w:sz w:val="20"/>
          <w:szCs w:val="20"/>
          <w:color w:val="auto"/>
        </w:rPr>
      </w:pPr>
      <w:r>
        <w:rPr>
          <w:rFonts w:ascii="Arial" w:cs="Arial" w:eastAsia="Arial" w:hAnsi="Arial"/>
          <w:sz w:val="19"/>
          <w:szCs w:val="19"/>
          <w:color w:val="auto"/>
        </w:rPr>
        <w:t>FGL Insurance and certain other subsidiaries of F&amp;G are party to investment management agreements (“IMAs”) with Blackstone ISG-I Advisors LLC (“BIS”) pursuant to which BIS is appointed as investment manager of substantially all assets in the general and separate accounts of those entities. As of December 31, 2025, approximately 78% of our $69 billion investment portfolio was managed by BIS, with 20% managed by other third parties, and the remaining 2% internally managed. BIS, in accordance with our IMAs, has delegated certain investment services to its affiliates, including Blackstone’s Credit, Real Estate Debt and Asset-Based Finance businesses, in each case, pursuant to separate sub-management agreements executed between BIS and each such affiliate.</w:t>
      </w:r>
    </w:p>
    <w:p>
      <w:pPr>
        <w:spacing w:after="0" w:line="82" w:lineRule="exact"/>
        <w:rPr>
          <w:sz w:val="20"/>
          <w:szCs w:val="20"/>
          <w:color w:val="auto"/>
        </w:rPr>
      </w:pPr>
    </w:p>
    <w:p>
      <w:pPr>
        <w:jc w:val="both"/>
        <w:ind w:firstLine="353"/>
        <w:spacing w:after="0" w:line="264" w:lineRule="auto"/>
        <w:rPr>
          <w:sz w:val="20"/>
          <w:szCs w:val="20"/>
          <w:color w:val="auto"/>
        </w:rPr>
      </w:pPr>
      <w:r>
        <w:rPr>
          <w:rFonts w:ascii="Arial" w:cs="Arial" w:eastAsia="Arial" w:hAnsi="Arial"/>
          <w:sz w:val="19"/>
          <w:szCs w:val="19"/>
          <w:color w:val="auto"/>
        </w:rPr>
        <w:t>F&amp;G has a robust governance process and framework to manage the investment portfolio. While BIS is primarily responsible for security selection, F&amp;G makes all investment strategy decisions and sets risk parameters. All major decisions need to be reviewed and approved by the F&amp;G Investment Committee, and new investment asset classes go through an internal risk assessment process at F&amp;G to ensure the investments are suitable for an insurance company balance sheet. We define risk tolerance across a wide range of factors, including credit risk, liquidity risk, concentration (issuer and sector) risk, and caps on specific asset classes, which in turn establish conservative risk thresholds. Also, F&amp;G has flexibility to use other asset management partners through our flow reinsurance platform over time.</w:t>
      </w:r>
    </w:p>
    <w:p>
      <w:pPr>
        <w:spacing w:after="0" w:line="82" w:lineRule="exact"/>
        <w:rPr>
          <w:sz w:val="20"/>
          <w:szCs w:val="20"/>
          <w:color w:val="auto"/>
        </w:rPr>
      </w:pPr>
    </w:p>
    <w:p>
      <w:pPr>
        <w:jc w:val="both"/>
        <w:ind w:firstLine="353"/>
        <w:spacing w:after="0" w:line="254" w:lineRule="auto"/>
        <w:rPr>
          <w:sz w:val="20"/>
          <w:szCs w:val="20"/>
          <w:color w:val="auto"/>
        </w:rPr>
      </w:pPr>
      <w:r>
        <w:rPr>
          <w:rFonts w:ascii="Arial" w:cs="Arial" w:eastAsia="Arial" w:hAnsi="Arial"/>
          <w:sz w:val="20"/>
          <w:szCs w:val="20"/>
          <w:color w:val="auto"/>
        </w:rPr>
        <w:t>F&amp;G, along with BIS, continually monitors portfolio allocations and holdings to optimize the portfolio profile. F&amp;G has undertaken several programs to take advantage of the credit cycle and market conditions or to undertake prudent risk management in anticipation of an unfavorable economic environment. We have also added several new asset classes to the investment portfolio to further enhance diversification.</w:t>
      </w:r>
    </w:p>
    <w:p>
      <w:pPr>
        <w:spacing w:after="0" w:line="85" w:lineRule="exact"/>
        <w:rPr>
          <w:sz w:val="20"/>
          <w:szCs w:val="20"/>
          <w:color w:val="auto"/>
        </w:rPr>
      </w:pPr>
    </w:p>
    <w:p>
      <w:pPr>
        <w:jc w:val="both"/>
        <w:ind w:firstLine="353"/>
        <w:spacing w:after="0" w:line="264" w:lineRule="auto"/>
        <w:rPr>
          <w:sz w:val="20"/>
          <w:szCs w:val="20"/>
          <w:color w:val="auto"/>
        </w:rPr>
      </w:pPr>
      <w:r>
        <w:rPr>
          <w:rFonts w:ascii="Arial" w:cs="Arial" w:eastAsia="Arial" w:hAnsi="Arial"/>
          <w:sz w:val="19"/>
          <w:szCs w:val="19"/>
          <w:color w:val="auto"/>
        </w:rPr>
        <w:t>Our investment portfolio consists of high-quality fixed maturities, including publicly issued and privately issued corporate bonds, municipal and other government bonds, asset-backed securities ("ABS"), residential mortgage-backed securities ("RMBS"), commercial mortgage-backed securities ("CMBS"), commercial mortgage loans ("CMLs"), residential mortgage loans ("RMLs"), limited partnership investments and other investments. We also maintain holdings in floating rate, and less rate-sensitive investments, including senior tranches of collateralized loan obligations (“CLOs”), non-agency RMBS and various types of ABS. It is our expectation that our investment portfolio will broaden in scope and diversity to include other asset classes held by life and annuity insurance writers. We also have a small amount of equity holdings required as part of our funding arrangements with the FHLB.</w:t>
      </w:r>
    </w:p>
    <w:p>
      <w:pPr>
        <w:spacing w:after="0" w:line="77" w:lineRule="exact"/>
        <w:rPr>
          <w:sz w:val="20"/>
          <w:szCs w:val="20"/>
          <w:color w:val="auto"/>
        </w:rPr>
      </w:pPr>
    </w:p>
    <w:p>
      <w:pPr>
        <w:jc w:val="both"/>
        <w:ind w:firstLine="353"/>
        <w:spacing w:after="0" w:line="312" w:lineRule="auto"/>
        <w:rPr>
          <w:sz w:val="20"/>
          <w:szCs w:val="20"/>
          <w:color w:val="auto"/>
        </w:rPr>
      </w:pPr>
      <w:r>
        <w:rPr>
          <w:rFonts w:ascii="Arial" w:cs="Arial" w:eastAsia="Arial" w:hAnsi="Arial"/>
          <w:sz w:val="17"/>
          <w:szCs w:val="17"/>
          <w:color w:val="auto"/>
        </w:rPr>
        <w:t>The Company employs hedging strategies to manage exposure to floating interest rates on a portion of its existing and newly acquired floating</w:t>
      </w:r>
      <w:r>
        <w:rPr>
          <w:rFonts w:ascii="Arial" w:cs="Arial" w:eastAsia="Arial" w:hAnsi="Arial"/>
          <w:sz w:val="17"/>
          <w:szCs w:val="17"/>
          <w:b w:val="1"/>
          <w:bCs w:val="1"/>
          <w:color w:val="auto"/>
        </w:rPr>
        <w:t>-</w:t>
      </w:r>
      <w:r>
        <w:rPr>
          <w:rFonts w:ascii="Arial" w:cs="Arial" w:eastAsia="Arial" w:hAnsi="Arial"/>
          <w:sz w:val="17"/>
          <w:szCs w:val="17"/>
          <w:color w:val="auto"/>
        </w:rPr>
        <w:t>rate assets, subject to market conditions. The Company also uses foreign exchange hedging instruments to manage exposure to non</w:t>
      </w:r>
      <w:r>
        <w:rPr>
          <w:rFonts w:ascii="Arial" w:cs="Arial" w:eastAsia="Arial" w:hAnsi="Arial"/>
          <w:sz w:val="17"/>
          <w:szCs w:val="17"/>
          <w:b w:val="1"/>
          <w:bCs w:val="1"/>
          <w:color w:val="auto"/>
        </w:rPr>
        <w:t>-</w:t>
      </w:r>
      <w:r>
        <w:rPr>
          <w:rFonts w:ascii="Arial" w:cs="Arial" w:eastAsia="Arial" w:hAnsi="Arial"/>
          <w:sz w:val="17"/>
          <w:szCs w:val="17"/>
          <w:color w:val="auto"/>
        </w:rPr>
        <w:t>U.S. dollar</w:t>
      </w:r>
      <w:r>
        <w:rPr>
          <w:rFonts w:ascii="Arial" w:cs="Arial" w:eastAsia="Arial" w:hAnsi="Arial"/>
          <w:sz w:val="17"/>
          <w:szCs w:val="17"/>
          <w:b w:val="1"/>
          <w:bCs w:val="1"/>
          <w:color w:val="auto"/>
        </w:rPr>
        <w:t>-</w:t>
      </w:r>
      <w:r>
        <w:rPr>
          <w:rFonts w:ascii="Arial" w:cs="Arial" w:eastAsia="Arial" w:hAnsi="Arial"/>
          <w:sz w:val="17"/>
          <w:szCs w:val="17"/>
          <w:color w:val="auto"/>
        </w:rPr>
        <w:t>denominated investments by economically converting such exposures to U.S. dollars, with the objective of reducing volatility in earnings resulting from changes in interest rates and foreign exchange rates.</w:t>
      </w:r>
    </w:p>
    <w:p>
      <w:pPr>
        <w:spacing w:after="0" w:line="42" w:lineRule="exact"/>
        <w:rPr>
          <w:sz w:val="20"/>
          <w:szCs w:val="20"/>
          <w:color w:val="auto"/>
        </w:rPr>
      </w:pPr>
    </w:p>
    <w:p>
      <w:pPr>
        <w:jc w:val="both"/>
        <w:ind w:firstLine="353"/>
        <w:spacing w:after="0" w:line="258" w:lineRule="auto"/>
        <w:rPr>
          <w:sz w:val="20"/>
          <w:szCs w:val="20"/>
          <w:color w:val="auto"/>
        </w:rPr>
      </w:pPr>
      <w:r>
        <w:rPr>
          <w:rFonts w:ascii="Arial" w:cs="Arial" w:eastAsia="Arial" w:hAnsi="Arial"/>
          <w:sz w:val="20"/>
          <w:szCs w:val="20"/>
          <w:color w:val="auto"/>
        </w:rPr>
        <w:t>The portfolio also has exposure to U.S. dollar denominated emerging market bonds, highly rated preferred stocks and hybrids, and structured securities including ABS. We currently maintain a well-matched asset/liability profile (asset duration, including cash and cash equivalents, of 4.5 years vs. liability duration of 5.2 years).</w:t>
      </w:r>
    </w:p>
    <w:p>
      <w:pPr>
        <w:spacing w:after="0" w:line="82" w:lineRule="exact"/>
        <w:rPr>
          <w:sz w:val="20"/>
          <w:szCs w:val="20"/>
          <w:color w:val="auto"/>
        </w:rPr>
      </w:pPr>
    </w:p>
    <w:p>
      <w:pPr>
        <w:jc w:val="both"/>
        <w:ind w:firstLine="485"/>
        <w:spacing w:after="0" w:line="271" w:lineRule="auto"/>
        <w:rPr>
          <w:sz w:val="20"/>
          <w:szCs w:val="20"/>
          <w:color w:val="auto"/>
        </w:rPr>
      </w:pPr>
      <w:r>
        <w:rPr>
          <w:rFonts w:ascii="Arial" w:cs="Arial" w:eastAsia="Arial" w:hAnsi="Arial"/>
          <w:sz w:val="20"/>
          <w:szCs w:val="20"/>
          <w:color w:val="auto"/>
        </w:rPr>
        <w:t xml:space="preserve">For further discussion of portfolio activity, refer to Item 7 of Part II of this Annual Report, under Management’s Discussion and Analysis of Financial Condition and Results of Operations - </w:t>
      </w:r>
      <w:r>
        <w:rPr>
          <w:rFonts w:ascii="Arial" w:cs="Arial" w:eastAsia="Arial" w:hAnsi="Arial"/>
          <w:sz w:val="20"/>
          <w:szCs w:val="20"/>
          <w:b w:val="1"/>
          <w:bCs w:val="1"/>
          <w:i w:val="1"/>
          <w:iCs w:val="1"/>
          <w:color w:val="auto"/>
        </w:rPr>
        <w:t>Investment Portfolio</w:t>
      </w:r>
      <w:r>
        <w:rPr>
          <w:rFonts w:ascii="Arial" w:cs="Arial" w:eastAsia="Arial" w:hAnsi="Arial"/>
          <w:sz w:val="20"/>
          <w:szCs w:val="20"/>
          <w:color w:val="auto"/>
        </w:rPr>
        <w:t>.</w:t>
      </w:r>
    </w:p>
    <w:p>
      <w:pPr>
        <w:spacing w:after="0" w:line="37" w:lineRule="exact"/>
        <w:rPr>
          <w:sz w:val="20"/>
          <w:szCs w:val="20"/>
          <w:color w:val="auto"/>
        </w:rPr>
      </w:pPr>
    </w:p>
    <w:p>
      <w:pPr>
        <w:jc w:val="both"/>
        <w:ind w:firstLine="353"/>
        <w:spacing w:after="0" w:line="303" w:lineRule="auto"/>
        <w:rPr>
          <w:sz w:val="20"/>
          <w:szCs w:val="20"/>
          <w:color w:val="auto"/>
        </w:rPr>
      </w:pPr>
      <w:r>
        <w:rPr>
          <w:rFonts w:ascii="Arial" w:cs="Arial" w:eastAsia="Arial" w:hAnsi="Arial"/>
          <w:sz w:val="17"/>
          <w:szCs w:val="17"/>
          <w:b w:val="1"/>
          <w:bCs w:val="1"/>
          <w:i w:val="1"/>
          <w:iCs w:val="1"/>
          <w:color w:val="auto"/>
        </w:rPr>
        <w:t xml:space="preserve">Risk Management. </w:t>
      </w:r>
      <w:r>
        <w:rPr>
          <w:rFonts w:ascii="Arial" w:cs="Arial" w:eastAsia="Arial" w:hAnsi="Arial"/>
          <w:sz w:val="17"/>
          <w:szCs w:val="17"/>
          <w:color w:val="auto"/>
        </w:rPr>
        <w:t>Risk management is a critical part of our business. We seek to assess risk to our business through 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formalized process involving (i) identifying short-term and long-term strategic and operational objectives; (ii) development of risk appetite statements that establish what the company is willing to accept in terms of risks to achieving its goals and objectives; (iii) identifying the levers that control the risk appetite of the company; (iv) establishing the overall limits of risk acceptable for a given risk driver; (v) establishing operational risk limits that are aligned with the tolerances; (vi) assigning risk limit quantification and mitigation responsibilities to individual team members within functional groups; (vii) analyzing the</w:t>
      </w:r>
    </w:p>
    <w:p>
      <w:pPr>
        <w:sectPr>
          <w:pgSz w:w="11880" w:h="15480" w:orient="portrait"/>
          <w:cols w:equalWidth="0" w:num="1">
            <w:col w:w="10040"/>
          </w:cols>
          <w:pgMar w:left="920" w:top="772" w:right="920" w:bottom="0" w:gutter="0" w:footer="0" w:header="0"/>
        </w:sect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23</w:t>
      </w:r>
    </w:p>
    <w:p>
      <w:pPr>
        <w:sectPr>
          <w:pgSz w:w="11880" w:h="15480" w:orient="portrait"/>
          <w:cols w:equalWidth="0" w:num="1">
            <w:col w:w="10040"/>
          </w:cols>
          <w:pgMar w:left="920" w:top="772" w:right="920" w:bottom="0" w:gutter="0" w:footer="0" w:header="0"/>
          <w:type w:val="continuous"/>
        </w:sectPr>
      </w:pPr>
    </w:p>
    <w:bookmarkStart w:id="35" w:name="page36"/>
    <w:bookmarkEnd w:id="35"/>
    <w:p>
      <w:pPr>
        <w:jc w:val="both"/>
        <w:spacing w:after="0" w:line="258" w:lineRule="auto"/>
        <w:rPr>
          <w:sz w:val="20"/>
          <w:szCs w:val="20"/>
          <w:color w:val="auto"/>
        </w:rPr>
      </w:pPr>
      <w:r>
        <w:rPr>
          <w:rFonts w:ascii="Arial" w:cs="Arial" w:eastAsia="Arial" w:hAnsi="Arial"/>
          <w:sz w:val="20"/>
          <w:szCs w:val="20"/>
          <w:color w:val="auto"/>
        </w:rPr>
        <w:t>potential qualitative and quantitative impact of individual risks, including but not limited to stress and scenario testing covering over eight economic and insurance related risks; (viii) mitigating risks by appropriate actions; and (ix) identifying, documenting, and communicating key business risks in a timely fashion.</w:t>
      </w:r>
    </w:p>
    <w:p>
      <w:pPr>
        <w:spacing w:after="0" w:line="82" w:lineRule="exact"/>
        <w:rPr>
          <w:sz w:val="20"/>
          <w:szCs w:val="20"/>
          <w:color w:val="auto"/>
        </w:rPr>
      </w:pPr>
    </w:p>
    <w:p>
      <w:pPr>
        <w:jc w:val="both"/>
        <w:ind w:firstLine="353"/>
        <w:spacing w:after="0" w:line="297" w:lineRule="auto"/>
        <w:rPr>
          <w:sz w:val="20"/>
          <w:szCs w:val="20"/>
          <w:color w:val="auto"/>
        </w:rPr>
      </w:pPr>
      <w:r>
        <w:rPr>
          <w:rFonts w:ascii="Arial" w:cs="Arial" w:eastAsia="Arial" w:hAnsi="Arial"/>
          <w:sz w:val="17"/>
          <w:szCs w:val="17"/>
          <w:color w:val="auto"/>
        </w:rPr>
        <w:t>Our most significant risks are governed through holding company governance committees and overall by the Enterprise Risk Management Committee (“ERMC”). Our most significant risks such as credit risk, liquidity risk, and policyholder behavior associated with interest rate risk have established risk limits associated with our risk appetite statements. These include investment limits by asset class, ratings and issuer. Liquidity risk is managed through frequent forecasting of sources and uses of cash and managed to our Liquidity Policy. Asset liability management ("ALM") procedures and limits protect the Company, within limits, against significant changes in interest rates. In addition, the risks are stressed as part of our scenario testing process to identify areas requiring mitigation plans based on the macroeconomic environment. Risk limits, risk appetite and scenario testing results of the stresses are discussed with stakeholders such as the F&amp;G ERMC, the Board of Directors (“Board”) and Audit Committee (“AC”) of F&amp;G, regulators and rating agencies.</w:t>
      </w:r>
    </w:p>
    <w:p>
      <w:pPr>
        <w:spacing w:after="0" w:line="57" w:lineRule="exact"/>
        <w:rPr>
          <w:sz w:val="20"/>
          <w:szCs w:val="20"/>
          <w:color w:val="auto"/>
        </w:rPr>
      </w:pPr>
    </w:p>
    <w:p>
      <w:pPr>
        <w:jc w:val="both"/>
        <w:ind w:firstLine="353"/>
        <w:spacing w:after="0" w:line="258" w:lineRule="auto"/>
        <w:rPr>
          <w:sz w:val="20"/>
          <w:szCs w:val="20"/>
          <w:color w:val="auto"/>
        </w:rPr>
      </w:pPr>
      <w:r>
        <w:rPr>
          <w:rFonts w:ascii="Arial" w:cs="Arial" w:eastAsia="Arial" w:hAnsi="Arial"/>
          <w:sz w:val="20"/>
          <w:szCs w:val="20"/>
          <w:color w:val="auto"/>
        </w:rPr>
        <w:t>The responsibility for monitoring, evaluating and responding to risk is assigned first to our management and employees, second to those occupying specialist functions, such as legal compliance and risk teams, and third to those occupying supervisory functions, such as internal audit and the Board.</w:t>
      </w:r>
    </w:p>
    <w:p>
      <w:pPr>
        <w:spacing w:after="0" w:line="80" w:lineRule="exact"/>
        <w:rPr>
          <w:sz w:val="20"/>
          <w:szCs w:val="20"/>
          <w:color w:val="auto"/>
        </w:rPr>
      </w:pPr>
    </w:p>
    <w:p>
      <w:pPr>
        <w:ind w:left="340"/>
        <w:spacing w:after="0"/>
        <w:rPr>
          <w:sz w:val="20"/>
          <w:szCs w:val="20"/>
          <w:color w:val="auto"/>
        </w:rPr>
      </w:pPr>
      <w:r>
        <w:rPr>
          <w:rFonts w:ascii="Arial" w:cs="Arial" w:eastAsia="Arial" w:hAnsi="Arial"/>
          <w:sz w:val="20"/>
          <w:szCs w:val="20"/>
          <w:b w:val="1"/>
          <w:bCs w:val="1"/>
          <w:i w:val="1"/>
          <w:iCs w:val="1"/>
          <w:color w:val="auto"/>
        </w:rPr>
        <w:t xml:space="preserve">Outsourcing. </w:t>
      </w:r>
      <w:r>
        <w:rPr>
          <w:rFonts w:ascii="Arial" w:cs="Arial" w:eastAsia="Arial" w:hAnsi="Arial"/>
          <w:sz w:val="20"/>
          <w:szCs w:val="20"/>
          <w:color w:val="auto"/>
        </w:rPr>
        <w:t>Our F&amp;G segment outsources the following functions to third-party service providers:</w:t>
      </w:r>
    </w:p>
    <w:p>
      <w:pPr>
        <w:spacing w:after="0" w:line="95" w:lineRule="exact"/>
        <w:rPr>
          <w:sz w:val="20"/>
          <w:szCs w:val="20"/>
          <w:color w:val="auto"/>
        </w:rPr>
      </w:pPr>
    </w:p>
    <w:p>
      <w:pPr>
        <w:ind w:left="700" w:hanging="222"/>
        <w:spacing w:after="0"/>
        <w:tabs>
          <w:tab w:leader="none" w:pos="700" w:val="left"/>
        </w:tabs>
        <w:numPr>
          <w:ilvl w:val="0"/>
          <w:numId w:val="22"/>
        </w:numPr>
        <w:rPr>
          <w:rFonts w:ascii="Arial" w:cs="Arial" w:eastAsia="Arial" w:hAnsi="Arial"/>
          <w:sz w:val="20"/>
          <w:szCs w:val="20"/>
          <w:color w:val="auto"/>
        </w:rPr>
      </w:pPr>
      <w:r>
        <w:rPr>
          <w:rFonts w:ascii="Arial" w:cs="Arial" w:eastAsia="Arial" w:hAnsi="Arial"/>
          <w:sz w:val="20"/>
          <w:szCs w:val="20"/>
          <w:color w:val="auto"/>
        </w:rPr>
        <w:t>new business administration (data entry and policy issue only);</w:t>
      </w:r>
    </w:p>
    <w:p>
      <w:pPr>
        <w:spacing w:after="0" w:line="93" w:lineRule="exact"/>
        <w:rPr>
          <w:rFonts w:ascii="Arial" w:cs="Arial" w:eastAsia="Arial" w:hAnsi="Arial"/>
          <w:sz w:val="20"/>
          <w:szCs w:val="20"/>
          <w:color w:val="auto"/>
        </w:rPr>
      </w:pPr>
    </w:p>
    <w:p>
      <w:pPr>
        <w:ind w:left="700" w:hanging="222"/>
        <w:spacing w:after="0"/>
        <w:tabs>
          <w:tab w:leader="none" w:pos="700" w:val="left"/>
        </w:tabs>
        <w:numPr>
          <w:ilvl w:val="0"/>
          <w:numId w:val="22"/>
        </w:numPr>
        <w:rPr>
          <w:rFonts w:ascii="Arial" w:cs="Arial" w:eastAsia="Arial" w:hAnsi="Arial"/>
          <w:sz w:val="20"/>
          <w:szCs w:val="20"/>
          <w:color w:val="auto"/>
        </w:rPr>
      </w:pPr>
      <w:r>
        <w:rPr>
          <w:rFonts w:ascii="Arial" w:cs="Arial" w:eastAsia="Arial" w:hAnsi="Arial"/>
          <w:sz w:val="20"/>
          <w:szCs w:val="20"/>
          <w:color w:val="auto"/>
        </w:rPr>
        <w:t>service of existing policies;</w:t>
      </w:r>
    </w:p>
    <w:p>
      <w:pPr>
        <w:spacing w:after="0" w:line="93" w:lineRule="exact"/>
        <w:rPr>
          <w:rFonts w:ascii="Arial" w:cs="Arial" w:eastAsia="Arial" w:hAnsi="Arial"/>
          <w:sz w:val="20"/>
          <w:szCs w:val="20"/>
          <w:color w:val="auto"/>
        </w:rPr>
      </w:pPr>
    </w:p>
    <w:p>
      <w:pPr>
        <w:ind w:left="700" w:hanging="222"/>
        <w:spacing w:after="0"/>
        <w:tabs>
          <w:tab w:leader="none" w:pos="700" w:val="left"/>
        </w:tabs>
        <w:numPr>
          <w:ilvl w:val="0"/>
          <w:numId w:val="22"/>
        </w:numPr>
        <w:rPr>
          <w:rFonts w:ascii="Arial" w:cs="Arial" w:eastAsia="Arial" w:hAnsi="Arial"/>
          <w:sz w:val="20"/>
          <w:szCs w:val="20"/>
          <w:color w:val="auto"/>
        </w:rPr>
      </w:pPr>
      <w:r>
        <w:rPr>
          <w:rFonts w:ascii="Arial" w:cs="Arial" w:eastAsia="Arial" w:hAnsi="Arial"/>
          <w:sz w:val="20"/>
          <w:szCs w:val="20"/>
          <w:color w:val="auto"/>
        </w:rPr>
        <w:t>underwriting administration of life insurance applications;</w:t>
      </w:r>
    </w:p>
    <w:p>
      <w:pPr>
        <w:spacing w:after="0" w:line="93" w:lineRule="exact"/>
        <w:rPr>
          <w:rFonts w:ascii="Arial" w:cs="Arial" w:eastAsia="Arial" w:hAnsi="Arial"/>
          <w:sz w:val="20"/>
          <w:szCs w:val="20"/>
          <w:color w:val="auto"/>
        </w:rPr>
      </w:pPr>
    </w:p>
    <w:p>
      <w:pPr>
        <w:ind w:left="700" w:hanging="222"/>
        <w:spacing w:after="0"/>
        <w:tabs>
          <w:tab w:leader="none" w:pos="700" w:val="left"/>
        </w:tabs>
        <w:numPr>
          <w:ilvl w:val="0"/>
          <w:numId w:val="22"/>
        </w:numPr>
        <w:rPr>
          <w:rFonts w:ascii="Arial" w:cs="Arial" w:eastAsia="Arial" w:hAnsi="Arial"/>
          <w:sz w:val="20"/>
          <w:szCs w:val="20"/>
          <w:color w:val="auto"/>
        </w:rPr>
      </w:pPr>
      <w:r>
        <w:rPr>
          <w:rFonts w:ascii="Arial" w:cs="Arial" w:eastAsia="Arial" w:hAnsi="Arial"/>
          <w:sz w:val="20"/>
          <w:szCs w:val="20"/>
          <w:color w:val="auto"/>
        </w:rPr>
        <w:t>call centers;</w:t>
      </w:r>
    </w:p>
    <w:p>
      <w:pPr>
        <w:spacing w:after="0" w:line="93" w:lineRule="exact"/>
        <w:rPr>
          <w:rFonts w:ascii="Arial" w:cs="Arial" w:eastAsia="Arial" w:hAnsi="Arial"/>
          <w:sz w:val="20"/>
          <w:szCs w:val="20"/>
          <w:color w:val="auto"/>
        </w:rPr>
      </w:pPr>
    </w:p>
    <w:p>
      <w:pPr>
        <w:ind w:left="700" w:hanging="222"/>
        <w:spacing w:after="0"/>
        <w:tabs>
          <w:tab w:leader="none" w:pos="700" w:val="left"/>
        </w:tabs>
        <w:numPr>
          <w:ilvl w:val="0"/>
          <w:numId w:val="22"/>
        </w:numPr>
        <w:rPr>
          <w:rFonts w:ascii="Arial" w:cs="Arial" w:eastAsia="Arial" w:hAnsi="Arial"/>
          <w:sz w:val="20"/>
          <w:szCs w:val="20"/>
          <w:color w:val="auto"/>
        </w:rPr>
      </w:pPr>
      <w:r>
        <w:rPr>
          <w:rFonts w:ascii="Arial" w:cs="Arial" w:eastAsia="Arial" w:hAnsi="Arial"/>
          <w:sz w:val="20"/>
          <w:szCs w:val="20"/>
          <w:color w:val="auto"/>
        </w:rPr>
        <w:t>information technology development and maintenance;</w:t>
      </w:r>
    </w:p>
    <w:p>
      <w:pPr>
        <w:spacing w:after="0" w:line="93" w:lineRule="exact"/>
        <w:rPr>
          <w:rFonts w:ascii="Arial" w:cs="Arial" w:eastAsia="Arial" w:hAnsi="Arial"/>
          <w:sz w:val="20"/>
          <w:szCs w:val="20"/>
          <w:color w:val="auto"/>
        </w:rPr>
      </w:pPr>
    </w:p>
    <w:p>
      <w:pPr>
        <w:ind w:left="700" w:hanging="222"/>
        <w:spacing w:after="0"/>
        <w:tabs>
          <w:tab w:leader="none" w:pos="700" w:val="left"/>
        </w:tabs>
        <w:numPr>
          <w:ilvl w:val="0"/>
          <w:numId w:val="22"/>
        </w:numPr>
        <w:rPr>
          <w:rFonts w:ascii="Arial" w:cs="Arial" w:eastAsia="Arial" w:hAnsi="Arial"/>
          <w:sz w:val="20"/>
          <w:szCs w:val="20"/>
          <w:color w:val="auto"/>
        </w:rPr>
      </w:pPr>
      <w:r>
        <w:rPr>
          <w:rFonts w:ascii="Arial" w:cs="Arial" w:eastAsia="Arial" w:hAnsi="Arial"/>
          <w:sz w:val="20"/>
          <w:szCs w:val="20"/>
          <w:color w:val="auto"/>
        </w:rPr>
        <w:t>certain investment accounting and custody; and</w:t>
      </w:r>
    </w:p>
    <w:p>
      <w:pPr>
        <w:spacing w:after="0" w:line="93" w:lineRule="exact"/>
        <w:rPr>
          <w:rFonts w:ascii="Arial" w:cs="Arial" w:eastAsia="Arial" w:hAnsi="Arial"/>
          <w:sz w:val="20"/>
          <w:szCs w:val="20"/>
          <w:color w:val="auto"/>
        </w:rPr>
      </w:pPr>
    </w:p>
    <w:p>
      <w:pPr>
        <w:ind w:left="700" w:hanging="222"/>
        <w:spacing w:after="0"/>
        <w:tabs>
          <w:tab w:leader="none" w:pos="700" w:val="left"/>
        </w:tabs>
        <w:numPr>
          <w:ilvl w:val="0"/>
          <w:numId w:val="22"/>
        </w:numPr>
        <w:rPr>
          <w:rFonts w:ascii="Arial" w:cs="Arial" w:eastAsia="Arial" w:hAnsi="Arial"/>
          <w:sz w:val="20"/>
          <w:szCs w:val="20"/>
          <w:color w:val="auto"/>
        </w:rPr>
      </w:pPr>
      <w:r>
        <w:rPr>
          <w:rFonts w:ascii="Arial" w:cs="Arial" w:eastAsia="Arial" w:hAnsi="Arial"/>
          <w:sz w:val="20"/>
          <w:szCs w:val="20"/>
          <w:color w:val="auto"/>
        </w:rPr>
        <w:t>co-located data centers and hosting of financial systems.</w:t>
      </w:r>
    </w:p>
    <w:p>
      <w:pPr>
        <w:spacing w:after="0" w:line="93" w:lineRule="exact"/>
        <w:rPr>
          <w:sz w:val="20"/>
          <w:szCs w:val="20"/>
          <w:color w:val="auto"/>
        </w:rPr>
      </w:pPr>
    </w:p>
    <w:p>
      <w:pPr>
        <w:jc w:val="both"/>
        <w:ind w:firstLine="353"/>
        <w:spacing w:after="0" w:line="250" w:lineRule="auto"/>
        <w:rPr>
          <w:sz w:val="20"/>
          <w:szCs w:val="20"/>
          <w:color w:val="auto"/>
        </w:rPr>
      </w:pPr>
      <w:r>
        <w:rPr>
          <w:rFonts w:ascii="Arial" w:cs="Arial" w:eastAsia="Arial" w:hAnsi="Arial"/>
          <w:sz w:val="20"/>
          <w:szCs w:val="20"/>
          <w:color w:val="auto"/>
        </w:rPr>
        <w:t>We closely manage our outsourcing partners and integrate their services into our operations. We believe that outsourcing such functions allows us to focus capital and our employees on our core business operations and perform differentiating functions, such as finance, actuarial, product development and risk management functions. In addition, we believe an outsourcing model provides predictable pricing, service levels, and volume capabilities and allows us to benefit from technological developments that enhance our customer self-service and sales processes. We believe that we have a good relationship with our principal outsource service providers.</w:t>
      </w:r>
    </w:p>
    <w:p>
      <w:pPr>
        <w:spacing w:after="0" w:line="90" w:lineRule="exact"/>
        <w:rPr>
          <w:sz w:val="20"/>
          <w:szCs w:val="20"/>
          <w:color w:val="auto"/>
        </w:rPr>
      </w:pPr>
    </w:p>
    <w:p>
      <w:pPr>
        <w:jc w:val="both"/>
        <w:ind w:firstLine="353"/>
        <w:spacing w:after="0" w:line="313" w:lineRule="auto"/>
        <w:rPr>
          <w:sz w:val="20"/>
          <w:szCs w:val="20"/>
          <w:color w:val="auto"/>
        </w:rPr>
      </w:pPr>
      <w:r>
        <w:rPr>
          <w:rFonts w:ascii="Arial" w:cs="Arial" w:eastAsia="Arial" w:hAnsi="Arial"/>
          <w:sz w:val="17"/>
          <w:szCs w:val="17"/>
          <w:b w:val="1"/>
          <w:bCs w:val="1"/>
          <w:i w:val="1"/>
          <w:iCs w:val="1"/>
          <w:color w:val="auto"/>
        </w:rPr>
        <w:t xml:space="preserve">Ratings. </w:t>
      </w:r>
      <w:r>
        <w:rPr>
          <w:rFonts w:ascii="Arial" w:cs="Arial" w:eastAsia="Arial" w:hAnsi="Arial"/>
          <w:sz w:val="17"/>
          <w:szCs w:val="17"/>
          <w:color w:val="auto"/>
        </w:rPr>
        <w:t>Within our F&amp;G segment, access to funding and our related cost of borrowing, the attractiveness of certain of our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products to customers and requirements for derivatives collateral posting are affected by our credit ratings and insurance financial strength ratings, which are periodically reviewed by the rating agencies. Financial strength ratings and credit ratings are important factors affecting public confidence in an insurer and its competitive position in marketing products.</w:t>
      </w:r>
    </w:p>
    <w:p>
      <w:pPr>
        <w:spacing w:after="0" w:line="40" w:lineRule="exact"/>
        <w:rPr>
          <w:sz w:val="20"/>
          <w:szCs w:val="20"/>
          <w:color w:val="auto"/>
        </w:rPr>
      </w:pPr>
    </w:p>
    <w:p>
      <w:pPr>
        <w:jc w:val="both"/>
        <w:ind w:firstLine="353"/>
        <w:spacing w:after="0" w:line="297" w:lineRule="auto"/>
        <w:rPr>
          <w:sz w:val="20"/>
          <w:szCs w:val="20"/>
          <w:color w:val="auto"/>
        </w:rPr>
      </w:pPr>
      <w:r>
        <w:rPr>
          <w:rFonts w:ascii="Arial" w:cs="Arial" w:eastAsia="Arial" w:hAnsi="Arial"/>
          <w:sz w:val="17"/>
          <w:szCs w:val="17"/>
          <w:color w:val="auto"/>
        </w:rPr>
        <w:t>As of the date of this Annual Report, A.M. Best Company ("A.M. Best"), Fitch Ratings ("Fitch"), Moody's, and S&amp;P had issued credit ratings, financial strength ratings and/or outlook statements regarding us, as listed below. Credit ratings represent the opinions of rating agencies regarding an entity’s ability to repay its indebtedness. Financial strength ratings represent the opinions of rating agencies regarding the ability of an insurance company to meet its financial obligations under an insurance policy and generally involve quantitative and qualitative evaluations by rating agencies of a company’s financial condition and operating performance. Generally, rating agencies base their financial strength ratings upon information furnished to them by the insurer and upon their own investigations, studies and assumptions. Financial strength ratings are based upon factors of concern to policyholders, agents and intermediaries and are not directed toward the protection of investors. Credit and financial strength ratings are not recommendations to buy, sell or hold securities and they may be revised or revoked at any time at the sole discretion of the rating organization.</w:t>
      </w:r>
    </w:p>
    <w:p>
      <w:pPr>
        <w:spacing w:after="0" w:line="293" w:lineRule="exact"/>
        <w:rPr>
          <w:sz w:val="20"/>
          <w:szCs w:val="20"/>
          <w:color w:val="auto"/>
        </w:rPr>
      </w:pPr>
    </w:p>
    <w:p>
      <w:pPr>
        <w:jc w:val="both"/>
        <w:ind w:firstLine="353"/>
        <w:spacing w:after="0" w:line="303" w:lineRule="auto"/>
        <w:rPr>
          <w:sz w:val="20"/>
          <w:szCs w:val="20"/>
          <w:color w:val="auto"/>
        </w:rPr>
      </w:pPr>
      <w:r>
        <w:rPr>
          <w:rFonts w:ascii="Arial" w:cs="Arial" w:eastAsia="Arial" w:hAnsi="Arial"/>
          <w:sz w:val="17"/>
          <w:szCs w:val="17"/>
          <w:color w:val="auto"/>
        </w:rPr>
        <w:t>In addition to the financial strength ratings, rating agencies use an “outlook statement” to indicate a medium or long term trend that, if continued, may lead to a rating change. A positive outlook indicates a rating may be raised and a negative outlook indicates a rating may be lowered. A stable outlook is assigned when ratings are not likely to be changed. A developing outlook is assigned when a rating may be raised, lowered or affirmed. Outlooks should not be confused with expected stability of the issuer’s financial or economic performance. A rating may have a "stable" outlook to indicate that the rating is not expected to change, but a "stable" outlook does not preclude a rating agency from changing a rating at any time without notice.</w:t>
      </w:r>
    </w:p>
    <w:p>
      <w:pPr>
        <w:sectPr>
          <w:pgSz w:w="11880" w:h="15480" w:orient="portrait"/>
          <w:cols w:equalWidth="0" w:num="1">
            <w:col w:w="10040"/>
          </w:cols>
          <w:pgMar w:left="920" w:top="772"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24</w:t>
      </w:r>
    </w:p>
    <w:p>
      <w:pPr>
        <w:sectPr>
          <w:pgSz w:w="11880" w:h="15480" w:orient="portrait"/>
          <w:cols w:equalWidth="0" w:num="1">
            <w:col w:w="10040"/>
          </w:cols>
          <w:pgMar w:left="920" w:top="772" w:right="920" w:bottom="0" w:gutter="0" w:footer="0" w:header="0"/>
          <w:type w:val="continuous"/>
        </w:sectPr>
      </w:pPr>
    </w:p>
    <w:bookmarkStart w:id="36" w:name="page37"/>
    <w:bookmarkEnd w:id="36"/>
    <w:p>
      <w:pPr>
        <w:jc w:val="both"/>
        <w:ind w:firstLine="353"/>
        <w:spacing w:after="0" w:line="271" w:lineRule="auto"/>
        <w:rPr>
          <w:sz w:val="20"/>
          <w:szCs w:val="20"/>
          <w:color w:val="auto"/>
        </w:rPr>
      </w:pPr>
      <w:r>
        <w:rPr>
          <w:rFonts w:ascii="Arial" w:cs="Arial" w:eastAsia="Arial" w:hAnsi="Arial"/>
          <w:sz w:val="20"/>
          <w:szCs w:val="20"/>
          <w:color w:val="auto"/>
        </w:rPr>
        <w:t>The rating organizations may take various actions, positive or negative. Such actions are beyond our control, and we cannot predict what these actions may be and the timing thereof.</w:t>
      </w:r>
    </w:p>
    <w:p>
      <w:pPr>
        <w:spacing w:after="0" w:line="181" w:lineRule="exact"/>
        <w:rPr>
          <w:sz w:val="20"/>
          <w:szCs w:val="20"/>
          <w:color w:val="auto"/>
        </w:rPr>
      </w:pPr>
    </w:p>
    <w:tbl>
      <w:tblPr>
        <w:tblLayout w:type="fixed"/>
        <w:tblInd w:w="40" w:type="dxa"/>
        <w:tblCellMar>
          <w:top w:w="0" w:type="dxa"/>
          <w:left w:w="0" w:type="dxa"/>
          <w:bottom w:w="0" w:type="dxa"/>
          <w:right w:w="0" w:type="dxa"/>
        </w:tblCellMar>
      </w:tblPr>
      <w:tr>
        <w:trPr>
          <w:trHeight w:val="213"/>
        </w:trPr>
        <w:tc>
          <w:tcPr>
            <w:tcW w:w="1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0"/>
              </w:rPr>
              <w:t>A.M. Best</w:t>
            </w:r>
          </w:p>
        </w:tc>
        <w:tc>
          <w:tcPr>
            <w:tcW w:w="80" w:type="dxa"/>
            <w:vAlign w:val="bottom"/>
          </w:tcPr>
          <w:p>
            <w:pPr>
              <w:spacing w:after="0"/>
              <w:rPr>
                <w:sz w:val="18"/>
                <w:szCs w:val="18"/>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7"/>
              </w:rPr>
              <w:t>S&amp;P</w:t>
            </w:r>
          </w:p>
        </w:tc>
        <w:tc>
          <w:tcPr>
            <w:tcW w:w="60" w:type="dxa"/>
            <w:vAlign w:val="bottom"/>
          </w:tcPr>
          <w:p>
            <w:pPr>
              <w:spacing w:after="0"/>
              <w:rPr>
                <w:sz w:val="18"/>
                <w:szCs w:val="18"/>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Fitch</w:t>
            </w:r>
          </w:p>
        </w:tc>
        <w:tc>
          <w:tcPr>
            <w:tcW w:w="80" w:type="dxa"/>
            <w:vAlign w:val="bottom"/>
          </w:tcPr>
          <w:p>
            <w:pPr>
              <w:spacing w:after="0"/>
              <w:rPr>
                <w:sz w:val="18"/>
                <w:szCs w:val="18"/>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0"/>
              </w:rPr>
              <w:t>Moody's</w:t>
            </w:r>
          </w:p>
        </w:tc>
      </w:tr>
      <w:tr>
        <w:trPr>
          <w:trHeight w:val="234"/>
        </w:trPr>
        <w:tc>
          <w:tcPr>
            <w:tcW w:w="5500" w:type="dxa"/>
            <w:vAlign w:val="bottom"/>
            <w:gridSpan w:val="3"/>
          </w:tcPr>
          <w:p>
            <w:pPr>
              <w:spacing w:after="0"/>
              <w:rPr>
                <w:sz w:val="20"/>
                <w:szCs w:val="20"/>
                <w:color w:val="auto"/>
              </w:rPr>
            </w:pPr>
            <w:r>
              <w:rPr>
                <w:rFonts w:ascii="Arial" w:cs="Arial" w:eastAsia="Arial" w:hAnsi="Arial"/>
                <w:sz w:val="16"/>
                <w:szCs w:val="16"/>
                <w:b w:val="1"/>
                <w:bCs w:val="1"/>
                <w:color w:val="auto"/>
              </w:rPr>
              <w:t>Holding Company Ratings</w:t>
            </w:r>
          </w:p>
        </w:tc>
        <w:tc>
          <w:tcPr>
            <w:tcW w:w="1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258"/>
        </w:trPr>
        <w:tc>
          <w:tcPr>
            <w:tcW w:w="1780" w:type="dxa"/>
            <w:vAlign w:val="bottom"/>
            <w:tcBorders>
              <w:top w:val="single" w:sz="8" w:color="auto"/>
            </w:tcBorders>
          </w:tcPr>
          <w:p>
            <w:pPr>
              <w:spacing w:after="0"/>
              <w:rPr>
                <w:sz w:val="20"/>
                <w:szCs w:val="20"/>
                <w:color w:val="auto"/>
              </w:rPr>
            </w:pPr>
            <w:r>
              <w:rPr>
                <w:rFonts w:ascii="Arial" w:cs="Arial" w:eastAsia="Arial" w:hAnsi="Arial"/>
                <w:sz w:val="16"/>
                <w:szCs w:val="16"/>
                <w:color w:val="auto"/>
                <w:w w:val="96"/>
              </w:rPr>
              <w:t>F&amp;G Annuities &amp; Life, Inc.</w:t>
            </w:r>
          </w:p>
        </w:tc>
        <w:tc>
          <w:tcPr>
            <w:tcW w:w="3720" w:type="dxa"/>
            <w:vAlign w:val="bottom"/>
            <w:gridSpan w:val="2"/>
          </w:tcPr>
          <w:p>
            <w:pPr>
              <w:spacing w:after="0"/>
              <w:rPr>
                <w:sz w:val="22"/>
                <w:szCs w:val="22"/>
                <w:color w:val="auto"/>
              </w:rPr>
            </w:pPr>
          </w:p>
        </w:tc>
        <w:tc>
          <w:tcPr>
            <w:tcW w:w="10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50"/>
        </w:trPr>
        <w:tc>
          <w:tcPr>
            <w:tcW w:w="5500" w:type="dxa"/>
            <w:vAlign w:val="bottom"/>
            <w:gridSpan w:val="3"/>
          </w:tcPr>
          <w:p>
            <w:pPr>
              <w:ind w:left="220"/>
              <w:spacing w:after="0"/>
              <w:rPr>
                <w:sz w:val="20"/>
                <w:szCs w:val="20"/>
                <w:color w:val="auto"/>
              </w:rPr>
            </w:pPr>
            <w:r>
              <w:rPr>
                <w:rFonts w:ascii="Arial" w:cs="Arial" w:eastAsia="Arial" w:hAnsi="Arial"/>
                <w:sz w:val="16"/>
                <w:szCs w:val="16"/>
                <w:color w:val="auto"/>
              </w:rPr>
              <w:t>Issuer Credit / Default Rating</w:t>
            </w:r>
          </w:p>
        </w:tc>
        <w:tc>
          <w:tcPr>
            <w:tcW w:w="1060" w:type="dxa"/>
            <w:vAlign w:val="bottom"/>
          </w:tcPr>
          <w:p>
            <w:pPr>
              <w:jc w:val="center"/>
              <w:spacing w:after="0"/>
              <w:rPr>
                <w:sz w:val="20"/>
                <w:szCs w:val="20"/>
                <w:color w:val="auto"/>
              </w:rPr>
            </w:pPr>
            <w:r>
              <w:rPr>
                <w:rFonts w:ascii="Arial" w:cs="Arial" w:eastAsia="Arial" w:hAnsi="Arial"/>
                <w:sz w:val="16"/>
                <w:szCs w:val="16"/>
                <w:color w:val="auto"/>
                <w:w w:val="88"/>
              </w:rPr>
              <w:t>Not Rated</w:t>
            </w:r>
          </w:p>
        </w:tc>
        <w:tc>
          <w:tcPr>
            <w:tcW w:w="80" w:type="dxa"/>
            <w:vAlign w:val="bottom"/>
          </w:tcPr>
          <w:p>
            <w:pPr>
              <w:spacing w:after="0"/>
              <w:rPr>
                <w:sz w:val="21"/>
                <w:szCs w:val="21"/>
                <w:color w:val="auto"/>
              </w:rPr>
            </w:pPr>
          </w:p>
        </w:tc>
        <w:tc>
          <w:tcPr>
            <w:tcW w:w="1080" w:type="dxa"/>
            <w:vAlign w:val="bottom"/>
          </w:tcPr>
          <w:p>
            <w:pPr>
              <w:jc w:val="center"/>
              <w:spacing w:after="0"/>
              <w:rPr>
                <w:sz w:val="20"/>
                <w:szCs w:val="20"/>
                <w:color w:val="auto"/>
              </w:rPr>
            </w:pPr>
            <w:r>
              <w:rPr>
                <w:rFonts w:ascii="Arial" w:cs="Arial" w:eastAsia="Arial" w:hAnsi="Arial"/>
                <w:sz w:val="16"/>
                <w:szCs w:val="16"/>
                <w:color w:val="auto"/>
                <w:w w:val="96"/>
              </w:rPr>
              <w:t>BBB-</w:t>
            </w:r>
          </w:p>
        </w:tc>
        <w:tc>
          <w:tcPr>
            <w:tcW w:w="60" w:type="dxa"/>
            <w:vAlign w:val="bottom"/>
          </w:tcPr>
          <w:p>
            <w:pPr>
              <w:spacing w:after="0"/>
              <w:rPr>
                <w:sz w:val="21"/>
                <w:szCs w:val="21"/>
                <w:color w:val="auto"/>
              </w:rPr>
            </w:pPr>
          </w:p>
        </w:tc>
        <w:tc>
          <w:tcPr>
            <w:tcW w:w="1060" w:type="dxa"/>
            <w:vAlign w:val="bottom"/>
          </w:tcPr>
          <w:p>
            <w:pPr>
              <w:jc w:val="center"/>
              <w:spacing w:after="0"/>
              <w:rPr>
                <w:sz w:val="20"/>
                <w:szCs w:val="20"/>
                <w:color w:val="auto"/>
              </w:rPr>
            </w:pPr>
            <w:r>
              <w:rPr>
                <w:rFonts w:ascii="Arial" w:cs="Arial" w:eastAsia="Arial" w:hAnsi="Arial"/>
                <w:sz w:val="16"/>
                <w:szCs w:val="16"/>
                <w:color w:val="auto"/>
                <w:w w:val="93"/>
              </w:rPr>
              <w:t>BBB</w:t>
            </w:r>
          </w:p>
        </w:tc>
        <w:tc>
          <w:tcPr>
            <w:tcW w:w="80" w:type="dxa"/>
            <w:vAlign w:val="bottom"/>
          </w:tcPr>
          <w:p>
            <w:pPr>
              <w:spacing w:after="0"/>
              <w:rPr>
                <w:sz w:val="21"/>
                <w:szCs w:val="21"/>
                <w:color w:val="auto"/>
              </w:rPr>
            </w:pPr>
          </w:p>
        </w:tc>
        <w:tc>
          <w:tcPr>
            <w:tcW w:w="1080" w:type="dxa"/>
            <w:vAlign w:val="bottom"/>
          </w:tcPr>
          <w:p>
            <w:pPr>
              <w:jc w:val="center"/>
              <w:spacing w:after="0"/>
              <w:rPr>
                <w:sz w:val="20"/>
                <w:szCs w:val="20"/>
                <w:color w:val="auto"/>
              </w:rPr>
            </w:pPr>
            <w:r>
              <w:rPr>
                <w:rFonts w:ascii="Arial" w:cs="Arial" w:eastAsia="Arial" w:hAnsi="Arial"/>
                <w:sz w:val="16"/>
                <w:szCs w:val="16"/>
                <w:color w:val="auto"/>
                <w:w w:val="85"/>
              </w:rPr>
              <w:t>Baa3</w:t>
            </w:r>
          </w:p>
        </w:tc>
      </w:tr>
      <w:tr>
        <w:trPr>
          <w:trHeight w:val="250"/>
        </w:trPr>
        <w:tc>
          <w:tcPr>
            <w:tcW w:w="5500" w:type="dxa"/>
            <w:vAlign w:val="bottom"/>
            <w:gridSpan w:val="3"/>
          </w:tcPr>
          <w:p>
            <w:pPr>
              <w:ind w:left="220"/>
              <w:spacing w:after="0"/>
              <w:rPr>
                <w:sz w:val="20"/>
                <w:szCs w:val="20"/>
                <w:color w:val="auto"/>
              </w:rPr>
            </w:pPr>
            <w:r>
              <w:rPr>
                <w:rFonts w:ascii="Arial" w:cs="Arial" w:eastAsia="Arial" w:hAnsi="Arial"/>
                <w:sz w:val="16"/>
                <w:szCs w:val="16"/>
                <w:color w:val="auto"/>
              </w:rPr>
              <w:t>Outlook</w:t>
            </w:r>
          </w:p>
        </w:tc>
        <w:tc>
          <w:tcPr>
            <w:tcW w:w="10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80" w:type="dxa"/>
            <w:vAlign w:val="bottom"/>
          </w:tcPr>
          <w:p>
            <w:pPr>
              <w:jc w:val="center"/>
              <w:spacing w:after="0"/>
              <w:rPr>
                <w:sz w:val="20"/>
                <w:szCs w:val="20"/>
                <w:color w:val="auto"/>
              </w:rPr>
            </w:pPr>
            <w:r>
              <w:rPr>
                <w:rFonts w:ascii="Arial" w:cs="Arial" w:eastAsia="Arial" w:hAnsi="Arial"/>
                <w:sz w:val="16"/>
                <w:szCs w:val="16"/>
                <w:color w:val="auto"/>
                <w:w w:val="88"/>
              </w:rPr>
              <w:t>Stable</w:t>
            </w:r>
          </w:p>
        </w:tc>
        <w:tc>
          <w:tcPr>
            <w:tcW w:w="60" w:type="dxa"/>
            <w:vAlign w:val="bottom"/>
          </w:tcPr>
          <w:p>
            <w:pPr>
              <w:spacing w:after="0"/>
              <w:rPr>
                <w:sz w:val="21"/>
                <w:szCs w:val="21"/>
                <w:color w:val="auto"/>
              </w:rPr>
            </w:pPr>
          </w:p>
        </w:tc>
        <w:tc>
          <w:tcPr>
            <w:tcW w:w="1060" w:type="dxa"/>
            <w:vAlign w:val="bottom"/>
          </w:tcPr>
          <w:p>
            <w:pPr>
              <w:jc w:val="center"/>
              <w:spacing w:after="0"/>
              <w:rPr>
                <w:sz w:val="20"/>
                <w:szCs w:val="20"/>
                <w:color w:val="auto"/>
              </w:rPr>
            </w:pPr>
            <w:r>
              <w:rPr>
                <w:rFonts w:ascii="Arial" w:cs="Arial" w:eastAsia="Arial" w:hAnsi="Arial"/>
                <w:sz w:val="16"/>
                <w:szCs w:val="16"/>
                <w:color w:val="auto"/>
                <w:w w:val="83"/>
              </w:rPr>
              <w:t>Stable</w:t>
            </w:r>
          </w:p>
        </w:tc>
        <w:tc>
          <w:tcPr>
            <w:tcW w:w="80" w:type="dxa"/>
            <w:vAlign w:val="bottom"/>
          </w:tcPr>
          <w:p>
            <w:pPr>
              <w:spacing w:after="0"/>
              <w:rPr>
                <w:sz w:val="21"/>
                <w:szCs w:val="21"/>
                <w:color w:val="auto"/>
              </w:rPr>
            </w:pPr>
          </w:p>
        </w:tc>
        <w:tc>
          <w:tcPr>
            <w:tcW w:w="1080" w:type="dxa"/>
            <w:vAlign w:val="bottom"/>
          </w:tcPr>
          <w:p>
            <w:pPr>
              <w:jc w:val="center"/>
              <w:spacing w:after="0"/>
              <w:rPr>
                <w:sz w:val="20"/>
                <w:szCs w:val="20"/>
                <w:color w:val="auto"/>
              </w:rPr>
            </w:pPr>
            <w:r>
              <w:rPr>
                <w:rFonts w:ascii="Arial" w:cs="Arial" w:eastAsia="Arial" w:hAnsi="Arial"/>
                <w:sz w:val="16"/>
                <w:szCs w:val="16"/>
                <w:color w:val="auto"/>
                <w:w w:val="88"/>
              </w:rPr>
              <w:t>Stable</w:t>
            </w:r>
          </w:p>
        </w:tc>
      </w:tr>
      <w:tr>
        <w:trPr>
          <w:trHeight w:val="250"/>
        </w:trPr>
        <w:tc>
          <w:tcPr>
            <w:tcW w:w="5500" w:type="dxa"/>
            <w:vAlign w:val="bottom"/>
            <w:gridSpan w:val="3"/>
          </w:tcPr>
          <w:p>
            <w:pPr>
              <w:ind w:left="220"/>
              <w:spacing w:after="0"/>
              <w:rPr>
                <w:sz w:val="20"/>
                <w:szCs w:val="20"/>
                <w:color w:val="auto"/>
              </w:rPr>
            </w:pPr>
            <w:r>
              <w:rPr>
                <w:rFonts w:ascii="Arial" w:cs="Arial" w:eastAsia="Arial" w:hAnsi="Arial"/>
                <w:sz w:val="16"/>
                <w:szCs w:val="16"/>
                <w:color w:val="auto"/>
              </w:rPr>
              <w:t>Senior Unsecured Notes</w:t>
            </w:r>
          </w:p>
        </w:tc>
        <w:tc>
          <w:tcPr>
            <w:tcW w:w="1060" w:type="dxa"/>
            <w:vAlign w:val="bottom"/>
          </w:tcPr>
          <w:p>
            <w:pPr>
              <w:jc w:val="center"/>
              <w:spacing w:after="0"/>
              <w:rPr>
                <w:sz w:val="20"/>
                <w:szCs w:val="20"/>
                <w:color w:val="auto"/>
              </w:rPr>
            </w:pPr>
            <w:r>
              <w:rPr>
                <w:rFonts w:ascii="Arial" w:cs="Arial" w:eastAsia="Arial" w:hAnsi="Arial"/>
                <w:sz w:val="16"/>
                <w:szCs w:val="16"/>
                <w:color w:val="auto"/>
                <w:w w:val="88"/>
              </w:rPr>
              <w:t>Not Rated</w:t>
            </w:r>
          </w:p>
        </w:tc>
        <w:tc>
          <w:tcPr>
            <w:tcW w:w="80" w:type="dxa"/>
            <w:vAlign w:val="bottom"/>
          </w:tcPr>
          <w:p>
            <w:pPr>
              <w:spacing w:after="0"/>
              <w:rPr>
                <w:sz w:val="21"/>
                <w:szCs w:val="21"/>
                <w:color w:val="auto"/>
              </w:rPr>
            </w:pPr>
          </w:p>
        </w:tc>
        <w:tc>
          <w:tcPr>
            <w:tcW w:w="1080" w:type="dxa"/>
            <w:vAlign w:val="bottom"/>
          </w:tcPr>
          <w:p>
            <w:pPr>
              <w:jc w:val="center"/>
              <w:spacing w:after="0"/>
              <w:rPr>
                <w:sz w:val="20"/>
                <w:szCs w:val="20"/>
                <w:color w:val="auto"/>
              </w:rPr>
            </w:pPr>
            <w:r>
              <w:rPr>
                <w:rFonts w:ascii="Arial" w:cs="Arial" w:eastAsia="Arial" w:hAnsi="Arial"/>
                <w:sz w:val="16"/>
                <w:szCs w:val="16"/>
                <w:color w:val="auto"/>
                <w:w w:val="96"/>
              </w:rPr>
              <w:t>BBB-</w:t>
            </w:r>
          </w:p>
        </w:tc>
        <w:tc>
          <w:tcPr>
            <w:tcW w:w="60" w:type="dxa"/>
            <w:vAlign w:val="bottom"/>
          </w:tcPr>
          <w:p>
            <w:pPr>
              <w:spacing w:after="0"/>
              <w:rPr>
                <w:sz w:val="21"/>
                <w:szCs w:val="21"/>
                <w:color w:val="auto"/>
              </w:rPr>
            </w:pPr>
          </w:p>
        </w:tc>
        <w:tc>
          <w:tcPr>
            <w:tcW w:w="1060" w:type="dxa"/>
            <w:vAlign w:val="bottom"/>
          </w:tcPr>
          <w:p>
            <w:pPr>
              <w:jc w:val="center"/>
              <w:spacing w:after="0"/>
              <w:rPr>
                <w:sz w:val="20"/>
                <w:szCs w:val="20"/>
                <w:color w:val="auto"/>
              </w:rPr>
            </w:pPr>
            <w:r>
              <w:rPr>
                <w:rFonts w:ascii="Arial" w:cs="Arial" w:eastAsia="Arial" w:hAnsi="Arial"/>
                <w:sz w:val="16"/>
                <w:szCs w:val="16"/>
                <w:color w:val="auto"/>
              </w:rPr>
              <w:t>BBB-</w:t>
            </w:r>
          </w:p>
        </w:tc>
        <w:tc>
          <w:tcPr>
            <w:tcW w:w="80" w:type="dxa"/>
            <w:vAlign w:val="bottom"/>
          </w:tcPr>
          <w:p>
            <w:pPr>
              <w:spacing w:after="0"/>
              <w:rPr>
                <w:sz w:val="21"/>
                <w:szCs w:val="21"/>
                <w:color w:val="auto"/>
              </w:rPr>
            </w:pPr>
          </w:p>
        </w:tc>
        <w:tc>
          <w:tcPr>
            <w:tcW w:w="1080" w:type="dxa"/>
            <w:vAlign w:val="bottom"/>
          </w:tcPr>
          <w:p>
            <w:pPr>
              <w:jc w:val="center"/>
              <w:spacing w:after="0"/>
              <w:rPr>
                <w:sz w:val="20"/>
                <w:szCs w:val="20"/>
                <w:color w:val="auto"/>
              </w:rPr>
            </w:pPr>
            <w:r>
              <w:rPr>
                <w:rFonts w:ascii="Arial" w:cs="Arial" w:eastAsia="Arial" w:hAnsi="Arial"/>
                <w:sz w:val="16"/>
                <w:szCs w:val="16"/>
                <w:color w:val="auto"/>
                <w:w w:val="85"/>
              </w:rPr>
              <w:t>Baa3</w:t>
            </w:r>
          </w:p>
        </w:tc>
      </w:tr>
      <w:tr>
        <w:trPr>
          <w:trHeight w:val="250"/>
        </w:trPr>
        <w:tc>
          <w:tcPr>
            <w:tcW w:w="5500" w:type="dxa"/>
            <w:vAlign w:val="bottom"/>
            <w:gridSpan w:val="3"/>
          </w:tcPr>
          <w:p>
            <w:pPr>
              <w:ind w:left="220"/>
              <w:spacing w:after="0"/>
              <w:rPr>
                <w:sz w:val="20"/>
                <w:szCs w:val="20"/>
                <w:color w:val="auto"/>
              </w:rPr>
            </w:pPr>
            <w:r>
              <w:rPr>
                <w:rFonts w:ascii="Arial" w:cs="Arial" w:eastAsia="Arial" w:hAnsi="Arial"/>
                <w:sz w:val="16"/>
                <w:szCs w:val="16"/>
                <w:color w:val="auto"/>
              </w:rPr>
              <w:t>Junior Unsecured Notes (a)</w:t>
            </w:r>
          </w:p>
        </w:tc>
        <w:tc>
          <w:tcPr>
            <w:tcW w:w="1060" w:type="dxa"/>
            <w:vAlign w:val="bottom"/>
          </w:tcPr>
          <w:p>
            <w:pPr>
              <w:jc w:val="center"/>
              <w:spacing w:after="0"/>
              <w:rPr>
                <w:sz w:val="20"/>
                <w:szCs w:val="20"/>
                <w:color w:val="auto"/>
              </w:rPr>
            </w:pPr>
            <w:r>
              <w:rPr>
                <w:rFonts w:ascii="Arial" w:cs="Arial" w:eastAsia="Arial" w:hAnsi="Arial"/>
                <w:sz w:val="16"/>
                <w:szCs w:val="16"/>
                <w:color w:val="auto"/>
                <w:w w:val="88"/>
              </w:rPr>
              <w:t>Not Rated</w:t>
            </w:r>
          </w:p>
        </w:tc>
        <w:tc>
          <w:tcPr>
            <w:tcW w:w="80" w:type="dxa"/>
            <w:vAlign w:val="bottom"/>
          </w:tcPr>
          <w:p>
            <w:pPr>
              <w:spacing w:after="0"/>
              <w:rPr>
                <w:sz w:val="21"/>
                <w:szCs w:val="21"/>
                <w:color w:val="auto"/>
              </w:rPr>
            </w:pPr>
          </w:p>
        </w:tc>
        <w:tc>
          <w:tcPr>
            <w:tcW w:w="1080" w:type="dxa"/>
            <w:vAlign w:val="bottom"/>
          </w:tcPr>
          <w:p>
            <w:pPr>
              <w:jc w:val="center"/>
              <w:spacing w:after="0"/>
              <w:rPr>
                <w:sz w:val="20"/>
                <w:szCs w:val="20"/>
                <w:color w:val="auto"/>
              </w:rPr>
            </w:pPr>
            <w:r>
              <w:rPr>
                <w:rFonts w:ascii="Arial" w:cs="Arial" w:eastAsia="Arial" w:hAnsi="Arial"/>
                <w:sz w:val="16"/>
                <w:szCs w:val="16"/>
                <w:color w:val="auto"/>
                <w:w w:val="93"/>
              </w:rPr>
              <w:t>BB</w:t>
            </w:r>
          </w:p>
        </w:tc>
        <w:tc>
          <w:tcPr>
            <w:tcW w:w="60" w:type="dxa"/>
            <w:vAlign w:val="bottom"/>
          </w:tcPr>
          <w:p>
            <w:pPr>
              <w:spacing w:after="0"/>
              <w:rPr>
                <w:sz w:val="21"/>
                <w:szCs w:val="21"/>
                <w:color w:val="auto"/>
              </w:rPr>
            </w:pPr>
          </w:p>
        </w:tc>
        <w:tc>
          <w:tcPr>
            <w:tcW w:w="1060" w:type="dxa"/>
            <w:vAlign w:val="bottom"/>
          </w:tcPr>
          <w:p>
            <w:pPr>
              <w:jc w:val="center"/>
              <w:spacing w:after="0"/>
              <w:rPr>
                <w:sz w:val="20"/>
                <w:szCs w:val="20"/>
                <w:color w:val="auto"/>
              </w:rPr>
            </w:pPr>
            <w:r>
              <w:rPr>
                <w:rFonts w:ascii="Arial" w:cs="Arial" w:eastAsia="Arial" w:hAnsi="Arial"/>
                <w:sz w:val="16"/>
                <w:szCs w:val="16"/>
                <w:color w:val="auto"/>
              </w:rPr>
              <w:t>BB</w:t>
            </w:r>
          </w:p>
        </w:tc>
        <w:tc>
          <w:tcPr>
            <w:tcW w:w="80" w:type="dxa"/>
            <w:vAlign w:val="bottom"/>
          </w:tcPr>
          <w:p>
            <w:pPr>
              <w:spacing w:after="0"/>
              <w:rPr>
                <w:sz w:val="21"/>
                <w:szCs w:val="21"/>
                <w:color w:val="auto"/>
              </w:rPr>
            </w:pPr>
          </w:p>
        </w:tc>
        <w:tc>
          <w:tcPr>
            <w:tcW w:w="1080" w:type="dxa"/>
            <w:vAlign w:val="bottom"/>
          </w:tcPr>
          <w:p>
            <w:pPr>
              <w:jc w:val="center"/>
              <w:spacing w:after="0"/>
              <w:rPr>
                <w:sz w:val="20"/>
                <w:szCs w:val="20"/>
                <w:color w:val="auto"/>
              </w:rPr>
            </w:pPr>
            <w:r>
              <w:rPr>
                <w:rFonts w:ascii="Arial" w:cs="Arial" w:eastAsia="Arial" w:hAnsi="Arial"/>
                <w:sz w:val="16"/>
                <w:szCs w:val="16"/>
                <w:color w:val="auto"/>
                <w:w w:val="91"/>
              </w:rPr>
              <w:t>Ba1</w:t>
            </w:r>
          </w:p>
        </w:tc>
      </w:tr>
      <w:tr>
        <w:trPr>
          <w:trHeight w:val="222"/>
        </w:trPr>
        <w:tc>
          <w:tcPr>
            <w:tcW w:w="5500" w:type="dxa"/>
            <w:vAlign w:val="bottom"/>
            <w:gridSpan w:val="3"/>
          </w:tcPr>
          <w:p>
            <w:pPr>
              <w:spacing w:after="0"/>
              <w:rPr>
                <w:sz w:val="20"/>
                <w:szCs w:val="20"/>
                <w:color w:val="auto"/>
              </w:rPr>
            </w:pPr>
            <w:r>
              <w:rPr>
                <w:rFonts w:ascii="Arial" w:cs="Arial" w:eastAsia="Arial" w:hAnsi="Arial"/>
                <w:sz w:val="16"/>
                <w:szCs w:val="16"/>
                <w:b w:val="1"/>
                <w:bCs w:val="1"/>
                <w:color w:val="auto"/>
              </w:rPr>
              <w:t>Operating Subsidiary Ratings</w:t>
            </w: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0"/>
        </w:trPr>
        <w:tc>
          <w:tcPr>
            <w:tcW w:w="2000" w:type="dxa"/>
            <w:vAlign w:val="bottom"/>
            <w:gridSpan w:val="2"/>
            <w:shd w:val="clear" w:color="auto" w:fill="000000"/>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258"/>
        </w:trPr>
        <w:tc>
          <w:tcPr>
            <w:tcW w:w="5500" w:type="dxa"/>
            <w:vAlign w:val="bottom"/>
            <w:gridSpan w:val="3"/>
          </w:tcPr>
          <w:p>
            <w:pPr>
              <w:spacing w:after="0"/>
              <w:rPr>
                <w:sz w:val="20"/>
                <w:szCs w:val="20"/>
                <w:color w:val="auto"/>
              </w:rPr>
            </w:pPr>
            <w:r>
              <w:rPr>
                <w:rFonts w:ascii="Arial" w:cs="Arial" w:eastAsia="Arial" w:hAnsi="Arial"/>
                <w:sz w:val="16"/>
                <w:szCs w:val="16"/>
                <w:color w:val="auto"/>
              </w:rPr>
              <w:t>Fidelity &amp; Guaranty Life Insurance Company</w:t>
            </w:r>
          </w:p>
        </w:tc>
        <w:tc>
          <w:tcPr>
            <w:tcW w:w="10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50"/>
        </w:trPr>
        <w:tc>
          <w:tcPr>
            <w:tcW w:w="5500" w:type="dxa"/>
            <w:vAlign w:val="bottom"/>
            <w:gridSpan w:val="3"/>
          </w:tcPr>
          <w:p>
            <w:pPr>
              <w:ind w:left="220"/>
              <w:spacing w:after="0"/>
              <w:rPr>
                <w:sz w:val="20"/>
                <w:szCs w:val="20"/>
                <w:color w:val="auto"/>
              </w:rPr>
            </w:pPr>
            <w:r>
              <w:rPr>
                <w:rFonts w:ascii="Arial" w:cs="Arial" w:eastAsia="Arial" w:hAnsi="Arial"/>
                <w:sz w:val="16"/>
                <w:szCs w:val="16"/>
                <w:color w:val="auto"/>
              </w:rPr>
              <w:t>Financial Strength Rating</w:t>
            </w:r>
          </w:p>
        </w:tc>
        <w:tc>
          <w:tcPr>
            <w:tcW w:w="1060" w:type="dxa"/>
            <w:vAlign w:val="bottom"/>
          </w:tcPr>
          <w:p>
            <w:pPr>
              <w:jc w:val="center"/>
              <w:spacing w:after="0"/>
              <w:rPr>
                <w:sz w:val="20"/>
                <w:szCs w:val="20"/>
                <w:color w:val="auto"/>
              </w:rPr>
            </w:pPr>
            <w:r>
              <w:rPr>
                <w:rFonts w:ascii="Arial" w:cs="Arial" w:eastAsia="Arial" w:hAnsi="Arial"/>
                <w:sz w:val="16"/>
                <w:szCs w:val="16"/>
                <w:color w:val="auto"/>
                <w:w w:val="93"/>
              </w:rPr>
              <w:t>A</w:t>
            </w:r>
          </w:p>
        </w:tc>
        <w:tc>
          <w:tcPr>
            <w:tcW w:w="80" w:type="dxa"/>
            <w:vAlign w:val="bottom"/>
          </w:tcPr>
          <w:p>
            <w:pPr>
              <w:spacing w:after="0"/>
              <w:rPr>
                <w:sz w:val="21"/>
                <w:szCs w:val="21"/>
                <w:color w:val="auto"/>
              </w:rPr>
            </w:pPr>
          </w:p>
        </w:tc>
        <w:tc>
          <w:tcPr>
            <w:tcW w:w="1080" w:type="dxa"/>
            <w:vAlign w:val="bottom"/>
          </w:tcPr>
          <w:p>
            <w:pPr>
              <w:jc w:val="center"/>
              <w:spacing w:after="0"/>
              <w:rPr>
                <w:sz w:val="20"/>
                <w:szCs w:val="20"/>
                <w:color w:val="auto"/>
              </w:rPr>
            </w:pPr>
            <w:r>
              <w:rPr>
                <w:rFonts w:ascii="Arial" w:cs="Arial" w:eastAsia="Arial" w:hAnsi="Arial"/>
                <w:sz w:val="16"/>
                <w:szCs w:val="16"/>
                <w:color w:val="auto"/>
                <w:w w:val="99"/>
              </w:rPr>
              <w:t>A-</w:t>
            </w:r>
          </w:p>
        </w:tc>
        <w:tc>
          <w:tcPr>
            <w:tcW w:w="60" w:type="dxa"/>
            <w:vAlign w:val="bottom"/>
          </w:tcPr>
          <w:p>
            <w:pPr>
              <w:spacing w:after="0"/>
              <w:rPr>
                <w:sz w:val="21"/>
                <w:szCs w:val="21"/>
                <w:color w:val="auto"/>
              </w:rPr>
            </w:pPr>
          </w:p>
        </w:tc>
        <w:tc>
          <w:tcPr>
            <w:tcW w:w="1060" w:type="dxa"/>
            <w:vAlign w:val="bottom"/>
          </w:tcPr>
          <w:p>
            <w:pPr>
              <w:jc w:val="center"/>
              <w:spacing w:after="0"/>
              <w:rPr>
                <w:sz w:val="20"/>
                <w:szCs w:val="20"/>
                <w:color w:val="auto"/>
              </w:rPr>
            </w:pPr>
            <w:r>
              <w:rPr>
                <w:rFonts w:ascii="Arial" w:cs="Arial" w:eastAsia="Arial" w:hAnsi="Arial"/>
                <w:sz w:val="16"/>
                <w:szCs w:val="16"/>
                <w:color w:val="auto"/>
              </w:rPr>
              <w:t>A-</w:t>
            </w:r>
          </w:p>
        </w:tc>
        <w:tc>
          <w:tcPr>
            <w:tcW w:w="80" w:type="dxa"/>
            <w:vAlign w:val="bottom"/>
          </w:tcPr>
          <w:p>
            <w:pPr>
              <w:spacing w:after="0"/>
              <w:rPr>
                <w:sz w:val="21"/>
                <w:szCs w:val="21"/>
                <w:color w:val="auto"/>
              </w:rPr>
            </w:pPr>
          </w:p>
        </w:tc>
        <w:tc>
          <w:tcPr>
            <w:tcW w:w="1080" w:type="dxa"/>
            <w:vAlign w:val="bottom"/>
          </w:tcPr>
          <w:p>
            <w:pPr>
              <w:jc w:val="center"/>
              <w:spacing w:after="0"/>
              <w:rPr>
                <w:sz w:val="20"/>
                <w:szCs w:val="20"/>
                <w:color w:val="auto"/>
              </w:rPr>
            </w:pPr>
            <w:r>
              <w:rPr>
                <w:rFonts w:ascii="Arial" w:cs="Arial" w:eastAsia="Arial" w:hAnsi="Arial"/>
                <w:sz w:val="16"/>
                <w:szCs w:val="16"/>
                <w:color w:val="auto"/>
              </w:rPr>
              <w:t>A3</w:t>
            </w:r>
          </w:p>
        </w:tc>
      </w:tr>
      <w:tr>
        <w:trPr>
          <w:trHeight w:val="250"/>
        </w:trPr>
        <w:tc>
          <w:tcPr>
            <w:tcW w:w="5500" w:type="dxa"/>
            <w:vAlign w:val="bottom"/>
            <w:gridSpan w:val="3"/>
          </w:tcPr>
          <w:p>
            <w:pPr>
              <w:ind w:left="220"/>
              <w:spacing w:after="0"/>
              <w:rPr>
                <w:sz w:val="20"/>
                <w:szCs w:val="20"/>
                <w:color w:val="auto"/>
              </w:rPr>
            </w:pPr>
            <w:r>
              <w:rPr>
                <w:rFonts w:ascii="Arial" w:cs="Arial" w:eastAsia="Arial" w:hAnsi="Arial"/>
                <w:sz w:val="16"/>
                <w:szCs w:val="16"/>
                <w:color w:val="auto"/>
              </w:rPr>
              <w:t>Outlook</w:t>
            </w:r>
          </w:p>
        </w:tc>
        <w:tc>
          <w:tcPr>
            <w:tcW w:w="1060" w:type="dxa"/>
            <w:vAlign w:val="bottom"/>
          </w:tcPr>
          <w:p>
            <w:pPr>
              <w:jc w:val="center"/>
              <w:spacing w:after="0"/>
              <w:rPr>
                <w:sz w:val="20"/>
                <w:szCs w:val="20"/>
                <w:color w:val="auto"/>
              </w:rPr>
            </w:pPr>
            <w:r>
              <w:rPr>
                <w:rFonts w:ascii="Arial" w:cs="Arial" w:eastAsia="Arial" w:hAnsi="Arial"/>
                <w:sz w:val="16"/>
                <w:szCs w:val="16"/>
                <w:color w:val="auto"/>
                <w:w w:val="83"/>
              </w:rPr>
              <w:t>Stable</w:t>
            </w:r>
          </w:p>
        </w:tc>
        <w:tc>
          <w:tcPr>
            <w:tcW w:w="80" w:type="dxa"/>
            <w:vAlign w:val="bottom"/>
          </w:tcPr>
          <w:p>
            <w:pPr>
              <w:spacing w:after="0"/>
              <w:rPr>
                <w:sz w:val="21"/>
                <w:szCs w:val="21"/>
                <w:color w:val="auto"/>
              </w:rPr>
            </w:pPr>
          </w:p>
        </w:tc>
        <w:tc>
          <w:tcPr>
            <w:tcW w:w="1080" w:type="dxa"/>
            <w:vAlign w:val="bottom"/>
          </w:tcPr>
          <w:p>
            <w:pPr>
              <w:jc w:val="center"/>
              <w:spacing w:after="0"/>
              <w:rPr>
                <w:sz w:val="20"/>
                <w:szCs w:val="20"/>
                <w:color w:val="auto"/>
              </w:rPr>
            </w:pPr>
            <w:r>
              <w:rPr>
                <w:rFonts w:ascii="Arial" w:cs="Arial" w:eastAsia="Arial" w:hAnsi="Arial"/>
                <w:sz w:val="16"/>
                <w:szCs w:val="16"/>
                <w:color w:val="auto"/>
                <w:w w:val="88"/>
              </w:rPr>
              <w:t>Stable</w:t>
            </w:r>
          </w:p>
        </w:tc>
        <w:tc>
          <w:tcPr>
            <w:tcW w:w="60" w:type="dxa"/>
            <w:vAlign w:val="bottom"/>
          </w:tcPr>
          <w:p>
            <w:pPr>
              <w:spacing w:after="0"/>
              <w:rPr>
                <w:sz w:val="21"/>
                <w:szCs w:val="21"/>
                <w:color w:val="auto"/>
              </w:rPr>
            </w:pPr>
          </w:p>
        </w:tc>
        <w:tc>
          <w:tcPr>
            <w:tcW w:w="1060" w:type="dxa"/>
            <w:vAlign w:val="bottom"/>
          </w:tcPr>
          <w:p>
            <w:pPr>
              <w:jc w:val="center"/>
              <w:spacing w:after="0"/>
              <w:rPr>
                <w:sz w:val="20"/>
                <w:szCs w:val="20"/>
                <w:color w:val="auto"/>
              </w:rPr>
            </w:pPr>
            <w:r>
              <w:rPr>
                <w:rFonts w:ascii="Arial" w:cs="Arial" w:eastAsia="Arial" w:hAnsi="Arial"/>
                <w:sz w:val="16"/>
                <w:szCs w:val="16"/>
                <w:color w:val="auto"/>
                <w:w w:val="83"/>
              </w:rPr>
              <w:t>Stable</w:t>
            </w:r>
          </w:p>
        </w:tc>
        <w:tc>
          <w:tcPr>
            <w:tcW w:w="80" w:type="dxa"/>
            <w:vAlign w:val="bottom"/>
          </w:tcPr>
          <w:p>
            <w:pPr>
              <w:spacing w:after="0"/>
              <w:rPr>
                <w:sz w:val="21"/>
                <w:szCs w:val="21"/>
                <w:color w:val="auto"/>
              </w:rPr>
            </w:pPr>
          </w:p>
        </w:tc>
        <w:tc>
          <w:tcPr>
            <w:tcW w:w="1080" w:type="dxa"/>
            <w:vAlign w:val="bottom"/>
          </w:tcPr>
          <w:p>
            <w:pPr>
              <w:jc w:val="center"/>
              <w:spacing w:after="0"/>
              <w:rPr>
                <w:sz w:val="20"/>
                <w:szCs w:val="20"/>
                <w:color w:val="auto"/>
              </w:rPr>
            </w:pPr>
            <w:r>
              <w:rPr>
                <w:rFonts w:ascii="Arial" w:cs="Arial" w:eastAsia="Arial" w:hAnsi="Arial"/>
                <w:sz w:val="16"/>
                <w:szCs w:val="16"/>
                <w:color w:val="auto"/>
                <w:w w:val="88"/>
              </w:rPr>
              <w:t>Stable</w:t>
            </w:r>
          </w:p>
        </w:tc>
      </w:tr>
      <w:tr>
        <w:trPr>
          <w:trHeight w:val="250"/>
        </w:trPr>
        <w:tc>
          <w:tcPr>
            <w:tcW w:w="5500" w:type="dxa"/>
            <w:vAlign w:val="bottom"/>
            <w:gridSpan w:val="3"/>
          </w:tcPr>
          <w:p>
            <w:pPr>
              <w:spacing w:after="0"/>
              <w:rPr>
                <w:sz w:val="20"/>
                <w:szCs w:val="20"/>
                <w:color w:val="auto"/>
              </w:rPr>
            </w:pPr>
            <w:r>
              <w:rPr>
                <w:rFonts w:ascii="Arial" w:cs="Arial" w:eastAsia="Arial" w:hAnsi="Arial"/>
                <w:sz w:val="16"/>
                <w:szCs w:val="16"/>
                <w:color w:val="auto"/>
              </w:rPr>
              <w:t>Fidelity &amp; Guaranty Life Insurance Company of New York</w:t>
            </w:r>
          </w:p>
        </w:tc>
        <w:tc>
          <w:tcPr>
            <w:tcW w:w="10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50"/>
        </w:trPr>
        <w:tc>
          <w:tcPr>
            <w:tcW w:w="5500" w:type="dxa"/>
            <w:vAlign w:val="bottom"/>
            <w:gridSpan w:val="3"/>
          </w:tcPr>
          <w:p>
            <w:pPr>
              <w:ind w:left="220"/>
              <w:spacing w:after="0"/>
              <w:rPr>
                <w:sz w:val="20"/>
                <w:szCs w:val="20"/>
                <w:color w:val="auto"/>
              </w:rPr>
            </w:pPr>
            <w:r>
              <w:rPr>
                <w:rFonts w:ascii="Arial" w:cs="Arial" w:eastAsia="Arial" w:hAnsi="Arial"/>
                <w:sz w:val="16"/>
                <w:szCs w:val="16"/>
                <w:color w:val="auto"/>
              </w:rPr>
              <w:t>Financial Strength Rating</w:t>
            </w:r>
          </w:p>
        </w:tc>
        <w:tc>
          <w:tcPr>
            <w:tcW w:w="1060" w:type="dxa"/>
            <w:vAlign w:val="bottom"/>
          </w:tcPr>
          <w:p>
            <w:pPr>
              <w:jc w:val="center"/>
              <w:spacing w:after="0"/>
              <w:rPr>
                <w:sz w:val="20"/>
                <w:szCs w:val="20"/>
                <w:color w:val="auto"/>
              </w:rPr>
            </w:pPr>
            <w:r>
              <w:rPr>
                <w:rFonts w:ascii="Arial" w:cs="Arial" w:eastAsia="Arial" w:hAnsi="Arial"/>
                <w:sz w:val="16"/>
                <w:szCs w:val="16"/>
                <w:color w:val="auto"/>
                <w:w w:val="93"/>
              </w:rPr>
              <w:t>A</w:t>
            </w:r>
          </w:p>
        </w:tc>
        <w:tc>
          <w:tcPr>
            <w:tcW w:w="80" w:type="dxa"/>
            <w:vAlign w:val="bottom"/>
          </w:tcPr>
          <w:p>
            <w:pPr>
              <w:spacing w:after="0"/>
              <w:rPr>
                <w:sz w:val="21"/>
                <w:szCs w:val="21"/>
                <w:color w:val="auto"/>
              </w:rPr>
            </w:pPr>
          </w:p>
        </w:tc>
        <w:tc>
          <w:tcPr>
            <w:tcW w:w="1080" w:type="dxa"/>
            <w:vAlign w:val="bottom"/>
          </w:tcPr>
          <w:p>
            <w:pPr>
              <w:jc w:val="center"/>
              <w:spacing w:after="0"/>
              <w:rPr>
                <w:sz w:val="20"/>
                <w:szCs w:val="20"/>
                <w:color w:val="auto"/>
              </w:rPr>
            </w:pPr>
            <w:r>
              <w:rPr>
                <w:rFonts w:ascii="Arial" w:cs="Arial" w:eastAsia="Arial" w:hAnsi="Arial"/>
                <w:sz w:val="16"/>
                <w:szCs w:val="16"/>
                <w:color w:val="auto"/>
                <w:w w:val="99"/>
              </w:rPr>
              <w:t>A-</w:t>
            </w:r>
          </w:p>
        </w:tc>
        <w:tc>
          <w:tcPr>
            <w:tcW w:w="60" w:type="dxa"/>
            <w:vAlign w:val="bottom"/>
          </w:tcPr>
          <w:p>
            <w:pPr>
              <w:spacing w:after="0"/>
              <w:rPr>
                <w:sz w:val="21"/>
                <w:szCs w:val="21"/>
                <w:color w:val="auto"/>
              </w:rPr>
            </w:pPr>
          </w:p>
        </w:tc>
        <w:tc>
          <w:tcPr>
            <w:tcW w:w="1060" w:type="dxa"/>
            <w:vAlign w:val="bottom"/>
          </w:tcPr>
          <w:p>
            <w:pPr>
              <w:jc w:val="center"/>
              <w:spacing w:after="0"/>
              <w:rPr>
                <w:sz w:val="20"/>
                <w:szCs w:val="20"/>
                <w:color w:val="auto"/>
              </w:rPr>
            </w:pPr>
            <w:r>
              <w:rPr>
                <w:rFonts w:ascii="Arial" w:cs="Arial" w:eastAsia="Arial" w:hAnsi="Arial"/>
                <w:sz w:val="16"/>
                <w:szCs w:val="16"/>
                <w:color w:val="auto"/>
              </w:rPr>
              <w:t>A-</w:t>
            </w:r>
          </w:p>
        </w:tc>
        <w:tc>
          <w:tcPr>
            <w:tcW w:w="80" w:type="dxa"/>
            <w:vAlign w:val="bottom"/>
          </w:tcPr>
          <w:p>
            <w:pPr>
              <w:spacing w:after="0"/>
              <w:rPr>
                <w:sz w:val="21"/>
                <w:szCs w:val="21"/>
                <w:color w:val="auto"/>
              </w:rPr>
            </w:pPr>
          </w:p>
        </w:tc>
        <w:tc>
          <w:tcPr>
            <w:tcW w:w="1080" w:type="dxa"/>
            <w:vAlign w:val="bottom"/>
          </w:tcPr>
          <w:p>
            <w:pPr>
              <w:jc w:val="center"/>
              <w:spacing w:after="0"/>
              <w:rPr>
                <w:sz w:val="20"/>
                <w:szCs w:val="20"/>
                <w:color w:val="auto"/>
              </w:rPr>
            </w:pPr>
            <w:r>
              <w:rPr>
                <w:rFonts w:ascii="Arial" w:cs="Arial" w:eastAsia="Arial" w:hAnsi="Arial"/>
                <w:sz w:val="16"/>
                <w:szCs w:val="16"/>
                <w:color w:val="auto"/>
                <w:w w:val="88"/>
              </w:rPr>
              <w:t>Not Rated</w:t>
            </w:r>
          </w:p>
        </w:tc>
      </w:tr>
      <w:tr>
        <w:trPr>
          <w:trHeight w:val="250"/>
        </w:trPr>
        <w:tc>
          <w:tcPr>
            <w:tcW w:w="5500" w:type="dxa"/>
            <w:vAlign w:val="bottom"/>
            <w:gridSpan w:val="3"/>
          </w:tcPr>
          <w:p>
            <w:pPr>
              <w:ind w:left="220"/>
              <w:spacing w:after="0"/>
              <w:rPr>
                <w:sz w:val="20"/>
                <w:szCs w:val="20"/>
                <w:color w:val="auto"/>
              </w:rPr>
            </w:pPr>
            <w:r>
              <w:rPr>
                <w:rFonts w:ascii="Arial" w:cs="Arial" w:eastAsia="Arial" w:hAnsi="Arial"/>
                <w:sz w:val="16"/>
                <w:szCs w:val="16"/>
                <w:color w:val="auto"/>
              </w:rPr>
              <w:t>Outlook</w:t>
            </w:r>
          </w:p>
        </w:tc>
        <w:tc>
          <w:tcPr>
            <w:tcW w:w="1060" w:type="dxa"/>
            <w:vAlign w:val="bottom"/>
          </w:tcPr>
          <w:p>
            <w:pPr>
              <w:jc w:val="center"/>
              <w:spacing w:after="0"/>
              <w:rPr>
                <w:sz w:val="20"/>
                <w:szCs w:val="20"/>
                <w:color w:val="auto"/>
              </w:rPr>
            </w:pPr>
            <w:r>
              <w:rPr>
                <w:rFonts w:ascii="Arial" w:cs="Arial" w:eastAsia="Arial" w:hAnsi="Arial"/>
                <w:sz w:val="16"/>
                <w:szCs w:val="16"/>
                <w:color w:val="auto"/>
                <w:w w:val="83"/>
              </w:rPr>
              <w:t>Stable</w:t>
            </w:r>
          </w:p>
        </w:tc>
        <w:tc>
          <w:tcPr>
            <w:tcW w:w="80" w:type="dxa"/>
            <w:vAlign w:val="bottom"/>
          </w:tcPr>
          <w:p>
            <w:pPr>
              <w:spacing w:after="0"/>
              <w:rPr>
                <w:sz w:val="21"/>
                <w:szCs w:val="21"/>
                <w:color w:val="auto"/>
              </w:rPr>
            </w:pPr>
          </w:p>
        </w:tc>
        <w:tc>
          <w:tcPr>
            <w:tcW w:w="1080" w:type="dxa"/>
            <w:vAlign w:val="bottom"/>
          </w:tcPr>
          <w:p>
            <w:pPr>
              <w:jc w:val="center"/>
              <w:spacing w:after="0"/>
              <w:rPr>
                <w:sz w:val="20"/>
                <w:szCs w:val="20"/>
                <w:color w:val="auto"/>
              </w:rPr>
            </w:pPr>
            <w:r>
              <w:rPr>
                <w:rFonts w:ascii="Arial" w:cs="Arial" w:eastAsia="Arial" w:hAnsi="Arial"/>
                <w:sz w:val="16"/>
                <w:szCs w:val="16"/>
                <w:color w:val="auto"/>
                <w:w w:val="88"/>
              </w:rPr>
              <w:t>Stable</w:t>
            </w:r>
          </w:p>
        </w:tc>
        <w:tc>
          <w:tcPr>
            <w:tcW w:w="60" w:type="dxa"/>
            <w:vAlign w:val="bottom"/>
          </w:tcPr>
          <w:p>
            <w:pPr>
              <w:spacing w:after="0"/>
              <w:rPr>
                <w:sz w:val="21"/>
                <w:szCs w:val="21"/>
                <w:color w:val="auto"/>
              </w:rPr>
            </w:pPr>
          </w:p>
        </w:tc>
        <w:tc>
          <w:tcPr>
            <w:tcW w:w="1060" w:type="dxa"/>
            <w:vAlign w:val="bottom"/>
          </w:tcPr>
          <w:p>
            <w:pPr>
              <w:jc w:val="center"/>
              <w:spacing w:after="0"/>
              <w:rPr>
                <w:sz w:val="20"/>
                <w:szCs w:val="20"/>
                <w:color w:val="auto"/>
              </w:rPr>
            </w:pPr>
            <w:r>
              <w:rPr>
                <w:rFonts w:ascii="Arial" w:cs="Arial" w:eastAsia="Arial" w:hAnsi="Arial"/>
                <w:sz w:val="16"/>
                <w:szCs w:val="16"/>
                <w:color w:val="auto"/>
                <w:w w:val="83"/>
              </w:rPr>
              <w:t>Stable</w:t>
            </w:r>
          </w:p>
        </w:tc>
        <w:tc>
          <w:tcPr>
            <w:tcW w:w="8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50"/>
        </w:trPr>
        <w:tc>
          <w:tcPr>
            <w:tcW w:w="5500" w:type="dxa"/>
            <w:vAlign w:val="bottom"/>
            <w:gridSpan w:val="3"/>
          </w:tcPr>
          <w:p>
            <w:pPr>
              <w:spacing w:after="0"/>
              <w:rPr>
                <w:sz w:val="20"/>
                <w:szCs w:val="20"/>
                <w:color w:val="auto"/>
              </w:rPr>
            </w:pPr>
            <w:r>
              <w:rPr>
                <w:rFonts w:ascii="Arial" w:cs="Arial" w:eastAsia="Arial" w:hAnsi="Arial"/>
                <w:sz w:val="16"/>
                <w:szCs w:val="16"/>
                <w:color w:val="auto"/>
              </w:rPr>
              <w:t>F&amp;G Life Re Ltd</w:t>
            </w:r>
          </w:p>
        </w:tc>
        <w:tc>
          <w:tcPr>
            <w:tcW w:w="10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50"/>
        </w:trPr>
        <w:tc>
          <w:tcPr>
            <w:tcW w:w="5500" w:type="dxa"/>
            <w:vAlign w:val="bottom"/>
            <w:gridSpan w:val="3"/>
          </w:tcPr>
          <w:p>
            <w:pPr>
              <w:ind w:left="220"/>
              <w:spacing w:after="0"/>
              <w:rPr>
                <w:sz w:val="20"/>
                <w:szCs w:val="20"/>
                <w:color w:val="auto"/>
              </w:rPr>
            </w:pPr>
            <w:r>
              <w:rPr>
                <w:rFonts w:ascii="Arial" w:cs="Arial" w:eastAsia="Arial" w:hAnsi="Arial"/>
                <w:sz w:val="16"/>
                <w:szCs w:val="16"/>
                <w:color w:val="auto"/>
              </w:rPr>
              <w:t>Financial Strength Rating</w:t>
            </w:r>
          </w:p>
        </w:tc>
        <w:tc>
          <w:tcPr>
            <w:tcW w:w="1060" w:type="dxa"/>
            <w:vAlign w:val="bottom"/>
          </w:tcPr>
          <w:p>
            <w:pPr>
              <w:jc w:val="center"/>
              <w:spacing w:after="0"/>
              <w:rPr>
                <w:sz w:val="20"/>
                <w:szCs w:val="20"/>
                <w:color w:val="auto"/>
              </w:rPr>
            </w:pPr>
            <w:r>
              <w:rPr>
                <w:rFonts w:ascii="Arial" w:cs="Arial" w:eastAsia="Arial" w:hAnsi="Arial"/>
                <w:sz w:val="16"/>
                <w:szCs w:val="16"/>
                <w:color w:val="auto"/>
                <w:w w:val="88"/>
              </w:rPr>
              <w:t>Not Rated</w:t>
            </w:r>
          </w:p>
        </w:tc>
        <w:tc>
          <w:tcPr>
            <w:tcW w:w="80" w:type="dxa"/>
            <w:vAlign w:val="bottom"/>
          </w:tcPr>
          <w:p>
            <w:pPr>
              <w:spacing w:after="0"/>
              <w:rPr>
                <w:sz w:val="21"/>
                <w:szCs w:val="21"/>
                <w:color w:val="auto"/>
              </w:rPr>
            </w:pPr>
          </w:p>
        </w:tc>
        <w:tc>
          <w:tcPr>
            <w:tcW w:w="1080" w:type="dxa"/>
            <w:vAlign w:val="bottom"/>
          </w:tcPr>
          <w:p>
            <w:pPr>
              <w:jc w:val="center"/>
              <w:spacing w:after="0"/>
              <w:rPr>
                <w:sz w:val="20"/>
                <w:szCs w:val="20"/>
                <w:color w:val="auto"/>
              </w:rPr>
            </w:pPr>
            <w:r>
              <w:rPr>
                <w:rFonts w:ascii="Arial" w:cs="Arial" w:eastAsia="Arial" w:hAnsi="Arial"/>
                <w:sz w:val="16"/>
                <w:szCs w:val="16"/>
                <w:color w:val="auto"/>
                <w:w w:val="88"/>
              </w:rPr>
              <w:t>Not Rated</w:t>
            </w:r>
          </w:p>
        </w:tc>
        <w:tc>
          <w:tcPr>
            <w:tcW w:w="60" w:type="dxa"/>
            <w:vAlign w:val="bottom"/>
          </w:tcPr>
          <w:p>
            <w:pPr>
              <w:spacing w:after="0"/>
              <w:rPr>
                <w:sz w:val="21"/>
                <w:szCs w:val="21"/>
                <w:color w:val="auto"/>
              </w:rPr>
            </w:pPr>
          </w:p>
        </w:tc>
        <w:tc>
          <w:tcPr>
            <w:tcW w:w="1060" w:type="dxa"/>
            <w:vAlign w:val="bottom"/>
          </w:tcPr>
          <w:p>
            <w:pPr>
              <w:jc w:val="center"/>
              <w:spacing w:after="0"/>
              <w:rPr>
                <w:sz w:val="20"/>
                <w:szCs w:val="20"/>
                <w:color w:val="auto"/>
              </w:rPr>
            </w:pPr>
            <w:r>
              <w:rPr>
                <w:rFonts w:ascii="Arial" w:cs="Arial" w:eastAsia="Arial" w:hAnsi="Arial"/>
                <w:sz w:val="16"/>
                <w:szCs w:val="16"/>
                <w:color w:val="auto"/>
                <w:w w:val="88"/>
              </w:rPr>
              <w:t>Not Rated</w:t>
            </w:r>
          </w:p>
        </w:tc>
        <w:tc>
          <w:tcPr>
            <w:tcW w:w="80" w:type="dxa"/>
            <w:vAlign w:val="bottom"/>
          </w:tcPr>
          <w:p>
            <w:pPr>
              <w:spacing w:after="0"/>
              <w:rPr>
                <w:sz w:val="21"/>
                <w:szCs w:val="21"/>
                <w:color w:val="auto"/>
              </w:rPr>
            </w:pPr>
          </w:p>
        </w:tc>
        <w:tc>
          <w:tcPr>
            <w:tcW w:w="1080" w:type="dxa"/>
            <w:vAlign w:val="bottom"/>
          </w:tcPr>
          <w:p>
            <w:pPr>
              <w:jc w:val="center"/>
              <w:spacing w:after="0"/>
              <w:rPr>
                <w:sz w:val="20"/>
                <w:szCs w:val="20"/>
                <w:color w:val="auto"/>
              </w:rPr>
            </w:pPr>
            <w:r>
              <w:rPr>
                <w:rFonts w:ascii="Arial" w:cs="Arial" w:eastAsia="Arial" w:hAnsi="Arial"/>
                <w:sz w:val="16"/>
                <w:szCs w:val="16"/>
                <w:color w:val="auto"/>
              </w:rPr>
              <w:t>A3</w:t>
            </w:r>
          </w:p>
        </w:tc>
      </w:tr>
      <w:tr>
        <w:trPr>
          <w:trHeight w:val="250"/>
        </w:trPr>
        <w:tc>
          <w:tcPr>
            <w:tcW w:w="5500" w:type="dxa"/>
            <w:vAlign w:val="bottom"/>
            <w:gridSpan w:val="3"/>
          </w:tcPr>
          <w:p>
            <w:pPr>
              <w:ind w:left="220"/>
              <w:spacing w:after="0"/>
              <w:rPr>
                <w:sz w:val="20"/>
                <w:szCs w:val="20"/>
                <w:color w:val="auto"/>
              </w:rPr>
            </w:pPr>
            <w:r>
              <w:rPr>
                <w:rFonts w:ascii="Arial" w:cs="Arial" w:eastAsia="Arial" w:hAnsi="Arial"/>
                <w:sz w:val="16"/>
                <w:szCs w:val="16"/>
                <w:color w:val="auto"/>
              </w:rPr>
              <w:t>Outlook</w:t>
            </w:r>
          </w:p>
        </w:tc>
        <w:tc>
          <w:tcPr>
            <w:tcW w:w="10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80" w:type="dxa"/>
            <w:vAlign w:val="bottom"/>
          </w:tcPr>
          <w:p>
            <w:pPr>
              <w:jc w:val="center"/>
              <w:spacing w:after="0"/>
              <w:rPr>
                <w:sz w:val="20"/>
                <w:szCs w:val="20"/>
                <w:color w:val="auto"/>
              </w:rPr>
            </w:pPr>
            <w:r>
              <w:rPr>
                <w:rFonts w:ascii="Arial" w:cs="Arial" w:eastAsia="Arial" w:hAnsi="Arial"/>
                <w:sz w:val="16"/>
                <w:szCs w:val="16"/>
                <w:color w:val="auto"/>
                <w:w w:val="88"/>
              </w:rPr>
              <w:t>Stable</w:t>
            </w:r>
          </w:p>
        </w:tc>
      </w:tr>
      <w:tr>
        <w:trPr>
          <w:trHeight w:val="250"/>
        </w:trPr>
        <w:tc>
          <w:tcPr>
            <w:tcW w:w="5500" w:type="dxa"/>
            <w:vAlign w:val="bottom"/>
            <w:gridSpan w:val="3"/>
          </w:tcPr>
          <w:p>
            <w:pPr>
              <w:spacing w:after="0"/>
              <w:rPr>
                <w:sz w:val="20"/>
                <w:szCs w:val="20"/>
                <w:color w:val="auto"/>
              </w:rPr>
            </w:pPr>
            <w:r>
              <w:rPr>
                <w:rFonts w:ascii="Arial" w:cs="Arial" w:eastAsia="Arial" w:hAnsi="Arial"/>
                <w:sz w:val="16"/>
                <w:szCs w:val="16"/>
                <w:color w:val="auto"/>
              </w:rPr>
              <w:t>F&amp;G Cayman Re Ltd</w:t>
            </w:r>
          </w:p>
        </w:tc>
        <w:tc>
          <w:tcPr>
            <w:tcW w:w="10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50"/>
        </w:trPr>
        <w:tc>
          <w:tcPr>
            <w:tcW w:w="5500" w:type="dxa"/>
            <w:vAlign w:val="bottom"/>
            <w:gridSpan w:val="3"/>
          </w:tcPr>
          <w:p>
            <w:pPr>
              <w:ind w:left="220"/>
              <w:spacing w:after="0"/>
              <w:rPr>
                <w:sz w:val="20"/>
                <w:szCs w:val="20"/>
                <w:color w:val="auto"/>
              </w:rPr>
            </w:pPr>
            <w:r>
              <w:rPr>
                <w:rFonts w:ascii="Arial" w:cs="Arial" w:eastAsia="Arial" w:hAnsi="Arial"/>
                <w:sz w:val="16"/>
                <w:szCs w:val="16"/>
                <w:color w:val="auto"/>
              </w:rPr>
              <w:t>Financial Strength Rating</w:t>
            </w:r>
          </w:p>
        </w:tc>
        <w:tc>
          <w:tcPr>
            <w:tcW w:w="1060" w:type="dxa"/>
            <w:vAlign w:val="bottom"/>
          </w:tcPr>
          <w:p>
            <w:pPr>
              <w:jc w:val="center"/>
              <w:spacing w:after="0"/>
              <w:rPr>
                <w:sz w:val="20"/>
                <w:szCs w:val="20"/>
                <w:color w:val="auto"/>
              </w:rPr>
            </w:pPr>
            <w:r>
              <w:rPr>
                <w:rFonts w:ascii="Arial" w:cs="Arial" w:eastAsia="Arial" w:hAnsi="Arial"/>
                <w:sz w:val="16"/>
                <w:szCs w:val="16"/>
                <w:color w:val="auto"/>
                <w:w w:val="88"/>
              </w:rPr>
              <w:t>Not Rated</w:t>
            </w:r>
          </w:p>
        </w:tc>
        <w:tc>
          <w:tcPr>
            <w:tcW w:w="80" w:type="dxa"/>
            <w:vAlign w:val="bottom"/>
          </w:tcPr>
          <w:p>
            <w:pPr>
              <w:spacing w:after="0"/>
              <w:rPr>
                <w:sz w:val="21"/>
                <w:szCs w:val="21"/>
                <w:color w:val="auto"/>
              </w:rPr>
            </w:pPr>
          </w:p>
        </w:tc>
        <w:tc>
          <w:tcPr>
            <w:tcW w:w="1080" w:type="dxa"/>
            <w:vAlign w:val="bottom"/>
          </w:tcPr>
          <w:p>
            <w:pPr>
              <w:jc w:val="center"/>
              <w:spacing w:after="0"/>
              <w:rPr>
                <w:sz w:val="20"/>
                <w:szCs w:val="20"/>
                <w:color w:val="auto"/>
              </w:rPr>
            </w:pPr>
            <w:r>
              <w:rPr>
                <w:rFonts w:ascii="Arial" w:cs="Arial" w:eastAsia="Arial" w:hAnsi="Arial"/>
                <w:sz w:val="16"/>
                <w:szCs w:val="16"/>
                <w:color w:val="auto"/>
                <w:w w:val="88"/>
              </w:rPr>
              <w:t>Not Rated</w:t>
            </w:r>
          </w:p>
        </w:tc>
        <w:tc>
          <w:tcPr>
            <w:tcW w:w="60" w:type="dxa"/>
            <w:vAlign w:val="bottom"/>
          </w:tcPr>
          <w:p>
            <w:pPr>
              <w:spacing w:after="0"/>
              <w:rPr>
                <w:sz w:val="21"/>
                <w:szCs w:val="21"/>
                <w:color w:val="auto"/>
              </w:rPr>
            </w:pPr>
          </w:p>
        </w:tc>
        <w:tc>
          <w:tcPr>
            <w:tcW w:w="1060" w:type="dxa"/>
            <w:vAlign w:val="bottom"/>
          </w:tcPr>
          <w:p>
            <w:pPr>
              <w:jc w:val="center"/>
              <w:spacing w:after="0"/>
              <w:rPr>
                <w:sz w:val="20"/>
                <w:szCs w:val="20"/>
                <w:color w:val="auto"/>
              </w:rPr>
            </w:pPr>
            <w:r>
              <w:rPr>
                <w:rFonts w:ascii="Arial" w:cs="Arial" w:eastAsia="Arial" w:hAnsi="Arial"/>
                <w:sz w:val="16"/>
                <w:szCs w:val="16"/>
                <w:color w:val="auto"/>
              </w:rPr>
              <w:t>A-</w:t>
            </w:r>
          </w:p>
        </w:tc>
        <w:tc>
          <w:tcPr>
            <w:tcW w:w="80" w:type="dxa"/>
            <w:vAlign w:val="bottom"/>
          </w:tcPr>
          <w:p>
            <w:pPr>
              <w:spacing w:after="0"/>
              <w:rPr>
                <w:sz w:val="21"/>
                <w:szCs w:val="21"/>
                <w:color w:val="auto"/>
              </w:rPr>
            </w:pPr>
          </w:p>
        </w:tc>
        <w:tc>
          <w:tcPr>
            <w:tcW w:w="1080" w:type="dxa"/>
            <w:vAlign w:val="bottom"/>
          </w:tcPr>
          <w:p>
            <w:pPr>
              <w:jc w:val="center"/>
              <w:spacing w:after="0"/>
              <w:rPr>
                <w:sz w:val="20"/>
                <w:szCs w:val="20"/>
                <w:color w:val="auto"/>
              </w:rPr>
            </w:pPr>
            <w:r>
              <w:rPr>
                <w:rFonts w:ascii="Arial" w:cs="Arial" w:eastAsia="Arial" w:hAnsi="Arial"/>
                <w:sz w:val="16"/>
                <w:szCs w:val="16"/>
                <w:color w:val="auto"/>
                <w:w w:val="88"/>
              </w:rPr>
              <w:t>Not Rated</w:t>
            </w:r>
          </w:p>
        </w:tc>
      </w:tr>
      <w:tr>
        <w:trPr>
          <w:trHeight w:val="250"/>
        </w:trPr>
        <w:tc>
          <w:tcPr>
            <w:tcW w:w="5500" w:type="dxa"/>
            <w:vAlign w:val="bottom"/>
            <w:gridSpan w:val="3"/>
          </w:tcPr>
          <w:p>
            <w:pPr>
              <w:ind w:left="220"/>
              <w:spacing w:after="0"/>
              <w:rPr>
                <w:sz w:val="20"/>
                <w:szCs w:val="20"/>
                <w:color w:val="auto"/>
              </w:rPr>
            </w:pPr>
            <w:r>
              <w:rPr>
                <w:rFonts w:ascii="Arial" w:cs="Arial" w:eastAsia="Arial" w:hAnsi="Arial"/>
                <w:sz w:val="16"/>
                <w:szCs w:val="16"/>
                <w:color w:val="auto"/>
              </w:rPr>
              <w:t>Outlook</w:t>
            </w:r>
          </w:p>
        </w:tc>
        <w:tc>
          <w:tcPr>
            <w:tcW w:w="10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60" w:type="dxa"/>
            <w:vAlign w:val="bottom"/>
          </w:tcPr>
          <w:p>
            <w:pPr>
              <w:jc w:val="center"/>
              <w:spacing w:after="0"/>
              <w:rPr>
                <w:sz w:val="20"/>
                <w:szCs w:val="20"/>
                <w:color w:val="auto"/>
              </w:rPr>
            </w:pPr>
            <w:r>
              <w:rPr>
                <w:rFonts w:ascii="Arial" w:cs="Arial" w:eastAsia="Arial" w:hAnsi="Arial"/>
                <w:sz w:val="16"/>
                <w:szCs w:val="16"/>
                <w:color w:val="auto"/>
                <w:w w:val="83"/>
              </w:rPr>
              <w:t>Stable</w:t>
            </w:r>
          </w:p>
        </w:tc>
        <w:tc>
          <w:tcPr>
            <w:tcW w:w="80" w:type="dxa"/>
            <w:vAlign w:val="bottom"/>
          </w:tcPr>
          <w:p>
            <w:pPr>
              <w:spacing w:after="0"/>
              <w:rPr>
                <w:sz w:val="21"/>
                <w:szCs w:val="21"/>
                <w:color w:val="auto"/>
              </w:rPr>
            </w:pPr>
          </w:p>
        </w:tc>
        <w:tc>
          <w:tcPr>
            <w:tcW w:w="108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-2854325</wp:posOffset>
            </wp:positionV>
            <wp:extent cx="6400800" cy="3077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23">
                      <a:extLst>
                        <a:ext uri="{28A0092B-C50C-407E-A947-70E740481C1C}"/>
                      </a:extLst>
                    </a:blip>
                    <a:srcRect/>
                    <a:stretch>
                      <a:fillRect/>
                    </a:stretch>
                  </pic:blipFill>
                  <pic:spPr bwMode="auto">
                    <a:xfrm>
                      <a:off x="0" y="0"/>
                      <a:ext cx="6400800" cy="3077845"/>
                    </a:xfrm>
                    <a:prstGeom prst="rect">
                      <a:avLst/>
                    </a:prstGeom>
                    <a:noFill/>
                  </pic:spPr>
                </pic:pic>
              </a:graphicData>
            </a:graphic>
          </wp:anchor>
        </w:drawing>
      </w:r>
    </w:p>
    <w:p>
      <w:pPr>
        <w:spacing w:after="0" w:line="90" w:lineRule="exact"/>
        <w:rPr>
          <w:sz w:val="20"/>
          <w:szCs w:val="20"/>
          <w:color w:val="auto"/>
        </w:rPr>
      </w:pPr>
    </w:p>
    <w:p>
      <w:pPr>
        <w:ind w:left="220"/>
        <w:spacing w:after="0"/>
        <w:rPr>
          <w:sz w:val="20"/>
          <w:szCs w:val="20"/>
          <w:color w:val="auto"/>
        </w:rPr>
      </w:pPr>
      <w:r>
        <w:rPr>
          <w:rFonts w:ascii="Arial" w:cs="Arial" w:eastAsia="Arial" w:hAnsi="Arial"/>
          <w:sz w:val="16"/>
          <w:szCs w:val="16"/>
          <w:color w:val="auto"/>
        </w:rPr>
        <w:t>(a) Reflects rating of $375 million Junior Subordinated Notes due 2065 issued in January 2025</w:t>
      </w:r>
    </w:p>
    <w:p>
      <w:pPr>
        <w:spacing w:after="0" w:line="172" w:lineRule="exact"/>
        <w:rPr>
          <w:sz w:val="20"/>
          <w:szCs w:val="20"/>
          <w:color w:val="auto"/>
        </w:rPr>
      </w:pPr>
    </w:p>
    <w:p>
      <w:pPr>
        <w:jc w:val="both"/>
        <w:ind w:firstLine="353"/>
        <w:spacing w:after="0" w:line="306" w:lineRule="auto"/>
        <w:rPr>
          <w:sz w:val="20"/>
          <w:szCs w:val="20"/>
          <w:color w:val="auto"/>
        </w:rPr>
      </w:pPr>
      <w:r>
        <w:rPr>
          <w:rFonts w:ascii="Arial" w:cs="Arial" w:eastAsia="Arial" w:hAnsi="Arial"/>
          <w:sz w:val="17"/>
          <w:szCs w:val="17"/>
          <w:color w:val="auto"/>
        </w:rPr>
        <w:t>A.M. Best, S&amp;P, Fitch and Moody’s review their ratings of insurance companies from time to time. There can be no assurance that any particular rating will continue for any given period of time or that it will not be changed or withdrawn entirely if, in their judgment, circumstances so warrant. While the degree to which ratings adjustments will affect sales and persistency is unknown, we believe if our ratings were to be negatively adjusted for any reason, we could experience a material decline in the sales of our products and the persistency of our existing business. See “Item 1A. Risk Factors."</w:t>
      </w:r>
    </w:p>
    <w:p>
      <w:pPr>
        <w:spacing w:after="0" w:line="67" w:lineRule="exact"/>
        <w:rPr>
          <w:sz w:val="20"/>
          <w:szCs w:val="20"/>
          <w:color w:val="auto"/>
        </w:rPr>
      </w:pPr>
    </w:p>
    <w:p>
      <w:pPr>
        <w:jc w:val="both"/>
        <w:ind w:firstLine="353"/>
        <w:spacing w:after="0" w:line="251" w:lineRule="auto"/>
        <w:rPr>
          <w:sz w:val="20"/>
          <w:szCs w:val="20"/>
          <w:color w:val="auto"/>
        </w:rPr>
      </w:pPr>
      <w:r>
        <w:rPr>
          <w:rFonts w:ascii="Arial" w:cs="Arial" w:eastAsia="Arial" w:hAnsi="Arial"/>
          <w:sz w:val="20"/>
          <w:szCs w:val="20"/>
          <w:color w:val="auto"/>
        </w:rPr>
        <w:t xml:space="preserve">F&amp;G is required to maintain minimum ratings as a matter of routine practice as part of its over-the-counter derivatives agreements on International Swaps and Derivatives Association ("ISDA") forms. Under some ISDA agreements, we have agreed to maintain certain financial strength ratings. Please refer to Note E </w:t>
      </w:r>
      <w:r>
        <w:rPr>
          <w:rFonts w:ascii="Arial" w:cs="Arial" w:eastAsia="Arial" w:hAnsi="Arial"/>
          <w:sz w:val="20"/>
          <w:szCs w:val="20"/>
          <w:b w:val="1"/>
          <w:bCs w:val="1"/>
          <w:i w:val="1"/>
          <w:iCs w:val="1"/>
          <w:color w:val="auto"/>
        </w:rPr>
        <w:t>Derivative Financial Instruments</w:t>
      </w:r>
      <w:r>
        <w:rPr>
          <w:rFonts w:ascii="Arial" w:cs="Arial" w:eastAsia="Arial" w:hAnsi="Arial"/>
          <w:sz w:val="20"/>
          <w:szCs w:val="20"/>
          <w:color w:val="auto"/>
        </w:rPr>
        <w:t xml:space="preserve"> to our audited Consolidated Financial Statements included in Item 8 of Part II of this Annual Report for disclosure around the Company's requirement to maintain minimum ratings.</w:t>
      </w:r>
    </w:p>
    <w:p>
      <w:pPr>
        <w:spacing w:after="0" w:line="91" w:lineRule="exact"/>
        <w:rPr>
          <w:sz w:val="20"/>
          <w:szCs w:val="20"/>
          <w:color w:val="auto"/>
        </w:rPr>
      </w:pPr>
    </w:p>
    <w:p>
      <w:pPr>
        <w:jc w:val="both"/>
        <w:ind w:firstLine="353"/>
        <w:spacing w:after="0" w:line="251" w:lineRule="auto"/>
        <w:rPr>
          <w:sz w:val="20"/>
          <w:szCs w:val="20"/>
          <w:color w:val="auto"/>
        </w:rPr>
      </w:pPr>
      <w:r>
        <w:rPr>
          <w:rFonts w:ascii="Arial" w:cs="Arial" w:eastAsia="Arial" w:hAnsi="Arial"/>
          <w:sz w:val="20"/>
          <w:szCs w:val="20"/>
          <w:color w:val="auto"/>
        </w:rPr>
        <w:t>If the insurance subsidiaries held net short positions against a counterparty, and the subsidiaries’ financial strength ratings were below the levels required in the ISDA agreement with the counterparty, the counterparty would demand immediate further collateralization, which could negatively impact overall liquidity. Based on the fair value of our derivatives as of December 31, 2025, we hold no net short positions against a counterparty; therefore, we were not required to post collateral at December 31, 2025.</w:t>
      </w:r>
    </w:p>
    <w:p>
      <w:pPr>
        <w:spacing w:after="0" w:line="91" w:lineRule="exact"/>
        <w:rPr>
          <w:sz w:val="20"/>
          <w:szCs w:val="20"/>
          <w:color w:val="auto"/>
        </w:rPr>
      </w:pPr>
    </w:p>
    <w:p>
      <w:pPr>
        <w:jc w:val="both"/>
        <w:ind w:firstLine="353"/>
        <w:spacing w:after="0" w:line="254" w:lineRule="auto"/>
        <w:rPr>
          <w:sz w:val="20"/>
          <w:szCs w:val="20"/>
          <w:color w:val="auto"/>
        </w:rPr>
      </w:pPr>
      <w:r>
        <w:rPr>
          <w:rFonts w:ascii="Arial" w:cs="Arial" w:eastAsia="Arial" w:hAnsi="Arial"/>
          <w:sz w:val="20"/>
          <w:szCs w:val="20"/>
          <w:color w:val="auto"/>
        </w:rPr>
        <w:t>A downgrade of the financial strength rating of one of our principal insurance subsidiaries could affect our competitive position in the insurance industry and make it more difficult for us to market our products, as potential customers may select companies with higher financial strength ratings. A downgrade of the financial strength rating could also impact our borrowing costs.</w:t>
      </w:r>
    </w:p>
    <w:p>
      <w:pPr>
        <w:spacing w:after="0" w:line="83" w:lineRule="exact"/>
        <w:rPr>
          <w:sz w:val="20"/>
          <w:szCs w:val="20"/>
          <w:color w:val="auto"/>
        </w:rPr>
      </w:pPr>
    </w:p>
    <w:p>
      <w:pPr>
        <w:jc w:val="both"/>
        <w:ind w:firstLine="353"/>
        <w:spacing w:after="0" w:line="297" w:lineRule="auto"/>
        <w:rPr>
          <w:sz w:val="20"/>
          <w:szCs w:val="20"/>
          <w:color w:val="auto"/>
        </w:rPr>
      </w:pPr>
      <w:r>
        <w:rPr>
          <w:rFonts w:ascii="Arial" w:cs="Arial" w:eastAsia="Arial" w:hAnsi="Arial"/>
          <w:sz w:val="17"/>
          <w:szCs w:val="17"/>
          <w:b w:val="1"/>
          <w:bCs w:val="1"/>
          <w:i w:val="1"/>
          <w:iCs w:val="1"/>
          <w:color w:val="auto"/>
        </w:rPr>
        <w:t xml:space="preserve">Regulation - U.S. </w:t>
      </w:r>
      <w:r>
        <w:rPr>
          <w:rFonts w:ascii="Arial" w:cs="Arial" w:eastAsia="Arial" w:hAnsi="Arial"/>
          <w:sz w:val="17"/>
          <w:szCs w:val="17"/>
          <w:color w:val="auto"/>
        </w:rPr>
        <w:t>FGL Insurance, FGL NY Insurance, Raven Re and Corbeau Re are subject to comprehensive regulation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and supervision in their domiciles, Iowa, New York, Vermont and Vermont, respectively, and in each state in which they do business. FGL Insurance does business throughout the United States and Puerto Rico, except for New York. FGL NY Insurance only does business in New York. Raven Re is a special purpose captive reinsurance company that only provides reinsurance to FGL Insurance under the CARVM Treaty. Corbeau Re, a wholly owned captive reinsurance company, reinsures certain of FGL Insurance’s indexed annuity policies with GMWB and GWP. FGL Insurance’s principal insurance regulatory authority is the IID; however, state insurance departments throughout the United States also monitor FGL Insurance’s insurance operations as a licensed insurer. The New York State Department of Financial Services (“NYDFS”) regulates the operations of FGL NY Insurance. The purpose of these regulations is primarily to protect insurers’ policyholders and beneficiaries and not their general creditors and shareholders of those insurers or of their holding companies. Many of the laws and regulations to which</w:t>
      </w:r>
    </w:p>
    <w:p>
      <w:pPr>
        <w:sectPr>
          <w:pgSz w:w="11880" w:h="15480" w:orient="portrait"/>
          <w:cols w:equalWidth="0" w:num="1">
            <w:col w:w="10040"/>
          </w:cols>
          <w:pgMar w:left="920" w:top="772" w:right="920" w:bottom="0" w:gutter="0" w:footer="0" w:header="0"/>
        </w:sect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25</w:t>
      </w:r>
    </w:p>
    <w:p>
      <w:pPr>
        <w:sectPr>
          <w:pgSz w:w="11880" w:h="15480" w:orient="portrait"/>
          <w:cols w:equalWidth="0" w:num="1">
            <w:col w:w="10040"/>
          </w:cols>
          <w:pgMar w:left="920" w:top="772" w:right="920" w:bottom="0" w:gutter="0" w:footer="0" w:header="0"/>
          <w:type w:val="continuous"/>
        </w:sectPr>
      </w:pPr>
    </w:p>
    <w:bookmarkStart w:id="37" w:name="page38"/>
    <w:bookmarkEnd w:id="37"/>
    <w:p>
      <w:pPr>
        <w:jc w:val="both"/>
        <w:spacing w:after="0" w:line="271" w:lineRule="auto"/>
        <w:rPr>
          <w:sz w:val="20"/>
          <w:szCs w:val="20"/>
          <w:color w:val="auto"/>
        </w:rPr>
      </w:pPr>
      <w:r>
        <w:rPr>
          <w:rFonts w:ascii="Arial" w:cs="Arial" w:eastAsia="Arial" w:hAnsi="Arial"/>
          <w:sz w:val="20"/>
          <w:szCs w:val="20"/>
          <w:color w:val="auto"/>
        </w:rPr>
        <w:t>FGL Insurance and FGL NY Insurance are subject are regularly re-examined and existing or future laws and regulations may become more restrictive or otherwise adversely affect their operations.</w:t>
      </w:r>
    </w:p>
    <w:p>
      <w:pPr>
        <w:spacing w:after="0" w:line="69" w:lineRule="exact"/>
        <w:rPr>
          <w:sz w:val="20"/>
          <w:szCs w:val="20"/>
          <w:color w:val="auto"/>
        </w:rPr>
      </w:pPr>
    </w:p>
    <w:p>
      <w:pPr>
        <w:jc w:val="both"/>
        <w:ind w:firstLine="353"/>
        <w:spacing w:after="0" w:line="258" w:lineRule="auto"/>
        <w:rPr>
          <w:sz w:val="20"/>
          <w:szCs w:val="20"/>
          <w:color w:val="auto"/>
        </w:rPr>
      </w:pPr>
      <w:r>
        <w:rPr>
          <w:rFonts w:ascii="Arial" w:cs="Arial" w:eastAsia="Arial" w:hAnsi="Arial"/>
          <w:sz w:val="20"/>
          <w:szCs w:val="20"/>
          <w:color w:val="auto"/>
        </w:rPr>
        <w:t>Generally, insurance products underwritten by, and rates used by FGL Insurance and FGL NY Insurance must be approved by the insurance regulators in each state or territory in which they are sold. In addition, insurance products may also be subject to the Employee Retirement Income Security Act of 1974 ("ERISA").</w:t>
      </w:r>
    </w:p>
    <w:p>
      <w:pPr>
        <w:spacing w:after="0" w:line="82" w:lineRule="exact"/>
        <w:rPr>
          <w:sz w:val="20"/>
          <w:szCs w:val="20"/>
          <w:color w:val="auto"/>
        </w:rPr>
      </w:pPr>
    </w:p>
    <w:p>
      <w:pPr>
        <w:jc w:val="both"/>
        <w:ind w:firstLine="353"/>
        <w:spacing w:after="0" w:line="271" w:lineRule="auto"/>
        <w:rPr>
          <w:sz w:val="20"/>
          <w:szCs w:val="20"/>
          <w:color w:val="auto"/>
        </w:rPr>
      </w:pPr>
      <w:r>
        <w:rPr>
          <w:rFonts w:ascii="Arial" w:cs="Arial" w:eastAsia="Arial" w:hAnsi="Arial"/>
          <w:sz w:val="20"/>
          <w:szCs w:val="20"/>
          <w:color w:val="auto"/>
        </w:rPr>
        <w:t>State insurance authorities have broad administrative powers over FGL Insurance and FGL NY Insurance with respect to all aspects of the insurance business including:</w:t>
      </w:r>
    </w:p>
    <w:p>
      <w:pPr>
        <w:spacing w:after="0" w:line="39" w:lineRule="exact"/>
        <w:rPr>
          <w:sz w:val="20"/>
          <w:szCs w:val="20"/>
          <w:color w:val="auto"/>
        </w:rPr>
      </w:pPr>
    </w:p>
    <w:p>
      <w:pPr>
        <w:ind w:left="700" w:hanging="222"/>
        <w:spacing w:after="0"/>
        <w:tabs>
          <w:tab w:leader="none" w:pos="700" w:val="left"/>
        </w:tabs>
        <w:numPr>
          <w:ilvl w:val="0"/>
          <w:numId w:val="23"/>
        </w:numPr>
        <w:rPr>
          <w:rFonts w:ascii="Arial" w:cs="Arial" w:eastAsia="Arial" w:hAnsi="Arial"/>
          <w:sz w:val="20"/>
          <w:szCs w:val="20"/>
          <w:color w:val="auto"/>
        </w:rPr>
      </w:pPr>
      <w:r>
        <w:rPr>
          <w:rFonts w:ascii="Arial" w:cs="Arial" w:eastAsia="Arial" w:hAnsi="Arial"/>
          <w:sz w:val="20"/>
          <w:szCs w:val="20"/>
          <w:color w:val="auto"/>
        </w:rPr>
        <w:t>licensing to transact business;</w:t>
      </w:r>
    </w:p>
    <w:p>
      <w:pPr>
        <w:spacing w:after="0" w:line="93" w:lineRule="exact"/>
        <w:rPr>
          <w:rFonts w:ascii="Arial" w:cs="Arial" w:eastAsia="Arial" w:hAnsi="Arial"/>
          <w:sz w:val="20"/>
          <w:szCs w:val="20"/>
          <w:color w:val="auto"/>
        </w:rPr>
      </w:pPr>
    </w:p>
    <w:p>
      <w:pPr>
        <w:ind w:left="700" w:hanging="222"/>
        <w:spacing w:after="0"/>
        <w:tabs>
          <w:tab w:leader="none" w:pos="700" w:val="left"/>
        </w:tabs>
        <w:numPr>
          <w:ilvl w:val="0"/>
          <w:numId w:val="23"/>
        </w:numPr>
        <w:rPr>
          <w:rFonts w:ascii="Arial" w:cs="Arial" w:eastAsia="Arial" w:hAnsi="Arial"/>
          <w:sz w:val="20"/>
          <w:szCs w:val="20"/>
          <w:color w:val="auto"/>
        </w:rPr>
      </w:pPr>
      <w:r>
        <w:rPr>
          <w:rFonts w:ascii="Arial" w:cs="Arial" w:eastAsia="Arial" w:hAnsi="Arial"/>
          <w:sz w:val="20"/>
          <w:szCs w:val="20"/>
          <w:color w:val="auto"/>
        </w:rPr>
        <w:t>licensing agents;</w:t>
      </w:r>
    </w:p>
    <w:p>
      <w:pPr>
        <w:spacing w:after="0" w:line="93" w:lineRule="exact"/>
        <w:rPr>
          <w:rFonts w:ascii="Arial" w:cs="Arial" w:eastAsia="Arial" w:hAnsi="Arial"/>
          <w:sz w:val="20"/>
          <w:szCs w:val="20"/>
          <w:color w:val="auto"/>
        </w:rPr>
      </w:pPr>
    </w:p>
    <w:p>
      <w:pPr>
        <w:ind w:left="700" w:hanging="222"/>
        <w:spacing w:after="0"/>
        <w:tabs>
          <w:tab w:leader="none" w:pos="700" w:val="left"/>
        </w:tabs>
        <w:numPr>
          <w:ilvl w:val="0"/>
          <w:numId w:val="23"/>
        </w:numPr>
        <w:rPr>
          <w:rFonts w:ascii="Arial" w:cs="Arial" w:eastAsia="Arial" w:hAnsi="Arial"/>
          <w:sz w:val="20"/>
          <w:szCs w:val="20"/>
          <w:color w:val="auto"/>
        </w:rPr>
      </w:pPr>
      <w:r>
        <w:rPr>
          <w:rFonts w:ascii="Arial" w:cs="Arial" w:eastAsia="Arial" w:hAnsi="Arial"/>
          <w:sz w:val="20"/>
          <w:szCs w:val="20"/>
          <w:color w:val="auto"/>
        </w:rPr>
        <w:t>prescribing which assets and liabilities are to be considered in determining statutory surplus;</w:t>
      </w:r>
    </w:p>
    <w:p>
      <w:pPr>
        <w:spacing w:after="0" w:line="93" w:lineRule="exact"/>
        <w:rPr>
          <w:rFonts w:ascii="Arial" w:cs="Arial" w:eastAsia="Arial" w:hAnsi="Arial"/>
          <w:sz w:val="20"/>
          <w:szCs w:val="20"/>
          <w:color w:val="auto"/>
        </w:rPr>
      </w:pPr>
    </w:p>
    <w:p>
      <w:pPr>
        <w:ind w:left="700" w:hanging="222"/>
        <w:spacing w:after="0"/>
        <w:tabs>
          <w:tab w:leader="none" w:pos="700" w:val="left"/>
        </w:tabs>
        <w:numPr>
          <w:ilvl w:val="0"/>
          <w:numId w:val="23"/>
        </w:numPr>
        <w:rPr>
          <w:rFonts w:ascii="Arial" w:cs="Arial" w:eastAsia="Arial" w:hAnsi="Arial"/>
          <w:sz w:val="20"/>
          <w:szCs w:val="20"/>
          <w:color w:val="auto"/>
        </w:rPr>
      </w:pPr>
      <w:r>
        <w:rPr>
          <w:rFonts w:ascii="Arial" w:cs="Arial" w:eastAsia="Arial" w:hAnsi="Arial"/>
          <w:sz w:val="20"/>
          <w:szCs w:val="20"/>
          <w:color w:val="auto"/>
        </w:rPr>
        <w:t>regulating premium rates for certain insurance products;</w:t>
      </w:r>
    </w:p>
    <w:p>
      <w:pPr>
        <w:spacing w:after="0" w:line="93" w:lineRule="exact"/>
        <w:rPr>
          <w:rFonts w:ascii="Arial" w:cs="Arial" w:eastAsia="Arial" w:hAnsi="Arial"/>
          <w:sz w:val="20"/>
          <w:szCs w:val="20"/>
          <w:color w:val="auto"/>
        </w:rPr>
      </w:pPr>
    </w:p>
    <w:p>
      <w:pPr>
        <w:ind w:left="700" w:hanging="222"/>
        <w:spacing w:after="0"/>
        <w:tabs>
          <w:tab w:leader="none" w:pos="700" w:val="left"/>
        </w:tabs>
        <w:numPr>
          <w:ilvl w:val="0"/>
          <w:numId w:val="23"/>
        </w:numPr>
        <w:rPr>
          <w:rFonts w:ascii="Arial" w:cs="Arial" w:eastAsia="Arial" w:hAnsi="Arial"/>
          <w:sz w:val="20"/>
          <w:szCs w:val="20"/>
          <w:color w:val="auto"/>
        </w:rPr>
      </w:pPr>
      <w:r>
        <w:rPr>
          <w:rFonts w:ascii="Arial" w:cs="Arial" w:eastAsia="Arial" w:hAnsi="Arial"/>
          <w:sz w:val="20"/>
          <w:szCs w:val="20"/>
          <w:color w:val="auto"/>
        </w:rPr>
        <w:t>approving policy forms and certain related materials;</w:t>
      </w:r>
    </w:p>
    <w:p>
      <w:pPr>
        <w:spacing w:after="0" w:line="93" w:lineRule="exact"/>
        <w:rPr>
          <w:rFonts w:ascii="Arial" w:cs="Arial" w:eastAsia="Arial" w:hAnsi="Arial"/>
          <w:sz w:val="20"/>
          <w:szCs w:val="20"/>
          <w:color w:val="auto"/>
        </w:rPr>
      </w:pPr>
    </w:p>
    <w:p>
      <w:pPr>
        <w:ind w:left="700" w:hanging="222"/>
        <w:spacing w:after="0" w:line="342" w:lineRule="auto"/>
        <w:tabs>
          <w:tab w:leader="none" w:pos="700" w:val="left"/>
        </w:tabs>
        <w:numPr>
          <w:ilvl w:val="0"/>
          <w:numId w:val="23"/>
        </w:numPr>
        <w:rPr>
          <w:rFonts w:ascii="Arial" w:cs="Arial" w:eastAsia="Arial" w:hAnsi="Arial"/>
          <w:sz w:val="17"/>
          <w:szCs w:val="17"/>
          <w:color w:val="auto"/>
        </w:rPr>
      </w:pPr>
      <w:r>
        <w:rPr>
          <w:rFonts w:ascii="Arial" w:cs="Arial" w:eastAsia="Arial" w:hAnsi="Arial"/>
          <w:sz w:val="17"/>
          <w:szCs w:val="17"/>
          <w:color w:val="auto"/>
        </w:rPr>
        <w:t>requiring insurers and agents to act in the best interests of consumers when making recommendations to purchase annuities, or to determine whether a reasonable basis exists as to the suitability of such investments for consumers;</w:t>
      </w:r>
    </w:p>
    <w:p>
      <w:pPr>
        <w:spacing w:after="0" w:line="1" w:lineRule="exact"/>
        <w:rPr>
          <w:rFonts w:ascii="Arial" w:cs="Arial" w:eastAsia="Arial" w:hAnsi="Arial"/>
          <w:sz w:val="17"/>
          <w:szCs w:val="17"/>
          <w:color w:val="auto"/>
        </w:rPr>
      </w:pPr>
    </w:p>
    <w:p>
      <w:pPr>
        <w:ind w:left="700" w:hanging="222"/>
        <w:spacing w:after="0"/>
        <w:tabs>
          <w:tab w:leader="none" w:pos="700" w:val="left"/>
        </w:tabs>
        <w:numPr>
          <w:ilvl w:val="0"/>
          <w:numId w:val="23"/>
        </w:numPr>
        <w:rPr>
          <w:rFonts w:ascii="Arial" w:cs="Arial" w:eastAsia="Arial" w:hAnsi="Arial"/>
          <w:sz w:val="20"/>
          <w:szCs w:val="20"/>
          <w:color w:val="auto"/>
        </w:rPr>
      </w:pPr>
      <w:r>
        <w:rPr>
          <w:rFonts w:ascii="Arial" w:cs="Arial" w:eastAsia="Arial" w:hAnsi="Arial"/>
          <w:sz w:val="20"/>
          <w:szCs w:val="20"/>
          <w:color w:val="auto"/>
        </w:rPr>
        <w:t>regulating unfair trade and claims practices;</w:t>
      </w:r>
    </w:p>
    <w:p>
      <w:pPr>
        <w:spacing w:after="0" w:line="93" w:lineRule="exact"/>
        <w:rPr>
          <w:rFonts w:ascii="Arial" w:cs="Arial" w:eastAsia="Arial" w:hAnsi="Arial"/>
          <w:sz w:val="20"/>
          <w:szCs w:val="20"/>
          <w:color w:val="auto"/>
        </w:rPr>
      </w:pPr>
    </w:p>
    <w:p>
      <w:pPr>
        <w:ind w:left="700" w:hanging="222"/>
        <w:spacing w:after="0"/>
        <w:tabs>
          <w:tab w:leader="none" w:pos="700" w:val="left"/>
        </w:tabs>
        <w:numPr>
          <w:ilvl w:val="0"/>
          <w:numId w:val="23"/>
        </w:numPr>
        <w:rPr>
          <w:rFonts w:ascii="Arial" w:cs="Arial" w:eastAsia="Arial" w:hAnsi="Arial"/>
          <w:sz w:val="20"/>
          <w:szCs w:val="20"/>
          <w:color w:val="auto"/>
        </w:rPr>
      </w:pPr>
      <w:r>
        <w:rPr>
          <w:rFonts w:ascii="Arial" w:cs="Arial" w:eastAsia="Arial" w:hAnsi="Arial"/>
          <w:sz w:val="20"/>
          <w:szCs w:val="20"/>
          <w:color w:val="auto"/>
        </w:rPr>
        <w:t>establishing reserve requirements and solvency standards;</w:t>
      </w:r>
    </w:p>
    <w:p>
      <w:pPr>
        <w:spacing w:after="0" w:line="93" w:lineRule="exact"/>
        <w:rPr>
          <w:rFonts w:ascii="Arial" w:cs="Arial" w:eastAsia="Arial" w:hAnsi="Arial"/>
          <w:sz w:val="20"/>
          <w:szCs w:val="20"/>
          <w:color w:val="auto"/>
        </w:rPr>
      </w:pPr>
    </w:p>
    <w:p>
      <w:pPr>
        <w:ind w:left="700" w:hanging="222"/>
        <w:spacing w:after="0"/>
        <w:tabs>
          <w:tab w:leader="none" w:pos="700" w:val="left"/>
        </w:tabs>
        <w:numPr>
          <w:ilvl w:val="0"/>
          <w:numId w:val="23"/>
        </w:numPr>
        <w:rPr>
          <w:rFonts w:ascii="Arial" w:cs="Arial" w:eastAsia="Arial" w:hAnsi="Arial"/>
          <w:sz w:val="20"/>
          <w:szCs w:val="20"/>
          <w:color w:val="auto"/>
        </w:rPr>
      </w:pPr>
      <w:r>
        <w:rPr>
          <w:rFonts w:ascii="Arial" w:cs="Arial" w:eastAsia="Arial" w:hAnsi="Arial"/>
          <w:sz w:val="20"/>
          <w:szCs w:val="20"/>
          <w:color w:val="auto"/>
        </w:rPr>
        <w:t>regulating the amount of dividends that may be paid in any year by insurance companies;</w:t>
      </w:r>
    </w:p>
    <w:p>
      <w:pPr>
        <w:spacing w:after="0" w:line="93" w:lineRule="exact"/>
        <w:rPr>
          <w:rFonts w:ascii="Arial" w:cs="Arial" w:eastAsia="Arial" w:hAnsi="Arial"/>
          <w:sz w:val="20"/>
          <w:szCs w:val="20"/>
          <w:color w:val="auto"/>
        </w:rPr>
      </w:pPr>
    </w:p>
    <w:p>
      <w:pPr>
        <w:jc w:val="both"/>
        <w:ind w:left="700" w:hanging="222"/>
        <w:spacing w:after="0" w:line="258" w:lineRule="auto"/>
        <w:tabs>
          <w:tab w:leader="none" w:pos="700" w:val="left"/>
        </w:tabs>
        <w:numPr>
          <w:ilvl w:val="0"/>
          <w:numId w:val="23"/>
        </w:numPr>
        <w:rPr>
          <w:rFonts w:ascii="Arial" w:cs="Arial" w:eastAsia="Arial" w:hAnsi="Arial"/>
          <w:sz w:val="20"/>
          <w:szCs w:val="20"/>
          <w:color w:val="auto"/>
        </w:rPr>
      </w:pPr>
      <w:r>
        <w:rPr>
          <w:rFonts w:ascii="Arial" w:cs="Arial" w:eastAsia="Arial" w:hAnsi="Arial"/>
          <w:sz w:val="20"/>
          <w:szCs w:val="20"/>
          <w:color w:val="auto"/>
        </w:rPr>
        <w:t>regulating the availability of reinsurance or other substitute financing solutions, the terms thereof and the ability of an insurer to take credit on its financial statements for insurance ceded to reinsurers or other substitute financing solutions;</w:t>
      </w:r>
    </w:p>
    <w:p>
      <w:pPr>
        <w:spacing w:after="0" w:line="52" w:lineRule="exact"/>
        <w:rPr>
          <w:rFonts w:ascii="Arial" w:cs="Arial" w:eastAsia="Arial" w:hAnsi="Arial"/>
          <w:sz w:val="20"/>
          <w:szCs w:val="20"/>
          <w:color w:val="auto"/>
        </w:rPr>
      </w:pPr>
    </w:p>
    <w:p>
      <w:pPr>
        <w:ind w:left="700" w:hanging="222"/>
        <w:spacing w:after="0"/>
        <w:tabs>
          <w:tab w:leader="none" w:pos="700" w:val="left"/>
        </w:tabs>
        <w:numPr>
          <w:ilvl w:val="0"/>
          <w:numId w:val="23"/>
        </w:numPr>
        <w:rPr>
          <w:rFonts w:ascii="Arial" w:cs="Arial" w:eastAsia="Arial" w:hAnsi="Arial"/>
          <w:sz w:val="17"/>
          <w:szCs w:val="17"/>
          <w:color w:val="auto"/>
        </w:rPr>
      </w:pPr>
      <w:r>
        <w:rPr>
          <w:rFonts w:ascii="Arial" w:cs="Arial" w:eastAsia="Arial" w:hAnsi="Arial"/>
          <w:sz w:val="17"/>
          <w:szCs w:val="17"/>
          <w:color w:val="auto"/>
        </w:rPr>
        <w:t>fixing maximum interest rates on life insurance policy loans and minimum accumulation or surrender values; and</w:t>
      </w:r>
    </w:p>
    <w:p>
      <w:pPr>
        <w:spacing w:after="0" w:line="127" w:lineRule="exact"/>
        <w:rPr>
          <w:rFonts w:ascii="Arial" w:cs="Arial" w:eastAsia="Arial" w:hAnsi="Arial"/>
          <w:sz w:val="17"/>
          <w:szCs w:val="17"/>
          <w:color w:val="auto"/>
        </w:rPr>
      </w:pPr>
    </w:p>
    <w:p>
      <w:pPr>
        <w:ind w:left="700" w:hanging="222"/>
        <w:spacing w:after="0"/>
        <w:tabs>
          <w:tab w:leader="none" w:pos="700" w:val="left"/>
        </w:tabs>
        <w:numPr>
          <w:ilvl w:val="0"/>
          <w:numId w:val="23"/>
        </w:numPr>
        <w:rPr>
          <w:rFonts w:ascii="Arial" w:cs="Arial" w:eastAsia="Arial" w:hAnsi="Arial"/>
          <w:sz w:val="17"/>
          <w:szCs w:val="17"/>
          <w:color w:val="auto"/>
        </w:rPr>
      </w:pPr>
      <w:r>
        <w:rPr>
          <w:rFonts w:ascii="Arial" w:cs="Arial" w:eastAsia="Arial" w:hAnsi="Arial"/>
          <w:sz w:val="17"/>
          <w:szCs w:val="17"/>
          <w:color w:val="auto"/>
        </w:rPr>
        <w:t>regulating the type, amounts, and valuations of investments permitted, transactions with affiliates, and other matters.</w:t>
      </w:r>
    </w:p>
    <w:p>
      <w:pPr>
        <w:spacing w:after="0" w:line="128" w:lineRule="exact"/>
        <w:rPr>
          <w:sz w:val="20"/>
          <w:szCs w:val="20"/>
          <w:color w:val="auto"/>
        </w:rPr>
      </w:pPr>
    </w:p>
    <w:p>
      <w:pPr>
        <w:jc w:val="both"/>
        <w:ind w:firstLine="353"/>
        <w:spacing w:after="0" w:line="251" w:lineRule="auto"/>
        <w:rPr>
          <w:sz w:val="20"/>
          <w:szCs w:val="20"/>
          <w:color w:val="auto"/>
        </w:rPr>
      </w:pPr>
      <w:r>
        <w:rPr>
          <w:rFonts w:ascii="Arial" w:cs="Arial" w:eastAsia="Arial" w:hAnsi="Arial"/>
          <w:sz w:val="20"/>
          <w:szCs w:val="20"/>
          <w:color w:val="auto"/>
        </w:rPr>
        <w:t>State insurance laws and regulations require FGL Insurance, FGL NY Insurance, Raven Re and Corbeau Re to file reports, including financial statements, with state insurance departments in each state in which they do business, and their operations and accounts are subject to examination by those departments at any time. FGL Insurance, FGL NY Insurance, Raven Re and Corbeau Re prepare statutory financial statements in accordance with accounting practices and procedures prescribed or permitted by these departments.</w:t>
      </w:r>
    </w:p>
    <w:p>
      <w:pPr>
        <w:spacing w:after="0" w:line="91" w:lineRule="exact"/>
        <w:rPr>
          <w:sz w:val="20"/>
          <w:szCs w:val="20"/>
          <w:color w:val="auto"/>
        </w:rPr>
      </w:pPr>
    </w:p>
    <w:p>
      <w:pPr>
        <w:jc w:val="both"/>
        <w:ind w:firstLine="353"/>
        <w:spacing w:after="0" w:line="296" w:lineRule="auto"/>
        <w:rPr>
          <w:sz w:val="20"/>
          <w:szCs w:val="20"/>
          <w:color w:val="auto"/>
        </w:rPr>
      </w:pPr>
      <w:r>
        <w:rPr>
          <w:rFonts w:ascii="Arial" w:cs="Arial" w:eastAsia="Arial" w:hAnsi="Arial"/>
          <w:sz w:val="17"/>
          <w:szCs w:val="17"/>
          <w:color w:val="auto"/>
        </w:rPr>
        <w:t>The NAIC has approved a series of statutory accounting principles and various model regulations that have been adopted, in some cases with certain modifications, by all state insurance departments. These statutory principles are subject to ongoing change and modification. Moreover, compliance with any particular regulator’s interpretation of a legal or accounting issue may not result in compliance with another regulator’s interpretation of the same issue, particularly when compliance is judged in hindsight. Any particular regulator’s interpretation of a legal or accounting issue may change over time to FGL Insurance’s, FGL NY Insurance’s, Raven Re’s or Corbeau Re’s detriment, or changes to the overall legal or market environment, even absent any change of interpretation by a particular regulator, may cause FGL Insurance, FGL NY Insurance, Raven Re and Corbeau Re to change their views regarding the actions they need to take from a legal risk management perspective, which could necessitate changes to FGL Insurance’s, FGL NY Insurance’s, Raven Re’s or Corbeau Re’s practices that may, in some cases, limit their ability to grow and improve profitability.</w:t>
      </w:r>
    </w:p>
    <w:p>
      <w:pPr>
        <w:spacing w:after="0" w:line="59" w:lineRule="exact"/>
        <w:rPr>
          <w:sz w:val="20"/>
          <w:szCs w:val="20"/>
          <w:color w:val="auto"/>
        </w:rPr>
      </w:pPr>
    </w:p>
    <w:p>
      <w:pPr>
        <w:jc w:val="both"/>
        <w:ind w:firstLine="353"/>
        <w:spacing w:after="0" w:line="251" w:lineRule="auto"/>
        <w:rPr>
          <w:sz w:val="20"/>
          <w:szCs w:val="20"/>
          <w:color w:val="auto"/>
        </w:rPr>
      </w:pPr>
      <w:r>
        <w:rPr>
          <w:rFonts w:ascii="Arial" w:cs="Arial" w:eastAsia="Arial" w:hAnsi="Arial"/>
          <w:sz w:val="20"/>
          <w:szCs w:val="20"/>
          <w:color w:val="auto"/>
        </w:rPr>
        <w:t>State insurance departments conduct periodic examinations of the books and records, financial reporting, policy and rate filings, market conduct and business practices of insurance companies domiciled in their states, generally once every three to five years. Examinations are generally carried out in cooperation with the insurance departments of other states under guidelines promulgated by the NAIC. State insurance departments also have the authority to conduct examinations of non-domiciliary insurers that are licensed in their states.</w:t>
      </w:r>
    </w:p>
    <w:p>
      <w:pPr>
        <w:spacing w:after="0" w:line="91" w:lineRule="exact"/>
        <w:rPr>
          <w:sz w:val="20"/>
          <w:szCs w:val="20"/>
          <w:color w:val="auto"/>
        </w:rPr>
      </w:pPr>
    </w:p>
    <w:p>
      <w:pPr>
        <w:jc w:val="both"/>
        <w:ind w:firstLine="353"/>
        <w:spacing w:after="0" w:line="271" w:lineRule="auto"/>
        <w:rPr>
          <w:sz w:val="20"/>
          <w:szCs w:val="20"/>
          <w:color w:val="auto"/>
        </w:rPr>
      </w:pPr>
      <w:r>
        <w:rPr>
          <w:rFonts w:ascii="Arial" w:cs="Arial" w:eastAsia="Arial" w:hAnsi="Arial"/>
          <w:sz w:val="20"/>
          <w:szCs w:val="20"/>
          <w:color w:val="auto"/>
        </w:rPr>
        <w:t>The Iowa insurance law and the New York insurance law regulate the amount of dividends that may be paid in any year by FGL Insurance and FGL NY Insurance, respectively.</w:t>
      </w:r>
    </w:p>
    <w:p>
      <w:pPr>
        <w:spacing w:after="0" w:line="69" w:lineRule="exact"/>
        <w:rPr>
          <w:sz w:val="20"/>
          <w:szCs w:val="20"/>
          <w:color w:val="auto"/>
        </w:rPr>
      </w:pPr>
    </w:p>
    <w:p>
      <w:pPr>
        <w:jc w:val="both"/>
        <w:ind w:firstLine="353"/>
        <w:spacing w:after="0" w:line="306" w:lineRule="auto"/>
        <w:rPr>
          <w:sz w:val="20"/>
          <w:szCs w:val="20"/>
          <w:color w:val="auto"/>
        </w:rPr>
      </w:pPr>
      <w:r>
        <w:rPr>
          <w:rFonts w:ascii="Arial" w:cs="Arial" w:eastAsia="Arial" w:hAnsi="Arial"/>
          <w:sz w:val="17"/>
          <w:szCs w:val="17"/>
          <w:color w:val="auto"/>
        </w:rPr>
        <w:t>FGL Insurance dividends are paid as declared by its Board of Directors. Pursuant to Iowa insurance law, any proposed payment of a dividend is classified as an “extraordinary dividend” if it, together with the aggregate fair market value of other dividends or distributions made during the preceding twelve months, exceeds the greater of (i) 10% of capital and surplus as of the preceding December 31 or (ii) net gain from operations before realized capital gains or losses for twelve month period ending December 31 of the preceding year. No extraordinary dividends may be paid without prior approval of the IID. In</w:t>
      </w:r>
    </w:p>
    <w:p>
      <w:pPr>
        <w:sectPr>
          <w:pgSz w:w="11880" w:h="15480" w:orient="portrait"/>
          <w:cols w:equalWidth="0" w:num="1">
            <w:col w:w="10040"/>
          </w:cols>
          <w:pgMar w:left="920" w:top="772"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26</w:t>
      </w:r>
    </w:p>
    <w:p>
      <w:pPr>
        <w:sectPr>
          <w:pgSz w:w="11880" w:h="15480" w:orient="portrait"/>
          <w:cols w:equalWidth="0" w:num="1">
            <w:col w:w="10040"/>
          </w:cols>
          <w:pgMar w:left="920" w:top="772" w:right="920" w:bottom="0" w:gutter="0" w:footer="0" w:header="0"/>
          <w:type w:val="continuous"/>
        </w:sectPr>
      </w:pPr>
    </w:p>
    <w:bookmarkStart w:id="38" w:name="page39"/>
    <w:bookmarkEnd w:id="38"/>
    <w:p>
      <w:pPr>
        <w:jc w:val="both"/>
        <w:spacing w:after="0" w:line="271" w:lineRule="auto"/>
        <w:rPr>
          <w:sz w:val="20"/>
          <w:szCs w:val="20"/>
          <w:color w:val="auto"/>
        </w:rPr>
      </w:pPr>
      <w:r>
        <w:rPr>
          <w:rFonts w:ascii="Arial" w:cs="Arial" w:eastAsia="Arial" w:hAnsi="Arial"/>
          <w:sz w:val="20"/>
          <w:szCs w:val="20"/>
          <w:color w:val="auto"/>
        </w:rPr>
        <w:t>addition, no ordinary dividends may be paid except from the earned profits arising from FGL Insurance’s business, which does not include contributed capital or contributed surplus.</w:t>
      </w:r>
    </w:p>
    <w:p>
      <w:pPr>
        <w:spacing w:after="0" w:line="69" w:lineRule="exact"/>
        <w:rPr>
          <w:sz w:val="20"/>
          <w:szCs w:val="20"/>
          <w:color w:val="auto"/>
        </w:rPr>
      </w:pPr>
    </w:p>
    <w:p>
      <w:pPr>
        <w:jc w:val="both"/>
        <w:ind w:firstLine="353"/>
        <w:spacing w:after="0" w:line="298" w:lineRule="auto"/>
        <w:rPr>
          <w:sz w:val="20"/>
          <w:szCs w:val="20"/>
          <w:color w:val="auto"/>
        </w:rPr>
      </w:pPr>
      <w:r>
        <w:rPr>
          <w:rFonts w:ascii="Arial" w:cs="Arial" w:eastAsia="Arial" w:hAnsi="Arial"/>
          <w:sz w:val="19"/>
          <w:szCs w:val="19"/>
          <w:color w:val="auto"/>
        </w:rPr>
        <w:t>In 2025, FGL Insurance did not pay dividends to Fidelity &amp; Guaranty Life Holdings, Inc. (“FGLH”). Pursuant to the limitations described above, it is estimated that FGL Insurance’s maximum ordinary dividend capacity for 2026 is $0.</w:t>
      </w:r>
    </w:p>
    <w:p>
      <w:pPr>
        <w:spacing w:after="0" w:line="45" w:lineRule="exact"/>
        <w:rPr>
          <w:sz w:val="20"/>
          <w:szCs w:val="20"/>
          <w:color w:val="auto"/>
        </w:rPr>
      </w:pPr>
    </w:p>
    <w:p>
      <w:pPr>
        <w:jc w:val="both"/>
        <w:ind w:firstLine="353"/>
        <w:spacing w:after="0" w:line="299" w:lineRule="auto"/>
        <w:rPr>
          <w:sz w:val="20"/>
          <w:szCs w:val="20"/>
          <w:color w:val="auto"/>
        </w:rPr>
      </w:pPr>
      <w:r>
        <w:rPr>
          <w:rFonts w:ascii="Arial" w:cs="Arial" w:eastAsia="Arial" w:hAnsi="Arial"/>
          <w:sz w:val="17"/>
          <w:szCs w:val="17"/>
          <w:color w:val="auto"/>
        </w:rPr>
        <w:t xml:space="preserve">Any payment of dividends by FGL Insurance is subject to the regulatory restrictions described above and the approval of such payment by the board of directors of FGL Insurance, which must consider various factors, including general economic and business conditions, tax considerations, FGL Insurance’s strategic plans, financial results and condition, FGL Insurance’s expansion plans, any contractual, legal or regulatory restrictions on the payment of dividends and its effect on RBC and such other factors the board of directors of FGL Insurance considers relevant. For example, payments of dividends could reduce FGL Insurance’s RBC and financial condition and lead to a reduction in FGL Insurance’s financial strength rating. See section titled "Risks Relating to Our Business- </w:t>
      </w:r>
      <w:r>
        <w:rPr>
          <w:rFonts w:ascii="Arial" w:cs="Arial" w:eastAsia="Arial" w:hAnsi="Arial"/>
          <w:sz w:val="17"/>
          <w:szCs w:val="17"/>
          <w:b w:val="1"/>
          <w:bCs w:val="1"/>
          <w:i w:val="1"/>
          <w:iCs w:val="1"/>
          <w:color w:val="auto"/>
        </w:rPr>
        <w:t>If the rating agencies downgrade our insurance companies, our results of operations and</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financial condition may suffer.</w:t>
      </w:r>
      <w:r>
        <w:rPr>
          <w:rFonts w:ascii="Arial" w:cs="Arial" w:eastAsia="Arial" w:hAnsi="Arial"/>
          <w:sz w:val="17"/>
          <w:szCs w:val="17"/>
          <w:color w:val="auto"/>
        </w:rPr>
        <w:t>” in Item 1A. Risk Factors.</w:t>
      </w:r>
    </w:p>
    <w:p>
      <w:pPr>
        <w:spacing w:after="0" w:line="51" w:lineRule="exact"/>
        <w:rPr>
          <w:sz w:val="20"/>
          <w:szCs w:val="20"/>
          <w:color w:val="auto"/>
        </w:rPr>
      </w:pPr>
    </w:p>
    <w:p>
      <w:pPr>
        <w:jc w:val="both"/>
        <w:ind w:firstLine="353"/>
        <w:spacing w:after="0" w:line="254" w:lineRule="auto"/>
        <w:rPr>
          <w:sz w:val="20"/>
          <w:szCs w:val="20"/>
          <w:color w:val="auto"/>
        </w:rPr>
      </w:pPr>
      <w:r>
        <w:rPr>
          <w:rFonts w:ascii="Arial" w:cs="Arial" w:eastAsia="Arial" w:hAnsi="Arial"/>
          <w:sz w:val="20"/>
          <w:szCs w:val="20"/>
          <w:color w:val="auto"/>
        </w:rPr>
        <w:t>Each year, FGL NY Insurance may pay a certain limited amount of ordinary dividends or other distributions as calculated under New York insurance laws without being required to obtain the prior consent of the NYDFS. However, to pay any dividends or distributions (including the payment of any dividends or distributions for which prior consent is not required), FGL NY Insurance must provide advance written notice to the NYDFS.</w:t>
      </w:r>
    </w:p>
    <w:p>
      <w:pPr>
        <w:spacing w:after="0" w:line="85" w:lineRule="exact"/>
        <w:rPr>
          <w:sz w:val="20"/>
          <w:szCs w:val="20"/>
          <w:color w:val="auto"/>
        </w:rPr>
      </w:pPr>
    </w:p>
    <w:p>
      <w:pPr>
        <w:ind w:left="340"/>
        <w:spacing w:after="0"/>
        <w:rPr>
          <w:sz w:val="20"/>
          <w:szCs w:val="20"/>
          <w:color w:val="auto"/>
        </w:rPr>
      </w:pPr>
      <w:r>
        <w:rPr>
          <w:rFonts w:ascii="Arial" w:cs="Arial" w:eastAsia="Arial" w:hAnsi="Arial"/>
          <w:sz w:val="20"/>
          <w:szCs w:val="20"/>
          <w:color w:val="auto"/>
        </w:rPr>
        <w:t>FGL NY Insurance has historically not paid dividends.</w:t>
      </w:r>
    </w:p>
    <w:p>
      <w:pPr>
        <w:spacing w:after="0" w:line="123" w:lineRule="exact"/>
        <w:rPr>
          <w:sz w:val="20"/>
          <w:szCs w:val="20"/>
          <w:color w:val="auto"/>
        </w:rPr>
      </w:pPr>
    </w:p>
    <w:p>
      <w:pPr>
        <w:jc w:val="both"/>
        <w:ind w:firstLine="353"/>
        <w:spacing w:after="0" w:line="312" w:lineRule="auto"/>
        <w:rPr>
          <w:sz w:val="20"/>
          <w:szCs w:val="20"/>
          <w:color w:val="auto"/>
        </w:rPr>
      </w:pPr>
      <w:r>
        <w:rPr>
          <w:rFonts w:ascii="Arial" w:cs="Arial" w:eastAsia="Arial" w:hAnsi="Arial"/>
          <w:sz w:val="17"/>
          <w:szCs w:val="17"/>
          <w:color w:val="auto"/>
        </w:rPr>
        <w:t>FGL Insurance and FGL NY Insurance are subject to the supervision of the regulators in states where they are licensed to transact business. Regulators have discretionary authority in connection with the continued licensing of these entities to limit or prohibit sales to policyholders if, in their judgment, the regulators determine that such entities have not maintained the minimum surplus or capital or that the further transaction of business would be hazardous to policyholders.</w:t>
      </w:r>
    </w:p>
    <w:p>
      <w:pPr>
        <w:spacing w:after="0" w:line="42" w:lineRule="exact"/>
        <w:rPr>
          <w:sz w:val="20"/>
          <w:szCs w:val="20"/>
          <w:color w:val="auto"/>
        </w:rPr>
      </w:pPr>
    </w:p>
    <w:p>
      <w:pPr>
        <w:jc w:val="both"/>
        <w:ind w:firstLine="353"/>
        <w:spacing w:after="0" w:line="261" w:lineRule="auto"/>
        <w:rPr>
          <w:sz w:val="20"/>
          <w:szCs w:val="20"/>
          <w:color w:val="auto"/>
        </w:rPr>
      </w:pPr>
      <w:r>
        <w:rPr>
          <w:rFonts w:ascii="Arial" w:cs="Arial" w:eastAsia="Arial" w:hAnsi="Arial"/>
          <w:sz w:val="19"/>
          <w:szCs w:val="19"/>
          <w:color w:val="auto"/>
        </w:rPr>
        <w:t>In order to enhance the regulation of insurers’ solvency, the NAIC adopted a model law to implement RBC requirements for life, health and property and casualty insurance companies. All states have adopted the NAIC’s model law or a substantially similar law. RBC is used to evaluate the adequacy of capital and surplus maintained by an insurance company in relation to risks associated with: (i) asset risk, (ii) insurance risk, (iii) interest rate risk, and (iv) business risk. In general, RBC is calculated by applying factors to various asset, premium and reserve items, taking into account the risk characteristics of the insurer. Within a given risk category, these factors are higher for those items with greater underlying risk and lower for items with lower underlying risk. The RBC formula is used as an early warning regulatory tool to identify possible inadequately capitalized insurers for purposes of initiating regulatory action, and not as a means to rank insurers generally. Insurers that have less statutory capital than the RBC calculation requires are considered to have inadequate capital and are subject to varying degrees of regulatory action depending upon the level of capital inadequacy. As of the most recent annual statutory financial statements filed with insurance regulators, the RBC ratios for FGL Insurance and FGL NY Insurance each exceeded the minimum RBC requirements.</w:t>
      </w:r>
    </w:p>
    <w:p>
      <w:pPr>
        <w:spacing w:after="0" w:line="89" w:lineRule="exact"/>
        <w:rPr>
          <w:sz w:val="20"/>
          <w:szCs w:val="20"/>
          <w:color w:val="auto"/>
        </w:rPr>
      </w:pPr>
    </w:p>
    <w:p>
      <w:pPr>
        <w:jc w:val="both"/>
        <w:ind w:firstLine="353"/>
        <w:spacing w:after="0" w:line="271" w:lineRule="auto"/>
        <w:rPr>
          <w:sz w:val="20"/>
          <w:szCs w:val="20"/>
          <w:color w:val="auto"/>
        </w:rPr>
      </w:pPr>
      <w:r>
        <w:rPr>
          <w:rFonts w:ascii="Arial" w:cs="Arial" w:eastAsia="Arial" w:hAnsi="Arial"/>
          <w:sz w:val="19"/>
          <w:szCs w:val="19"/>
          <w:color w:val="auto"/>
        </w:rPr>
        <w:t>It is desirable to maintain an RBC ratio in excess of the minimum requirements in order to maintain or improve financial strength ratings. FGL Insurance’s estimated U.S. RBC ratio was over 410% as of December 31, 2025, above our 400% target. See section titled “</w:t>
      </w:r>
      <w:r>
        <w:rPr>
          <w:rFonts w:ascii="Arial" w:cs="Arial" w:eastAsia="Arial" w:hAnsi="Arial"/>
          <w:sz w:val="19"/>
          <w:szCs w:val="19"/>
          <w:b w:val="1"/>
          <w:bCs w:val="1"/>
          <w:i w:val="1"/>
          <w:iCs w:val="1"/>
          <w:color w:val="auto"/>
        </w:rPr>
        <w:t>Risks Relating to Our Business- If the rating agencies downgrade our insurance companies, our results of</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operations and financial condition may suffer.</w:t>
      </w:r>
      <w:r>
        <w:rPr>
          <w:rFonts w:ascii="Arial" w:cs="Arial" w:eastAsia="Arial" w:hAnsi="Arial"/>
          <w:sz w:val="19"/>
          <w:szCs w:val="19"/>
          <w:color w:val="auto"/>
        </w:rPr>
        <w:t>” in Item 1A. Risk Factors.</w:t>
      </w:r>
    </w:p>
    <w:p>
      <w:pPr>
        <w:spacing w:after="0" w:line="72" w:lineRule="exact"/>
        <w:rPr>
          <w:sz w:val="20"/>
          <w:szCs w:val="20"/>
          <w:color w:val="auto"/>
        </w:rPr>
      </w:pPr>
    </w:p>
    <w:p>
      <w:pPr>
        <w:jc w:val="both"/>
        <w:ind w:firstLine="353"/>
        <w:spacing w:after="0" w:line="296" w:lineRule="auto"/>
        <w:rPr>
          <w:sz w:val="20"/>
          <w:szCs w:val="20"/>
          <w:color w:val="auto"/>
        </w:rPr>
      </w:pPr>
      <w:r>
        <w:rPr>
          <w:rFonts w:ascii="Arial" w:cs="Arial" w:eastAsia="Arial" w:hAnsi="Arial"/>
          <w:sz w:val="17"/>
          <w:szCs w:val="17"/>
          <w:color w:val="auto"/>
        </w:rPr>
        <w:t>The NAIC has developed a set of financial relationships or tests known as the Insurance Regulatory Information System ("IRIS") to assist state regulators in monitoring the financial condition of U.S. insurance companies and identifying companies that require special attention or action by insurance regulatory authorities. A ratio falling outside the prescribed “usual range” is not considered a failing result. Rather, unusual values are viewed as part of the regulatory early monitoring system. In many cases, it is not unusual for financially sound companies to have one or more ratios that fall outside the usual range. Insurance companies generally submit data annually to the NAIC, which in turn analyzes the data using prescribed financial data ratios, each with defined “usual ranges”. Generally, regulators will begin to investigate or monitor an insurance company if its ratios fall outside the usual ranges for four or more of the ratios. IRIS consists of a statistical phase and an analytical phase whereby financial examiners review insurers’ annual statements and financial ratios. The statistical phase consists of 12 key financial ratios based on year-end data that are generated from the NAIC database annually; each ratio has a “usual range” of results.</w:t>
      </w:r>
    </w:p>
    <w:p>
      <w:pPr>
        <w:spacing w:after="0" w:line="59" w:lineRule="exact"/>
        <w:rPr>
          <w:sz w:val="20"/>
          <w:szCs w:val="20"/>
          <w:color w:val="auto"/>
        </w:rPr>
      </w:pPr>
    </w:p>
    <w:p>
      <w:pPr>
        <w:jc w:val="both"/>
        <w:ind w:firstLine="353"/>
        <w:spacing w:after="0" w:line="306" w:lineRule="auto"/>
        <w:rPr>
          <w:sz w:val="20"/>
          <w:szCs w:val="20"/>
          <w:color w:val="auto"/>
        </w:rPr>
      </w:pPr>
      <w:r>
        <w:rPr>
          <w:rFonts w:ascii="Arial" w:cs="Arial" w:eastAsia="Arial" w:hAnsi="Arial"/>
          <w:sz w:val="17"/>
          <w:szCs w:val="17"/>
          <w:color w:val="auto"/>
        </w:rPr>
        <w:t>As of December 31, 2025, FGL Insurance, FGL NY Insurance, Raven Re and Corbeau Re had five, one, two and four ratios outside the usual range, respectively. The IRIS ratios for net and gross change to capital and surplus, total affiliated investments to capital and surplus, surplus relief - over $5 million capital and surplus and change in premium for FGL Insurance were outside the usual range. The IRIS ratio for change in premium ratio for FGL NY Insurance was outside the usual range. The IRIS ratios for adequacy of investment income and change in premium for Raven Re were outside the usual</w:t>
      </w:r>
    </w:p>
    <w:p>
      <w:pPr>
        <w:sectPr>
          <w:pgSz w:w="11880" w:h="15480" w:orient="portrait"/>
          <w:cols w:equalWidth="0" w:num="1">
            <w:col w:w="10040"/>
          </w:cols>
          <w:pgMar w:left="920" w:top="772"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27</w:t>
      </w:r>
    </w:p>
    <w:p>
      <w:pPr>
        <w:sectPr>
          <w:pgSz w:w="11880" w:h="15480" w:orient="portrait"/>
          <w:cols w:equalWidth="0" w:num="1">
            <w:col w:w="10040"/>
          </w:cols>
          <w:pgMar w:left="920" w:top="772" w:right="920" w:bottom="0" w:gutter="0" w:footer="0" w:header="0"/>
          <w:type w:val="continuous"/>
        </w:sectPr>
      </w:pPr>
    </w:p>
    <w:bookmarkStart w:id="39" w:name="page40"/>
    <w:bookmarkEnd w:id="39"/>
    <w:p>
      <w:pPr>
        <w:jc w:val="both"/>
        <w:spacing w:after="0" w:line="271" w:lineRule="auto"/>
        <w:rPr>
          <w:sz w:val="20"/>
          <w:szCs w:val="20"/>
          <w:color w:val="auto"/>
        </w:rPr>
      </w:pPr>
      <w:r>
        <w:rPr>
          <w:rFonts w:ascii="Arial" w:cs="Arial" w:eastAsia="Arial" w:hAnsi="Arial"/>
          <w:sz w:val="20"/>
          <w:szCs w:val="20"/>
          <w:color w:val="auto"/>
        </w:rPr>
        <w:t>range. The IRIS ratios for net income to total income (including realized capital gains and losses), adequacy of investment income, change in premium and change in asset mix for Corbeau Re were outside the usual range.</w:t>
      </w:r>
    </w:p>
    <w:p>
      <w:pPr>
        <w:spacing w:after="0" w:line="69" w:lineRule="exact"/>
        <w:rPr>
          <w:sz w:val="20"/>
          <w:szCs w:val="20"/>
          <w:color w:val="auto"/>
        </w:rPr>
      </w:pPr>
    </w:p>
    <w:p>
      <w:pPr>
        <w:jc w:val="both"/>
        <w:ind w:firstLine="353"/>
        <w:spacing w:after="0" w:line="258" w:lineRule="auto"/>
        <w:rPr>
          <w:sz w:val="20"/>
          <w:szCs w:val="20"/>
          <w:color w:val="auto"/>
        </w:rPr>
      </w:pPr>
      <w:r>
        <w:rPr>
          <w:rFonts w:ascii="Arial" w:cs="Arial" w:eastAsia="Arial" w:hAnsi="Arial"/>
          <w:sz w:val="20"/>
          <w:szCs w:val="20"/>
          <w:color w:val="auto"/>
        </w:rPr>
        <w:t>In all instances in prior years, regulators have been satisfied upon follow-up that no regulatory action was required. FGL Insurance, FGL NY Insurance, Raven Re and Corbeau Re are not currently subject to regulatory restrictions based on these ratios.</w:t>
      </w:r>
    </w:p>
    <w:p>
      <w:pPr>
        <w:spacing w:after="0" w:line="82" w:lineRule="exact"/>
        <w:rPr>
          <w:sz w:val="20"/>
          <w:szCs w:val="20"/>
          <w:color w:val="auto"/>
        </w:rPr>
      </w:pPr>
    </w:p>
    <w:p>
      <w:pPr>
        <w:jc w:val="both"/>
        <w:ind w:firstLine="353"/>
        <w:spacing w:after="0" w:line="264" w:lineRule="auto"/>
        <w:rPr>
          <w:sz w:val="20"/>
          <w:szCs w:val="20"/>
          <w:color w:val="auto"/>
        </w:rPr>
      </w:pPr>
      <w:r>
        <w:rPr>
          <w:rFonts w:ascii="Arial" w:cs="Arial" w:eastAsia="Arial" w:hAnsi="Arial"/>
          <w:sz w:val="19"/>
          <w:szCs w:val="19"/>
          <w:color w:val="auto"/>
        </w:rPr>
        <w:t>The NAIC developed a group capital calculation tool using an RBC methodology for all entities within the insurance holding company system, including non-U.S. entities. In December 2020, the NAIC adopted the Group Capital Calculation Template and Instructions, as well as amendments to the Model Holding Company Act and Regulation. The amendments implement the annual filing requirement for the group capital calculation but will not become effective until adopted by state legislatures or regulatory agencies. FNF’s lead regulator, the Florida Office of Insurance Regulation, which is also the Company’s lead regulator for this purpose, adopted a requirement for group capital reporting in late 2025 that will be effective for year-end 2026 with filing required in the first half of 2027.</w:t>
      </w:r>
    </w:p>
    <w:p>
      <w:pPr>
        <w:spacing w:after="0" w:line="82" w:lineRule="exact"/>
        <w:rPr>
          <w:sz w:val="20"/>
          <w:szCs w:val="20"/>
          <w:color w:val="auto"/>
        </w:rPr>
      </w:pPr>
    </w:p>
    <w:p>
      <w:pPr>
        <w:jc w:val="both"/>
        <w:ind w:firstLine="353"/>
        <w:spacing w:after="0" w:line="300" w:lineRule="auto"/>
        <w:rPr>
          <w:sz w:val="20"/>
          <w:szCs w:val="20"/>
          <w:color w:val="auto"/>
        </w:rPr>
      </w:pPr>
      <w:r>
        <w:rPr>
          <w:rFonts w:ascii="Arial" w:cs="Arial" w:eastAsia="Arial" w:hAnsi="Arial"/>
          <w:sz w:val="17"/>
          <w:szCs w:val="17"/>
          <w:color w:val="auto"/>
        </w:rPr>
        <w:t>State insurance laws require insurers to analyze the adequacy of reserves. Following the implementation of principle-based reserving for life insurance products, the NAIC is now developing a principle-based reserving framework for fixed annuity products. The respective appointed actuaries for FGL Insurance, FGL NY Insurance, Raven Re and Corbeau Re must each submit an opinion on an annual basis that their respective reserves, when considered in light of the respective assets FGL Insurance, FGL NY Insurance, Raven Re and Corbeau Re hold with respect to those reserves, make adequate provision for the contractual obligations and related expenses of FGL Insurance, FGL NY Insurance, Raven Re and Corbeau Re. FGL Insurance, FGL NY Insurance, Raven Re and Corbeau Re have filed all of the required opinions with the insurance departments in the states in which they do business.</w:t>
      </w:r>
    </w:p>
    <w:p>
      <w:pPr>
        <w:spacing w:after="0" w:line="289" w:lineRule="exact"/>
        <w:rPr>
          <w:sz w:val="20"/>
          <w:szCs w:val="20"/>
          <w:color w:val="auto"/>
        </w:rPr>
      </w:pPr>
    </w:p>
    <w:p>
      <w:pPr>
        <w:jc w:val="both"/>
        <w:ind w:firstLine="353"/>
        <w:spacing w:after="0" w:line="312" w:lineRule="auto"/>
        <w:rPr>
          <w:sz w:val="20"/>
          <w:szCs w:val="20"/>
          <w:color w:val="auto"/>
        </w:rPr>
      </w:pPr>
      <w:r>
        <w:rPr>
          <w:rFonts w:ascii="Arial" w:cs="Arial" w:eastAsia="Arial" w:hAnsi="Arial"/>
          <w:sz w:val="17"/>
          <w:szCs w:val="17"/>
          <w:color w:val="auto"/>
        </w:rPr>
        <w:t>States regulate the extent to which insurers are permitted to take credit on their financial statements for the financial obligations that the insurers cede to reinsurers. Where an insurer cedes obligations to a reinsurer that is neither licensed nor accredited by the state insurance department, the ceding insurer is not permitted to take such financial statement credit unless the unlicensed or unaccredited reinsurer secures the liabilities it will owe under the reinsurance contract.</w:t>
      </w:r>
    </w:p>
    <w:p>
      <w:pPr>
        <w:spacing w:after="0" w:line="42" w:lineRule="exact"/>
        <w:rPr>
          <w:sz w:val="20"/>
          <w:szCs w:val="20"/>
          <w:color w:val="auto"/>
        </w:rPr>
      </w:pPr>
    </w:p>
    <w:p>
      <w:pPr>
        <w:jc w:val="both"/>
        <w:ind w:firstLine="353"/>
        <w:spacing w:after="0" w:line="297" w:lineRule="auto"/>
        <w:rPr>
          <w:sz w:val="20"/>
          <w:szCs w:val="20"/>
          <w:color w:val="auto"/>
        </w:rPr>
      </w:pPr>
      <w:r>
        <w:rPr>
          <w:rFonts w:ascii="Arial" w:cs="Arial" w:eastAsia="Arial" w:hAnsi="Arial"/>
          <w:sz w:val="17"/>
          <w:szCs w:val="17"/>
          <w:color w:val="auto"/>
        </w:rPr>
        <w:t>Under the laws regulating credit for reinsurance issued by such unlicensed or unaccredited reinsurers, the permissible means of securing such liabilities are (i) the establishment of a trust account by the reinsurer to hold certain qualifying assets in a qualified U.S. financial institution, such as a member of the Federal Reserve, with the ceding insurer as the exclusive beneficiary of such trust account with the unconditional right to demand, without notice to the reinsurer, that the trustee pay over to it the assets in the trust account equal to the liabilities owed by the reinsurer; (ii) the posting of an unconditional and irrevocable letter of credit by a qualified U.S. financial institution in favor of the ceding company allowing the ceding company to draw upon the letter of credit up to the amount of the unpaid liabilities of the reinsurer; and (iii) a “funds withheld” arrangement by which the ceding company withholds transfer to the reinsurer of the assets, which support the liabilities to be owed by the reinsurer, with the ceding insurer retaining title to and exclusive control over such assets.</w:t>
      </w:r>
    </w:p>
    <w:p>
      <w:pPr>
        <w:spacing w:after="0" w:line="57" w:lineRule="exact"/>
        <w:rPr>
          <w:sz w:val="20"/>
          <w:szCs w:val="20"/>
          <w:color w:val="auto"/>
        </w:rPr>
      </w:pPr>
    </w:p>
    <w:p>
      <w:pPr>
        <w:jc w:val="both"/>
        <w:ind w:firstLine="353"/>
        <w:spacing w:after="0" w:line="264" w:lineRule="auto"/>
        <w:rPr>
          <w:sz w:val="20"/>
          <w:szCs w:val="20"/>
          <w:color w:val="auto"/>
        </w:rPr>
      </w:pPr>
      <w:r>
        <w:rPr>
          <w:rFonts w:ascii="Arial" w:cs="Arial" w:eastAsia="Arial" w:hAnsi="Arial"/>
          <w:sz w:val="19"/>
          <w:szCs w:val="19"/>
          <w:color w:val="auto"/>
        </w:rPr>
        <w:t>In addition, all U.S. states, including Iowa and New York, permit an insurer to take credit for reinsurance ceded to a non-U.S. reinsurer that posts collateral in amounts less than 100% of the reinsurer’s obligations if the reinsurer has been designated as a “certified reinsurer” and is domiciled in a country recognized by the state and the NAIC as a “Qualified Jurisdiction.” The reduced percentage of full collateral applied to a certified reinsurer is based upon an assessment of the reinsurer and its financial ratings. Iowa and New York both also recognize certain qualified non-U.S. insurers as reciprocal jurisdiction reinsurers such that ceding domestic insurers may receive credit for reinsurance ceded to such unauthorized reinsurers without the requirement for the reinsurer to provide collateral.</w:t>
      </w:r>
    </w:p>
    <w:p>
      <w:pPr>
        <w:spacing w:after="0" w:line="82" w:lineRule="exact"/>
        <w:rPr>
          <w:sz w:val="20"/>
          <w:szCs w:val="20"/>
          <w:color w:val="auto"/>
        </w:rPr>
      </w:pPr>
    </w:p>
    <w:p>
      <w:pPr>
        <w:jc w:val="both"/>
        <w:ind w:firstLine="353"/>
        <w:spacing w:after="0" w:line="278" w:lineRule="auto"/>
        <w:rPr>
          <w:sz w:val="20"/>
          <w:szCs w:val="20"/>
          <w:color w:val="auto"/>
        </w:rPr>
      </w:pPr>
      <w:r>
        <w:rPr>
          <w:rFonts w:ascii="Arial" w:cs="Arial" w:eastAsia="Arial" w:hAnsi="Arial"/>
          <w:sz w:val="19"/>
          <w:szCs w:val="19"/>
          <w:color w:val="auto"/>
        </w:rPr>
        <w:t>FGL Insurance and FGL NY Insurance are subject to the credit for reinsurance rules described above in Iowa and New York, respectively, insofar as they enter into any reinsurance contracts with reinsurers that are neither licensed, accredited nor certified in Iowa and New York, respectively, or recognized as a reciprocal reinsurer in such jurisdictions.</w:t>
      </w:r>
    </w:p>
    <w:p>
      <w:pPr>
        <w:spacing w:after="0" w:line="64" w:lineRule="exact"/>
        <w:rPr>
          <w:sz w:val="20"/>
          <w:szCs w:val="20"/>
          <w:color w:val="auto"/>
        </w:rPr>
      </w:pPr>
    </w:p>
    <w:p>
      <w:pPr>
        <w:jc w:val="both"/>
        <w:ind w:firstLine="353"/>
        <w:spacing w:after="0" w:line="303" w:lineRule="auto"/>
        <w:rPr>
          <w:sz w:val="20"/>
          <w:szCs w:val="20"/>
          <w:color w:val="auto"/>
        </w:rPr>
      </w:pPr>
      <w:r>
        <w:rPr>
          <w:rFonts w:ascii="Arial" w:cs="Arial" w:eastAsia="Arial" w:hAnsi="Arial"/>
          <w:sz w:val="17"/>
          <w:szCs w:val="17"/>
          <w:color w:val="auto"/>
        </w:rPr>
        <w:t>F&amp;G, as the indirect parent company of FGL Insurance and FGL NY Insurance, is subject to the insurance holding company laws in Iowa and New York. These laws generally require each insurance company directly or indirectly owned by the holding company to register with the insurance department in the insurance company’s state of domicile and to furnish annually financial and other information about the operations of companies within the holding company system. Generally, all transactions between insurers and affiliates within the holding company system are subject to regulation and must be fair and reasonable, and may require prior notice and approval or non-disapproval by its domiciliary insurance regulator.</w:t>
      </w:r>
    </w:p>
    <w:p>
      <w:pPr>
        <w:spacing w:after="0" w:line="48" w:lineRule="exact"/>
        <w:rPr>
          <w:sz w:val="20"/>
          <w:szCs w:val="20"/>
          <w:color w:val="auto"/>
        </w:rPr>
      </w:pPr>
    </w:p>
    <w:p>
      <w:pPr>
        <w:jc w:val="both"/>
        <w:ind w:firstLine="353"/>
        <w:spacing w:after="0" w:line="312" w:lineRule="auto"/>
        <w:rPr>
          <w:sz w:val="20"/>
          <w:szCs w:val="20"/>
          <w:color w:val="auto"/>
        </w:rPr>
      </w:pPr>
      <w:r>
        <w:rPr>
          <w:rFonts w:ascii="Arial" w:cs="Arial" w:eastAsia="Arial" w:hAnsi="Arial"/>
          <w:sz w:val="17"/>
          <w:szCs w:val="17"/>
          <w:color w:val="auto"/>
        </w:rPr>
        <w:t>Most states, including Iowa and New York, have insurance laws that require regulatory approval of a direct or indirect change of control of an insurer or an insurer’s holding company. Such laws prevent any person from acquiring control, directly or indirectly, of F&amp;G, FGL US Holdings Inc. (“FGL US Holdings”), CF Bermuda Holdings Limited (“CF Bermuda”), Fidelity &amp; Guaranty Life Holdings, Inc. ("FGLH"), FGL Insurance or FGL NY Insurance or certain of their affiliates unless that person</w:t>
      </w:r>
    </w:p>
    <w:p>
      <w:pPr>
        <w:sectPr>
          <w:pgSz w:w="11880" w:h="15480" w:orient="portrait"/>
          <w:cols w:equalWidth="0" w:num="1">
            <w:col w:w="10040"/>
          </w:cols>
          <w:pgMar w:left="920" w:top="772" w:right="920" w:bottom="0" w:gutter="0" w:footer="0" w:header="0"/>
        </w:sect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28</w:t>
      </w:r>
    </w:p>
    <w:p>
      <w:pPr>
        <w:sectPr>
          <w:pgSz w:w="11880" w:h="15480" w:orient="portrait"/>
          <w:cols w:equalWidth="0" w:num="1">
            <w:col w:w="10040"/>
          </w:cols>
          <w:pgMar w:left="920" w:top="772" w:right="920" w:bottom="0" w:gutter="0" w:footer="0" w:header="0"/>
          <w:type w:val="continuous"/>
        </w:sectPr>
      </w:pPr>
    </w:p>
    <w:bookmarkStart w:id="40" w:name="page41"/>
    <w:bookmarkEnd w:id="40"/>
    <w:p>
      <w:pPr>
        <w:jc w:val="both"/>
        <w:spacing w:after="0" w:line="261" w:lineRule="auto"/>
        <w:rPr>
          <w:sz w:val="20"/>
          <w:szCs w:val="20"/>
          <w:color w:val="auto"/>
        </w:rPr>
      </w:pPr>
      <w:r>
        <w:rPr>
          <w:rFonts w:ascii="Arial" w:cs="Arial" w:eastAsia="Arial" w:hAnsi="Arial"/>
          <w:sz w:val="19"/>
          <w:szCs w:val="19"/>
          <w:color w:val="auto"/>
        </w:rPr>
        <w:t>has filed a statement with specified information with the insurance regulators and has obtained their prior approval. In addition, investors deemed to have a direct or indirect controlling interest are required to make regulatory filings and respond to regulatory inquiries. Under most states’ statutes, including those of Iowa and New York, acquiring 10% or more of the voting stock of an insurance company or its parent company is presumptively considered a change of control, although such presumption may be rebutted. In addition, the insurance laws of Iowa and New York permit a determination of control in circumstances where the thresholds for the presumption of control have not been crossed. Similar laws apply to a direct or indirect change of ownership of Raven Re and Corbeau Re. Any person who is deemed to acquire control over F&amp;G, FNF, FGL US Holdings, CF Bermuda, FGLH, FGL Insurance, FGL NY Insurance, Raven Re, Corbeau Re or certain of their affiliates including any person who acquires 10% or more of our or FNF’s voting securities of FGL Insurance, FGL NY Insurance or certain of their affiliates, without the prior approval of the insurance regulators of Iowa and New York, will be in violation of those states’ laws and may be subject to injunctive action requiring the disposition or seizure of those securities by the relevant insurance regulator or prohibiting the voting of those securities and to other actions determined by the relevant insurance regulator.</w:t>
      </w:r>
    </w:p>
    <w:p>
      <w:pPr>
        <w:spacing w:after="0" w:line="86" w:lineRule="exact"/>
        <w:rPr>
          <w:sz w:val="20"/>
          <w:szCs w:val="20"/>
          <w:color w:val="auto"/>
        </w:rPr>
      </w:pPr>
    </w:p>
    <w:p>
      <w:pPr>
        <w:jc w:val="both"/>
        <w:ind w:firstLine="353"/>
        <w:spacing w:after="0" w:line="303" w:lineRule="auto"/>
        <w:rPr>
          <w:sz w:val="20"/>
          <w:szCs w:val="20"/>
          <w:color w:val="auto"/>
        </w:rPr>
      </w:pPr>
      <w:r>
        <w:rPr>
          <w:rFonts w:ascii="Arial" w:cs="Arial" w:eastAsia="Arial" w:hAnsi="Arial"/>
          <w:sz w:val="17"/>
          <w:szCs w:val="17"/>
          <w:color w:val="auto"/>
        </w:rPr>
        <w:t>Each state has insurance guaranty association laws under which insurers doing business in the state may be assessed by state insurance guaranty associations for certain obligations of insolvent insurance companies to policyholders and claimants. Typically, states assess each member insurer in an amount related to the member insurer’s proportionate share of the business written by all member insurers in the state. Although no prediction can be made as to the amount and timing of any future assessments under these laws, FGL Insurance and FGL NY Insurance have established reserves that they believe are adequate for assessments relating to insurance companies that are currently subject to insolvency proceedings.</w:t>
      </w:r>
    </w:p>
    <w:p>
      <w:pPr>
        <w:spacing w:after="0" w:line="48" w:lineRule="exact"/>
        <w:rPr>
          <w:sz w:val="20"/>
          <w:szCs w:val="20"/>
          <w:color w:val="auto"/>
        </w:rPr>
      </w:pPr>
    </w:p>
    <w:p>
      <w:pPr>
        <w:jc w:val="both"/>
        <w:ind w:firstLine="353"/>
        <w:spacing w:after="0" w:line="297" w:lineRule="auto"/>
        <w:rPr>
          <w:sz w:val="20"/>
          <w:szCs w:val="20"/>
          <w:color w:val="auto"/>
        </w:rPr>
      </w:pPr>
      <w:r>
        <w:rPr>
          <w:rFonts w:ascii="Arial" w:cs="Arial" w:eastAsia="Arial" w:hAnsi="Arial"/>
          <w:sz w:val="17"/>
          <w:szCs w:val="17"/>
          <w:color w:val="auto"/>
        </w:rPr>
        <w:t>State insurance laws and regulations include numerous provisions governing the marketplace activities of insurers, including provisions governing the form and content of disclosure to consumers, illustrations, advertising, sales and complaint process practices. State regulatory authorities generally enforce these provisions through periodic market conduct examinations. In addition, FGL Insurance and FGL NY Insurance must file, and in many jurisdictions and for some lines of business obtain regulatory approval for, rates and forms relating to the insurance written in the jurisdictions in which they operate. FGL Insurance is currently the subject of an ongoing market conduct examination in one state. Market conduct examinations can result in monetary fines or remediation and generally require FGL Insurance to devote significant resources to the management of such examinations. FGL Insurance does not believe that the current market conduct examination it is subject to will result in any fines or remediation orders that will be material to its business.</w:t>
      </w:r>
    </w:p>
    <w:p>
      <w:pPr>
        <w:spacing w:after="0" w:line="57" w:lineRule="exact"/>
        <w:rPr>
          <w:sz w:val="20"/>
          <w:szCs w:val="20"/>
          <w:color w:val="auto"/>
        </w:rPr>
      </w:pPr>
    </w:p>
    <w:p>
      <w:pPr>
        <w:jc w:val="both"/>
        <w:ind w:firstLine="353"/>
        <w:spacing w:after="0" w:line="249" w:lineRule="auto"/>
        <w:rPr>
          <w:sz w:val="20"/>
          <w:szCs w:val="20"/>
          <w:color w:val="auto"/>
        </w:rPr>
      </w:pPr>
      <w:r>
        <w:rPr>
          <w:rFonts w:ascii="Arial" w:cs="Arial" w:eastAsia="Arial" w:hAnsi="Arial"/>
          <w:sz w:val="20"/>
          <w:szCs w:val="20"/>
          <w:color w:val="auto"/>
        </w:rPr>
        <w:t>FGL Insurance, FGL NY Insurance, Raven Re and Corbeau Re are subject to state laws and regulations that require diversification of their investment portfolios and limit the amount of investments in certain asset categories, such as below investment grade fixed income securities, equity, real estate, other equity investments and derivatives. Failure to comply with these laws and regulations would cause investments exceeding regulatory limitations to be treated as either non-admitted assets for purposes of measuring surplus or as not qualified as an asset held for reserve purposes and, in some instances, would require divestiture or replacement of such non-qualifying investments. We believe that the investment portfolios of FGL Insurance, FGL NY Insurance, Raven Re and Corbeau Re as of December 31, 2025, complied in all material respects with such regulations.</w:t>
      </w:r>
    </w:p>
    <w:p>
      <w:pPr>
        <w:spacing w:after="0" w:line="90" w:lineRule="exact"/>
        <w:rPr>
          <w:sz w:val="20"/>
          <w:szCs w:val="20"/>
          <w:color w:val="auto"/>
        </w:rPr>
      </w:pPr>
    </w:p>
    <w:p>
      <w:pPr>
        <w:jc w:val="both"/>
        <w:ind w:firstLine="353"/>
        <w:spacing w:after="0" w:line="295" w:lineRule="auto"/>
        <w:rPr>
          <w:sz w:val="20"/>
          <w:szCs w:val="20"/>
          <w:color w:val="auto"/>
        </w:rPr>
      </w:pPr>
      <w:r>
        <w:rPr>
          <w:rFonts w:ascii="Arial" w:cs="Arial" w:eastAsia="Arial" w:hAnsi="Arial"/>
          <w:sz w:val="17"/>
          <w:szCs w:val="17"/>
          <w:color w:val="auto"/>
        </w:rPr>
        <w:t>Our operations are subject to certain federal and state laws and regulations that require financial institutions and other businesses to protect the security and confidentiality of personal information, including health-related and customer information, and to notify customers and other individuals about their policies and practices relating to their collection and disclosure of health-related and customer information and their practices relating to protecting the security and confidentiality of such information. These laws and regulations require notice to affected individuals, law enforcement agencies, regulators and others if there is a breach of the security of certain personal information, including social security numbers, and require holders of certain personal information to protect the security of the data. Our operations are also subject to certain federal regulations that require financial institutions and creditors to implement effective programs to detect, prevent, and mitigate identity theft. In addition, our ability to make telemarketing calls and to send unsolicited e-mail or fax messages to consumers and customers and our uses of certain personal information, including consumer report information, are regulated. Federal and state governments and regulatory bodies may be expected to consider additional or more detailed regulation regarding these subjects and the privacy and security of personal information.</w:t>
      </w:r>
    </w:p>
    <w:p>
      <w:pPr>
        <w:spacing w:after="0" w:line="297" w:lineRule="exact"/>
        <w:rPr>
          <w:sz w:val="20"/>
          <w:szCs w:val="20"/>
          <w:color w:val="auto"/>
        </w:rPr>
      </w:pPr>
    </w:p>
    <w:p>
      <w:pPr>
        <w:jc w:val="both"/>
        <w:ind w:firstLine="353"/>
        <w:spacing w:after="0" w:line="288" w:lineRule="auto"/>
        <w:rPr>
          <w:sz w:val="20"/>
          <w:szCs w:val="20"/>
          <w:color w:val="auto"/>
        </w:rPr>
      </w:pPr>
      <w:r>
        <w:rPr>
          <w:rFonts w:ascii="Arial" w:cs="Arial" w:eastAsia="Arial" w:hAnsi="Arial"/>
          <w:sz w:val="17"/>
          <w:szCs w:val="17"/>
          <w:color w:val="auto"/>
        </w:rPr>
        <w:t>The Dodd-Frank Wall Street Reform and Consumer Protection Act (“The Dodd-Frank Act”) established the Federal Insurance Office (“FIO”) within the U.S. Department of the Treasury to monitor all aspects of the insurance industry and of lines of business other than certain health insurance, certain long-term care insurance and crop insurance. Although the FIO currently does not directly regulate the insurance industry, FIO does monitor and scrutinize developments in the industry. FIO publications or reports, some of which are periodically submitted to Congress, could continue to increase scrutiny of the industry and ultimately lead to changes in the regulation of insurers and reinsurers in the United States, which could negatively impact our insurance business. The Dodd-Frank Act made sweeping changes to the regulation of financial services entities,</w:t>
      </w:r>
    </w:p>
    <w:p>
      <w:pPr>
        <w:sectPr>
          <w:pgSz w:w="11880" w:h="15480" w:orient="portrait"/>
          <w:cols w:equalWidth="0" w:num="1">
            <w:col w:w="10040"/>
          </w:cols>
          <w:pgMar w:left="920" w:top="772" w:right="920" w:bottom="0" w:gutter="0" w:footer="0" w:header="0"/>
        </w:sect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29</w:t>
      </w:r>
    </w:p>
    <w:p>
      <w:pPr>
        <w:sectPr>
          <w:pgSz w:w="11880" w:h="15480" w:orient="portrait"/>
          <w:cols w:equalWidth="0" w:num="1">
            <w:col w:w="10040"/>
          </w:cols>
          <w:pgMar w:left="920" w:top="772" w:right="920" w:bottom="0" w:gutter="0" w:footer="0" w:header="0"/>
          <w:type w:val="continuous"/>
        </w:sectPr>
      </w:pPr>
    </w:p>
    <w:bookmarkStart w:id="41" w:name="page42"/>
    <w:bookmarkEnd w:id="41"/>
    <w:p>
      <w:pPr>
        <w:jc w:val="both"/>
        <w:spacing w:after="0" w:line="252" w:lineRule="auto"/>
        <w:rPr>
          <w:sz w:val="20"/>
          <w:szCs w:val="20"/>
          <w:color w:val="auto"/>
        </w:rPr>
      </w:pPr>
      <w:r>
        <w:rPr>
          <w:rFonts w:ascii="Arial" w:cs="Arial" w:eastAsia="Arial" w:hAnsi="Arial"/>
          <w:sz w:val="19"/>
          <w:szCs w:val="19"/>
          <w:color w:val="auto"/>
        </w:rPr>
        <w:t>products and markets. Certain provisions of the Dodd-Frank Act are applicable to us, our competitors or those entities with which we do business. Further, certain provisions of the Dodd-Frank Act may become applicable to us, our competitors, or certain entities with which we do business. These provisions may impact us in many ways, including, but not limited to, having an effect on the overall business climate, requiring the allocation of certain resources to government affairs, and increasing our legal and compliance related activities and the costs associated therewith. For example, it is possible that regulations issued by the Consumer Financial Protection Bureau may extend, or be interpreted to extend, to the sale of certain insurance products by covered financial institutions, which could adversely affect sales of such products. The FIO, in response to various studies it conducts, may also recommend changes in laws or regulations that affect our business. There may be further federal involvement in the business of insurance in the future, which may add significant legal complexity and associated costs to our business.</w:t>
      </w:r>
    </w:p>
    <w:p>
      <w:pPr>
        <w:spacing w:after="0" w:line="77" w:lineRule="exact"/>
        <w:rPr>
          <w:sz w:val="20"/>
          <w:szCs w:val="20"/>
          <w:color w:val="auto"/>
        </w:rPr>
      </w:pPr>
    </w:p>
    <w:p>
      <w:pPr>
        <w:jc w:val="both"/>
        <w:ind w:firstLine="353"/>
        <w:spacing w:after="0" w:line="262" w:lineRule="auto"/>
        <w:rPr>
          <w:sz w:val="20"/>
          <w:szCs w:val="20"/>
          <w:color w:val="auto"/>
        </w:rPr>
      </w:pPr>
      <w:r>
        <w:rPr>
          <w:rFonts w:ascii="Arial" w:cs="Arial" w:eastAsia="Arial" w:hAnsi="Arial"/>
          <w:sz w:val="19"/>
          <w:szCs w:val="19"/>
          <w:color w:val="auto"/>
        </w:rPr>
        <w:t>Under the Dodd-Frank Act, annuities that meet specific requirements, including requirements relating to certain state suitability rules, are specifically exempted from being treated as securities by the SEC. We believe that the types of indexed annuities that FGL Insurance and FGL NY Insurance sell will meet these requirements and, therefore, are exempt from being treated as securities by the SEC and state securities regulators. However, there can be no assurance that federal or state securities laws or state insurance laws and regulations will not be amended or interpreted to impose further requirements on indexed annuities. If indexed annuities were to be treated as securities, federal and state securities laws would require additional registration and licensing of these products and the agents selling them, and FGL Insurance and FGL NY Insurance would be required to seek additional marketing relationships for these products, any of which could impose significant restrictions on its ability to conduct operations as currently operated. However, our RILA product is not exempted from being treated as a security by the SEC.</w:t>
      </w:r>
    </w:p>
    <w:p>
      <w:pPr>
        <w:spacing w:after="0" w:line="84" w:lineRule="exact"/>
        <w:rPr>
          <w:sz w:val="20"/>
          <w:szCs w:val="20"/>
          <w:color w:val="auto"/>
        </w:rPr>
      </w:pPr>
    </w:p>
    <w:p>
      <w:pPr>
        <w:jc w:val="both"/>
        <w:ind w:firstLine="353"/>
        <w:spacing w:after="0" w:line="263" w:lineRule="auto"/>
        <w:rPr>
          <w:sz w:val="20"/>
          <w:szCs w:val="20"/>
          <w:color w:val="auto"/>
        </w:rPr>
      </w:pPr>
      <w:r>
        <w:rPr>
          <w:rFonts w:ascii="Arial" w:cs="Arial" w:eastAsia="Arial" w:hAnsi="Arial"/>
          <w:sz w:val="19"/>
          <w:szCs w:val="19"/>
          <w:color w:val="auto"/>
        </w:rPr>
        <w:t>Additionally, the Dodd-Frank Act established the Financial Stability Oversight Council (“FSOC”), which plays a role in shaping the regulatory environment affecting RILAs and other insurance products that are connected to the capital markets. The FSOC monitors systemic risks and may designate insurers offering RILAs, as well as certain other products, as systemically important financial institutions if their activities pose significant risks to the broader economy, subjecting them to enhanced prudential standards and supervision by the Board of Governors of the United States Federal Reserve. The prudential standards for non-bank Systemically Important Financial Institutions (“SIFIs”) include enhanced RBC (Risk-Based Capital) requirements, leverage limits, liquidity requirements, single counterparty exposure limits, governance requirements for risk management, stress test requirements, special debt-to-equity limits for certain companies, early remediation procedures, and recovery and resolution planning.</w:t>
      </w:r>
    </w:p>
    <w:p>
      <w:pPr>
        <w:spacing w:after="0" w:line="80" w:lineRule="exact"/>
        <w:rPr>
          <w:sz w:val="20"/>
          <w:szCs w:val="20"/>
          <w:color w:val="auto"/>
        </w:rPr>
      </w:pPr>
    </w:p>
    <w:p>
      <w:pPr>
        <w:jc w:val="both"/>
        <w:ind w:firstLine="353"/>
        <w:spacing w:after="0" w:line="251" w:lineRule="auto"/>
        <w:rPr>
          <w:sz w:val="20"/>
          <w:szCs w:val="20"/>
          <w:color w:val="auto"/>
        </w:rPr>
      </w:pPr>
      <w:r>
        <w:rPr>
          <w:rFonts w:ascii="Arial" w:cs="Arial" w:eastAsia="Arial" w:hAnsi="Arial"/>
          <w:sz w:val="20"/>
          <w:szCs w:val="20"/>
          <w:color w:val="auto"/>
        </w:rPr>
        <w:t>We may offer certain insurance and annuity products to employee benefit plans governed by ERISA and/or the Internal Revenue Code (the "Code"), including group annuity contracts designated to fund tax-qualified retirement plans. ERISA and the Code provide (among other requirements) standards of conduct for employee benefit plan fiduciaries, including investment managers and investment advisers with respect to the assets of such plans, and holds fiduciaries liable if they fail to satisfy fiduciary standards of conduct.</w:t>
      </w:r>
    </w:p>
    <w:p>
      <w:pPr>
        <w:spacing w:after="0" w:line="91" w:lineRule="exact"/>
        <w:rPr>
          <w:sz w:val="20"/>
          <w:szCs w:val="20"/>
          <w:color w:val="auto"/>
        </w:rPr>
      </w:pPr>
    </w:p>
    <w:p>
      <w:pPr>
        <w:jc w:val="both"/>
        <w:ind w:firstLine="353"/>
        <w:spacing w:after="0" w:line="264" w:lineRule="auto"/>
        <w:rPr>
          <w:sz w:val="20"/>
          <w:szCs w:val="20"/>
          <w:color w:val="auto"/>
        </w:rPr>
      </w:pPr>
      <w:r>
        <w:rPr>
          <w:rFonts w:ascii="Arial" w:cs="Arial" w:eastAsia="Arial" w:hAnsi="Arial"/>
          <w:sz w:val="19"/>
          <w:szCs w:val="19"/>
          <w:color w:val="auto"/>
        </w:rPr>
        <w:t>State and federal regulators have been adopting stronger consumer protection regulations that may materially impact our company, business, distribution and products. The NAIC adopted an amended Suitability in Annuity Transactions Model Regulation in February 2020 incorporating a requirement that agents act in the best interest of consumers without putting their own financial interests or insurer’s interests ahead of consumer interests. The best interest requirement is satisfied by complying with four regulatory obligations relating to care, disclosure, conflict of interest and documentation. The amended model regulation also requires agents to provide certain disclosures to consumers, obligates insurers to supervise agent compliance with the new requirements and prohibits sales contests or other incentives based on sales of specific annuities within a limited period of time.</w:t>
      </w:r>
    </w:p>
    <w:p>
      <w:pPr>
        <w:spacing w:after="0" w:line="77" w:lineRule="exact"/>
        <w:rPr>
          <w:sz w:val="20"/>
          <w:szCs w:val="20"/>
          <w:color w:val="auto"/>
        </w:rPr>
      </w:pPr>
    </w:p>
    <w:p>
      <w:pPr>
        <w:jc w:val="both"/>
        <w:ind w:firstLine="353"/>
        <w:spacing w:after="0" w:line="268" w:lineRule="auto"/>
        <w:rPr>
          <w:sz w:val="20"/>
          <w:szCs w:val="20"/>
          <w:color w:val="auto"/>
        </w:rPr>
      </w:pPr>
      <w:r>
        <w:rPr>
          <w:rFonts w:ascii="Arial" w:cs="Arial" w:eastAsia="Arial" w:hAnsi="Arial"/>
          <w:sz w:val="19"/>
          <w:szCs w:val="19"/>
          <w:color w:val="auto"/>
        </w:rPr>
        <w:t>All 50 states have adopted the revised NAIC model regulation, including FGL Insurance’s domiciliary state of Iowa. Management has instituted business procedures to comply with these revised requirements where required. FGL NY Insurance separately instituted new business procedures in response to the NYDFS best interest rule adopted in August 2019, which survived a legal challenge and deviates from the NAIC model regulation and is considered more onerous in certain respects including its broader application to life insurance sales.</w:t>
      </w:r>
    </w:p>
    <w:p>
      <w:pPr>
        <w:spacing w:after="0" w:line="74" w:lineRule="exact"/>
        <w:rPr>
          <w:sz w:val="20"/>
          <w:szCs w:val="20"/>
          <w:color w:val="auto"/>
        </w:rPr>
      </w:pPr>
    </w:p>
    <w:p>
      <w:pPr>
        <w:jc w:val="both"/>
        <w:ind w:firstLine="353"/>
        <w:spacing w:after="0" w:line="264" w:lineRule="auto"/>
        <w:rPr>
          <w:sz w:val="20"/>
          <w:szCs w:val="20"/>
          <w:color w:val="auto"/>
        </w:rPr>
      </w:pPr>
      <w:r>
        <w:rPr>
          <w:rFonts w:ascii="Arial" w:cs="Arial" w:eastAsia="Arial" w:hAnsi="Arial"/>
          <w:sz w:val="19"/>
          <w:szCs w:val="19"/>
          <w:color w:val="auto"/>
        </w:rPr>
        <w:t>In December 2020 the U. S. Department of Labor (the "DOL") issued its final version of an investment advice rule replacing the previous “Fiduciary Rule” that had been challenged by industry participants and vacated in March 2018 by the United States Fifth Circuit Court of Appeals. The new investment advice rule reinstates the five-part test for determining whether a person is considered a fiduciary for purposes of ERISA and the Code and sets forth a new prohibited transaction class exemption ("PTE") referred to as PTE 2020-02. The rule’s preamble also contains the DOL’s reinterpretation of elements of the five-part test that appears to encompass more insurance agents selling individual retirement account ("IRA") products and withdraws the agency’s longstanding position that rollover recommendations out of employer plans are not subject to ERISA. The new rule took effect on February 16, 2021.</w:t>
      </w:r>
    </w:p>
    <w:p>
      <w:pPr>
        <w:sectPr>
          <w:pgSz w:w="11880" w:h="15480" w:orient="portrait"/>
          <w:cols w:equalWidth="0" w:num="1">
            <w:col w:w="10040"/>
          </w:cols>
          <w:pgMar w:left="920" w:top="772" w:right="920" w:bottom="0" w:gutter="0" w:footer="0" w:header="0"/>
        </w:sect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30</w:t>
      </w:r>
    </w:p>
    <w:p>
      <w:pPr>
        <w:sectPr>
          <w:pgSz w:w="11880" w:h="15480" w:orient="portrait"/>
          <w:cols w:equalWidth="0" w:num="1">
            <w:col w:w="10040"/>
          </w:cols>
          <w:pgMar w:left="920" w:top="772" w:right="920" w:bottom="0" w:gutter="0" w:footer="0" w:header="0"/>
          <w:type w:val="continuous"/>
        </w:sectPr>
      </w:pPr>
    </w:p>
    <w:bookmarkStart w:id="42" w:name="page43"/>
    <w:bookmarkEnd w:id="42"/>
    <w:p>
      <w:pPr>
        <w:jc w:val="both"/>
        <w:ind w:firstLine="353"/>
        <w:spacing w:after="0" w:line="293" w:lineRule="auto"/>
        <w:rPr>
          <w:sz w:val="20"/>
          <w:szCs w:val="20"/>
          <w:color w:val="auto"/>
        </w:rPr>
      </w:pPr>
      <w:r>
        <w:rPr>
          <w:rFonts w:ascii="Arial" w:cs="Arial" w:eastAsia="Arial" w:hAnsi="Arial"/>
          <w:sz w:val="17"/>
          <w:szCs w:val="17"/>
          <w:color w:val="auto"/>
        </w:rPr>
        <w:t>On April 23, 2024, following previous attempts to expand fiduciary regulation for advisers, the DOL released a new rule, the “New Fiduciary Rule”, which significantly broadens the definition of “fiduciary” under ERISA and Section 4975 when advisers provide investment recommendations to plans subject to ERISA and Section 4975 of the Code. Among other requirements, the New Fiduciary Rule provides that any person will be an investment advice fiduciary if such person provides investment advice or makes an investment recommendation to a retirement investor (i.e., a plan, a discretionary plan fiduciary, a plan participant or beneficiary, an IRA, an IRA owner or beneficiary, or an IRA fiduciary) for a fee or other compensation, the person makes professional investment recommendations to investors on a regular basis as part of their business, and the recommendation is provided under circumstances that would indicate to a reasonable investor in like circumstances that the recommendation is based on a review of the particular needs or individual investor circumstances of the retirement investor, reflects the application of professional or expert judgment to the retirement investor’s particular needs or individual circumstances, and may be relied upon by the retirement investor as intended to advance the retirement investor’s best interest. Unlike the current ERISA standard, the New Fiduciary Rule subjects non-discretionary investment advice to retirement plans and accounts under the care and loyalty standards that also apply to investment advisors with discretionary authority or control over such plans and accounts. In addition, on the same date, the DOL issued amended versions of PTE 2020-02 and PTE 84-24, either or both of which provide prohibited transaction exemptive relief to insurance companies and insurance producers who make insurance product recommendations to retirement investors, subject to certain conditions. The New Fiduciary Rule likely means that certain of the Company’s agents will be considered fiduciaries for purposes of ERISA and the Code, subjecting the Company, and the insurance industry on the whole, to greater regulatory risk.</w:t>
      </w:r>
    </w:p>
    <w:p>
      <w:pPr>
        <w:spacing w:after="0" w:line="294" w:lineRule="exact"/>
        <w:rPr>
          <w:sz w:val="20"/>
          <w:szCs w:val="20"/>
          <w:color w:val="auto"/>
        </w:rPr>
      </w:pPr>
    </w:p>
    <w:p>
      <w:pPr>
        <w:jc w:val="both"/>
        <w:ind w:firstLine="353"/>
        <w:spacing w:after="0" w:line="299" w:lineRule="auto"/>
        <w:rPr>
          <w:sz w:val="20"/>
          <w:szCs w:val="20"/>
          <w:color w:val="auto"/>
        </w:rPr>
      </w:pPr>
      <w:r>
        <w:rPr>
          <w:rFonts w:ascii="Arial" w:cs="Arial" w:eastAsia="Arial" w:hAnsi="Arial"/>
          <w:sz w:val="17"/>
          <w:szCs w:val="17"/>
          <w:color w:val="auto"/>
        </w:rPr>
        <w:t xml:space="preserve">The DOL’s New Fiduciary Rule, which was scheduled to become effective on September 23, 2024, has been challenged. On July 25, 2024, in the case of </w:t>
      </w:r>
      <w:r>
        <w:rPr>
          <w:rFonts w:ascii="Arial" w:cs="Arial" w:eastAsia="Arial" w:hAnsi="Arial"/>
          <w:sz w:val="17"/>
          <w:szCs w:val="17"/>
          <w:b w:val="1"/>
          <w:bCs w:val="1"/>
          <w:i w:val="1"/>
          <w:iCs w:val="1"/>
          <w:color w:val="auto"/>
        </w:rPr>
        <w:t>Federation of Americans for Consumer Choice, Inc., et al. v. United States Department of</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 xml:space="preserve">Labor, et al., </w:t>
      </w:r>
      <w:r>
        <w:rPr>
          <w:rFonts w:ascii="Arial" w:cs="Arial" w:eastAsia="Arial" w:hAnsi="Arial"/>
          <w:sz w:val="17"/>
          <w:szCs w:val="17"/>
          <w:color w:val="auto"/>
        </w:rPr>
        <w:t>(“Federation of Americans”) the United States District Court for the Eastern District of Texas (the “Eastern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District of Texas”) issued an order staying the effective date of the DOL’s New Fiduciary Rule (and related amendments to PTE 84-24) that was issued in March 2024. The Eastern District of Texas, in part relying on the Supreme Court’s recent ruling in </w:t>
      </w:r>
      <w:r>
        <w:rPr>
          <w:rFonts w:ascii="Arial" w:cs="Arial" w:eastAsia="Arial" w:hAnsi="Arial"/>
          <w:sz w:val="17"/>
          <w:szCs w:val="17"/>
          <w:b w:val="1"/>
          <w:bCs w:val="1"/>
          <w:i w:val="1"/>
          <w:iCs w:val="1"/>
          <w:color w:val="auto"/>
        </w:rPr>
        <w:t>Loper Bright Enterprises v. Raimondo</w:t>
      </w:r>
      <w:r>
        <w:rPr>
          <w:rFonts w:ascii="Arial" w:cs="Arial" w:eastAsia="Arial" w:hAnsi="Arial"/>
          <w:sz w:val="17"/>
          <w:szCs w:val="17"/>
          <w:color w:val="auto"/>
        </w:rPr>
        <w:t>, found that the plaintiffs (primarily insurance agents) were likely to succeed on their arguments that the New Fiduciary Rule improperly expanded the definition of an “investment advice fiduciary” under ERISA. As a result, the New Fiduciary Rule’s original effective date of September 23, 2024 was delayed until further notice.</w:t>
      </w:r>
    </w:p>
    <w:p>
      <w:pPr>
        <w:spacing w:after="0" w:line="49" w:lineRule="exact"/>
        <w:rPr>
          <w:sz w:val="20"/>
          <w:szCs w:val="20"/>
          <w:color w:val="auto"/>
        </w:rPr>
      </w:pPr>
    </w:p>
    <w:p>
      <w:pPr>
        <w:jc w:val="both"/>
        <w:ind w:firstLine="353"/>
        <w:spacing w:after="0" w:line="268" w:lineRule="auto"/>
        <w:rPr>
          <w:sz w:val="20"/>
          <w:szCs w:val="20"/>
          <w:color w:val="auto"/>
        </w:rPr>
      </w:pPr>
      <w:r>
        <w:rPr>
          <w:rFonts w:ascii="Arial" w:cs="Arial" w:eastAsia="Arial" w:hAnsi="Arial"/>
          <w:sz w:val="19"/>
          <w:szCs w:val="19"/>
          <w:color w:val="auto"/>
        </w:rPr>
        <w:t xml:space="preserve">In addition, on July 26, 2024, a companion case to </w:t>
      </w:r>
      <w:r>
        <w:rPr>
          <w:rFonts w:ascii="Arial" w:cs="Arial" w:eastAsia="Arial" w:hAnsi="Arial"/>
          <w:sz w:val="19"/>
          <w:szCs w:val="19"/>
          <w:b w:val="1"/>
          <w:bCs w:val="1"/>
          <w:i w:val="1"/>
          <w:iCs w:val="1"/>
          <w:color w:val="auto"/>
        </w:rPr>
        <w:t>Federation of Americans</w:t>
      </w:r>
      <w:r>
        <w:rPr>
          <w:rFonts w:ascii="Arial" w:cs="Arial" w:eastAsia="Arial" w:hAnsi="Arial"/>
          <w:sz w:val="19"/>
          <w:szCs w:val="19"/>
          <w:color w:val="auto"/>
        </w:rPr>
        <w:t xml:space="preserve"> filed in the United States District Court for the Northern District of Texas, </w:t>
      </w:r>
      <w:r>
        <w:rPr>
          <w:rFonts w:ascii="Arial" w:cs="Arial" w:eastAsia="Arial" w:hAnsi="Arial"/>
          <w:sz w:val="19"/>
          <w:szCs w:val="19"/>
          <w:b w:val="1"/>
          <w:bCs w:val="1"/>
          <w:i w:val="1"/>
          <w:iCs w:val="1"/>
          <w:color w:val="auto"/>
        </w:rPr>
        <w:t>American Council of Life Insurers, et al. v. United States Dep’t of Labor, et al.,</w:t>
      </w:r>
      <w:r>
        <w:rPr>
          <w:rFonts w:ascii="Arial" w:cs="Arial" w:eastAsia="Arial" w:hAnsi="Arial"/>
          <w:sz w:val="19"/>
          <w:szCs w:val="19"/>
          <w:color w:val="auto"/>
        </w:rPr>
        <w:t xml:space="preserve"> held the remaining PTE amendments included in the New Fiduciary Rule (PTEs 2020-02, 75-1, 77-4, 80-83, 83-1 and 86-128) that were not challenged in </w:t>
      </w:r>
      <w:r>
        <w:rPr>
          <w:rFonts w:ascii="Arial" w:cs="Arial" w:eastAsia="Arial" w:hAnsi="Arial"/>
          <w:sz w:val="19"/>
          <w:szCs w:val="19"/>
          <w:b w:val="1"/>
          <w:bCs w:val="1"/>
          <w:i w:val="1"/>
          <w:iCs w:val="1"/>
          <w:color w:val="auto"/>
        </w:rPr>
        <w:t>Federation of Americans</w:t>
      </w:r>
      <w:r>
        <w:rPr>
          <w:rFonts w:ascii="Arial" w:cs="Arial" w:eastAsia="Arial" w:hAnsi="Arial"/>
          <w:sz w:val="19"/>
          <w:szCs w:val="19"/>
          <w:color w:val="auto"/>
        </w:rPr>
        <w:t xml:space="preserve"> were also stayed, noting that the Northern District fully agreed with the Eastern District’s analysis and decision to stay the effective date of the New Fiduciary Rule.</w:t>
      </w:r>
    </w:p>
    <w:p>
      <w:pPr>
        <w:spacing w:after="0" w:line="76" w:lineRule="exact"/>
        <w:rPr>
          <w:sz w:val="20"/>
          <w:szCs w:val="20"/>
          <w:color w:val="auto"/>
        </w:rPr>
      </w:pPr>
    </w:p>
    <w:p>
      <w:pPr>
        <w:jc w:val="both"/>
        <w:ind w:firstLine="353"/>
        <w:spacing w:after="0" w:line="264" w:lineRule="auto"/>
        <w:rPr>
          <w:sz w:val="20"/>
          <w:szCs w:val="20"/>
          <w:color w:val="auto"/>
        </w:rPr>
      </w:pPr>
      <w:r>
        <w:rPr>
          <w:rFonts w:ascii="Arial" w:cs="Arial" w:eastAsia="Arial" w:hAnsi="Arial"/>
          <w:sz w:val="19"/>
          <w:szCs w:val="19"/>
          <w:color w:val="auto"/>
        </w:rPr>
        <w:t>On September 20, 2024, the DOL appealed both rulings to the Fifth Circuit Court of Appeals. In early 2025, the DOL filed successive unopposed motions to hold the appeals in abeyance to allow new agency officials time to become familiar with the issues in these cases and determine how they wish to proceed. The motions were granted so the appeals were in abeyance. In November 2025, the DOL moved to voluntarily dismiss their appeals and the Fifth Circuit agreed and remanded the cases to the District Courts. The DOL has moved the District Courts to allow until March 2026 to determine their position and next steps with the cases. Adverse Texas District Court rulings could have harmful effects on the insurance industry, creating additional hurdles to operate our business.</w:t>
      </w:r>
    </w:p>
    <w:p>
      <w:pPr>
        <w:spacing w:after="0" w:line="82" w:lineRule="exact"/>
        <w:rPr>
          <w:sz w:val="20"/>
          <w:szCs w:val="20"/>
          <w:color w:val="auto"/>
        </w:rPr>
      </w:pPr>
    </w:p>
    <w:p>
      <w:pPr>
        <w:jc w:val="both"/>
        <w:ind w:firstLine="353"/>
        <w:spacing w:after="0" w:line="292" w:lineRule="auto"/>
        <w:rPr>
          <w:sz w:val="20"/>
          <w:szCs w:val="20"/>
          <w:color w:val="auto"/>
        </w:rPr>
      </w:pPr>
      <w:r>
        <w:rPr>
          <w:rFonts w:ascii="Arial" w:cs="Arial" w:eastAsia="Arial" w:hAnsi="Arial"/>
          <w:sz w:val="17"/>
          <w:szCs w:val="17"/>
          <w:color w:val="auto"/>
        </w:rPr>
        <w:t>We cannot predict the final outcome of the pending litigation regarding the New Fiduciary Rule; however, management believes these current and emerging developments relating to market conduct standards for the financial services industry may, over time, materially affect the way in which our agents do business, the role of IMOs, sale of IRA products including IRA-to-IRA and employer plan rollovers, how we supervise our distribution force, compensation practices and liability exposure, and costs, all of which could adversely impact our business, results of operations and/or financial condition. In addition to implementing the compliance procedures described above, management is monitoring further developments closely and will be working with IMOs and distributors to adapt to these evolving regulatory requirements and risks. See “Risk Factors—</w:t>
      </w:r>
      <w:r>
        <w:rPr>
          <w:rFonts w:ascii="Arial" w:cs="Arial" w:eastAsia="Arial" w:hAnsi="Arial"/>
          <w:sz w:val="17"/>
          <w:szCs w:val="17"/>
          <w:b w:val="1"/>
          <w:bCs w:val="1"/>
          <w:i w:val="1"/>
          <w:iCs w:val="1"/>
          <w:color w:val="auto"/>
        </w:rPr>
        <w:t>Risk</w:t>
      </w:r>
    </w:p>
    <w:p>
      <w:pPr>
        <w:spacing w:after="0" w:line="1" w:lineRule="exact"/>
        <w:rPr>
          <w:sz w:val="20"/>
          <w:szCs w:val="20"/>
          <w:color w:val="auto"/>
        </w:rPr>
      </w:pPr>
    </w:p>
    <w:p>
      <w:pPr>
        <w:jc w:val="both"/>
        <w:spacing w:after="0" w:line="267" w:lineRule="auto"/>
        <w:rPr>
          <w:sz w:val="20"/>
          <w:szCs w:val="20"/>
          <w:color w:val="auto"/>
        </w:rPr>
      </w:pPr>
      <w:r>
        <w:rPr>
          <w:rFonts w:ascii="Arial" w:cs="Arial" w:eastAsia="Arial" w:hAnsi="Arial"/>
          <w:sz w:val="19"/>
          <w:szCs w:val="19"/>
          <w:b w:val="1"/>
          <w:bCs w:val="1"/>
          <w:i w:val="1"/>
          <w:iCs w:val="1"/>
          <w:color w:val="auto"/>
        </w:rPr>
        <w:t>Factors Relating to Government Regulation of the Insurance Industry—Current and emerging developments relating to market conduct standards for the financial industry emerging from the United States Department of Labor’s (“DOL”) implementation of the “fiduciary rule” may over time materially affect our business.”</w:t>
      </w:r>
    </w:p>
    <w:p>
      <w:pPr>
        <w:spacing w:after="0" w:line="74" w:lineRule="exact"/>
        <w:rPr>
          <w:sz w:val="20"/>
          <w:szCs w:val="20"/>
          <w:color w:val="auto"/>
        </w:rPr>
      </w:pPr>
    </w:p>
    <w:p>
      <w:pPr>
        <w:jc w:val="both"/>
        <w:ind w:firstLine="353"/>
        <w:spacing w:after="0" w:line="250" w:lineRule="auto"/>
        <w:rPr>
          <w:sz w:val="20"/>
          <w:szCs w:val="20"/>
          <w:color w:val="auto"/>
        </w:rPr>
      </w:pPr>
      <w:r>
        <w:rPr>
          <w:rFonts w:ascii="Arial" w:cs="Arial" w:eastAsia="Arial" w:hAnsi="Arial"/>
          <w:sz w:val="20"/>
          <w:szCs w:val="20"/>
          <w:color w:val="auto"/>
        </w:rPr>
        <w:t>New and recently passed legislation may also impact the industry in which F&amp;G competes. For example, the SECURE 2.0 Act of 2022, and for which relevant provisions went into effect on January 1, 2023, in certain respects, creates an opportunity for F&amp;G and its competitors to pursue sales to employer retirement plan sponsors as well as its traditional customers. In addition, F&amp;G and its competitors may implement operational changes to adapt to the effect of the new legislation. See “Risk Factors—Legal, Regulatory and Tax Risks</w:t>
      </w:r>
      <w:r>
        <w:rPr>
          <w:rFonts w:ascii="Arial" w:cs="Arial" w:eastAsia="Arial" w:hAnsi="Arial"/>
          <w:sz w:val="20"/>
          <w:szCs w:val="20"/>
          <w:b w:val="1"/>
          <w:bCs w:val="1"/>
          <w:i w:val="1"/>
          <w:iCs w:val="1"/>
          <w:color w:val="auto"/>
        </w:rPr>
        <w:t>—The SECURE 2.0 Act of 2022 may impact our business and the markets in which</w:t>
      </w:r>
      <w:r>
        <w:rPr>
          <w:rFonts w:ascii="Arial" w:cs="Arial" w:eastAsia="Arial" w:hAnsi="Arial"/>
          <w:sz w:val="20"/>
          <w:szCs w:val="20"/>
          <w:color w:val="auto"/>
        </w:rPr>
        <w:t xml:space="preserve"> </w:t>
      </w:r>
      <w:r>
        <w:rPr>
          <w:rFonts w:ascii="Arial" w:cs="Arial" w:eastAsia="Arial" w:hAnsi="Arial"/>
          <w:sz w:val="20"/>
          <w:szCs w:val="20"/>
          <w:b w:val="1"/>
          <w:bCs w:val="1"/>
          <w:i w:val="1"/>
          <w:iCs w:val="1"/>
          <w:color w:val="auto"/>
        </w:rPr>
        <w:t>we compete</w:t>
      </w:r>
      <w:r>
        <w:rPr>
          <w:rFonts w:ascii="Arial" w:cs="Arial" w:eastAsia="Arial" w:hAnsi="Arial"/>
          <w:sz w:val="20"/>
          <w:szCs w:val="20"/>
          <w:color w:val="auto"/>
        </w:rPr>
        <w:t>.”</w:t>
      </w:r>
    </w:p>
    <w:p>
      <w:pPr>
        <w:sectPr>
          <w:pgSz w:w="11880" w:h="15480" w:orient="portrait"/>
          <w:cols w:equalWidth="0" w:num="1">
            <w:col w:w="10040"/>
          </w:cols>
          <w:pgMar w:left="920" w:top="772"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31</w:t>
      </w:r>
    </w:p>
    <w:p>
      <w:pPr>
        <w:sectPr>
          <w:pgSz w:w="11880" w:h="15480" w:orient="portrait"/>
          <w:cols w:equalWidth="0" w:num="1">
            <w:col w:w="10040"/>
          </w:cols>
          <w:pgMar w:left="920" w:top="772" w:right="920" w:bottom="0" w:gutter="0" w:footer="0" w:header="0"/>
          <w:type w:val="continuous"/>
        </w:sectPr>
      </w:pPr>
    </w:p>
    <w:bookmarkStart w:id="43" w:name="page44"/>
    <w:bookmarkEnd w:id="43"/>
    <w:p>
      <w:pPr>
        <w:jc w:val="both"/>
        <w:ind w:firstLine="353"/>
        <w:spacing w:after="0" w:line="326" w:lineRule="auto"/>
        <w:rPr>
          <w:sz w:val="20"/>
          <w:szCs w:val="20"/>
          <w:color w:val="auto"/>
        </w:rPr>
      </w:pPr>
      <w:r>
        <w:rPr>
          <w:rFonts w:ascii="Arial" w:cs="Arial" w:eastAsia="Arial" w:hAnsi="Arial"/>
          <w:sz w:val="17"/>
          <w:szCs w:val="17"/>
          <w:b w:val="1"/>
          <w:bCs w:val="1"/>
          <w:i w:val="1"/>
          <w:iCs w:val="1"/>
          <w:color w:val="auto"/>
        </w:rPr>
        <w:t xml:space="preserve">Regulation - Bermuda. </w:t>
      </w:r>
      <w:r>
        <w:rPr>
          <w:rFonts w:ascii="Arial" w:cs="Arial" w:eastAsia="Arial" w:hAnsi="Arial"/>
          <w:sz w:val="17"/>
          <w:szCs w:val="17"/>
          <w:color w:val="auto"/>
        </w:rPr>
        <w:t>F&amp;G Life Re is a Bermuda exempted company incorporated under the Companies Act 1981, as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amended (the “Companies Act”) and registered as a Class E insurer under the Insurance Act 1978, as amended, and its related regulations (the “Insurance Act”). F&amp;G Life Re is regulated by the Bermuda Monetary Authority (“BMA”).</w:t>
      </w:r>
    </w:p>
    <w:p>
      <w:pPr>
        <w:spacing w:after="0" w:line="28" w:lineRule="exact"/>
        <w:rPr>
          <w:sz w:val="20"/>
          <w:szCs w:val="20"/>
          <w:color w:val="auto"/>
        </w:rPr>
      </w:pPr>
    </w:p>
    <w:p>
      <w:pPr>
        <w:jc w:val="both"/>
        <w:ind w:firstLine="353"/>
        <w:spacing w:after="0" w:line="241" w:lineRule="auto"/>
        <w:rPr>
          <w:sz w:val="20"/>
          <w:szCs w:val="20"/>
          <w:color w:val="auto"/>
        </w:rPr>
      </w:pPr>
      <w:r>
        <w:rPr>
          <w:rFonts w:ascii="Arial" w:cs="Arial" w:eastAsia="Arial" w:hAnsi="Arial"/>
          <w:sz w:val="20"/>
          <w:szCs w:val="20"/>
          <w:color w:val="auto"/>
        </w:rPr>
        <w:t>On February 19, 2026, F&amp;G announced the expected sale of its non-core Bermuda based subsidiary, F&amp;G Life Re, to Ancient Financial Holdings, LP (“Ancient”). The transaction is expected to be completed on March 1, 2026, subject to satisfaction or waiver of customary closing conditions.</w:t>
      </w:r>
    </w:p>
    <w:p>
      <w:pPr>
        <w:spacing w:after="0" w:line="83" w:lineRule="exact"/>
        <w:rPr>
          <w:sz w:val="20"/>
          <w:szCs w:val="20"/>
          <w:color w:val="auto"/>
        </w:rPr>
      </w:pPr>
    </w:p>
    <w:p>
      <w:pPr>
        <w:jc w:val="both"/>
        <w:ind w:firstLine="353"/>
        <w:spacing w:after="0" w:line="300" w:lineRule="auto"/>
        <w:rPr>
          <w:sz w:val="20"/>
          <w:szCs w:val="20"/>
          <w:color w:val="auto"/>
        </w:rPr>
      </w:pPr>
      <w:r>
        <w:rPr>
          <w:rFonts w:ascii="Arial" w:cs="Arial" w:eastAsia="Arial" w:hAnsi="Arial"/>
          <w:sz w:val="17"/>
          <w:szCs w:val="17"/>
          <w:color w:val="auto"/>
        </w:rPr>
        <w:t>The Bermuda Insurance Act provides that no person may carry on an insurance business in or from within Bermuda unless registered as an insurer under the Bermuda Insurance Act by the BMA. In deciding whether to grant registration, the BMA has broad discretion to act as it thinks fit in the public interest. The BMA is required by the Bermuda Insurance Act to determine whether the applicant is a fit and proper body to be engaged in the insurance business and, in particular, whether it has, or has available to it, adequate knowledge and expertise. The registration of an applicant as an insurer is subject to the insurer complying with the terms of its registration and such other conditions as the BMA may impose at any time. In addition, the Bermuda Insurance Act requires BMA approval of increases in control or dispositions of control of an insurance company.</w:t>
      </w:r>
    </w:p>
    <w:p>
      <w:pPr>
        <w:spacing w:after="0" w:line="54" w:lineRule="exact"/>
        <w:rPr>
          <w:sz w:val="20"/>
          <w:szCs w:val="20"/>
          <w:color w:val="auto"/>
        </w:rPr>
      </w:pPr>
    </w:p>
    <w:p>
      <w:pPr>
        <w:jc w:val="both"/>
        <w:ind w:firstLine="353"/>
        <w:spacing w:after="0" w:line="325" w:lineRule="auto"/>
        <w:rPr>
          <w:sz w:val="20"/>
          <w:szCs w:val="20"/>
          <w:color w:val="auto"/>
        </w:rPr>
      </w:pPr>
      <w:r>
        <w:rPr>
          <w:rFonts w:ascii="Arial" w:cs="Arial" w:eastAsia="Arial" w:hAnsi="Arial"/>
          <w:sz w:val="17"/>
          <w:szCs w:val="17"/>
          <w:color w:val="auto"/>
        </w:rPr>
        <w:t>Effective January 1, 2015, Bermuda was placed on the NAIC’s List of Qualified Jurisdictions, which makes Bermuda-domiciled reinsurers that meet certain criteria to qualify as a certified reinsurer eligible for reduced reinsurance collateral requirements under the NAIC’s Credit for Reinsurance Model Law and Regulations as adopted by various states.</w:t>
      </w:r>
    </w:p>
    <w:p>
      <w:pPr>
        <w:spacing w:after="0" w:line="29" w:lineRule="exact"/>
        <w:rPr>
          <w:sz w:val="20"/>
          <w:szCs w:val="20"/>
          <w:color w:val="auto"/>
        </w:rPr>
      </w:pPr>
    </w:p>
    <w:p>
      <w:pPr>
        <w:jc w:val="both"/>
        <w:ind w:firstLine="353"/>
        <w:spacing w:after="0" w:line="271" w:lineRule="auto"/>
        <w:rPr>
          <w:sz w:val="20"/>
          <w:szCs w:val="20"/>
          <w:color w:val="auto"/>
        </w:rPr>
      </w:pPr>
      <w:r>
        <w:rPr>
          <w:rFonts w:ascii="Arial" w:cs="Arial" w:eastAsia="Arial" w:hAnsi="Arial"/>
          <w:sz w:val="20"/>
          <w:szCs w:val="20"/>
          <w:color w:val="auto"/>
        </w:rPr>
        <w:t>Bermuda has been awarded full equivalence for commercial insurers under Europe’s Solvency II regime applicable to insurance companies, which regime came into effect on January 1, 2016.</w:t>
      </w:r>
    </w:p>
    <w:p>
      <w:pPr>
        <w:spacing w:after="0" w:line="69" w:lineRule="exact"/>
        <w:rPr>
          <w:sz w:val="20"/>
          <w:szCs w:val="20"/>
          <w:color w:val="auto"/>
        </w:rPr>
      </w:pPr>
    </w:p>
    <w:p>
      <w:pPr>
        <w:jc w:val="both"/>
        <w:ind w:firstLine="353"/>
        <w:spacing w:after="0" w:line="271" w:lineRule="auto"/>
        <w:rPr>
          <w:sz w:val="20"/>
          <w:szCs w:val="20"/>
          <w:color w:val="auto"/>
        </w:rPr>
      </w:pPr>
      <w:r>
        <w:rPr>
          <w:rFonts w:ascii="Arial" w:cs="Arial" w:eastAsia="Arial" w:hAnsi="Arial"/>
          <w:sz w:val="19"/>
          <w:szCs w:val="19"/>
          <w:color w:val="auto"/>
        </w:rPr>
        <w:t>Effective January 1, 2020, Bermuda was granted NAIC Reciprocal Jurisdiction status, which makes Bermuda domiciled reinsurers that satisfy certain conditions eligible to be designated as a reciprocal jurisdiction reinsurer. Under the NAIC’s Credit for Reinsurance Model Law and Regulations which has been adopted by all states, a ceding insurer may take credit for reinsurance ceded to a reciprocal jurisdiction reinsurer without posting collateral.</w:t>
      </w:r>
    </w:p>
    <w:p>
      <w:pPr>
        <w:spacing w:after="0" w:line="72" w:lineRule="exact"/>
        <w:rPr>
          <w:sz w:val="20"/>
          <w:szCs w:val="20"/>
          <w:color w:val="auto"/>
        </w:rPr>
      </w:pPr>
    </w:p>
    <w:p>
      <w:pPr>
        <w:jc w:val="both"/>
        <w:ind w:firstLine="353"/>
        <w:spacing w:after="0" w:line="254" w:lineRule="auto"/>
        <w:rPr>
          <w:sz w:val="20"/>
          <w:szCs w:val="20"/>
          <w:color w:val="auto"/>
        </w:rPr>
      </w:pPr>
      <w:r>
        <w:rPr>
          <w:rFonts w:ascii="Arial" w:cs="Arial" w:eastAsia="Arial" w:hAnsi="Arial"/>
          <w:sz w:val="20"/>
          <w:szCs w:val="20"/>
          <w:color w:val="auto"/>
        </w:rPr>
        <w:t>All insurers are required to implement corporate governance policies and processes as the BMA considers appropriate given the nature, size, complexity and risk profile of the insurer and all insurers, on an annual basis, are required to deliver a declaration to the BMA confirming whether or not they meet the minimum criteria for registration under the Bermuda Insurance Act.</w:t>
      </w:r>
    </w:p>
    <w:p>
      <w:pPr>
        <w:spacing w:after="0" w:line="85" w:lineRule="exact"/>
        <w:rPr>
          <w:sz w:val="20"/>
          <w:szCs w:val="20"/>
          <w:color w:val="auto"/>
        </w:rPr>
      </w:pPr>
    </w:p>
    <w:p>
      <w:pPr>
        <w:jc w:val="both"/>
        <w:ind w:firstLine="353"/>
        <w:spacing w:after="0" w:line="250" w:lineRule="auto"/>
        <w:rPr>
          <w:sz w:val="20"/>
          <w:szCs w:val="20"/>
          <w:color w:val="auto"/>
        </w:rPr>
      </w:pPr>
      <w:r>
        <w:rPr>
          <w:rFonts w:ascii="Arial" w:cs="Arial" w:eastAsia="Arial" w:hAnsi="Arial"/>
          <w:sz w:val="20"/>
          <w:szCs w:val="20"/>
          <w:color w:val="auto"/>
        </w:rPr>
        <w:t>All insurers are required to comply with the Bermuda Insurance Code of Conduct, which is a codification of best practices for insurers provided by the BMA, and to submit annually to the BMA with its statutory financial return a declaration of compliance confirming it complies with the Bermuda Insurance Code of Conduct. All insurers are also required to comply with the Bermuda Insurance Sector Cyber Risk Management Code of Conduct issued by the BMA under the Bermuda Insurance Act, which establishes the duties, requirements, standards, procedures and principles to be complied with in relation to operational cyber risk management.</w:t>
      </w:r>
    </w:p>
    <w:p>
      <w:pPr>
        <w:spacing w:after="0" w:line="91" w:lineRule="exact"/>
        <w:rPr>
          <w:sz w:val="20"/>
          <w:szCs w:val="20"/>
          <w:color w:val="auto"/>
        </w:rPr>
      </w:pPr>
    </w:p>
    <w:p>
      <w:pPr>
        <w:jc w:val="both"/>
        <w:ind w:firstLine="353"/>
        <w:spacing w:after="0" w:line="268" w:lineRule="auto"/>
        <w:rPr>
          <w:sz w:val="20"/>
          <w:szCs w:val="20"/>
          <w:color w:val="auto"/>
        </w:rPr>
      </w:pPr>
      <w:r>
        <w:rPr>
          <w:rFonts w:ascii="Arial" w:cs="Arial" w:eastAsia="Arial" w:hAnsi="Arial"/>
          <w:sz w:val="19"/>
          <w:szCs w:val="19"/>
          <w:color w:val="auto"/>
        </w:rPr>
        <w:t>The BMA utilizes a risk-based approach when it comes to licensing and supervising insurance and reinsurance companies. As part of the BMA’s risk-based system, an assessment of the inherent risks within each particular class of insurer or reinsurer is used to determine the limitations and specific requirements that may be imposed. Thereafter the BMA keeps its analysis of relative risk within individual institutions under review on an ongoing basis, including through the scrutiny of audited financial statements, and, as appropriate, meeting with senior management during onsite visits.</w:t>
      </w:r>
    </w:p>
    <w:p>
      <w:pPr>
        <w:spacing w:after="0" w:line="74" w:lineRule="exact"/>
        <w:rPr>
          <w:sz w:val="20"/>
          <w:szCs w:val="20"/>
          <w:color w:val="auto"/>
        </w:rPr>
      </w:pPr>
    </w:p>
    <w:p>
      <w:pPr>
        <w:jc w:val="both"/>
        <w:ind w:firstLine="353"/>
        <w:spacing w:after="0" w:line="258" w:lineRule="auto"/>
        <w:rPr>
          <w:sz w:val="20"/>
          <w:szCs w:val="20"/>
          <w:color w:val="auto"/>
        </w:rPr>
      </w:pPr>
      <w:r>
        <w:rPr>
          <w:rFonts w:ascii="Arial" w:cs="Arial" w:eastAsia="Arial" w:hAnsi="Arial"/>
          <w:sz w:val="20"/>
          <w:szCs w:val="20"/>
          <w:color w:val="auto"/>
        </w:rPr>
        <w:t>The Bermuda Insurance Act imposes solvency and liquidity standards on Bermuda insurance companies, as well as auditing and reporting requirements. Certain significant aspects of the Bermuda insurance regulatory framework are set forth below.</w:t>
      </w:r>
    </w:p>
    <w:p>
      <w:pPr>
        <w:spacing w:after="0" w:line="80" w:lineRule="exact"/>
        <w:rPr>
          <w:sz w:val="20"/>
          <w:szCs w:val="20"/>
          <w:color w:val="auto"/>
        </w:rPr>
      </w:pPr>
    </w:p>
    <w:p>
      <w:pPr>
        <w:jc w:val="both"/>
        <w:ind w:firstLine="353"/>
        <w:spacing w:after="0" w:line="273" w:lineRule="auto"/>
        <w:rPr>
          <w:sz w:val="20"/>
          <w:szCs w:val="20"/>
          <w:color w:val="auto"/>
        </w:rPr>
      </w:pPr>
      <w:r>
        <w:rPr>
          <w:rFonts w:ascii="Arial" w:cs="Arial" w:eastAsia="Arial" w:hAnsi="Arial"/>
          <w:sz w:val="20"/>
          <w:szCs w:val="20"/>
          <w:b w:val="1"/>
          <w:bCs w:val="1"/>
          <w:i w:val="1"/>
          <w:iCs w:val="1"/>
          <w:color w:val="auto"/>
        </w:rPr>
        <w:t xml:space="preserve">Minimum Solvency Margin. </w:t>
      </w:r>
      <w:r>
        <w:rPr>
          <w:rFonts w:ascii="Arial" w:cs="Arial" w:eastAsia="Arial" w:hAnsi="Arial"/>
          <w:sz w:val="20"/>
          <w:szCs w:val="20"/>
          <w:color w:val="auto"/>
        </w:rPr>
        <w:t>The Insurance Act provides that the value of the assets of an insurer must exceed the value of</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its liabilities by an amount greater than its prescribed minimum solvency margin.</w:t>
      </w:r>
    </w:p>
    <w:p>
      <w:pPr>
        <w:spacing w:after="0" w:line="67" w:lineRule="exact"/>
        <w:rPr>
          <w:sz w:val="20"/>
          <w:szCs w:val="20"/>
          <w:color w:val="auto"/>
        </w:rPr>
      </w:pPr>
    </w:p>
    <w:p>
      <w:pPr>
        <w:jc w:val="both"/>
        <w:ind w:firstLine="353"/>
        <w:spacing w:after="0" w:line="325" w:lineRule="auto"/>
        <w:rPr>
          <w:sz w:val="20"/>
          <w:szCs w:val="20"/>
          <w:color w:val="auto"/>
        </w:rPr>
      </w:pPr>
      <w:r>
        <w:rPr>
          <w:rFonts w:ascii="Arial" w:cs="Arial" w:eastAsia="Arial" w:hAnsi="Arial"/>
          <w:sz w:val="17"/>
          <w:szCs w:val="17"/>
          <w:color w:val="auto"/>
        </w:rPr>
        <w:t>The minimum solvency margin that must be maintained by a Class E insurer is the greater of: (i) $8,000,000; (ii) 2% of first $500,000,000 of assets plus 1.5% of assets above $500,000,000; and (iii) 25% of that insurer’s enhanced capital requirement (“ECR”). An insurer may file an application under the Insurance Act to waive the aforementioned requirements.</w:t>
      </w:r>
    </w:p>
    <w:p>
      <w:pPr>
        <w:spacing w:after="0" w:line="27" w:lineRule="exact"/>
        <w:rPr>
          <w:sz w:val="20"/>
          <w:szCs w:val="20"/>
          <w:color w:val="auto"/>
        </w:rPr>
      </w:pPr>
    </w:p>
    <w:p>
      <w:pPr>
        <w:jc w:val="both"/>
        <w:ind w:firstLine="353"/>
        <w:spacing w:after="0" w:line="307" w:lineRule="auto"/>
        <w:rPr>
          <w:sz w:val="20"/>
          <w:szCs w:val="20"/>
          <w:color w:val="auto"/>
        </w:rPr>
      </w:pPr>
      <w:r>
        <w:rPr>
          <w:rFonts w:ascii="Arial" w:cs="Arial" w:eastAsia="Arial" w:hAnsi="Arial"/>
          <w:sz w:val="17"/>
          <w:szCs w:val="17"/>
          <w:b w:val="1"/>
          <w:bCs w:val="1"/>
          <w:i w:val="1"/>
          <w:iCs w:val="1"/>
          <w:color w:val="auto"/>
        </w:rPr>
        <w:t>ECR and Bermuda Solvency Capital Requirements (“BSCR”)</w:t>
      </w:r>
      <w:r>
        <w:rPr>
          <w:rFonts w:ascii="Arial" w:cs="Arial" w:eastAsia="Arial" w:hAnsi="Arial"/>
          <w:sz w:val="17"/>
          <w:szCs w:val="17"/>
          <w:color w:val="auto"/>
        </w:rPr>
        <w:t>. Class E insurers are required to maintain available capital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and surplus at a level equal to or in excess of the applicable ECR, which is established by reference to either the applicable BSCR model or an approved internal capital model. Furthermore, to enable the BMA to better assess the quality of the insurer’s capital resources, a Class E insurer is required to disclose the makeup of its capital in accordance with its 3-tiered capital system. An insurer may file an application under the Insurance Act to have the aforementioned ECR requirements waived.</w:t>
      </w:r>
    </w:p>
    <w:p>
      <w:pPr>
        <w:sectPr>
          <w:pgSz w:w="11880" w:h="15480" w:orient="portrait"/>
          <w:cols w:equalWidth="0" w:num="1">
            <w:col w:w="10040"/>
          </w:cols>
          <w:pgMar w:left="920" w:top="770"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32</w:t>
      </w:r>
    </w:p>
    <w:p>
      <w:pPr>
        <w:sectPr>
          <w:pgSz w:w="11880" w:h="15480" w:orient="portrait"/>
          <w:cols w:equalWidth="0" w:num="1">
            <w:col w:w="10040"/>
          </w:cols>
          <w:pgMar w:left="920" w:top="770" w:right="920" w:bottom="0" w:gutter="0" w:footer="0" w:header="0"/>
          <w:type w:val="continuous"/>
        </w:sectPr>
      </w:pPr>
    </w:p>
    <w:bookmarkStart w:id="44" w:name="page45"/>
    <w:bookmarkEnd w:id="44"/>
    <w:p>
      <w:pPr>
        <w:jc w:val="both"/>
        <w:ind w:firstLine="353"/>
        <w:spacing w:after="0" w:line="259" w:lineRule="auto"/>
        <w:rPr>
          <w:sz w:val="20"/>
          <w:szCs w:val="20"/>
          <w:color w:val="auto"/>
        </w:rPr>
      </w:pPr>
      <w:r>
        <w:rPr>
          <w:rFonts w:ascii="Arial" w:cs="Arial" w:eastAsia="Arial" w:hAnsi="Arial"/>
          <w:sz w:val="20"/>
          <w:szCs w:val="20"/>
          <w:b w:val="1"/>
          <w:bCs w:val="1"/>
          <w:i w:val="1"/>
          <w:iCs w:val="1"/>
          <w:color w:val="auto"/>
        </w:rPr>
        <w:t xml:space="preserve">Restrictions on Dividends and Distributions. </w:t>
      </w:r>
      <w:r>
        <w:rPr>
          <w:rFonts w:ascii="Arial" w:cs="Arial" w:eastAsia="Arial" w:hAnsi="Arial"/>
          <w:sz w:val="20"/>
          <w:szCs w:val="20"/>
          <w:color w:val="auto"/>
        </w:rPr>
        <w:t>In addition to the requirements under the Companies Act (as discussed</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below), the Insurance Act limits the maximum amount of annual dividends and distributions that may be paid or distributed by F&amp;G Life Re without prior regulatory approval.</w:t>
      </w:r>
    </w:p>
    <w:p>
      <w:pPr>
        <w:spacing w:after="0" w:line="80" w:lineRule="exact"/>
        <w:rPr>
          <w:sz w:val="20"/>
          <w:szCs w:val="20"/>
          <w:color w:val="auto"/>
        </w:rPr>
      </w:pPr>
    </w:p>
    <w:p>
      <w:pPr>
        <w:jc w:val="both"/>
        <w:ind w:firstLine="353"/>
        <w:spacing w:after="0" w:line="254" w:lineRule="auto"/>
        <w:rPr>
          <w:sz w:val="20"/>
          <w:szCs w:val="20"/>
          <w:color w:val="auto"/>
        </w:rPr>
      </w:pPr>
      <w:r>
        <w:rPr>
          <w:rFonts w:ascii="Arial" w:cs="Arial" w:eastAsia="Arial" w:hAnsi="Arial"/>
          <w:sz w:val="20"/>
          <w:szCs w:val="20"/>
          <w:color w:val="auto"/>
        </w:rPr>
        <w:t>F&amp;G Life Re is prohibited from declaring or paying a dividend if it fails to meet its minimum solvency margin, or ECR, or if the declaration or payment of such dividend would cause such breach. If F&amp;G Life Re were to fail to meet its minimum solvency margin on the last day of any financial year, it would be prohibited from declaring or paying any dividends during the next financial year without the approval of the BMA.</w:t>
      </w:r>
    </w:p>
    <w:p>
      <w:pPr>
        <w:spacing w:after="0" w:line="85" w:lineRule="exact"/>
        <w:rPr>
          <w:sz w:val="20"/>
          <w:szCs w:val="20"/>
          <w:color w:val="auto"/>
        </w:rPr>
      </w:pPr>
    </w:p>
    <w:p>
      <w:pPr>
        <w:jc w:val="both"/>
        <w:ind w:firstLine="353"/>
        <w:spacing w:after="0" w:line="271" w:lineRule="auto"/>
        <w:rPr>
          <w:sz w:val="20"/>
          <w:szCs w:val="20"/>
          <w:color w:val="auto"/>
        </w:rPr>
      </w:pPr>
      <w:r>
        <w:rPr>
          <w:rFonts w:ascii="Arial" w:cs="Arial" w:eastAsia="Arial" w:hAnsi="Arial"/>
          <w:sz w:val="19"/>
          <w:szCs w:val="19"/>
          <w:color w:val="auto"/>
        </w:rPr>
        <w:t>In addition, as a Class E insurer, F&amp;G Life Re must not declare or pay a dividend to any person other than a policyholder unless the value of the assets of such insurer, as certified by the insurer’s approved actuary, exceeds its liabilities (as so certified) by the greater of its margin of solvency or ECR. In the event a dividend complies with the above, F&amp;G Life Re must ensure the amount of any such dividend does not exceed that excess.</w:t>
      </w:r>
    </w:p>
    <w:p>
      <w:pPr>
        <w:spacing w:after="0" w:line="72" w:lineRule="exact"/>
        <w:rPr>
          <w:sz w:val="20"/>
          <w:szCs w:val="20"/>
          <w:color w:val="auto"/>
        </w:rPr>
      </w:pPr>
    </w:p>
    <w:p>
      <w:pPr>
        <w:jc w:val="both"/>
        <w:ind w:firstLine="353"/>
        <w:spacing w:after="0" w:line="306" w:lineRule="auto"/>
        <w:rPr>
          <w:sz w:val="20"/>
          <w:szCs w:val="20"/>
          <w:color w:val="auto"/>
        </w:rPr>
      </w:pPr>
      <w:r>
        <w:rPr>
          <w:rFonts w:ascii="Arial" w:cs="Arial" w:eastAsia="Arial" w:hAnsi="Arial"/>
          <w:sz w:val="17"/>
          <w:szCs w:val="17"/>
          <w:color w:val="auto"/>
        </w:rPr>
        <w:t>Furthermore, as a Class E insurer, F&amp;G Life Re must not declare or pay a dividend in any financial year which would exceed 25% of its total capital and statutory surplus, as set out in its previous year’s Bermuda statutory financial statements, unless at least seven days before payment of such dividend F&amp;G Life Re files with the BMA an affidavit signed by at least two directors of F&amp;G Life Re and its principal representative under the Bermuda Insurance Act stating that, in the opinion of those signing, declaration of such dividend has not caused the insurer to fail to meet its relevant margins.</w:t>
      </w:r>
    </w:p>
    <w:p>
      <w:pPr>
        <w:spacing w:after="0" w:line="47" w:lineRule="exact"/>
        <w:rPr>
          <w:sz w:val="20"/>
          <w:szCs w:val="20"/>
          <w:color w:val="auto"/>
        </w:rPr>
      </w:pPr>
    </w:p>
    <w:p>
      <w:pPr>
        <w:jc w:val="both"/>
        <w:ind w:firstLine="353"/>
        <w:spacing w:after="0" w:line="254" w:lineRule="auto"/>
        <w:rPr>
          <w:sz w:val="20"/>
          <w:szCs w:val="20"/>
          <w:color w:val="auto"/>
        </w:rPr>
      </w:pPr>
      <w:r>
        <w:rPr>
          <w:rFonts w:ascii="Arial" w:cs="Arial" w:eastAsia="Arial" w:hAnsi="Arial"/>
          <w:sz w:val="20"/>
          <w:szCs w:val="20"/>
          <w:color w:val="auto"/>
        </w:rPr>
        <w:t>The Companies Act also limits F&amp;G Life Re’s ability to pay dividends and make distributions to its shareholders. F&amp;G Life Re is not permitted to declare or pay a dividend, or make a distribution out of its contributed surplus, if it is, or would after the payment be, unable to pay its liabilities as they become due or if the realizable value of its assets would be less than its liabilities.</w:t>
      </w:r>
    </w:p>
    <w:p>
      <w:pPr>
        <w:spacing w:after="0" w:line="83" w:lineRule="exact"/>
        <w:rPr>
          <w:sz w:val="20"/>
          <w:szCs w:val="20"/>
          <w:color w:val="auto"/>
        </w:rPr>
      </w:pPr>
    </w:p>
    <w:p>
      <w:pPr>
        <w:jc w:val="both"/>
        <w:ind w:firstLine="353"/>
        <w:spacing w:after="0" w:line="254" w:lineRule="auto"/>
        <w:rPr>
          <w:sz w:val="20"/>
          <w:szCs w:val="20"/>
          <w:color w:val="auto"/>
        </w:rPr>
      </w:pPr>
      <w:r>
        <w:rPr>
          <w:rFonts w:ascii="Arial" w:cs="Arial" w:eastAsia="Arial" w:hAnsi="Arial"/>
          <w:sz w:val="20"/>
          <w:szCs w:val="20"/>
          <w:b w:val="1"/>
          <w:bCs w:val="1"/>
          <w:i w:val="1"/>
          <w:iCs w:val="1"/>
          <w:color w:val="auto"/>
        </w:rPr>
        <w:t xml:space="preserve">Reduction of Capital. </w:t>
      </w:r>
      <w:r>
        <w:rPr>
          <w:rFonts w:ascii="Arial" w:cs="Arial" w:eastAsia="Arial" w:hAnsi="Arial"/>
          <w:sz w:val="20"/>
          <w:szCs w:val="20"/>
          <w:color w:val="auto"/>
        </w:rPr>
        <w:t>F&amp;G Life Re may not reduce its total statutory capital by 15% or more, as set out in its previous</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year’s financial statements, unless it has received the prior approval of the BMA. Total statutory capital consists of the insurer’s paid in share capital, its contributed surplus (sometimes called additional paid in capital) and any other fixed capital designated by the BMA as statutory capital.</w:t>
      </w:r>
    </w:p>
    <w:p>
      <w:pPr>
        <w:spacing w:after="0" w:line="85" w:lineRule="exact"/>
        <w:rPr>
          <w:sz w:val="20"/>
          <w:szCs w:val="20"/>
          <w:color w:val="auto"/>
        </w:rPr>
      </w:pPr>
    </w:p>
    <w:p>
      <w:pPr>
        <w:jc w:val="both"/>
        <w:ind w:firstLine="353"/>
        <w:spacing w:after="0" w:line="268" w:lineRule="auto"/>
        <w:rPr>
          <w:sz w:val="20"/>
          <w:szCs w:val="20"/>
          <w:color w:val="auto"/>
        </w:rPr>
      </w:pPr>
      <w:r>
        <w:rPr>
          <w:rFonts w:ascii="Arial" w:cs="Arial" w:eastAsia="Arial" w:hAnsi="Arial"/>
          <w:sz w:val="19"/>
          <w:szCs w:val="19"/>
          <w:b w:val="1"/>
          <w:bCs w:val="1"/>
          <w:i w:val="1"/>
          <w:iCs w:val="1"/>
          <w:color w:val="auto"/>
        </w:rPr>
        <w:t xml:space="preserve">Regulation - Cayman. </w:t>
      </w:r>
      <w:r>
        <w:rPr>
          <w:rFonts w:ascii="Arial" w:cs="Arial" w:eastAsia="Arial" w:hAnsi="Arial"/>
          <w:sz w:val="19"/>
          <w:szCs w:val="19"/>
          <w:color w:val="auto"/>
        </w:rPr>
        <w:t>F&amp;G Cayman Re Ltd. ("F&amp;G Cayman Re") is licensed as a class D insurer in the Cayman Islands by</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the Cayman Islands Monetary Authority (“CIMA”). As a regulated insurance company, F&amp;G Cayman Re is subject to the supervision of CIMA and CIMA may at any time direct F&amp;G Cayman Re, in relation to a policy, a line of business or the entire business, to cease or refrain from committing an act or pursing a course of conduct and to perform such acts as in the opinion of CIMA are necessary to remedy or ameliorate the situation.</w:t>
      </w:r>
    </w:p>
    <w:p>
      <w:pPr>
        <w:spacing w:after="0" w:line="76" w:lineRule="exact"/>
        <w:rPr>
          <w:sz w:val="20"/>
          <w:szCs w:val="20"/>
          <w:color w:val="auto"/>
        </w:rPr>
      </w:pPr>
    </w:p>
    <w:p>
      <w:pPr>
        <w:jc w:val="both"/>
        <w:ind w:firstLine="353"/>
        <w:spacing w:after="0" w:line="310" w:lineRule="auto"/>
        <w:rPr>
          <w:sz w:val="20"/>
          <w:szCs w:val="20"/>
          <w:color w:val="auto"/>
        </w:rPr>
      </w:pPr>
      <w:r>
        <w:rPr>
          <w:rFonts w:ascii="Arial" w:cs="Arial" w:eastAsia="Arial" w:hAnsi="Arial"/>
          <w:sz w:val="17"/>
          <w:szCs w:val="17"/>
          <w:color w:val="auto"/>
        </w:rPr>
        <w:t>The laws and regulations of the Cayman Islands require that, among other things, F&amp;G Cayman Re maintain minimum levels of statutory capital, surplus and liquidity, meet solvency standards, submit to periodic examinations of its financial condition and restrict payments of dividends and reductions of capital. Statutes, regulations and policies that F&amp;G Cayman Re is subject to may also restrict the ability of F&amp;G Cayman Re to write insurance and reinsurance policies, make certain investments and distribute funds. Any failure to meet the applicable requirements or minimum statutory capital requirements could subject it to further examination or corrective action by CIMA, including restrictions on dividend payments, limitations on our writing of additional business or engaging in finance activities, supervision or liquidation.</w:t>
      </w:r>
    </w:p>
    <w:p>
      <w:pPr>
        <w:spacing w:after="0" w:line="36" w:lineRule="exact"/>
        <w:rPr>
          <w:sz w:val="20"/>
          <w:szCs w:val="20"/>
          <w:color w:val="auto"/>
        </w:rPr>
      </w:pPr>
    </w:p>
    <w:p>
      <w:pPr>
        <w:ind w:left="340"/>
        <w:spacing w:after="0"/>
        <w:rPr>
          <w:sz w:val="20"/>
          <w:szCs w:val="20"/>
          <w:color w:val="auto"/>
        </w:rPr>
      </w:pPr>
      <w:r>
        <w:rPr>
          <w:rFonts w:ascii="Arial" w:cs="Arial" w:eastAsia="Arial" w:hAnsi="Arial"/>
          <w:sz w:val="20"/>
          <w:szCs w:val="20"/>
          <w:b w:val="1"/>
          <w:bCs w:val="1"/>
          <w:i w:val="1"/>
          <w:iCs w:val="1"/>
          <w:color w:val="auto"/>
        </w:rPr>
        <w:t>Sustainability</w:t>
      </w:r>
    </w:p>
    <w:p>
      <w:pPr>
        <w:spacing w:after="0" w:line="130" w:lineRule="exact"/>
        <w:rPr>
          <w:sz w:val="20"/>
          <w:szCs w:val="20"/>
          <w:color w:val="auto"/>
        </w:rPr>
      </w:pPr>
    </w:p>
    <w:p>
      <w:pPr>
        <w:jc w:val="both"/>
        <w:ind w:firstLine="353"/>
        <w:spacing w:after="0" w:line="254" w:lineRule="auto"/>
        <w:rPr>
          <w:sz w:val="20"/>
          <w:szCs w:val="20"/>
          <w:color w:val="auto"/>
        </w:rPr>
      </w:pPr>
      <w:r>
        <w:rPr>
          <w:rFonts w:ascii="Arial" w:cs="Arial" w:eastAsia="Arial" w:hAnsi="Arial"/>
          <w:sz w:val="20"/>
          <w:szCs w:val="20"/>
          <w:color w:val="auto"/>
        </w:rPr>
        <w:t>FNF is dedicated to addressing those sustainability issues important to our strategic objectives. The Company’s senior management and Board of Directors have committed to understanding sustainability issues to better serve our employees, business partners and communities. To honor this commitment, the management team actively leads such efforts with oversight from the Audit Committee, which reports progress to the Board.</w:t>
      </w:r>
    </w:p>
    <w:p>
      <w:pPr>
        <w:spacing w:after="0" w:line="85" w:lineRule="exact"/>
        <w:rPr>
          <w:sz w:val="20"/>
          <w:szCs w:val="20"/>
          <w:color w:val="auto"/>
        </w:rPr>
      </w:pPr>
    </w:p>
    <w:p>
      <w:pPr>
        <w:jc w:val="both"/>
        <w:ind w:firstLine="353"/>
        <w:spacing w:after="0" w:line="306" w:lineRule="auto"/>
        <w:rPr>
          <w:sz w:val="20"/>
          <w:szCs w:val="20"/>
          <w:color w:val="auto"/>
        </w:rPr>
      </w:pPr>
      <w:r>
        <w:rPr>
          <w:rFonts w:ascii="Arial" w:cs="Arial" w:eastAsia="Arial" w:hAnsi="Arial"/>
          <w:sz w:val="17"/>
          <w:szCs w:val="17"/>
          <w:color w:val="auto"/>
        </w:rPr>
        <w:t>While climate change does not materially impact FNF’s title insurance products and services, we believe maintaining a sustainable business starts with being transparent about our business practices, corporate governance, environmental impact and commitment to stakeholders. In 2019, we shared our inaugural Sustainability report. Since then, FNF has continuously enhanced our sustainability efforts and published annual progress updates. Additional information about our efforts and commitment to sustainable business practices is available on the Company’s sustainability page at www.fnf.com/sustainability.</w:t>
      </w:r>
    </w:p>
    <w:p>
      <w:pPr>
        <w:spacing w:after="0" w:line="47" w:lineRule="exact"/>
        <w:rPr>
          <w:sz w:val="20"/>
          <w:szCs w:val="20"/>
          <w:color w:val="auto"/>
        </w:rPr>
      </w:pPr>
    </w:p>
    <w:p>
      <w:pPr>
        <w:ind w:left="340"/>
        <w:spacing w:after="0"/>
        <w:rPr>
          <w:sz w:val="20"/>
          <w:szCs w:val="20"/>
          <w:color w:val="auto"/>
        </w:rPr>
      </w:pPr>
      <w:r>
        <w:rPr>
          <w:rFonts w:ascii="Arial" w:cs="Arial" w:eastAsia="Arial" w:hAnsi="Arial"/>
          <w:sz w:val="20"/>
          <w:szCs w:val="20"/>
          <w:color w:val="auto"/>
        </w:rPr>
        <w:t>FNF’s core sustainability commitments include:</w:t>
      </w:r>
    </w:p>
    <w:p>
      <w:pPr>
        <w:spacing w:after="0" w:line="121" w:lineRule="exact"/>
        <w:rPr>
          <w:sz w:val="20"/>
          <w:szCs w:val="20"/>
          <w:color w:val="auto"/>
        </w:rPr>
      </w:pPr>
    </w:p>
    <w:p>
      <w:pPr>
        <w:jc w:val="both"/>
        <w:ind w:firstLine="353"/>
        <w:spacing w:after="0" w:line="326" w:lineRule="auto"/>
        <w:rPr>
          <w:sz w:val="20"/>
          <w:szCs w:val="20"/>
          <w:color w:val="auto"/>
        </w:rPr>
      </w:pPr>
      <w:r>
        <w:rPr>
          <w:rFonts w:ascii="Arial" w:cs="Arial" w:eastAsia="Arial" w:hAnsi="Arial"/>
          <w:sz w:val="17"/>
          <w:szCs w:val="17"/>
          <w:b w:val="1"/>
          <w:bCs w:val="1"/>
          <w:i w:val="1"/>
          <w:iCs w:val="1"/>
          <w:color w:val="auto"/>
        </w:rPr>
        <w:t xml:space="preserve">Protecting Property Owners. </w:t>
      </w:r>
      <w:r>
        <w:rPr>
          <w:rFonts w:ascii="Arial" w:cs="Arial" w:eastAsia="Arial" w:hAnsi="Arial"/>
          <w:sz w:val="17"/>
          <w:szCs w:val="17"/>
          <w:color w:val="auto"/>
        </w:rPr>
        <w:t>Our policyholders depend on the strength and security of a reputable title insurance company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to protect their property for years to come. As a provider of title insurance, we protect the rights of the insured – both residential and commercial property owners – against fraudulent and unexpected legal and financial claims that may arise after closing.</w:t>
      </w:r>
    </w:p>
    <w:p>
      <w:pPr>
        <w:sectPr>
          <w:pgSz w:w="11880" w:h="15480" w:orient="portrait"/>
          <w:cols w:equalWidth="0" w:num="1">
            <w:col w:w="10040"/>
          </w:cols>
          <w:pgMar w:left="920" w:top="770"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33</w:t>
      </w:r>
    </w:p>
    <w:p>
      <w:pPr>
        <w:sectPr>
          <w:pgSz w:w="11880" w:h="15480" w:orient="portrait"/>
          <w:cols w:equalWidth="0" w:num="1">
            <w:col w:w="10040"/>
          </w:cols>
          <w:pgMar w:left="920" w:top="770" w:right="920" w:bottom="0" w:gutter="0" w:footer="0" w:header="0"/>
          <w:type w:val="continuous"/>
        </w:sectPr>
      </w:pPr>
    </w:p>
    <w:bookmarkStart w:id="45" w:name="page46"/>
    <w:bookmarkEnd w:id="45"/>
    <w:p>
      <w:pPr>
        <w:jc w:val="both"/>
        <w:ind w:firstLine="353"/>
        <w:spacing w:after="0" w:line="254" w:lineRule="auto"/>
        <w:rPr>
          <w:sz w:val="20"/>
          <w:szCs w:val="20"/>
          <w:color w:val="auto"/>
        </w:rPr>
      </w:pPr>
      <w:r>
        <w:rPr>
          <w:rFonts w:ascii="Arial" w:cs="Arial" w:eastAsia="Arial" w:hAnsi="Arial"/>
          <w:sz w:val="20"/>
          <w:szCs w:val="20"/>
          <w:b w:val="1"/>
          <w:bCs w:val="1"/>
          <w:i w:val="1"/>
          <w:iCs w:val="1"/>
          <w:color w:val="auto"/>
        </w:rPr>
        <w:t xml:space="preserve">Consumer Data and Fraud Protection. </w:t>
      </w:r>
      <w:r>
        <w:rPr>
          <w:rFonts w:ascii="Arial" w:cs="Arial" w:eastAsia="Arial" w:hAnsi="Arial"/>
          <w:sz w:val="20"/>
          <w:szCs w:val="20"/>
          <w:color w:val="auto"/>
        </w:rPr>
        <w:t>The safety and security of our policyholders, customers, vendors and employees is</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a top priority. We maintain rigorous information security, internal auditing protocols, and monitoring to protect funds and private information while in our custody. We continuously work hard to educate and protect our stakeholders from deceitful practices by enhancing fraud prevention programs.</w:t>
      </w:r>
    </w:p>
    <w:p>
      <w:pPr>
        <w:spacing w:after="0" w:line="85" w:lineRule="exact"/>
        <w:rPr>
          <w:sz w:val="20"/>
          <w:szCs w:val="20"/>
          <w:color w:val="auto"/>
        </w:rPr>
      </w:pPr>
    </w:p>
    <w:p>
      <w:pPr>
        <w:ind w:firstLine="353"/>
        <w:spacing w:after="0" w:line="252" w:lineRule="auto"/>
        <w:rPr>
          <w:sz w:val="20"/>
          <w:szCs w:val="20"/>
          <w:color w:val="auto"/>
        </w:rPr>
      </w:pPr>
      <w:r>
        <w:rPr>
          <w:rFonts w:ascii="Arial" w:cs="Arial" w:eastAsia="Arial" w:hAnsi="Arial"/>
          <w:sz w:val="20"/>
          <w:szCs w:val="20"/>
          <w:b w:val="1"/>
          <w:bCs w:val="1"/>
          <w:i w:val="1"/>
          <w:iCs w:val="1"/>
          <w:color w:val="auto"/>
        </w:rPr>
        <w:t xml:space="preserve">Preserving the Environment. </w:t>
      </w:r>
      <w:r>
        <w:rPr>
          <w:rFonts w:ascii="Arial" w:cs="Arial" w:eastAsia="Arial" w:hAnsi="Arial"/>
          <w:sz w:val="20"/>
          <w:szCs w:val="20"/>
          <w:color w:val="auto"/>
        </w:rPr>
        <w:t>FNF integrates environmental management practices into our operations, including facilities.</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As part of the Company's commitment to preserving the environment, we understand our duty to protect the local environments where we operate, and that climate change may present risks and opportunities for our business. Annually, we conduct a climate risk assessment to understand climate-related risks that may impact our business and to manage these risks through enterprise risk management systems.</w:t>
      </w:r>
    </w:p>
    <w:p>
      <w:pPr>
        <w:spacing w:after="0" w:line="88" w:lineRule="exact"/>
        <w:rPr>
          <w:sz w:val="20"/>
          <w:szCs w:val="20"/>
          <w:color w:val="auto"/>
        </w:rPr>
      </w:pPr>
    </w:p>
    <w:p>
      <w:pPr>
        <w:jc w:val="both"/>
        <w:ind w:firstLine="353"/>
        <w:spacing w:after="0" w:line="300" w:lineRule="auto"/>
        <w:rPr>
          <w:sz w:val="20"/>
          <w:szCs w:val="20"/>
          <w:color w:val="auto"/>
        </w:rPr>
      </w:pPr>
      <w:r>
        <w:rPr>
          <w:rFonts w:ascii="Arial" w:cs="Arial" w:eastAsia="Arial" w:hAnsi="Arial"/>
          <w:sz w:val="17"/>
          <w:szCs w:val="17"/>
          <w:color w:val="auto"/>
        </w:rPr>
        <w:t>We are actively working to understand and reduce FNF’s environmental footprint across our locations. Efforts include monitoring and mitigating our carbon footprint, installing water filters to promote use of reusable water bottles, and participating in plastic, paper, and electronic recycling programs. FNF monitors its Scope 1 and 2 emissions at our Jacksonville headquarters and other leased and owned office locations. Emissions data for our Jacksonville headquarters location, and for select subsidiaries, is published in the most recent Sustainability report. As part of a traditionally paper-intensive industry, we have implemented customer-focused technology to significantly reduce paper consumption in real estate transactions demonstrating our commitment to moving the title insurance industry in a more sustainable direction.</w:t>
      </w:r>
    </w:p>
    <w:p>
      <w:pPr>
        <w:spacing w:after="0" w:line="52" w:lineRule="exact"/>
        <w:rPr>
          <w:sz w:val="20"/>
          <w:szCs w:val="20"/>
          <w:color w:val="auto"/>
        </w:rPr>
      </w:pPr>
    </w:p>
    <w:p>
      <w:pPr>
        <w:jc w:val="both"/>
        <w:ind w:firstLine="353"/>
        <w:spacing w:after="0" w:line="265" w:lineRule="auto"/>
        <w:rPr>
          <w:sz w:val="20"/>
          <w:szCs w:val="20"/>
          <w:color w:val="auto"/>
        </w:rPr>
      </w:pPr>
      <w:r>
        <w:rPr>
          <w:rFonts w:ascii="Arial" w:cs="Arial" w:eastAsia="Arial" w:hAnsi="Arial"/>
          <w:sz w:val="19"/>
          <w:szCs w:val="19"/>
          <w:b w:val="1"/>
          <w:bCs w:val="1"/>
          <w:i w:val="1"/>
          <w:iCs w:val="1"/>
          <w:color w:val="auto"/>
        </w:rPr>
        <w:t xml:space="preserve">Supporting Our Employees and Communities. </w:t>
      </w:r>
      <w:r>
        <w:rPr>
          <w:rFonts w:ascii="Arial" w:cs="Arial" w:eastAsia="Arial" w:hAnsi="Arial"/>
          <w:sz w:val="19"/>
          <w:szCs w:val="19"/>
          <w:color w:val="auto"/>
        </w:rPr>
        <w:t>As one of FNF's greatest assets, we are dedicated to providing employees</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with opportunities to expand their knowledge base and develop skills for career advancement. Additionally, we are committed to building a diverse and inclusive workforce, and we strongly believe the diversity of our clients should be reflected among our employees. With over 1,300 locations throughout the United States and Canada and over 24,000 employees, we are positioned to make a difference within our communities. Through local community involvement, corporate initiatives, philanthropic giving, and an active community volunteer ethos, we work hard each day to support the communities in which we live and operate.</w:t>
      </w:r>
    </w:p>
    <w:p>
      <w:pPr>
        <w:spacing w:after="0" w:line="75" w:lineRule="exact"/>
        <w:rPr>
          <w:sz w:val="20"/>
          <w:szCs w:val="20"/>
          <w:color w:val="auto"/>
        </w:rPr>
      </w:pPr>
    </w:p>
    <w:p>
      <w:pPr>
        <w:jc w:val="both"/>
        <w:ind w:firstLine="353"/>
        <w:spacing w:after="0" w:line="252" w:lineRule="auto"/>
        <w:rPr>
          <w:sz w:val="20"/>
          <w:szCs w:val="20"/>
          <w:color w:val="auto"/>
        </w:rPr>
      </w:pPr>
      <w:r>
        <w:rPr>
          <w:rFonts w:ascii="Arial" w:cs="Arial" w:eastAsia="Arial" w:hAnsi="Arial"/>
          <w:sz w:val="20"/>
          <w:szCs w:val="20"/>
          <w:b w:val="1"/>
          <w:bCs w:val="1"/>
          <w:i w:val="1"/>
          <w:iCs w:val="1"/>
          <w:color w:val="auto"/>
        </w:rPr>
        <w:t xml:space="preserve">Highest Standard of Conduct. </w:t>
      </w:r>
      <w:r>
        <w:rPr>
          <w:rFonts w:ascii="Arial" w:cs="Arial" w:eastAsia="Arial" w:hAnsi="Arial"/>
          <w:sz w:val="20"/>
          <w:szCs w:val="20"/>
          <w:color w:val="auto"/>
        </w:rPr>
        <w:t>We adhere to all related laws, regulations and principles of conduct to protect the public’s</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trust, ensure conscientious performance and preserve FNF’s legacy of honesty and strong ethical standards. We firmly commit to upholding the Company’s core precepts, which inspire us to do our best each day. FNF implements robust governance practices, policies, trainings, and reporting avenues designed to encourage all employees to uphold the highest standards for business integrity.</w:t>
      </w:r>
    </w:p>
    <w:p>
      <w:pPr>
        <w:spacing w:after="0" w:line="86" w:lineRule="exact"/>
        <w:rPr>
          <w:sz w:val="20"/>
          <w:szCs w:val="20"/>
          <w:color w:val="auto"/>
        </w:rPr>
      </w:pPr>
    </w:p>
    <w:p>
      <w:pPr>
        <w:ind w:left="340"/>
        <w:spacing w:after="0"/>
        <w:rPr>
          <w:sz w:val="20"/>
          <w:szCs w:val="20"/>
          <w:color w:val="auto"/>
        </w:rPr>
      </w:pPr>
      <w:r>
        <w:rPr>
          <w:rFonts w:ascii="Arial" w:cs="Arial" w:eastAsia="Arial" w:hAnsi="Arial"/>
          <w:sz w:val="20"/>
          <w:szCs w:val="20"/>
          <w:b w:val="1"/>
          <w:bCs w:val="1"/>
          <w:i w:val="1"/>
          <w:iCs w:val="1"/>
          <w:color w:val="auto"/>
        </w:rPr>
        <w:t>Human Capital Resources</w:t>
      </w:r>
    </w:p>
    <w:p>
      <w:pPr>
        <w:spacing w:after="0" w:line="123" w:lineRule="exact"/>
        <w:rPr>
          <w:sz w:val="20"/>
          <w:szCs w:val="20"/>
          <w:color w:val="auto"/>
        </w:rPr>
      </w:pPr>
    </w:p>
    <w:p>
      <w:pPr>
        <w:jc w:val="both"/>
        <w:ind w:firstLine="353"/>
        <w:spacing w:after="0" w:line="313" w:lineRule="auto"/>
        <w:rPr>
          <w:sz w:val="20"/>
          <w:szCs w:val="20"/>
          <w:color w:val="auto"/>
        </w:rPr>
      </w:pPr>
      <w:r>
        <w:rPr>
          <w:rFonts w:ascii="Arial" w:cs="Arial" w:eastAsia="Arial" w:hAnsi="Arial"/>
          <w:sz w:val="17"/>
          <w:szCs w:val="17"/>
          <w:b w:val="1"/>
          <w:bCs w:val="1"/>
          <w:i w:val="1"/>
          <w:iCs w:val="1"/>
          <w:color w:val="auto"/>
        </w:rPr>
        <w:t xml:space="preserve">Employees. </w:t>
      </w:r>
      <w:r>
        <w:rPr>
          <w:rFonts w:ascii="Arial" w:cs="Arial" w:eastAsia="Arial" w:hAnsi="Arial"/>
          <w:sz w:val="17"/>
          <w:szCs w:val="17"/>
          <w:color w:val="auto"/>
        </w:rPr>
        <w:t>As of December 26, 2025, we employed 24,535 full-time equivalent employees, including 22,790 in our Title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segment, 1,171 in our F&amp;G segment, and 574 in our Corporate and other segment. In our Title segment, we monitor staffing levels based on current economic activity. None of our employees are subject to collective bargaining agreements. We believe relations with employees are good, as evidenced by our strong track record of employee retention.</w:t>
      </w:r>
    </w:p>
    <w:p>
      <w:pPr>
        <w:spacing w:after="0" w:line="39" w:lineRule="exact"/>
        <w:rPr>
          <w:sz w:val="20"/>
          <w:szCs w:val="20"/>
          <w:color w:val="auto"/>
        </w:rPr>
      </w:pPr>
    </w:p>
    <w:p>
      <w:pPr>
        <w:jc w:val="both"/>
        <w:ind w:firstLine="353"/>
        <w:spacing w:after="0" w:line="303" w:lineRule="auto"/>
        <w:rPr>
          <w:sz w:val="20"/>
          <w:szCs w:val="20"/>
          <w:color w:val="auto"/>
        </w:rPr>
      </w:pPr>
      <w:r>
        <w:rPr>
          <w:rFonts w:ascii="Arial" w:cs="Arial" w:eastAsia="Arial" w:hAnsi="Arial"/>
          <w:sz w:val="17"/>
          <w:szCs w:val="17"/>
          <w:b w:val="1"/>
          <w:bCs w:val="1"/>
          <w:i w:val="1"/>
          <w:iCs w:val="1"/>
          <w:color w:val="auto"/>
        </w:rPr>
        <w:t xml:space="preserve">Diversity. </w:t>
      </w:r>
      <w:r>
        <w:rPr>
          <w:rFonts w:ascii="Arial" w:cs="Arial" w:eastAsia="Arial" w:hAnsi="Arial"/>
          <w:sz w:val="17"/>
          <w:szCs w:val="17"/>
          <w:color w:val="auto"/>
        </w:rPr>
        <w:t>FNF aims to implement diverse and inclusive practices in all aspects of business operations; and the diversity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our employees contributes to our success by offering our clientele meaningful customized products and services. We are committed to being an equal opportunity employer and to compliance with all federal, state and local laws that prohibit employment discrimination on the basis of race, color, religion, age, sex, pregnancy, national origin, ancestry, citizenship status, veteran status, marital status, physical or mental disability, sexual orientation, gender identity or expression, genetic information and any other characteristic protected by applicable federal, state or local laws.</w:t>
      </w:r>
    </w:p>
    <w:p>
      <w:pPr>
        <w:spacing w:after="0" w:line="50" w:lineRule="exact"/>
        <w:rPr>
          <w:sz w:val="20"/>
          <w:szCs w:val="20"/>
          <w:color w:val="auto"/>
        </w:rPr>
      </w:pPr>
    </w:p>
    <w:p>
      <w:pPr>
        <w:jc w:val="both"/>
        <w:ind w:firstLine="353"/>
        <w:spacing w:after="0" w:line="254" w:lineRule="auto"/>
        <w:rPr>
          <w:sz w:val="20"/>
          <w:szCs w:val="20"/>
          <w:color w:val="auto"/>
        </w:rPr>
      </w:pPr>
      <w:r>
        <w:rPr>
          <w:rFonts w:ascii="Arial" w:cs="Arial" w:eastAsia="Arial" w:hAnsi="Arial"/>
          <w:sz w:val="20"/>
          <w:szCs w:val="20"/>
          <w:color w:val="auto"/>
        </w:rPr>
        <w:t>Our Board of Directors leads by example in its commitment to diversity. In 2018, the board codified into our Corporate Governance Guidelines its commitment to diversity when selecting new director nominees, including candidates with a diversity of viewpoints, background, experience, and other demographics including age, gender, nationality, race, ethnicity, and sexual orientation.</w:t>
      </w:r>
    </w:p>
    <w:p>
      <w:pPr>
        <w:spacing w:after="0" w:line="85" w:lineRule="exact"/>
        <w:rPr>
          <w:sz w:val="20"/>
          <w:szCs w:val="20"/>
          <w:color w:val="auto"/>
        </w:rPr>
      </w:pPr>
    </w:p>
    <w:p>
      <w:pPr>
        <w:jc w:val="both"/>
        <w:ind w:firstLine="353"/>
        <w:spacing w:after="0" w:line="251" w:lineRule="auto"/>
        <w:rPr>
          <w:sz w:val="20"/>
          <w:szCs w:val="20"/>
          <w:color w:val="auto"/>
        </w:rPr>
      </w:pPr>
      <w:r>
        <w:rPr>
          <w:rFonts w:ascii="Arial" w:cs="Arial" w:eastAsia="Arial" w:hAnsi="Arial"/>
          <w:sz w:val="20"/>
          <w:szCs w:val="20"/>
          <w:color w:val="auto"/>
        </w:rPr>
        <w:t>FNF’s Code of Business Conduct &amp; Ethics prohibits discrimination and harassment, and we distribute a written nondiscrimination policy to all employees as part of the employee handbook. Employees participate in annual training courses on topics such as the FNF Code of Business Conduct and Ethics, anti-harassment and discrimination. Employees must acknowledge the FNF Code of Business Conduct and Ethics annually. FNF publishes its Diversity and Inclusion policy statement on the sustainability website at www.fnf.com/sustainability.</w:t>
      </w:r>
    </w:p>
    <w:p>
      <w:pPr>
        <w:spacing w:after="0" w:line="91" w:lineRule="exact"/>
        <w:rPr>
          <w:sz w:val="20"/>
          <w:szCs w:val="20"/>
          <w:color w:val="auto"/>
        </w:rPr>
      </w:pPr>
    </w:p>
    <w:p>
      <w:pPr>
        <w:jc w:val="both"/>
        <w:ind w:firstLine="353"/>
        <w:spacing w:after="0" w:line="325" w:lineRule="auto"/>
        <w:rPr>
          <w:sz w:val="20"/>
          <w:szCs w:val="20"/>
          <w:color w:val="auto"/>
        </w:rPr>
      </w:pPr>
      <w:r>
        <w:rPr>
          <w:rFonts w:ascii="Arial" w:cs="Arial" w:eastAsia="Arial" w:hAnsi="Arial"/>
          <w:sz w:val="17"/>
          <w:szCs w:val="17"/>
          <w:color w:val="auto"/>
        </w:rPr>
        <w:t>We have many women in leadership roles throughout our organization. As of December 31, 2025, out of the 18,764 U.S. based employees under FNF, 69% of the total workforce are women and 31% are men. Two out of eleven board members are women, 43% percent of the members of FNF’s Executive Team are women, and 68% of FNF’s non-executive managers are</w:t>
      </w:r>
    </w:p>
    <w:p>
      <w:pPr>
        <w:sectPr>
          <w:pgSz w:w="11880" w:h="15480" w:orient="portrait"/>
          <w:cols w:equalWidth="0" w:num="1">
            <w:col w:w="10040"/>
          </w:cols>
          <w:pgMar w:left="920" w:top="770"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34</w:t>
      </w:r>
    </w:p>
    <w:p>
      <w:pPr>
        <w:sectPr>
          <w:pgSz w:w="11880" w:h="15480" w:orient="portrait"/>
          <w:cols w:equalWidth="0" w:num="1">
            <w:col w:w="10040"/>
          </w:cols>
          <w:pgMar w:left="920" w:top="770" w:right="920" w:bottom="0" w:gutter="0" w:footer="0" w:header="0"/>
          <w:type w:val="continuous"/>
        </w:sectPr>
      </w:pPr>
    </w:p>
    <w:bookmarkStart w:id="46" w:name="page47"/>
    <w:bookmarkEnd w:id="46"/>
    <w:p>
      <w:pPr>
        <w:jc w:val="both"/>
        <w:spacing w:after="0" w:line="359" w:lineRule="auto"/>
        <w:rPr>
          <w:sz w:val="20"/>
          <w:szCs w:val="20"/>
          <w:color w:val="auto"/>
        </w:rPr>
      </w:pPr>
      <w:r>
        <w:rPr>
          <w:rFonts w:ascii="Arial" w:cs="Arial" w:eastAsia="Arial" w:hAnsi="Arial"/>
          <w:sz w:val="17"/>
          <w:szCs w:val="17"/>
          <w:color w:val="auto"/>
        </w:rPr>
        <w:t>women. Our annual Women in Leadership Program for female executives, managers, and future managers provides mentoring and development opportunities encouraging and promoting women into more active leadership roles within the Company.</w:t>
      </w:r>
    </w:p>
    <w:p>
      <w:pPr>
        <w:spacing w:after="0" w:line="1" w:lineRule="exact"/>
        <w:rPr>
          <w:sz w:val="20"/>
          <w:szCs w:val="20"/>
          <w:color w:val="auto"/>
        </w:rPr>
      </w:pPr>
    </w:p>
    <w:p>
      <w:pPr>
        <w:ind w:left="340"/>
        <w:spacing w:after="0"/>
        <w:rPr>
          <w:sz w:val="20"/>
          <w:szCs w:val="20"/>
          <w:color w:val="auto"/>
        </w:rPr>
      </w:pPr>
      <w:r>
        <w:rPr>
          <w:rFonts w:ascii="Arial" w:cs="Arial" w:eastAsia="Arial" w:hAnsi="Arial"/>
          <w:sz w:val="20"/>
          <w:szCs w:val="20"/>
          <w:b w:val="1"/>
          <w:bCs w:val="1"/>
          <w:i w:val="1"/>
          <w:iCs w:val="1"/>
          <w:color w:val="auto"/>
        </w:rPr>
        <w:t>Training and Professional Development</w:t>
      </w:r>
    </w:p>
    <w:p>
      <w:pPr>
        <w:spacing w:after="0" w:line="125" w:lineRule="exact"/>
        <w:rPr>
          <w:sz w:val="20"/>
          <w:szCs w:val="20"/>
          <w:color w:val="auto"/>
        </w:rPr>
      </w:pPr>
    </w:p>
    <w:p>
      <w:pPr>
        <w:jc w:val="both"/>
        <w:ind w:firstLine="353"/>
        <w:spacing w:after="0" w:line="258" w:lineRule="auto"/>
        <w:rPr>
          <w:sz w:val="20"/>
          <w:szCs w:val="20"/>
          <w:color w:val="auto"/>
        </w:rPr>
      </w:pPr>
      <w:r>
        <w:rPr>
          <w:rFonts w:ascii="Arial" w:cs="Arial" w:eastAsia="Arial" w:hAnsi="Arial"/>
          <w:sz w:val="20"/>
          <w:szCs w:val="20"/>
          <w:color w:val="auto"/>
        </w:rPr>
        <w:t>We believe our employees are one of the Company’s greatest assets, and we are committed to providing opportunities for them to expand their knowledge base and develop skills for advancement, resulting in improved employee performance and morale.</w:t>
      </w:r>
    </w:p>
    <w:p>
      <w:pPr>
        <w:spacing w:after="0" w:line="82" w:lineRule="exact"/>
        <w:rPr>
          <w:sz w:val="20"/>
          <w:szCs w:val="20"/>
          <w:color w:val="auto"/>
        </w:rPr>
      </w:pPr>
    </w:p>
    <w:p>
      <w:pPr>
        <w:jc w:val="both"/>
        <w:ind w:firstLine="353"/>
        <w:spacing w:after="0" w:line="306" w:lineRule="auto"/>
        <w:rPr>
          <w:sz w:val="20"/>
          <w:szCs w:val="20"/>
          <w:color w:val="auto"/>
        </w:rPr>
      </w:pPr>
      <w:r>
        <w:rPr>
          <w:rFonts w:ascii="Arial" w:cs="Arial" w:eastAsia="Arial" w:hAnsi="Arial"/>
          <w:sz w:val="17"/>
          <w:szCs w:val="17"/>
          <w:color w:val="auto"/>
        </w:rPr>
        <w:t>FNF offers a variety of training and educational opportunities for employees including, but not limited to, training on escrow policies and procedures, advanced escrow processing and practices, title loss reduction, title underwriting, advanced title practices and procedures, fraud prevention, data privacy, safe and responsible AI usage, as well as leadership effectiveness, software, soft skills, sales, and time management trainings. Our Commercial Sales University is a course for new commercial sales representatives, and our Leadership Development Program provides employees with mentorship from senior executives.</w:t>
      </w:r>
    </w:p>
    <w:p>
      <w:pPr>
        <w:spacing w:after="0" w:line="46" w:lineRule="exact"/>
        <w:rPr>
          <w:sz w:val="20"/>
          <w:szCs w:val="20"/>
          <w:color w:val="auto"/>
        </w:rPr>
      </w:pPr>
    </w:p>
    <w:p>
      <w:pPr>
        <w:jc w:val="both"/>
        <w:ind w:firstLine="353"/>
        <w:spacing w:after="0" w:line="303" w:lineRule="auto"/>
        <w:rPr>
          <w:sz w:val="20"/>
          <w:szCs w:val="20"/>
          <w:color w:val="auto"/>
        </w:rPr>
      </w:pPr>
      <w:r>
        <w:rPr>
          <w:rFonts w:ascii="Arial" w:cs="Arial" w:eastAsia="Arial" w:hAnsi="Arial"/>
          <w:sz w:val="17"/>
          <w:szCs w:val="17"/>
          <w:b w:val="1"/>
          <w:bCs w:val="1"/>
          <w:i w:val="1"/>
          <w:iCs w:val="1"/>
          <w:color w:val="auto"/>
        </w:rPr>
        <w:t xml:space="preserve">Leadership Development Program. </w:t>
      </w:r>
      <w:r>
        <w:rPr>
          <w:rFonts w:ascii="Arial" w:cs="Arial" w:eastAsia="Arial" w:hAnsi="Arial"/>
          <w:sz w:val="17"/>
          <w:szCs w:val="17"/>
          <w:color w:val="auto"/>
        </w:rPr>
        <w:t>Our Leadership Development Program helps employees advance their careers through</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professional development. Candidates are nominated once a year by their manager to participate in an intensive program, where they are asked to prepare and present a manager’s report and to participate in preparing an annual budget. The program includes thought-provoking discussions between candidates and our management team about leadership, business, the economy, and other industry-related topics. This process enables candidates to gain a better understanding of our Company culture and management expectations. Candidates also gain access to mentorship and engagement with senior executives.</w:t>
      </w:r>
    </w:p>
    <w:p>
      <w:pPr>
        <w:spacing w:after="0" w:line="50" w:lineRule="exact"/>
        <w:rPr>
          <w:sz w:val="20"/>
          <w:szCs w:val="20"/>
          <w:color w:val="auto"/>
        </w:rPr>
      </w:pPr>
    </w:p>
    <w:p>
      <w:pPr>
        <w:jc w:val="both"/>
        <w:ind w:firstLine="353"/>
        <w:spacing w:after="0" w:line="258" w:lineRule="auto"/>
        <w:rPr>
          <w:sz w:val="20"/>
          <w:szCs w:val="20"/>
          <w:color w:val="auto"/>
        </w:rPr>
      </w:pPr>
      <w:r>
        <w:rPr>
          <w:rFonts w:ascii="Arial" w:cs="Arial" w:eastAsia="Arial" w:hAnsi="Arial"/>
          <w:sz w:val="20"/>
          <w:szCs w:val="20"/>
          <w:color w:val="auto"/>
        </w:rPr>
        <w:t>Many departments provide Continuing Education and Continuing Legal Education opportunities for state land title and legal associations. Some offices provide financial assistance to join professional organizations and offer education reimbursement.</w:t>
      </w:r>
    </w:p>
    <w:p>
      <w:pPr>
        <w:spacing w:after="0" w:line="78" w:lineRule="exact"/>
        <w:rPr>
          <w:sz w:val="20"/>
          <w:szCs w:val="20"/>
          <w:color w:val="auto"/>
        </w:rPr>
      </w:pPr>
    </w:p>
    <w:p>
      <w:pPr>
        <w:ind w:left="340"/>
        <w:spacing w:after="0"/>
        <w:rPr>
          <w:sz w:val="20"/>
          <w:szCs w:val="20"/>
          <w:color w:val="auto"/>
        </w:rPr>
      </w:pPr>
      <w:r>
        <w:rPr>
          <w:rFonts w:ascii="Arial" w:cs="Arial" w:eastAsia="Arial" w:hAnsi="Arial"/>
          <w:sz w:val="20"/>
          <w:szCs w:val="20"/>
          <w:b w:val="1"/>
          <w:bCs w:val="1"/>
          <w:i w:val="1"/>
          <w:iCs w:val="1"/>
          <w:color w:val="auto"/>
        </w:rPr>
        <w:t>Financial Information by Operating Segment</w:t>
      </w:r>
    </w:p>
    <w:p>
      <w:pPr>
        <w:spacing w:after="0" w:line="125" w:lineRule="exact"/>
        <w:rPr>
          <w:sz w:val="20"/>
          <w:szCs w:val="20"/>
          <w:color w:val="auto"/>
        </w:rPr>
      </w:pPr>
    </w:p>
    <w:p>
      <w:pPr>
        <w:jc w:val="both"/>
        <w:ind w:firstLine="353"/>
        <w:spacing w:after="0" w:line="273" w:lineRule="auto"/>
        <w:rPr>
          <w:sz w:val="20"/>
          <w:szCs w:val="20"/>
          <w:color w:val="auto"/>
        </w:rPr>
      </w:pPr>
      <w:r>
        <w:rPr>
          <w:rFonts w:ascii="Arial" w:cs="Arial" w:eastAsia="Arial" w:hAnsi="Arial"/>
          <w:sz w:val="20"/>
          <w:szCs w:val="20"/>
          <w:color w:val="auto"/>
        </w:rPr>
        <w:t xml:space="preserve">For financial information by operating segment, see Note J </w:t>
      </w:r>
      <w:r>
        <w:rPr>
          <w:rFonts w:ascii="Arial" w:cs="Arial" w:eastAsia="Arial" w:hAnsi="Arial"/>
          <w:sz w:val="20"/>
          <w:szCs w:val="20"/>
          <w:b w:val="1"/>
          <w:bCs w:val="1"/>
          <w:i w:val="1"/>
          <w:iCs w:val="1"/>
          <w:color w:val="auto"/>
        </w:rPr>
        <w:t>Segment Information</w:t>
      </w:r>
      <w:r>
        <w:rPr>
          <w:rFonts w:ascii="Arial" w:cs="Arial" w:eastAsia="Arial" w:hAnsi="Arial"/>
          <w:sz w:val="20"/>
          <w:szCs w:val="20"/>
          <w:color w:val="auto"/>
        </w:rPr>
        <w:t xml:space="preserve"> to our Consolidated Financial Statements included in Item 8 of Part II of this Annual Report.</w:t>
      </w:r>
    </w:p>
    <w:p>
      <w:pPr>
        <w:spacing w:after="0" w:line="59" w:lineRule="exact"/>
        <w:rPr>
          <w:sz w:val="20"/>
          <w:szCs w:val="20"/>
          <w:color w:val="auto"/>
        </w:rPr>
      </w:pPr>
    </w:p>
    <w:p>
      <w:pPr>
        <w:ind w:left="340"/>
        <w:spacing w:after="0"/>
        <w:rPr>
          <w:sz w:val="20"/>
          <w:szCs w:val="20"/>
          <w:color w:val="auto"/>
        </w:rPr>
      </w:pPr>
      <w:r>
        <w:rPr>
          <w:rFonts w:ascii="Arial" w:cs="Arial" w:eastAsia="Arial" w:hAnsi="Arial"/>
          <w:sz w:val="20"/>
          <w:szCs w:val="20"/>
          <w:b w:val="1"/>
          <w:bCs w:val="1"/>
          <w:i w:val="1"/>
          <w:iCs w:val="1"/>
          <w:color w:val="auto"/>
        </w:rPr>
        <w:t>Statement Regarding Forward-Looking Information</w:t>
      </w:r>
    </w:p>
    <w:p>
      <w:pPr>
        <w:spacing w:after="0" w:line="130" w:lineRule="exact"/>
        <w:rPr>
          <w:sz w:val="20"/>
          <w:szCs w:val="20"/>
          <w:color w:val="auto"/>
        </w:rPr>
      </w:pPr>
    </w:p>
    <w:p>
      <w:pPr>
        <w:jc w:val="both"/>
        <w:ind w:firstLine="359"/>
        <w:spacing w:after="0" w:line="263" w:lineRule="auto"/>
        <w:rPr>
          <w:sz w:val="20"/>
          <w:szCs w:val="20"/>
          <w:color w:val="auto"/>
        </w:rPr>
      </w:pPr>
      <w:r>
        <w:rPr>
          <w:rFonts w:ascii="Arial" w:cs="Arial" w:eastAsia="Arial" w:hAnsi="Arial"/>
          <w:sz w:val="19"/>
          <w:szCs w:val="19"/>
          <w:color w:val="auto"/>
        </w:rPr>
        <w:t>The statements contained in this Annual Report or in our other documents or in oral presentations or other statements made by our management that are not purely historical are forward-looking statements within the meaning of Section 27A of the Securities Act of 1933, as amended, and Section 21E of the Securities Exchange Act of 1934, as amended (the "Exchange Act"), including statements regarding our expectations, hopes, intentions or strategies regarding the future. These statements relate to, among other things, future financial and operating results of the Company. In many cases, you can identify forward-looking statements by terminology such as “may,” “will,” “should,” “expect,” “plan,” “anticipate,” “believe,” “estimate,” “predict,” “potential,” or “continue,” or the negative of these terms and other comparable terminology. Actual results could differ materially from those anticipated in these statements as a result of a number of factors, including, but not limited to the following:</w:t>
      </w:r>
    </w:p>
    <w:p>
      <w:pPr>
        <w:spacing w:after="0" w:line="80" w:lineRule="exact"/>
        <w:rPr>
          <w:sz w:val="20"/>
          <w:szCs w:val="20"/>
          <w:color w:val="auto"/>
        </w:rPr>
      </w:pPr>
    </w:p>
    <w:p>
      <w:pPr>
        <w:ind w:left="700" w:hanging="355"/>
        <w:spacing w:after="0" w:line="300" w:lineRule="auto"/>
        <w:tabs>
          <w:tab w:leader="none" w:pos="700" w:val="left"/>
        </w:tabs>
        <w:numPr>
          <w:ilvl w:val="0"/>
          <w:numId w:val="24"/>
        </w:numPr>
        <w:rPr>
          <w:rFonts w:ascii="Arial" w:cs="Arial" w:eastAsia="Arial" w:hAnsi="Arial"/>
          <w:sz w:val="17"/>
          <w:szCs w:val="17"/>
          <w:color w:val="auto"/>
        </w:rPr>
      </w:pPr>
      <w:r>
        <w:rPr>
          <w:rFonts w:ascii="Arial" w:cs="Arial" w:eastAsia="Arial" w:hAnsi="Arial"/>
          <w:sz w:val="17"/>
          <w:szCs w:val="17"/>
          <w:color w:val="auto"/>
        </w:rPr>
        <w:t>adverse changes in the level of real estate activity, which may be caused by, among other things, high or increasing interest rates, a limited supply of mortgage funding, increased mortgage defaults, or a weak U.S. economy;</w:t>
      </w:r>
    </w:p>
    <w:p>
      <w:pPr>
        <w:spacing w:after="0" w:line="1" w:lineRule="exact"/>
        <w:rPr>
          <w:rFonts w:ascii="Arial" w:cs="Arial" w:eastAsia="Arial" w:hAnsi="Arial"/>
          <w:sz w:val="17"/>
          <w:szCs w:val="17"/>
          <w:color w:val="auto"/>
        </w:rPr>
      </w:pPr>
    </w:p>
    <w:p>
      <w:pPr>
        <w:ind w:left="700" w:hanging="355"/>
        <w:spacing w:after="0"/>
        <w:tabs>
          <w:tab w:leader="none" w:pos="700" w:val="left"/>
        </w:tabs>
        <w:numPr>
          <w:ilvl w:val="0"/>
          <w:numId w:val="24"/>
        </w:numPr>
        <w:rPr>
          <w:rFonts w:ascii="Arial" w:cs="Arial" w:eastAsia="Arial" w:hAnsi="Arial"/>
          <w:sz w:val="20"/>
          <w:szCs w:val="20"/>
          <w:color w:val="auto"/>
        </w:rPr>
      </w:pPr>
      <w:r>
        <w:rPr>
          <w:rFonts w:ascii="Arial" w:cs="Arial" w:eastAsia="Arial" w:hAnsi="Arial"/>
          <w:sz w:val="20"/>
          <w:szCs w:val="20"/>
          <w:color w:val="auto"/>
        </w:rPr>
        <w:t>the severity of our title insurance claims;</w:t>
      </w:r>
    </w:p>
    <w:p>
      <w:pPr>
        <w:spacing w:after="0" w:line="5" w:lineRule="exact"/>
        <w:rPr>
          <w:rFonts w:ascii="Arial" w:cs="Arial" w:eastAsia="Arial" w:hAnsi="Arial"/>
          <w:sz w:val="20"/>
          <w:szCs w:val="20"/>
          <w:color w:val="auto"/>
        </w:rPr>
      </w:pPr>
    </w:p>
    <w:p>
      <w:pPr>
        <w:ind w:left="700" w:hanging="355"/>
        <w:spacing w:after="0"/>
        <w:tabs>
          <w:tab w:leader="none" w:pos="700" w:val="left"/>
        </w:tabs>
        <w:numPr>
          <w:ilvl w:val="0"/>
          <w:numId w:val="24"/>
        </w:numPr>
        <w:rPr>
          <w:rFonts w:ascii="Arial" w:cs="Arial" w:eastAsia="Arial" w:hAnsi="Arial"/>
          <w:sz w:val="20"/>
          <w:szCs w:val="20"/>
          <w:color w:val="auto"/>
        </w:rPr>
      </w:pPr>
      <w:r>
        <w:rPr>
          <w:rFonts w:ascii="Arial" w:cs="Arial" w:eastAsia="Arial" w:hAnsi="Arial"/>
          <w:sz w:val="20"/>
          <w:szCs w:val="20"/>
          <w:color w:val="auto"/>
        </w:rPr>
        <w:t>downgrade of our credit rating by rating agencies;</w:t>
      </w:r>
    </w:p>
    <w:p>
      <w:pPr>
        <w:spacing w:after="0" w:line="5" w:lineRule="exact"/>
        <w:rPr>
          <w:rFonts w:ascii="Arial" w:cs="Arial" w:eastAsia="Arial" w:hAnsi="Arial"/>
          <w:sz w:val="20"/>
          <w:szCs w:val="20"/>
          <w:color w:val="auto"/>
        </w:rPr>
      </w:pPr>
    </w:p>
    <w:p>
      <w:pPr>
        <w:ind w:left="700" w:hanging="355"/>
        <w:spacing w:after="0" w:line="245" w:lineRule="auto"/>
        <w:tabs>
          <w:tab w:leader="none" w:pos="700" w:val="left"/>
        </w:tabs>
        <w:numPr>
          <w:ilvl w:val="0"/>
          <w:numId w:val="24"/>
        </w:numPr>
        <w:rPr>
          <w:rFonts w:ascii="Arial" w:cs="Arial" w:eastAsia="Arial" w:hAnsi="Arial"/>
          <w:sz w:val="20"/>
          <w:szCs w:val="20"/>
          <w:color w:val="auto"/>
        </w:rPr>
      </w:pPr>
      <w:r>
        <w:rPr>
          <w:rFonts w:ascii="Arial" w:cs="Arial" w:eastAsia="Arial" w:hAnsi="Arial"/>
          <w:sz w:val="20"/>
          <w:szCs w:val="20"/>
          <w:color w:val="auto"/>
        </w:rPr>
        <w:t>compliance with extensive government regulation of our operating subsidiaries and adverse changes in applicable laws or regulations or in their application by regulators;</w:t>
      </w:r>
    </w:p>
    <w:p>
      <w:pPr>
        <w:ind w:left="700" w:hanging="355"/>
        <w:spacing w:after="0"/>
        <w:tabs>
          <w:tab w:leader="none" w:pos="700" w:val="left"/>
        </w:tabs>
        <w:numPr>
          <w:ilvl w:val="0"/>
          <w:numId w:val="24"/>
        </w:numPr>
        <w:rPr>
          <w:rFonts w:ascii="Arial" w:cs="Arial" w:eastAsia="Arial" w:hAnsi="Arial"/>
          <w:sz w:val="20"/>
          <w:szCs w:val="20"/>
          <w:color w:val="auto"/>
        </w:rPr>
      </w:pPr>
      <w:r>
        <w:rPr>
          <w:rFonts w:ascii="Arial" w:cs="Arial" w:eastAsia="Arial" w:hAnsi="Arial"/>
          <w:sz w:val="20"/>
          <w:szCs w:val="20"/>
          <w:color w:val="auto"/>
        </w:rPr>
        <w:t>regulatory investigations of the title insurance industry;</w:t>
      </w:r>
    </w:p>
    <w:p>
      <w:pPr>
        <w:spacing w:after="0" w:line="5" w:lineRule="exact"/>
        <w:rPr>
          <w:rFonts w:ascii="Arial" w:cs="Arial" w:eastAsia="Arial" w:hAnsi="Arial"/>
          <w:sz w:val="20"/>
          <w:szCs w:val="20"/>
          <w:color w:val="auto"/>
        </w:rPr>
      </w:pPr>
    </w:p>
    <w:p>
      <w:pPr>
        <w:ind w:left="700" w:hanging="355"/>
        <w:spacing w:after="0"/>
        <w:tabs>
          <w:tab w:leader="none" w:pos="700" w:val="left"/>
        </w:tabs>
        <w:numPr>
          <w:ilvl w:val="0"/>
          <w:numId w:val="24"/>
        </w:numPr>
        <w:rPr>
          <w:rFonts w:ascii="Arial" w:cs="Arial" w:eastAsia="Arial" w:hAnsi="Arial"/>
          <w:sz w:val="20"/>
          <w:szCs w:val="20"/>
          <w:color w:val="auto"/>
        </w:rPr>
      </w:pPr>
      <w:r>
        <w:rPr>
          <w:rFonts w:ascii="Arial" w:cs="Arial" w:eastAsia="Arial" w:hAnsi="Arial"/>
          <w:sz w:val="20"/>
          <w:szCs w:val="20"/>
          <w:color w:val="auto"/>
        </w:rPr>
        <w:t>loss of key personnel that could negatively affect our financial results and impair our operating abilities;</w:t>
      </w:r>
    </w:p>
    <w:p>
      <w:pPr>
        <w:spacing w:after="0" w:line="5" w:lineRule="exact"/>
        <w:rPr>
          <w:rFonts w:ascii="Arial" w:cs="Arial" w:eastAsia="Arial" w:hAnsi="Arial"/>
          <w:sz w:val="20"/>
          <w:szCs w:val="20"/>
          <w:color w:val="auto"/>
        </w:rPr>
      </w:pPr>
    </w:p>
    <w:p>
      <w:pPr>
        <w:ind w:left="700" w:hanging="355"/>
        <w:spacing w:after="0" w:line="245" w:lineRule="auto"/>
        <w:tabs>
          <w:tab w:leader="none" w:pos="700" w:val="left"/>
        </w:tabs>
        <w:numPr>
          <w:ilvl w:val="0"/>
          <w:numId w:val="24"/>
        </w:numPr>
        <w:rPr>
          <w:rFonts w:ascii="Arial" w:cs="Arial" w:eastAsia="Arial" w:hAnsi="Arial"/>
          <w:sz w:val="20"/>
          <w:szCs w:val="20"/>
          <w:color w:val="auto"/>
        </w:rPr>
      </w:pPr>
      <w:r>
        <w:rPr>
          <w:rFonts w:ascii="Arial" w:cs="Arial" w:eastAsia="Arial" w:hAnsi="Arial"/>
          <w:sz w:val="20"/>
          <w:szCs w:val="20"/>
          <w:color w:val="auto"/>
        </w:rPr>
        <w:t>our business concentration in the States of California and Texas are the source of approximately 12.2% and 14.1%, respectively, of our title insurance premiums;</w:t>
      </w:r>
    </w:p>
    <w:p>
      <w:pPr>
        <w:ind w:left="700" w:hanging="355"/>
        <w:spacing w:after="0" w:line="288" w:lineRule="auto"/>
        <w:tabs>
          <w:tab w:leader="none" w:pos="700" w:val="left"/>
        </w:tabs>
        <w:numPr>
          <w:ilvl w:val="0"/>
          <w:numId w:val="24"/>
        </w:numPr>
        <w:rPr>
          <w:rFonts w:ascii="Arial" w:cs="Arial" w:eastAsia="Arial" w:hAnsi="Arial"/>
          <w:sz w:val="17"/>
          <w:szCs w:val="17"/>
          <w:color w:val="auto"/>
        </w:rPr>
      </w:pPr>
      <w:r>
        <w:rPr>
          <w:rFonts w:ascii="Arial" w:cs="Arial" w:eastAsia="Arial" w:hAnsi="Arial"/>
          <w:sz w:val="17"/>
          <w:szCs w:val="17"/>
          <w:color w:val="auto"/>
        </w:rPr>
        <w:t>our potential inability to find suitable acquisition candidates, as well as the risks associated with acquisitions in lines of business that will not necessarily be limited to our traditional areas of focus, or difficulties integrating acquisitions;</w:t>
      </w:r>
    </w:p>
    <w:p>
      <w:pPr>
        <w:spacing w:after="0" w:line="1" w:lineRule="exact"/>
        <w:rPr>
          <w:rFonts w:ascii="Arial" w:cs="Arial" w:eastAsia="Arial" w:hAnsi="Arial"/>
          <w:sz w:val="17"/>
          <w:szCs w:val="17"/>
          <w:color w:val="auto"/>
        </w:rPr>
      </w:pPr>
    </w:p>
    <w:p>
      <w:pPr>
        <w:ind w:left="700" w:hanging="355"/>
        <w:spacing w:after="0"/>
        <w:tabs>
          <w:tab w:leader="none" w:pos="700" w:val="left"/>
        </w:tabs>
        <w:numPr>
          <w:ilvl w:val="0"/>
          <w:numId w:val="24"/>
        </w:numPr>
        <w:rPr>
          <w:rFonts w:ascii="Arial" w:cs="Arial" w:eastAsia="Arial" w:hAnsi="Arial"/>
          <w:sz w:val="20"/>
          <w:szCs w:val="20"/>
          <w:color w:val="auto"/>
        </w:rPr>
      </w:pPr>
      <w:r>
        <w:rPr>
          <w:rFonts w:ascii="Arial" w:cs="Arial" w:eastAsia="Arial" w:hAnsi="Arial"/>
          <w:sz w:val="20"/>
          <w:szCs w:val="20"/>
          <w:color w:val="auto"/>
        </w:rPr>
        <w:t>our dependence on distributions from our title insurance underwriters as our main source of cash flow;</w:t>
      </w:r>
    </w:p>
    <w:p>
      <w:pPr>
        <w:spacing w:after="0" w:line="5" w:lineRule="exact"/>
        <w:rPr>
          <w:rFonts w:ascii="Arial" w:cs="Arial" w:eastAsia="Arial" w:hAnsi="Arial"/>
          <w:sz w:val="20"/>
          <w:szCs w:val="20"/>
          <w:color w:val="auto"/>
        </w:rPr>
      </w:pPr>
    </w:p>
    <w:p>
      <w:pPr>
        <w:ind w:left="700" w:hanging="355"/>
        <w:spacing w:after="0"/>
        <w:tabs>
          <w:tab w:leader="none" w:pos="700" w:val="left"/>
        </w:tabs>
        <w:numPr>
          <w:ilvl w:val="0"/>
          <w:numId w:val="24"/>
        </w:numPr>
        <w:rPr>
          <w:rFonts w:ascii="Arial" w:cs="Arial" w:eastAsia="Arial" w:hAnsi="Arial"/>
          <w:sz w:val="20"/>
          <w:szCs w:val="20"/>
          <w:color w:val="auto"/>
        </w:rPr>
      </w:pPr>
      <w:r>
        <w:rPr>
          <w:rFonts w:ascii="Arial" w:cs="Arial" w:eastAsia="Arial" w:hAnsi="Arial"/>
          <w:sz w:val="20"/>
          <w:szCs w:val="20"/>
          <w:color w:val="auto"/>
        </w:rPr>
        <w:t>competition from other title insurance companies;</w:t>
      </w:r>
    </w:p>
    <w:p>
      <w:pPr>
        <w:spacing w:after="0" w:line="5" w:lineRule="exact"/>
        <w:rPr>
          <w:rFonts w:ascii="Arial" w:cs="Arial" w:eastAsia="Arial" w:hAnsi="Arial"/>
          <w:sz w:val="20"/>
          <w:szCs w:val="20"/>
          <w:color w:val="auto"/>
        </w:rPr>
      </w:pPr>
    </w:p>
    <w:p>
      <w:pPr>
        <w:ind w:left="700" w:hanging="355"/>
        <w:spacing w:after="0" w:line="245" w:lineRule="auto"/>
        <w:tabs>
          <w:tab w:leader="none" w:pos="700" w:val="left"/>
        </w:tabs>
        <w:numPr>
          <w:ilvl w:val="0"/>
          <w:numId w:val="24"/>
        </w:numPr>
        <w:rPr>
          <w:rFonts w:ascii="Arial" w:cs="Arial" w:eastAsia="Arial" w:hAnsi="Arial"/>
          <w:sz w:val="20"/>
          <w:szCs w:val="20"/>
          <w:color w:val="auto"/>
        </w:rPr>
      </w:pPr>
      <w:r>
        <w:rPr>
          <w:rFonts w:ascii="Arial" w:cs="Arial" w:eastAsia="Arial" w:hAnsi="Arial"/>
          <w:sz w:val="20"/>
          <w:szCs w:val="20"/>
          <w:color w:val="auto"/>
        </w:rPr>
        <w:t>changes in general economic, business, and political conditions, including changes in the financial markets related to inflation and geopolitical uncertainties;</w:t>
      </w:r>
    </w:p>
    <w:p>
      <w:pPr>
        <w:ind w:left="700" w:hanging="355"/>
        <w:spacing w:after="0"/>
        <w:tabs>
          <w:tab w:leader="none" w:pos="700" w:val="left"/>
        </w:tabs>
        <w:numPr>
          <w:ilvl w:val="0"/>
          <w:numId w:val="24"/>
        </w:numPr>
        <w:rPr>
          <w:rFonts w:ascii="Arial" w:cs="Arial" w:eastAsia="Arial" w:hAnsi="Arial"/>
          <w:sz w:val="20"/>
          <w:szCs w:val="20"/>
          <w:color w:val="auto"/>
        </w:rPr>
      </w:pPr>
      <w:r>
        <w:rPr>
          <w:rFonts w:ascii="Arial" w:cs="Arial" w:eastAsia="Arial" w:hAnsi="Arial"/>
          <w:sz w:val="20"/>
          <w:szCs w:val="20"/>
          <w:color w:val="auto"/>
        </w:rPr>
        <w:t>impacts to our business operations caused by the occurrence of a catastrophe or global crisis; and</w:t>
      </w:r>
    </w:p>
    <w:p>
      <w:pPr>
        <w:spacing w:after="0" w:line="5" w:lineRule="exact"/>
        <w:rPr>
          <w:rFonts w:ascii="Arial" w:cs="Arial" w:eastAsia="Arial" w:hAnsi="Arial"/>
          <w:sz w:val="20"/>
          <w:szCs w:val="20"/>
          <w:color w:val="auto"/>
        </w:rPr>
      </w:pPr>
    </w:p>
    <w:p>
      <w:pPr>
        <w:ind w:left="700" w:hanging="355"/>
        <w:spacing w:after="0"/>
        <w:tabs>
          <w:tab w:leader="none" w:pos="700" w:val="left"/>
        </w:tabs>
        <w:numPr>
          <w:ilvl w:val="0"/>
          <w:numId w:val="24"/>
        </w:numPr>
        <w:rPr>
          <w:rFonts w:ascii="Arial" w:cs="Arial" w:eastAsia="Arial" w:hAnsi="Arial"/>
          <w:sz w:val="17"/>
          <w:szCs w:val="17"/>
          <w:color w:val="auto"/>
        </w:rPr>
      </w:pPr>
      <w:r>
        <w:rPr>
          <w:rFonts w:ascii="Arial" w:cs="Arial" w:eastAsia="Arial" w:hAnsi="Arial"/>
          <w:sz w:val="17"/>
          <w:szCs w:val="17"/>
          <w:color w:val="auto"/>
        </w:rPr>
        <w:t>other risks detailed in "Risk Factors" below and elsewhere in this Annual Report and in our other filings with the SEC.</w:t>
      </w:r>
    </w:p>
    <w:p>
      <w:pPr>
        <w:sectPr>
          <w:pgSz w:w="11880" w:h="15480" w:orient="portrait"/>
          <w:cols w:equalWidth="0" w:num="1">
            <w:col w:w="10040"/>
          </w:cols>
          <w:pgMar w:left="920" w:top="772"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35</w:t>
      </w:r>
    </w:p>
    <w:p>
      <w:pPr>
        <w:sectPr>
          <w:pgSz w:w="11880" w:h="15480" w:orient="portrait"/>
          <w:cols w:equalWidth="0" w:num="1">
            <w:col w:w="10040"/>
          </w:cols>
          <w:pgMar w:left="920" w:top="772" w:right="920" w:bottom="0" w:gutter="0" w:footer="0" w:header="0"/>
          <w:type w:val="continuous"/>
        </w:sectPr>
      </w:pPr>
    </w:p>
    <w:bookmarkStart w:id="47" w:name="page48"/>
    <w:bookmarkEnd w:id="47"/>
    <w:p>
      <w:pPr>
        <w:jc w:val="both"/>
        <w:ind w:firstLine="391"/>
        <w:spacing w:after="0" w:line="258" w:lineRule="auto"/>
        <w:rPr>
          <w:sz w:val="20"/>
          <w:szCs w:val="20"/>
          <w:color w:val="auto"/>
        </w:rPr>
      </w:pPr>
      <w:r>
        <w:rPr>
          <w:rFonts w:ascii="Arial" w:cs="Arial" w:eastAsia="Arial" w:hAnsi="Arial"/>
          <w:sz w:val="20"/>
          <w:szCs w:val="20"/>
          <w:color w:val="auto"/>
        </w:rPr>
        <w:t>We are not under any obligation (and expressly disclaim any such obligation) to update or alter our forward-looking statements, whether as a result of new information, future events or otherwise. You should carefully consider the possibility that actual results may differ materially from our forward-looking statements.</w:t>
      </w:r>
    </w:p>
    <w:p>
      <w:pPr>
        <w:spacing w:after="0" w:line="7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Additional Information</w:t>
      </w:r>
    </w:p>
    <w:p>
      <w:pPr>
        <w:spacing w:after="0" w:line="110" w:lineRule="exact"/>
        <w:rPr>
          <w:sz w:val="20"/>
          <w:szCs w:val="20"/>
          <w:color w:val="auto"/>
        </w:rPr>
      </w:pPr>
    </w:p>
    <w:p>
      <w:pPr>
        <w:jc w:val="both"/>
        <w:ind w:firstLine="369"/>
        <w:spacing w:after="0" w:line="251" w:lineRule="auto"/>
        <w:rPr>
          <w:sz w:val="20"/>
          <w:szCs w:val="20"/>
          <w:color w:val="auto"/>
        </w:rPr>
      </w:pPr>
      <w:r>
        <w:rPr>
          <w:rFonts w:ascii="Arial" w:cs="Arial" w:eastAsia="Arial" w:hAnsi="Arial"/>
          <w:sz w:val="20"/>
          <w:szCs w:val="20"/>
          <w:color w:val="auto"/>
        </w:rPr>
        <w:t>Our website address is www.fnf.com. We make available free of charge on or through our website our Annual Report on Form 10-K, Quarterly Reports on Form 10-Q, Current Reports on Form 8-K and all amendments to those reports filed or furnished pursuant to Section 13(a) or 15(d) of the Exchange Act as soon as reasonably practicable after such material is electronically filed with or furnished to the SEC. However, the information found on our website is not part of this or any other report.</w:t>
      </w:r>
    </w:p>
    <w:p>
      <w:pPr>
        <w:sectPr>
          <w:pgSz w:w="11880" w:h="15480" w:orient="portrait"/>
          <w:cols w:equalWidth="0" w:num="1">
            <w:col w:w="10040"/>
          </w:cols>
          <w:pgMar w:left="920" w:top="772"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36</w:t>
      </w:r>
    </w:p>
    <w:p>
      <w:pPr>
        <w:sectPr>
          <w:pgSz w:w="11880" w:h="15480" w:orient="portrait"/>
          <w:cols w:equalWidth="0" w:num="1">
            <w:col w:w="10040"/>
          </w:cols>
          <w:pgMar w:left="920" w:top="772" w:right="920" w:bottom="0" w:gutter="0" w:footer="0" w:header="0"/>
          <w:type w:val="continuous"/>
        </w:sectPr>
      </w:pPr>
    </w:p>
    <w:bookmarkStart w:id="48" w:name="page49"/>
    <w:bookmarkEnd w:id="48"/>
    <w:p>
      <w:pPr>
        <w:spacing w:after="0"/>
        <w:tabs>
          <w:tab w:leader="none" w:pos="1440" w:val="left"/>
        </w:tabs>
        <w:rPr>
          <w:sz w:val="20"/>
          <w:szCs w:val="20"/>
          <w:color w:val="auto"/>
        </w:rPr>
      </w:pPr>
      <w:r>
        <w:rPr>
          <w:rFonts w:ascii="Arial" w:cs="Arial" w:eastAsia="Arial" w:hAnsi="Arial"/>
          <w:sz w:val="20"/>
          <w:szCs w:val="20"/>
          <w:b w:val="1"/>
          <w:bCs w:val="1"/>
          <w:color w:val="auto"/>
        </w:rPr>
        <w:t>Item 1A.</w:t>
      </w:r>
      <w:r>
        <w:rPr>
          <w:sz w:val="20"/>
          <w:szCs w:val="20"/>
          <w:color w:val="auto"/>
        </w:rPr>
        <w:tab/>
      </w:r>
      <w:r>
        <w:rPr>
          <w:rFonts w:ascii="Arial" w:cs="Arial" w:eastAsia="Arial" w:hAnsi="Arial"/>
          <w:sz w:val="16"/>
          <w:szCs w:val="16"/>
          <w:b w:val="1"/>
          <w:bCs w:val="1"/>
          <w:i w:val="1"/>
          <w:iCs w:val="1"/>
          <w:color w:val="auto"/>
        </w:rPr>
        <w:t>Risk Factors</w:t>
      </w:r>
    </w:p>
    <w:p>
      <w:pPr>
        <w:spacing w:after="0" w:line="110" w:lineRule="exact"/>
        <w:rPr>
          <w:sz w:val="20"/>
          <w:szCs w:val="20"/>
          <w:color w:val="auto"/>
        </w:rPr>
      </w:pPr>
    </w:p>
    <w:p>
      <w:pPr>
        <w:jc w:val="both"/>
        <w:ind w:firstLine="353"/>
        <w:spacing w:after="0" w:line="258" w:lineRule="auto"/>
        <w:rPr>
          <w:sz w:val="20"/>
          <w:szCs w:val="20"/>
          <w:color w:val="auto"/>
        </w:rPr>
      </w:pPr>
      <w:r>
        <w:rPr>
          <w:rFonts w:ascii="Arial" w:cs="Arial" w:eastAsia="Arial" w:hAnsi="Arial"/>
          <w:sz w:val="20"/>
          <w:szCs w:val="20"/>
          <w:color w:val="auto"/>
        </w:rPr>
        <w:t>In addition to the normal risks of business, we are subject to significant risks and uncertainties, including those listed below and others described elsewhere in this Annual Report. Any of the risks described herein could result in a significant or material adverse effect on our results of operations or financial condition.</w:t>
      </w:r>
    </w:p>
    <w:p>
      <w:pPr>
        <w:spacing w:after="0" w:line="7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Risk Factors Relating to Market Conditions</w:t>
      </w:r>
    </w:p>
    <w:p>
      <w:pPr>
        <w:spacing w:after="0" w:line="123" w:lineRule="exact"/>
        <w:rPr>
          <w:sz w:val="20"/>
          <w:szCs w:val="20"/>
          <w:color w:val="auto"/>
        </w:rPr>
      </w:pPr>
    </w:p>
    <w:p>
      <w:pPr>
        <w:jc w:val="both"/>
        <w:spacing w:after="0" w:line="275" w:lineRule="auto"/>
        <w:rPr>
          <w:sz w:val="20"/>
          <w:szCs w:val="20"/>
          <w:color w:val="auto"/>
        </w:rPr>
      </w:pPr>
      <w:r>
        <w:rPr>
          <w:rFonts w:ascii="Arial" w:cs="Arial" w:eastAsia="Arial" w:hAnsi="Arial"/>
          <w:sz w:val="20"/>
          <w:szCs w:val="20"/>
          <w:b w:val="1"/>
          <w:bCs w:val="1"/>
          <w:i w:val="1"/>
          <w:iCs w:val="1"/>
          <w:color w:val="auto"/>
        </w:rPr>
        <w:t>If economic and credit market conditions deteriorate, it could have a material adverse impact on our investment portfolio and could also cause our stock price to fluctuate significantly.</w:t>
      </w:r>
    </w:p>
    <w:p>
      <w:pPr>
        <w:spacing w:after="0" w:line="68" w:lineRule="exact"/>
        <w:rPr>
          <w:sz w:val="20"/>
          <w:szCs w:val="20"/>
          <w:color w:val="auto"/>
        </w:rPr>
      </w:pPr>
    </w:p>
    <w:p>
      <w:pPr>
        <w:jc w:val="both"/>
        <w:ind w:firstLine="353"/>
        <w:spacing w:after="0" w:line="262" w:lineRule="auto"/>
        <w:rPr>
          <w:sz w:val="20"/>
          <w:szCs w:val="20"/>
          <w:color w:val="auto"/>
        </w:rPr>
      </w:pPr>
      <w:r>
        <w:rPr>
          <w:rFonts w:ascii="Arial" w:cs="Arial" w:eastAsia="Arial" w:hAnsi="Arial"/>
          <w:sz w:val="19"/>
          <w:szCs w:val="19"/>
          <w:color w:val="auto"/>
        </w:rPr>
        <w:t>Our investment portfolio is exposed to economic and financial market risks, including changes in interest rates, credit markets and prices of marketable equity and fixed-income securities. Our investment policy in our title business is designed to maximize total return through investment income and capital appreciation consistent with moderate risk of principal, while providing adequate liquidity and complying with internal and regulatory guidelines. To achieve this objective, our marketable debt investments are primarily investment grade, liquid, fixed-income securities and money market instruments denominated in U.S. dollars. We make investments in certain equity securities and preferred stock in order to take advantage of perceived value and for strategic purposes. Economic and credit market conditions may adversely affect the ability of some issuers of investment securities to repay their obligations and affect the values of investment securities. If the carrying value of our investments exceeds the fair value, and the decline in fair value is deemed to be other-than-temporary, we will be required to write down the value of our investments, which could have a material negative impact on our results of operations and financial condition.</w:t>
      </w:r>
    </w:p>
    <w:p>
      <w:pPr>
        <w:spacing w:after="0" w:line="81" w:lineRule="exact"/>
        <w:rPr>
          <w:sz w:val="20"/>
          <w:szCs w:val="20"/>
          <w:color w:val="auto"/>
        </w:rPr>
      </w:pPr>
    </w:p>
    <w:p>
      <w:pPr>
        <w:jc w:val="both"/>
        <w:ind w:firstLine="353"/>
        <w:spacing w:after="0" w:line="291" w:lineRule="auto"/>
        <w:rPr>
          <w:sz w:val="20"/>
          <w:szCs w:val="20"/>
          <w:color w:val="auto"/>
        </w:rPr>
      </w:pPr>
      <w:r>
        <w:rPr>
          <w:rFonts w:ascii="Arial" w:cs="Arial" w:eastAsia="Arial" w:hAnsi="Arial"/>
          <w:sz w:val="17"/>
          <w:szCs w:val="17"/>
          <w:color w:val="auto"/>
        </w:rPr>
        <w:t>Fixed maturities, equity securities and derivatives represent the majority of total cash and invested assets reported at fair value on our balance sheets. Fair value is defined as the price that would be received to sell an asset or paid to transfer a liability in an orderly transaction between market participants at the measurement date (an exit price). Fair value estimates are made based on available market information and judgments about the financial instrument at a specific point in time. Expectations that our investments will continue to perform in accordance with their contractual terms are based on evidence gathered through our normal credit surveillance process and on assumptions a market participant would use in determining the current fair value.</w:t>
      </w:r>
    </w:p>
    <w:p>
      <w:pPr>
        <w:spacing w:after="0" w:line="48" w:lineRule="exact"/>
        <w:rPr>
          <w:sz w:val="20"/>
          <w:szCs w:val="20"/>
          <w:color w:val="auto"/>
        </w:rPr>
      </w:pPr>
    </w:p>
    <w:p>
      <w:pPr>
        <w:jc w:val="both"/>
        <w:ind w:firstLine="353"/>
        <w:spacing w:after="0" w:line="258" w:lineRule="auto"/>
        <w:rPr>
          <w:sz w:val="20"/>
          <w:szCs w:val="20"/>
          <w:color w:val="auto"/>
        </w:rPr>
      </w:pPr>
      <w:r>
        <w:rPr>
          <w:rFonts w:ascii="Arial" w:cs="Arial" w:eastAsia="Arial" w:hAnsi="Arial"/>
          <w:sz w:val="20"/>
          <w:szCs w:val="20"/>
          <w:color w:val="auto"/>
        </w:rPr>
        <w:t>The value and performance of certain of our assets are dependent upon the performance of collateral underlying these investments. It is possible the collateral will not meet performance expectations leading to adverse changes in the cash flows on our holdings of these types of securities.</w:t>
      </w:r>
    </w:p>
    <w:p>
      <w:pPr>
        <w:spacing w:after="0" w:line="82" w:lineRule="exact"/>
        <w:rPr>
          <w:sz w:val="20"/>
          <w:szCs w:val="20"/>
          <w:color w:val="auto"/>
        </w:rPr>
      </w:pPr>
    </w:p>
    <w:p>
      <w:pPr>
        <w:jc w:val="both"/>
        <w:ind w:firstLine="353"/>
        <w:spacing w:after="0" w:line="284" w:lineRule="auto"/>
        <w:rPr>
          <w:sz w:val="20"/>
          <w:szCs w:val="20"/>
          <w:color w:val="auto"/>
        </w:rPr>
      </w:pPr>
      <w:r>
        <w:rPr>
          <w:rFonts w:ascii="Arial" w:cs="Arial" w:eastAsia="Arial" w:hAnsi="Arial"/>
          <w:sz w:val="17"/>
          <w:szCs w:val="17"/>
          <w:color w:val="auto"/>
        </w:rPr>
        <w:t>In addition, many factors unrelated to our business could cause the market price of our common stock to rise and fall, including the operating and stock price performance of other comparable companies, investors’ general perception of our industry and changes in general economic and market conditions. If the market for stocks in our industry, or the stock market in general, experiences a loss of investor confidence, the trading price of our common stock could decline for reasons unrelated to our business, financial condition or results of operations. If any of the foregoing occurs, it could cause our stock price to fall and may expose us to lawsuits that, even if successfully defended, could be costly to defend and a distraction to management.</w:t>
      </w:r>
    </w:p>
    <w:p>
      <w:pPr>
        <w:spacing w:after="0" w:line="4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Equity market volatility could negatively impact our business.</w:t>
      </w:r>
    </w:p>
    <w:p>
      <w:pPr>
        <w:spacing w:after="0" w:line="130" w:lineRule="exact"/>
        <w:rPr>
          <w:sz w:val="20"/>
          <w:szCs w:val="20"/>
          <w:color w:val="auto"/>
        </w:rPr>
      </w:pPr>
    </w:p>
    <w:p>
      <w:pPr>
        <w:jc w:val="both"/>
        <w:ind w:firstLine="302"/>
        <w:spacing w:after="0" w:line="312" w:lineRule="auto"/>
        <w:rPr>
          <w:sz w:val="20"/>
          <w:szCs w:val="20"/>
          <w:color w:val="auto"/>
        </w:rPr>
      </w:pPr>
      <w:r>
        <w:rPr>
          <w:rFonts w:ascii="Arial" w:cs="Arial" w:eastAsia="Arial" w:hAnsi="Arial"/>
          <w:sz w:val="17"/>
          <w:szCs w:val="17"/>
          <w:color w:val="auto"/>
        </w:rPr>
        <w:t>The estimated cost of providing GMWB riders associated with our annuity products incorporates various assumptions about the overall performance of equity markets over certain time periods. Periods of significant and sustained downturns in equity markets or increased equity volatility could result in an increase in the valuation of the Market Risk Benefit ("MRB") or contractholder funds balance liabilities associated with such products, resulting in a reduction in our revenues and net income.</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Conditions in the economy generally could adversely affect our business, results of operations and financial condition.</w:t>
      </w:r>
    </w:p>
    <w:p>
      <w:pPr>
        <w:spacing w:after="0" w:line="164" w:lineRule="exact"/>
        <w:rPr>
          <w:sz w:val="20"/>
          <w:szCs w:val="20"/>
          <w:color w:val="auto"/>
        </w:rPr>
      </w:pPr>
    </w:p>
    <w:p>
      <w:pPr>
        <w:jc w:val="both"/>
        <w:ind w:firstLine="353"/>
        <w:spacing w:after="0" w:line="254" w:lineRule="auto"/>
        <w:rPr>
          <w:sz w:val="20"/>
          <w:szCs w:val="20"/>
          <w:color w:val="auto"/>
        </w:rPr>
      </w:pPr>
      <w:r>
        <w:rPr>
          <w:rFonts w:ascii="Arial" w:cs="Arial" w:eastAsia="Arial" w:hAnsi="Arial"/>
          <w:sz w:val="20"/>
          <w:szCs w:val="20"/>
          <w:color w:val="auto"/>
        </w:rPr>
        <w:t>Our results of operations are materially affected by conditions in the U.S. economy. Adverse economic conditions may result in a decline in revenues and/or erosion of our profit margins. In addition, in the event of extreme prolonged market events and economic downturns, we could incur significant losses. Even in the absence of a market downturn we are exposed to substantial risk of loss due to market volatility.</w:t>
      </w:r>
    </w:p>
    <w:p>
      <w:pPr>
        <w:spacing w:after="0" w:line="85" w:lineRule="exact"/>
        <w:rPr>
          <w:sz w:val="20"/>
          <w:szCs w:val="20"/>
          <w:color w:val="auto"/>
        </w:rPr>
      </w:pPr>
    </w:p>
    <w:p>
      <w:pPr>
        <w:jc w:val="both"/>
        <w:ind w:firstLine="353"/>
        <w:spacing w:after="0" w:line="279" w:lineRule="auto"/>
        <w:rPr>
          <w:sz w:val="20"/>
          <w:szCs w:val="20"/>
          <w:color w:val="auto"/>
        </w:rPr>
      </w:pPr>
      <w:r>
        <w:rPr>
          <w:rFonts w:ascii="Arial" w:cs="Arial" w:eastAsia="Arial" w:hAnsi="Arial"/>
          <w:sz w:val="17"/>
          <w:szCs w:val="17"/>
          <w:color w:val="auto"/>
        </w:rPr>
        <w:t>Factors such as consumer spending, business investment, government spending, government shutdowns and potential government shutdowns, trade policies, tariffs, the volatility and strength of the capital markets, investor and consumer confidence, foreign currency exchange rates, geopolitical uncertainties and inflation levels all affect the business and economic environment and, ultimately, the amount and profitability of our business. In an economic downturn characterized by higher unemployment, lower family income, negative investor sentiment and lower consumer spending, the demand for our insurance products could be adversely affected. Under such conditions, our F&amp;G segment may also experience an elevated incidence of policy lapses, policy loans, withdrawals and surrenders. In addition, our investments could be adversely affected as a result of deteriorating financial and business conditions affecting the issuers of the securities in our investment portfolio.</w:t>
      </w:r>
    </w:p>
    <w:p>
      <w:pPr>
        <w:sectPr>
          <w:pgSz w:w="11880" w:h="15480" w:orient="portrait"/>
          <w:cols w:equalWidth="0" w:num="1">
            <w:col w:w="10040"/>
          </w:cols>
          <w:pgMar w:left="920" w:top="765"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37</w:t>
      </w:r>
    </w:p>
    <w:p>
      <w:pPr>
        <w:sectPr>
          <w:pgSz w:w="11880" w:h="15480" w:orient="portrait"/>
          <w:cols w:equalWidth="0" w:num="1">
            <w:col w:w="10040"/>
          </w:cols>
          <w:pgMar w:left="920" w:top="765" w:right="920" w:bottom="0" w:gutter="0" w:footer="0" w:header="0"/>
          <w:type w:val="continuous"/>
        </w:sectPr>
      </w:pPr>
    </w:p>
    <w:bookmarkStart w:id="49" w:name="page50"/>
    <w:bookmarkEnd w:id="49"/>
    <w:p>
      <w:pPr>
        <w:jc w:val="both"/>
        <w:spacing w:after="0" w:line="275" w:lineRule="auto"/>
        <w:rPr>
          <w:sz w:val="20"/>
          <w:szCs w:val="20"/>
          <w:color w:val="auto"/>
        </w:rPr>
      </w:pPr>
      <w:r>
        <w:rPr>
          <w:rFonts w:ascii="Arial" w:cs="Arial" w:eastAsia="Arial" w:hAnsi="Arial"/>
          <w:sz w:val="20"/>
          <w:szCs w:val="20"/>
          <w:b w:val="1"/>
          <w:bCs w:val="1"/>
          <w:i w:val="1"/>
          <w:iCs w:val="1"/>
          <w:color w:val="auto"/>
        </w:rPr>
        <w:t>Our investments are subject to market and credit risks. These risks could be heightened during periods of extreme volatility or disruption in financial and credit markets.</w:t>
      </w:r>
    </w:p>
    <w:p>
      <w:pPr>
        <w:spacing w:after="0" w:line="68" w:lineRule="exact"/>
        <w:rPr>
          <w:sz w:val="20"/>
          <w:szCs w:val="20"/>
          <w:color w:val="auto"/>
        </w:rPr>
      </w:pPr>
    </w:p>
    <w:p>
      <w:pPr>
        <w:jc w:val="both"/>
        <w:ind w:firstLine="353"/>
        <w:spacing w:after="0" w:line="254" w:lineRule="auto"/>
        <w:rPr>
          <w:sz w:val="20"/>
          <w:szCs w:val="20"/>
          <w:color w:val="auto"/>
        </w:rPr>
      </w:pPr>
      <w:r>
        <w:rPr>
          <w:rFonts w:ascii="Arial" w:cs="Arial" w:eastAsia="Arial" w:hAnsi="Arial"/>
          <w:sz w:val="20"/>
          <w:szCs w:val="20"/>
          <w:color w:val="auto"/>
        </w:rPr>
        <w:t>A worsening business climate or changing trends could cause issuers of the fixed-income securities that we own to default on either principal or interest payments. Additionally, market price valuations may not accurately reflect the underlying expected cash flows of securities within our investment portfolio. If we fail to react appropriately to difficult market or economic conditions, our investment portfolio could incur material losses.</w:t>
      </w:r>
    </w:p>
    <w:p>
      <w:pPr>
        <w:spacing w:after="0" w:line="85" w:lineRule="exact"/>
        <w:rPr>
          <w:sz w:val="20"/>
          <w:szCs w:val="20"/>
          <w:color w:val="auto"/>
        </w:rPr>
      </w:pPr>
    </w:p>
    <w:p>
      <w:pPr>
        <w:jc w:val="both"/>
        <w:ind w:firstLine="353"/>
        <w:spacing w:after="0" w:line="300" w:lineRule="auto"/>
        <w:rPr>
          <w:sz w:val="20"/>
          <w:szCs w:val="20"/>
          <w:color w:val="auto"/>
        </w:rPr>
      </w:pPr>
      <w:r>
        <w:rPr>
          <w:rFonts w:ascii="Arial" w:cs="Arial" w:eastAsia="Arial" w:hAnsi="Arial"/>
          <w:sz w:val="17"/>
          <w:szCs w:val="17"/>
          <w:color w:val="auto"/>
        </w:rPr>
        <w:t>Our invested assets and derivative financial instruments are subject to risks of credit defaults and changes in market values. Periods of extreme volatility or disruption in the financial and credit markets could increase these risks. Changes in interest rates and credit spreads could cause market price and cash flow variability in the fixed income instruments in our investment portfolio. Significant volatility and lack of liquidity in the credit markets could cause the market value of the fixed-income securities we own to decline. Additionally, market price valuations may not accurately reflect the underlying expected cash flows of securities within our investment portfolio. Finally, market volatility could cause investment income fluctuations in regard to our alternative investments that may differ significantly from period to period.</w:t>
      </w:r>
    </w:p>
    <w:p>
      <w:pPr>
        <w:spacing w:after="0" w:line="54" w:lineRule="exact"/>
        <w:rPr>
          <w:sz w:val="20"/>
          <w:szCs w:val="20"/>
          <w:color w:val="auto"/>
        </w:rPr>
      </w:pPr>
    </w:p>
    <w:p>
      <w:pPr>
        <w:jc w:val="both"/>
        <w:ind w:firstLine="343"/>
        <w:spacing w:after="0" w:line="303" w:lineRule="auto"/>
        <w:rPr>
          <w:sz w:val="20"/>
          <w:szCs w:val="20"/>
          <w:color w:val="auto"/>
        </w:rPr>
      </w:pPr>
      <w:r>
        <w:rPr>
          <w:rFonts w:ascii="Arial" w:cs="Arial" w:eastAsia="Arial" w:hAnsi="Arial"/>
          <w:sz w:val="17"/>
          <w:szCs w:val="17"/>
          <w:color w:val="auto"/>
        </w:rPr>
        <w:t>The value of our mortgage-backed securities and our commercial and residential mortgage loan investments depends in part on the financial condition of the borrowers and tenants for the properties underlying those investments, as well as general and specific economic trends affecting the overall default rate. We are also subject to the risk that cash flows resulting from the payments on pools of mortgages that serve as collateral underlying the mortgage-backed securities we own may differ from our expectations in timing or size. Any event reducing the estimated fair value of these securities, other than on a temporary basis, could have an adverse effect on our business, results of operations and financial condition.</w:t>
      </w:r>
    </w:p>
    <w:p>
      <w:pPr>
        <w:spacing w:after="0" w:line="48" w:lineRule="exact"/>
        <w:rPr>
          <w:sz w:val="20"/>
          <w:szCs w:val="20"/>
          <w:color w:val="auto"/>
        </w:rPr>
      </w:pPr>
    </w:p>
    <w:p>
      <w:pPr>
        <w:jc w:val="both"/>
        <w:ind w:firstLine="353"/>
        <w:spacing w:after="0" w:line="258" w:lineRule="auto"/>
        <w:rPr>
          <w:sz w:val="20"/>
          <w:szCs w:val="20"/>
          <w:color w:val="auto"/>
        </w:rPr>
      </w:pPr>
      <w:r>
        <w:rPr>
          <w:rFonts w:ascii="Arial" w:cs="Arial" w:eastAsia="Arial" w:hAnsi="Arial"/>
          <w:sz w:val="20"/>
          <w:szCs w:val="20"/>
          <w:color w:val="auto"/>
        </w:rPr>
        <w:t>We also maintain holdings in floating rate and less rate-sensitive investments, including senior tranches of CLOs and directly originated senior secured loans. If realized collateral loss and recoveries differ materially from our assumptions, returns on these assets could be lower than our expectation.</w:t>
      </w:r>
    </w:p>
    <w:p>
      <w:pPr>
        <w:spacing w:after="0" w:line="82" w:lineRule="exact"/>
        <w:rPr>
          <w:sz w:val="20"/>
          <w:szCs w:val="20"/>
          <w:color w:val="auto"/>
        </w:rPr>
      </w:pPr>
    </w:p>
    <w:p>
      <w:pPr>
        <w:jc w:val="both"/>
        <w:ind w:firstLine="353"/>
        <w:spacing w:after="0" w:line="251" w:lineRule="auto"/>
        <w:rPr>
          <w:sz w:val="20"/>
          <w:szCs w:val="20"/>
          <w:color w:val="auto"/>
        </w:rPr>
      </w:pPr>
      <w:r>
        <w:rPr>
          <w:rFonts w:ascii="Arial" w:cs="Arial" w:eastAsia="Arial" w:hAnsi="Arial"/>
          <w:sz w:val="20"/>
          <w:szCs w:val="20"/>
          <w:color w:val="auto"/>
        </w:rPr>
        <w:t>We invest in ABS (traditional and specialty finance) and asset-backed and consumer whole loans. Consumer balance sheets are healthy and underwriting standards have become more conservative following the 2008 global financial crisis. However, high inflation rates have been a headwind for consumers, and efforts by the Federal Reserve to stem inflation could induce a recession which would have an adverse impact on consumers and potentially increase delinquencies to a higher level than what is assumed in our underwriting.</w:t>
      </w:r>
    </w:p>
    <w:p>
      <w:pPr>
        <w:spacing w:after="0" w:line="8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If adverse changes in the levels of real estate activity occur, our revenues may decline.</w:t>
      </w:r>
    </w:p>
    <w:p>
      <w:pPr>
        <w:spacing w:after="0" w:line="130" w:lineRule="exact"/>
        <w:rPr>
          <w:sz w:val="20"/>
          <w:szCs w:val="20"/>
          <w:color w:val="auto"/>
        </w:rPr>
      </w:pPr>
    </w:p>
    <w:p>
      <w:pPr>
        <w:jc w:val="both"/>
        <w:ind w:firstLine="353"/>
        <w:spacing w:after="0" w:line="258" w:lineRule="auto"/>
        <w:rPr>
          <w:sz w:val="20"/>
          <w:szCs w:val="20"/>
          <w:color w:val="auto"/>
        </w:rPr>
      </w:pPr>
      <w:r>
        <w:rPr>
          <w:rFonts w:ascii="Arial" w:cs="Arial" w:eastAsia="Arial" w:hAnsi="Arial"/>
          <w:sz w:val="20"/>
          <w:szCs w:val="20"/>
          <w:color w:val="auto"/>
        </w:rPr>
        <w:t>Title insurance revenue is closely related to the level of real estate activity that includes sales, mortgage financing and mortgage refinancing. The levels of real estate activity are primarily affected by the average price of real estate sales, the availability of funds to finance purchases and mortgage interest rates.</w:t>
      </w:r>
    </w:p>
    <w:p>
      <w:pPr>
        <w:spacing w:after="0" w:line="82" w:lineRule="exact"/>
        <w:rPr>
          <w:sz w:val="20"/>
          <w:szCs w:val="20"/>
          <w:color w:val="auto"/>
        </w:rPr>
      </w:pPr>
    </w:p>
    <w:p>
      <w:pPr>
        <w:ind w:left="340"/>
        <w:spacing w:after="0"/>
        <w:rPr>
          <w:sz w:val="20"/>
          <w:szCs w:val="20"/>
          <w:color w:val="auto"/>
        </w:rPr>
      </w:pPr>
      <w:r>
        <w:rPr>
          <w:rFonts w:ascii="Arial" w:cs="Arial" w:eastAsia="Arial" w:hAnsi="Arial"/>
          <w:sz w:val="20"/>
          <w:szCs w:val="20"/>
          <w:color w:val="auto"/>
        </w:rPr>
        <w:t>We have found that residential real estate activity generally decreases in the following situations:</w:t>
      </w:r>
    </w:p>
    <w:p>
      <w:pPr>
        <w:spacing w:after="0" w:line="123" w:lineRule="exact"/>
        <w:rPr>
          <w:sz w:val="20"/>
          <w:szCs w:val="20"/>
          <w:color w:val="auto"/>
        </w:rPr>
      </w:pPr>
    </w:p>
    <w:p>
      <w:pPr>
        <w:ind w:left="700" w:hanging="355"/>
        <w:spacing w:after="0"/>
        <w:tabs>
          <w:tab w:leader="none" w:pos="700" w:val="left"/>
        </w:tabs>
        <w:numPr>
          <w:ilvl w:val="0"/>
          <w:numId w:val="25"/>
        </w:numPr>
        <w:rPr>
          <w:rFonts w:ascii="Arial" w:cs="Arial" w:eastAsia="Arial" w:hAnsi="Arial"/>
          <w:sz w:val="20"/>
          <w:szCs w:val="20"/>
          <w:color w:val="auto"/>
        </w:rPr>
      </w:pPr>
      <w:r>
        <w:rPr>
          <w:rFonts w:ascii="Arial" w:cs="Arial" w:eastAsia="Arial" w:hAnsi="Arial"/>
          <w:sz w:val="20"/>
          <w:szCs w:val="20"/>
          <w:color w:val="auto"/>
        </w:rPr>
        <w:t>when mortgage interest rates are high or increasing;</w:t>
      </w:r>
    </w:p>
    <w:p>
      <w:pPr>
        <w:spacing w:after="0" w:line="24" w:lineRule="exact"/>
        <w:rPr>
          <w:rFonts w:ascii="Arial" w:cs="Arial" w:eastAsia="Arial" w:hAnsi="Arial"/>
          <w:sz w:val="20"/>
          <w:szCs w:val="20"/>
          <w:color w:val="auto"/>
        </w:rPr>
      </w:pPr>
    </w:p>
    <w:p>
      <w:pPr>
        <w:ind w:left="700" w:hanging="355"/>
        <w:spacing w:after="0"/>
        <w:tabs>
          <w:tab w:leader="none" w:pos="700" w:val="left"/>
        </w:tabs>
        <w:numPr>
          <w:ilvl w:val="0"/>
          <w:numId w:val="25"/>
        </w:numPr>
        <w:rPr>
          <w:rFonts w:ascii="Arial" w:cs="Arial" w:eastAsia="Arial" w:hAnsi="Arial"/>
          <w:sz w:val="20"/>
          <w:szCs w:val="20"/>
          <w:color w:val="auto"/>
        </w:rPr>
      </w:pPr>
      <w:r>
        <w:rPr>
          <w:rFonts w:ascii="Arial" w:cs="Arial" w:eastAsia="Arial" w:hAnsi="Arial"/>
          <w:sz w:val="20"/>
          <w:szCs w:val="20"/>
          <w:color w:val="auto"/>
        </w:rPr>
        <w:t>when the mortgage funding supply is limited;</w:t>
      </w:r>
    </w:p>
    <w:p>
      <w:pPr>
        <w:spacing w:after="0" w:line="5" w:lineRule="exact"/>
        <w:rPr>
          <w:rFonts w:ascii="Arial" w:cs="Arial" w:eastAsia="Arial" w:hAnsi="Arial"/>
          <w:sz w:val="20"/>
          <w:szCs w:val="20"/>
          <w:color w:val="auto"/>
        </w:rPr>
      </w:pPr>
    </w:p>
    <w:p>
      <w:pPr>
        <w:ind w:left="700" w:hanging="355"/>
        <w:spacing w:after="0"/>
        <w:tabs>
          <w:tab w:leader="none" w:pos="700" w:val="left"/>
        </w:tabs>
        <w:numPr>
          <w:ilvl w:val="0"/>
          <w:numId w:val="25"/>
        </w:numPr>
        <w:rPr>
          <w:rFonts w:ascii="Arial" w:cs="Arial" w:eastAsia="Arial" w:hAnsi="Arial"/>
          <w:sz w:val="20"/>
          <w:szCs w:val="20"/>
          <w:color w:val="auto"/>
        </w:rPr>
      </w:pPr>
      <w:r>
        <w:rPr>
          <w:rFonts w:ascii="Arial" w:cs="Arial" w:eastAsia="Arial" w:hAnsi="Arial"/>
          <w:sz w:val="20"/>
          <w:szCs w:val="20"/>
          <w:color w:val="auto"/>
        </w:rPr>
        <w:t>when housing inventory is limited or home prices are high or increasing; and</w:t>
      </w:r>
    </w:p>
    <w:p>
      <w:pPr>
        <w:spacing w:after="0" w:line="5" w:lineRule="exact"/>
        <w:rPr>
          <w:rFonts w:ascii="Arial" w:cs="Arial" w:eastAsia="Arial" w:hAnsi="Arial"/>
          <w:sz w:val="20"/>
          <w:szCs w:val="20"/>
          <w:color w:val="auto"/>
        </w:rPr>
      </w:pPr>
    </w:p>
    <w:p>
      <w:pPr>
        <w:ind w:left="700" w:hanging="355"/>
        <w:spacing w:after="0"/>
        <w:tabs>
          <w:tab w:leader="none" w:pos="700" w:val="left"/>
        </w:tabs>
        <w:numPr>
          <w:ilvl w:val="0"/>
          <w:numId w:val="25"/>
        </w:numPr>
        <w:rPr>
          <w:rFonts w:ascii="Arial" w:cs="Arial" w:eastAsia="Arial" w:hAnsi="Arial"/>
          <w:sz w:val="20"/>
          <w:szCs w:val="20"/>
          <w:color w:val="auto"/>
        </w:rPr>
      </w:pPr>
      <w:r>
        <w:rPr>
          <w:rFonts w:ascii="Arial" w:cs="Arial" w:eastAsia="Arial" w:hAnsi="Arial"/>
          <w:sz w:val="20"/>
          <w:szCs w:val="20"/>
          <w:color w:val="auto"/>
        </w:rPr>
        <w:t>when the United States economy is weak, including high unemployment levels.</w:t>
      </w:r>
    </w:p>
    <w:p>
      <w:pPr>
        <w:spacing w:after="0" w:line="103" w:lineRule="exact"/>
        <w:rPr>
          <w:sz w:val="20"/>
          <w:szCs w:val="20"/>
          <w:color w:val="auto"/>
        </w:rPr>
      </w:pPr>
    </w:p>
    <w:p>
      <w:pPr>
        <w:jc w:val="both"/>
        <w:ind w:firstLine="353"/>
        <w:spacing w:after="0" w:line="263" w:lineRule="auto"/>
        <w:rPr>
          <w:sz w:val="20"/>
          <w:szCs w:val="20"/>
          <w:color w:val="auto"/>
        </w:rPr>
      </w:pPr>
      <w:r>
        <w:rPr>
          <w:rFonts w:ascii="Arial" w:cs="Arial" w:eastAsia="Arial" w:hAnsi="Arial"/>
          <w:sz w:val="19"/>
          <w:szCs w:val="19"/>
          <w:color w:val="auto"/>
        </w:rPr>
        <w:t xml:space="preserve">Declines in the level of real estate activity or the average price of real estate sales are likely to adversely affect our title insurance revenues. The Mortgage Bankers Association's ("MBA") Mortgage Finance Forecast as of February 17, 2026, reported an approximate $2.1 trillion mortgage origination market for 2025, which would be an approximately 22% increase from 2024 resulting primarily from an increase in refinance activity. The MBA predicts overall mortgage originations in 2026 will increase when compared to 2025 as a result of modest increases in both purchase and refinance activity. Our revenues in future periods will continue to be subject to these and other factors that are beyond our control and, as a result, are likely to fluctuate. See discussion under "Business Trends and Conditions" within </w:t>
      </w:r>
      <w:r>
        <w:rPr>
          <w:rFonts w:ascii="Arial" w:cs="Arial" w:eastAsia="Arial" w:hAnsi="Arial"/>
          <w:sz w:val="19"/>
          <w:szCs w:val="19"/>
          <w:b w:val="1"/>
          <w:bCs w:val="1"/>
          <w:i w:val="1"/>
          <w:iCs w:val="1"/>
          <w:color w:val="auto"/>
        </w:rPr>
        <w:t>Management's Discussion and Analysis of Financial</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 xml:space="preserve">Condition and Results of Operations </w:t>
      </w:r>
      <w:r>
        <w:rPr>
          <w:rFonts w:ascii="Arial" w:cs="Arial" w:eastAsia="Arial" w:hAnsi="Arial"/>
          <w:sz w:val="19"/>
          <w:szCs w:val="19"/>
          <w:color w:val="auto"/>
        </w:rPr>
        <w:t>included in Item 7 of Part II of this Annual Report for further discussion of current market</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trends.</w:t>
      </w:r>
    </w:p>
    <w:p>
      <w:pPr>
        <w:spacing w:after="0" w:line="72" w:lineRule="exact"/>
        <w:rPr>
          <w:sz w:val="20"/>
          <w:szCs w:val="20"/>
          <w:color w:val="auto"/>
        </w:rPr>
      </w:pPr>
    </w:p>
    <w:p>
      <w:pPr>
        <w:jc w:val="both"/>
        <w:spacing w:after="0" w:line="275" w:lineRule="auto"/>
        <w:rPr>
          <w:sz w:val="20"/>
          <w:szCs w:val="20"/>
          <w:color w:val="auto"/>
        </w:rPr>
      </w:pPr>
      <w:r>
        <w:rPr>
          <w:rFonts w:ascii="Arial" w:cs="Arial" w:eastAsia="Arial" w:hAnsi="Arial"/>
          <w:sz w:val="20"/>
          <w:szCs w:val="20"/>
          <w:b w:val="1"/>
          <w:bCs w:val="1"/>
          <w:i w:val="1"/>
          <w:iCs w:val="1"/>
          <w:color w:val="auto"/>
        </w:rPr>
        <w:t>Interest rate fluctuations could adversely affect our business, financial condition, liquidity, results of operations and cash flows.</w:t>
      </w:r>
    </w:p>
    <w:p>
      <w:pPr>
        <w:spacing w:after="0" w:line="68" w:lineRule="exact"/>
        <w:rPr>
          <w:sz w:val="20"/>
          <w:szCs w:val="20"/>
          <w:color w:val="auto"/>
        </w:rPr>
      </w:pPr>
    </w:p>
    <w:p>
      <w:pPr>
        <w:jc w:val="both"/>
        <w:ind w:firstLine="353"/>
        <w:spacing w:after="0" w:line="325" w:lineRule="auto"/>
        <w:rPr>
          <w:sz w:val="20"/>
          <w:szCs w:val="20"/>
          <w:color w:val="auto"/>
        </w:rPr>
      </w:pPr>
      <w:r>
        <w:rPr>
          <w:rFonts w:ascii="Arial" w:cs="Arial" w:eastAsia="Arial" w:hAnsi="Arial"/>
          <w:sz w:val="17"/>
          <w:szCs w:val="17"/>
          <w:color w:val="auto"/>
        </w:rPr>
        <w:t>Interest rate risk is a significant market risk for us, as our F&amp;G segment issues interest rate sensitive obligations backed primarily by investments in fixed income assets. F&amp;G has executed some variable interest rate credit agreements, floating rate funding agreements and pay-float and receive-fixed interest rate swaps to reduce market risks from interest rate changes on its</w:t>
      </w:r>
    </w:p>
    <w:p>
      <w:pPr>
        <w:sectPr>
          <w:pgSz w:w="11880" w:h="15480" w:orient="portrait"/>
          <w:cols w:equalWidth="0" w:num="1">
            <w:col w:w="10040"/>
          </w:cols>
          <w:pgMar w:left="920" w:top="765"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38</w:t>
      </w:r>
    </w:p>
    <w:p>
      <w:pPr>
        <w:sectPr>
          <w:pgSz w:w="11880" w:h="15480" w:orient="portrait"/>
          <w:cols w:equalWidth="0" w:num="1">
            <w:col w:w="10040"/>
          </w:cols>
          <w:pgMar w:left="920" w:top="765" w:right="920" w:bottom="0" w:gutter="0" w:footer="0" w:header="0"/>
          <w:type w:val="continuous"/>
        </w:sectPr>
      </w:pPr>
    </w:p>
    <w:bookmarkStart w:id="50" w:name="page51"/>
    <w:bookmarkEnd w:id="50"/>
    <w:p>
      <w:pPr>
        <w:jc w:val="both"/>
        <w:spacing w:after="0" w:line="271" w:lineRule="auto"/>
        <w:rPr>
          <w:sz w:val="20"/>
          <w:szCs w:val="20"/>
          <w:color w:val="auto"/>
        </w:rPr>
      </w:pPr>
      <w:r>
        <w:rPr>
          <w:rFonts w:ascii="Arial" w:cs="Arial" w:eastAsia="Arial" w:hAnsi="Arial"/>
          <w:sz w:val="20"/>
          <w:szCs w:val="20"/>
          <w:color w:val="auto"/>
        </w:rPr>
        <w:t>earnings associated with its floating rate investments. All of these assets are subject to an element of market risk from changes in interest rates.</w:t>
      </w:r>
    </w:p>
    <w:p>
      <w:pPr>
        <w:spacing w:after="0" w:line="69" w:lineRule="exact"/>
        <w:rPr>
          <w:sz w:val="20"/>
          <w:szCs w:val="20"/>
          <w:color w:val="auto"/>
        </w:rPr>
      </w:pPr>
    </w:p>
    <w:p>
      <w:pPr>
        <w:jc w:val="both"/>
        <w:ind w:firstLine="353"/>
        <w:spacing w:after="0" w:line="249" w:lineRule="auto"/>
        <w:rPr>
          <w:sz w:val="20"/>
          <w:szCs w:val="20"/>
          <w:color w:val="auto"/>
        </w:rPr>
      </w:pPr>
      <w:r>
        <w:rPr>
          <w:rFonts w:ascii="Arial" w:cs="Arial" w:eastAsia="Arial" w:hAnsi="Arial"/>
          <w:sz w:val="20"/>
          <w:szCs w:val="20"/>
          <w:color w:val="auto"/>
        </w:rPr>
        <w:t>Prior to 2022, interest rates had been at or near historical low levels over the preceding several years. A prolonged period of low rates exposes us to the risk of not achieving returns sufficient to meet our earnings targets and/or our contractual obligations. Furthermore, low or declining interest rates may reduce the rate of policyholder surrenders and withdrawals on our life insurance and annuity products, thus increasing the duration of the liabilities, creating asset and liability duration mismatches and increasing the risk of having to reinvest assets at yields below the amounts required to support our obligations. Lower interest rates may also result in decreased sales of certain insurance products, negatively impacting our profitability from new business.</w:t>
      </w:r>
    </w:p>
    <w:p>
      <w:pPr>
        <w:spacing w:after="0" w:line="94" w:lineRule="exact"/>
        <w:rPr>
          <w:sz w:val="20"/>
          <w:szCs w:val="20"/>
          <w:color w:val="auto"/>
        </w:rPr>
      </w:pPr>
    </w:p>
    <w:p>
      <w:pPr>
        <w:jc w:val="both"/>
        <w:ind w:firstLine="353"/>
        <w:spacing w:after="0" w:line="292" w:lineRule="auto"/>
        <w:rPr>
          <w:sz w:val="20"/>
          <w:szCs w:val="20"/>
          <w:color w:val="auto"/>
        </w:rPr>
      </w:pPr>
      <w:r>
        <w:rPr>
          <w:rFonts w:ascii="Arial" w:cs="Arial" w:eastAsia="Arial" w:hAnsi="Arial"/>
          <w:sz w:val="17"/>
          <w:szCs w:val="17"/>
          <w:color w:val="auto"/>
        </w:rPr>
        <w:t>Beginning in March 2022, the Federal Reserve increased the benchmark rate eleven times from approximately 0% to approximately 5.50% before pausing in the latter half of 2023. In September 2024, the Federal Reserve began reducing the benchmark rate ending 2024 at approximately 4.5%. By September 2025, the benchmark rate had declined to 4.00%–4.25%, and subsequent cuts in October and December 2025 brought the benchmark rate down further to approximately 3.50%–3.75%, with market expectations and Federal Reserve communications suggesting further possible reductions in 2026. Over the period since March 2022, market rates across the yield curve have risen. During periods of increasing interest rates, we may offer higher crediting rates on interest-sensitive products, such as universal life insurance and fixed annuities, and we may increase crediting rates on in-force products to keep these products competitive. We may be required to accept lower spread income (the difference between the returns we earn on our investments and the amounts we credit to contract holders), thus reducing our profitability, as returns on our portfolio of invested assets may not increase as quickly as current interest rates. Rapidly rising interest rates may also expose us to the risk of financial disintermediation, which is an increase in policy surrenders, withdrawals and requests for policy loans as customers seek to achieve higher returns elsewhere, requiring us to liquidate assets in an unrealized loss position. If we experience unexpected withdrawal activity, we could exhaust our liquid assets and be forced to liquidate other less liquid assets such as limited partnership investments. We may have difficulty selling these investments in a timely manner and/or be forced to sell them for less than we otherwise would have been able to realize, which could have a material adverse effect on our business, financial condition or operating results. We have developed and maintain ALM programs and procedures that are, we believe, designed to mitigate interest rate risk by matching asset cash flows to expected liability cash flows, and robust inflows provide additional opportunities to allocate in force assets in support of new business, further mitigating potential losses due to disintermediation risk. In addition, we assess surrender charges on withdrawals in excess of allowable penalty-free amounts that occur during the surrender charge period. The significant new business written in recent years strengthens the surrender charge protection since the surrender charges are highest in the early years of a policy. There can be no assurance that actual withdrawals, contract benefits, and maturities will match our estimates. Despite our efforts to reduce the impact of rising interest rates, we may be required to sell assets to raise the cash necessary to respond to an increase in surrenders, withdrawals and loans, thereby realizing capital losses on the assets sold.</w:t>
      </w:r>
    </w:p>
    <w:p>
      <w:pPr>
        <w:spacing w:after="0" w:line="292" w:lineRule="exact"/>
        <w:rPr>
          <w:sz w:val="20"/>
          <w:szCs w:val="20"/>
          <w:color w:val="auto"/>
        </w:rPr>
      </w:pPr>
    </w:p>
    <w:p>
      <w:pPr>
        <w:jc w:val="both"/>
        <w:ind w:firstLine="353"/>
        <w:spacing w:after="0" w:line="263" w:lineRule="auto"/>
        <w:rPr>
          <w:sz w:val="20"/>
          <w:szCs w:val="20"/>
          <w:color w:val="auto"/>
        </w:rPr>
      </w:pPr>
      <w:r>
        <w:rPr>
          <w:rFonts w:ascii="Arial" w:cs="Arial" w:eastAsia="Arial" w:hAnsi="Arial"/>
          <w:sz w:val="19"/>
          <w:szCs w:val="19"/>
          <w:color w:val="auto"/>
        </w:rPr>
        <w:t>Liabilities that are held on our balance sheet at fair value, including embedded derivatives on our Indexed Annuity and IUL business and market risk benefits (“MRB”) on our indexed annuity and fixed rate annuity business, are sensitive to fluctuations in interest rates. Decreases in interest rates generally would have the impact of increasing the value of these liabilities, which will result in a reduction in our net income. Liabilities for future policy benefits (“FPB”) are valued using locked-in discount rates, and any changes in interest rates since the inception of those contracts are reflected in accumulated other comprehensive earnings (loss) ("AOCI"). Decreases in interest rates would result in a reduction in our AOCI. In addition, certain statutory capital and reserve requirements are based on formulas or models that consider interest rates and a prolonged period of low interest rates may increase the statutory capital we are required to hold as well as the amount of assets we must maintain to support statutory reserves.</w:t>
      </w:r>
    </w:p>
    <w:p>
      <w:pPr>
        <w:spacing w:after="0" w:line="80" w:lineRule="exact"/>
        <w:rPr>
          <w:sz w:val="20"/>
          <w:szCs w:val="20"/>
          <w:color w:val="auto"/>
        </w:rPr>
      </w:pPr>
    </w:p>
    <w:p>
      <w:pPr>
        <w:jc w:val="both"/>
        <w:ind w:firstLine="353"/>
        <w:spacing w:after="0" w:line="303" w:lineRule="auto"/>
        <w:rPr>
          <w:sz w:val="20"/>
          <w:szCs w:val="20"/>
          <w:color w:val="auto"/>
        </w:rPr>
      </w:pPr>
      <w:r>
        <w:rPr>
          <w:rFonts w:ascii="Arial" w:cs="Arial" w:eastAsia="Arial" w:hAnsi="Arial"/>
          <w:sz w:val="17"/>
          <w:szCs w:val="17"/>
          <w:color w:val="auto"/>
        </w:rPr>
        <w:t>As of December 31, 2025, current economic conditions, including higher interest rates, have not adversely affected our business, results of operations, and financial condition. However, we cannot predict if it will impact our business, results of operations, and financial condition in the future for the forgoing reasons. Higher interest rates have decreased the fair value of our investment security portfolio, primarily our fixed maturity securities, as of December 31, 2025 and December 31, 2024, resulting in our AOCI being a loss of $1.7 billion and $2.0 billion, respectively. See “</w:t>
      </w:r>
      <w:r>
        <w:rPr>
          <w:rFonts w:ascii="Arial" w:cs="Arial" w:eastAsia="Arial" w:hAnsi="Arial"/>
          <w:sz w:val="17"/>
          <w:szCs w:val="17"/>
          <w:b w:val="1"/>
          <w:bCs w:val="1"/>
          <w:i w:val="1"/>
          <w:iCs w:val="1"/>
          <w:color w:val="auto"/>
        </w:rPr>
        <w:t>Quantitative and Qualitative Disclosure</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about Market Risk</w:t>
      </w:r>
      <w:r>
        <w:rPr>
          <w:rFonts w:ascii="Arial" w:cs="Arial" w:eastAsia="Arial" w:hAnsi="Arial"/>
          <w:sz w:val="17"/>
          <w:szCs w:val="17"/>
          <w:color w:val="auto"/>
        </w:rPr>
        <w:t>” in this Annual Report on Form 10-K for a more detailed discussion of interest rate risk.</w:t>
      </w:r>
    </w:p>
    <w:p>
      <w:pPr>
        <w:spacing w:after="0" w:line="4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F&amp;G is exposed to liquidity risk as a result of its other risks.</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7"/>
          <w:szCs w:val="17"/>
          <w:color w:val="auto"/>
        </w:rPr>
        <w:t>F&amp;G is exposed to liquidity risk, which is the risk that F&amp;G is unable to meet near-term obligations as they come due.</w:t>
      </w:r>
    </w:p>
    <w:p>
      <w:pPr>
        <w:spacing w:after="0" w:line="157" w:lineRule="exact"/>
        <w:rPr>
          <w:sz w:val="20"/>
          <w:szCs w:val="20"/>
          <w:color w:val="auto"/>
        </w:rPr>
      </w:pPr>
    </w:p>
    <w:p>
      <w:pPr>
        <w:jc w:val="both"/>
        <w:ind w:firstLine="353"/>
        <w:spacing w:after="0" w:line="325" w:lineRule="auto"/>
        <w:rPr>
          <w:sz w:val="20"/>
          <w:szCs w:val="20"/>
          <w:color w:val="auto"/>
        </w:rPr>
      </w:pPr>
      <w:r>
        <w:rPr>
          <w:rFonts w:ascii="Arial" w:cs="Arial" w:eastAsia="Arial" w:hAnsi="Arial"/>
          <w:sz w:val="17"/>
          <w:szCs w:val="17"/>
          <w:color w:val="auto"/>
        </w:rPr>
        <w:t>Liquidity risk is a manifestation of events that are driven by other risk types, including market, insurance, investment, or operational risks. A liquidity shortfall may arise in the event of insufficient funding sources or an immediate and significant need for cash or collateral. In addition, it is possible that expected liquidity sources, such F&amp;G's minimum cash buffers, funding</w:t>
      </w:r>
    </w:p>
    <w:p>
      <w:pPr>
        <w:sectPr>
          <w:pgSz w:w="11880" w:h="15480" w:orient="portrait"/>
          <w:cols w:equalWidth="0" w:num="1">
            <w:col w:w="10040"/>
          </w:cols>
          <w:pgMar w:left="920" w:top="772"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39</w:t>
      </w:r>
    </w:p>
    <w:p>
      <w:pPr>
        <w:sectPr>
          <w:pgSz w:w="11880" w:h="15480" w:orient="portrait"/>
          <w:cols w:equalWidth="0" w:num="1">
            <w:col w:w="10040"/>
          </w:cols>
          <w:pgMar w:left="920" w:top="772" w:right="920" w:bottom="0" w:gutter="0" w:footer="0" w:header="0"/>
          <w:type w:val="continuous"/>
        </w:sectPr>
      </w:pPr>
    </w:p>
    <w:bookmarkStart w:id="51" w:name="page52"/>
    <w:bookmarkEnd w:id="51"/>
    <w:p>
      <w:pPr>
        <w:spacing w:after="0" w:line="271" w:lineRule="auto"/>
        <w:rPr>
          <w:sz w:val="20"/>
          <w:szCs w:val="20"/>
          <w:color w:val="auto"/>
        </w:rPr>
      </w:pPr>
      <w:r>
        <w:rPr>
          <w:rFonts w:ascii="Arial" w:cs="Arial" w:eastAsia="Arial" w:hAnsi="Arial"/>
          <w:sz w:val="20"/>
          <w:szCs w:val="20"/>
          <w:color w:val="auto"/>
        </w:rPr>
        <w:t>agreements through the FHLB or other credit facilities, may be unavailable or inadequate to satisfy the liquidity demands described below.</w:t>
      </w:r>
    </w:p>
    <w:p>
      <w:pPr>
        <w:spacing w:after="0" w:line="69" w:lineRule="exact"/>
        <w:rPr>
          <w:sz w:val="20"/>
          <w:szCs w:val="20"/>
          <w:color w:val="auto"/>
        </w:rPr>
      </w:pPr>
    </w:p>
    <w:p>
      <w:pPr>
        <w:ind w:firstLine="353"/>
        <w:spacing w:after="0" w:line="271" w:lineRule="auto"/>
        <w:rPr>
          <w:sz w:val="20"/>
          <w:szCs w:val="20"/>
          <w:color w:val="auto"/>
        </w:rPr>
      </w:pPr>
      <w:r>
        <w:rPr>
          <w:rFonts w:ascii="Arial" w:cs="Arial" w:eastAsia="Arial" w:hAnsi="Arial"/>
          <w:sz w:val="20"/>
          <w:szCs w:val="20"/>
          <w:color w:val="auto"/>
        </w:rPr>
        <w:t>F&amp;G has the following sources of liquidity exposure and associated drivers that trigger material liquidity demand. Those sources are:</w:t>
      </w:r>
    </w:p>
    <w:p>
      <w:pPr>
        <w:spacing w:after="0" w:line="69" w:lineRule="exact"/>
        <w:rPr>
          <w:sz w:val="20"/>
          <w:szCs w:val="20"/>
          <w:color w:val="auto"/>
        </w:rPr>
      </w:pPr>
    </w:p>
    <w:p>
      <w:pPr>
        <w:ind w:left="700" w:hanging="355"/>
        <w:spacing w:after="0" w:line="271" w:lineRule="auto"/>
        <w:tabs>
          <w:tab w:leader="none" w:pos="700" w:val="left"/>
        </w:tabs>
        <w:numPr>
          <w:ilvl w:val="0"/>
          <w:numId w:val="26"/>
        </w:numPr>
        <w:rPr>
          <w:rFonts w:ascii="Arial" w:cs="Arial" w:eastAsia="Arial" w:hAnsi="Arial"/>
          <w:sz w:val="20"/>
          <w:szCs w:val="20"/>
          <w:color w:val="auto"/>
        </w:rPr>
      </w:pPr>
      <w:r>
        <w:rPr>
          <w:rFonts w:ascii="Arial" w:cs="Arial" w:eastAsia="Arial" w:hAnsi="Arial"/>
          <w:sz w:val="20"/>
          <w:szCs w:val="20"/>
          <w:color w:val="auto"/>
        </w:rPr>
        <w:t>Derivative collateral market exposure: abrupt changes to interest rate, equity, and/or currency markets may increase collateral requirements to counterparties and create liquidity risk for us.</w:t>
      </w:r>
    </w:p>
    <w:p>
      <w:pPr>
        <w:spacing w:after="0" w:line="9" w:lineRule="exact"/>
        <w:rPr>
          <w:rFonts w:ascii="Arial" w:cs="Arial" w:eastAsia="Arial" w:hAnsi="Arial"/>
          <w:sz w:val="20"/>
          <w:szCs w:val="20"/>
          <w:color w:val="auto"/>
        </w:rPr>
      </w:pPr>
    </w:p>
    <w:p>
      <w:pPr>
        <w:ind w:left="700" w:hanging="355"/>
        <w:spacing w:after="0" w:line="271" w:lineRule="auto"/>
        <w:tabs>
          <w:tab w:leader="none" w:pos="700" w:val="left"/>
        </w:tabs>
        <w:numPr>
          <w:ilvl w:val="0"/>
          <w:numId w:val="26"/>
        </w:numPr>
        <w:rPr>
          <w:rFonts w:ascii="Arial" w:cs="Arial" w:eastAsia="Arial" w:hAnsi="Arial"/>
          <w:sz w:val="20"/>
          <w:szCs w:val="20"/>
          <w:color w:val="auto"/>
        </w:rPr>
      </w:pPr>
      <w:r>
        <w:rPr>
          <w:rFonts w:ascii="Arial" w:cs="Arial" w:eastAsia="Arial" w:hAnsi="Arial"/>
          <w:sz w:val="20"/>
          <w:szCs w:val="20"/>
          <w:color w:val="auto"/>
        </w:rPr>
        <w:t>Asset liability mismatch: there are liquidity risks associated with liabilities coming due prior to the matching asset cash flows.</w:t>
      </w:r>
    </w:p>
    <w:p>
      <w:pPr>
        <w:spacing w:after="0" w:line="9" w:lineRule="exact"/>
        <w:rPr>
          <w:rFonts w:ascii="Arial" w:cs="Arial" w:eastAsia="Arial" w:hAnsi="Arial"/>
          <w:sz w:val="20"/>
          <w:szCs w:val="20"/>
          <w:color w:val="auto"/>
        </w:rPr>
      </w:pPr>
    </w:p>
    <w:p>
      <w:pPr>
        <w:jc w:val="both"/>
        <w:ind w:left="700" w:hanging="355"/>
        <w:spacing w:after="0" w:line="258" w:lineRule="auto"/>
        <w:tabs>
          <w:tab w:leader="none" w:pos="700" w:val="left"/>
        </w:tabs>
        <w:numPr>
          <w:ilvl w:val="0"/>
          <w:numId w:val="26"/>
        </w:numPr>
        <w:rPr>
          <w:rFonts w:ascii="Arial" w:cs="Arial" w:eastAsia="Arial" w:hAnsi="Arial"/>
          <w:sz w:val="20"/>
          <w:szCs w:val="20"/>
          <w:color w:val="auto"/>
        </w:rPr>
      </w:pPr>
      <w:r>
        <w:rPr>
          <w:rFonts w:ascii="Arial" w:cs="Arial" w:eastAsia="Arial" w:hAnsi="Arial"/>
          <w:sz w:val="20"/>
          <w:szCs w:val="20"/>
          <w:color w:val="auto"/>
        </w:rPr>
        <w:t>Insurance cash flows: F&amp;G faces potential liquidity risks from unexpected cash demands due to severe mortality calamity, customer withdrawals, policy loans or lapse events. If such events were to occur, F&amp;G may face unexpectedly high levels of claim payments to policyholders.</w:t>
      </w:r>
    </w:p>
    <w:p>
      <w:pPr>
        <w:spacing w:after="0" w:line="22" w:lineRule="exact"/>
        <w:rPr>
          <w:rFonts w:ascii="Arial" w:cs="Arial" w:eastAsia="Arial" w:hAnsi="Arial"/>
          <w:sz w:val="20"/>
          <w:szCs w:val="20"/>
          <w:color w:val="auto"/>
        </w:rPr>
      </w:pPr>
    </w:p>
    <w:p>
      <w:pPr>
        <w:jc w:val="both"/>
        <w:ind w:left="700" w:hanging="355"/>
        <w:spacing w:after="0" w:line="258" w:lineRule="auto"/>
        <w:tabs>
          <w:tab w:leader="none" w:pos="700" w:val="left"/>
        </w:tabs>
        <w:numPr>
          <w:ilvl w:val="0"/>
          <w:numId w:val="26"/>
        </w:numPr>
        <w:rPr>
          <w:rFonts w:ascii="Arial" w:cs="Arial" w:eastAsia="Arial" w:hAnsi="Arial"/>
          <w:sz w:val="20"/>
          <w:szCs w:val="20"/>
          <w:color w:val="auto"/>
        </w:rPr>
      </w:pPr>
      <w:r>
        <w:rPr>
          <w:rFonts w:ascii="Arial" w:cs="Arial" w:eastAsia="Arial" w:hAnsi="Arial"/>
          <w:sz w:val="20"/>
          <w:szCs w:val="20"/>
          <w:color w:val="auto"/>
        </w:rPr>
        <w:t>FHLB collateral: F&amp;G issues funding agreements to the FHLB for which eligible securities collateral is posted. If the value of the eligible securities declines significantly, and there is no available eligible security collateral in the portfolio, F&amp;G may need to supplement the collateral account with cash.</w:t>
      </w:r>
    </w:p>
    <w:p>
      <w:pPr>
        <w:spacing w:after="0" w:line="22" w:lineRule="exact"/>
        <w:rPr>
          <w:rFonts w:ascii="Arial" w:cs="Arial" w:eastAsia="Arial" w:hAnsi="Arial"/>
          <w:sz w:val="20"/>
          <w:szCs w:val="20"/>
          <w:color w:val="auto"/>
        </w:rPr>
      </w:pPr>
    </w:p>
    <w:p>
      <w:pPr>
        <w:jc w:val="both"/>
        <w:ind w:left="700" w:hanging="355"/>
        <w:spacing w:after="0" w:line="258" w:lineRule="auto"/>
        <w:tabs>
          <w:tab w:leader="none" w:pos="700" w:val="left"/>
        </w:tabs>
        <w:numPr>
          <w:ilvl w:val="0"/>
          <w:numId w:val="26"/>
        </w:numPr>
        <w:rPr>
          <w:rFonts w:ascii="Arial" w:cs="Arial" w:eastAsia="Arial" w:hAnsi="Arial"/>
          <w:sz w:val="20"/>
          <w:szCs w:val="20"/>
          <w:color w:val="auto"/>
        </w:rPr>
      </w:pPr>
      <w:r>
        <w:rPr>
          <w:rFonts w:ascii="Arial" w:cs="Arial" w:eastAsia="Arial" w:hAnsi="Arial"/>
          <w:sz w:val="20"/>
          <w:szCs w:val="20"/>
          <w:color w:val="auto"/>
        </w:rPr>
        <w:t>Kubera NPA: F&amp;G issued a variable note purchase agreement to Kubera for which it may be liable to fund any shortfall in Kubera’s ability to pay its obligations under the amended reinsurance agreement with FGL Insurance, assuring such principal up to $435 million is timely paid.</w:t>
      </w:r>
    </w:p>
    <w:p>
      <w:pPr>
        <w:spacing w:after="0" w:line="22" w:lineRule="exact"/>
        <w:rPr>
          <w:rFonts w:ascii="Arial" w:cs="Arial" w:eastAsia="Arial" w:hAnsi="Arial"/>
          <w:sz w:val="20"/>
          <w:szCs w:val="20"/>
          <w:color w:val="auto"/>
        </w:rPr>
      </w:pPr>
    </w:p>
    <w:p>
      <w:pPr>
        <w:jc w:val="both"/>
        <w:ind w:left="700" w:hanging="355"/>
        <w:spacing w:after="0" w:line="258" w:lineRule="auto"/>
        <w:tabs>
          <w:tab w:leader="none" w:pos="700" w:val="left"/>
        </w:tabs>
        <w:numPr>
          <w:ilvl w:val="0"/>
          <w:numId w:val="26"/>
        </w:numPr>
        <w:rPr>
          <w:rFonts w:ascii="Arial" w:cs="Arial" w:eastAsia="Arial" w:hAnsi="Arial"/>
          <w:sz w:val="20"/>
          <w:szCs w:val="20"/>
          <w:color w:val="auto"/>
        </w:rPr>
      </w:pPr>
      <w:r>
        <w:rPr>
          <w:rFonts w:ascii="Arial" w:cs="Arial" w:eastAsia="Arial" w:hAnsi="Arial"/>
          <w:sz w:val="20"/>
          <w:szCs w:val="20"/>
          <w:color w:val="auto"/>
        </w:rPr>
        <w:t>Holding Company Liquidity: as a holding company, F&amp;G is required to make interest and expense payments to satisfy obligations. The holding company’s cash position is targeted at the minimum of two times fixed charge coverage ratio on an annual basis.</w:t>
      </w:r>
    </w:p>
    <w:p>
      <w:pPr>
        <w:spacing w:after="0" w:line="7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Risk Factors Relating to Our Business</w:t>
      </w:r>
    </w:p>
    <w:p>
      <w:pPr>
        <w:spacing w:after="0" w:line="123" w:lineRule="exact"/>
        <w:rPr>
          <w:sz w:val="20"/>
          <w:szCs w:val="20"/>
          <w:color w:val="auto"/>
        </w:rPr>
      </w:pPr>
    </w:p>
    <w:p>
      <w:pPr>
        <w:jc w:val="both"/>
        <w:spacing w:after="0" w:line="275" w:lineRule="auto"/>
        <w:rPr>
          <w:sz w:val="20"/>
          <w:szCs w:val="20"/>
          <w:color w:val="auto"/>
        </w:rPr>
      </w:pPr>
      <w:r>
        <w:rPr>
          <w:rFonts w:ascii="Arial" w:cs="Arial" w:eastAsia="Arial" w:hAnsi="Arial"/>
          <w:sz w:val="20"/>
          <w:szCs w:val="20"/>
          <w:b w:val="1"/>
          <w:bCs w:val="1"/>
          <w:i w:val="1"/>
          <w:iCs w:val="1"/>
          <w:color w:val="auto"/>
        </w:rPr>
        <w:t>We have recorded goodwill as a result of prior acquisitions, and an economic downturn could cause these balances to become impaired, requiring write-downs that would reduce our operating income.</w:t>
      </w:r>
    </w:p>
    <w:p>
      <w:pPr>
        <w:spacing w:after="0" w:line="68" w:lineRule="exact"/>
        <w:rPr>
          <w:sz w:val="20"/>
          <w:szCs w:val="20"/>
          <w:color w:val="auto"/>
        </w:rPr>
      </w:pPr>
    </w:p>
    <w:p>
      <w:pPr>
        <w:jc w:val="both"/>
        <w:ind w:firstLine="353"/>
        <w:spacing w:after="0" w:line="262" w:lineRule="auto"/>
        <w:rPr>
          <w:sz w:val="20"/>
          <w:szCs w:val="20"/>
          <w:color w:val="auto"/>
        </w:rPr>
      </w:pPr>
      <w:r>
        <w:rPr>
          <w:rFonts w:ascii="Arial" w:cs="Arial" w:eastAsia="Arial" w:hAnsi="Arial"/>
          <w:sz w:val="19"/>
          <w:szCs w:val="19"/>
          <w:color w:val="auto"/>
        </w:rPr>
        <w:t>Goodwill aggregated approximately $5,272 million, or 4.8% of our total assets, as of December 31, 2025. Current accounting rules require that goodwill be assessed for impairment at least annually or whenever changes in circumstances indicate that the carrying amount may not be recoverable from estimated future cash flows. Factors that may be considered a change in circumstance indicating the carrying value of our intangible assets, including goodwill, may not be recoverable include, but are not limited to, significant underperformance relative to historical or projected future operating results, a significant decline in our stock price and market capitalization, and negative industry or economic trends. For the years ended December 31, 2025, 2024, and 2023, no goodwill impairment charge was recorded. However, if economic conditions deteriorate, the carrying amount of our goodwill may no longer be recoverable, and we may be required to record an impairment charge, which would have a negative impact on our results of operations and financial condition. We will continue to monitor our market capitalization and the impact of the economy to determine if there is an impairment of goodwill in future periods.</w:t>
      </w:r>
    </w:p>
    <w:p>
      <w:pPr>
        <w:spacing w:after="0" w:line="74" w:lineRule="exact"/>
        <w:rPr>
          <w:sz w:val="20"/>
          <w:szCs w:val="20"/>
          <w:color w:val="auto"/>
        </w:rPr>
      </w:pPr>
    </w:p>
    <w:p>
      <w:pPr>
        <w:jc w:val="both"/>
        <w:spacing w:after="0" w:line="260" w:lineRule="auto"/>
        <w:rPr>
          <w:sz w:val="20"/>
          <w:szCs w:val="20"/>
          <w:color w:val="auto"/>
        </w:rPr>
      </w:pPr>
      <w:r>
        <w:rPr>
          <w:rFonts w:ascii="Arial" w:cs="Arial" w:eastAsia="Arial" w:hAnsi="Arial"/>
          <w:sz w:val="20"/>
          <w:szCs w:val="20"/>
          <w:b w:val="1"/>
          <w:bCs w:val="1"/>
          <w:i w:val="1"/>
          <w:iCs w:val="1"/>
          <w:color w:val="auto"/>
        </w:rPr>
        <w:t>Our substantial indebtedness could adversely affect our ability to raise additional capital to fund our operations, limit our ability to react to changes in the economy or our industry and prevent us from meeting our obligations under our indebtedness.</w:t>
      </w:r>
    </w:p>
    <w:p>
      <w:pPr>
        <w:spacing w:after="0" w:line="83" w:lineRule="exact"/>
        <w:rPr>
          <w:sz w:val="20"/>
          <w:szCs w:val="20"/>
          <w:color w:val="auto"/>
        </w:rPr>
      </w:pPr>
    </w:p>
    <w:p>
      <w:pPr>
        <w:jc w:val="both"/>
        <w:ind w:firstLine="353"/>
        <w:spacing w:after="0" w:line="299" w:lineRule="auto"/>
        <w:rPr>
          <w:sz w:val="20"/>
          <w:szCs w:val="20"/>
          <w:color w:val="auto"/>
        </w:rPr>
      </w:pPr>
      <w:r>
        <w:rPr>
          <w:rFonts w:ascii="Arial" w:cs="Arial" w:eastAsia="Arial" w:hAnsi="Arial"/>
          <w:sz w:val="17"/>
          <w:szCs w:val="17"/>
          <w:color w:val="auto"/>
        </w:rPr>
        <w:t>As of December 31, 2025, our outstanding debt was $4,400 million. Our high degree of leverage could have important consequences, including the following: (i) a substantial portion of our cash flow from operations is dedicated to the payment of principal and interest on indebtedness, thereby reducing the funds available for operations, future business opportunities and capital expenditures; (ii) our ability to obtain additional financing for working capital, capital expenditures, debt service requirements, acquisitions and general corporate purposes in the future may be limited; (iii) we may be unable to adjust rapidly to changing market conditions; (iv) the debt service requirements of our other indebtedness could make it more difficult for us to satisfy our financial obligations; and (v) we may be vulnerable in a downturn in general economic conditions or in our business and we may be unable to carry out activities that are important to our growth.</w:t>
      </w:r>
    </w:p>
    <w:p>
      <w:pPr>
        <w:spacing w:after="0" w:line="51" w:lineRule="exact"/>
        <w:rPr>
          <w:sz w:val="20"/>
          <w:szCs w:val="20"/>
          <w:color w:val="auto"/>
        </w:rPr>
      </w:pPr>
    </w:p>
    <w:p>
      <w:pPr>
        <w:jc w:val="both"/>
        <w:ind w:firstLine="353"/>
        <w:spacing w:after="0" w:line="303" w:lineRule="auto"/>
        <w:rPr>
          <w:sz w:val="20"/>
          <w:szCs w:val="20"/>
          <w:color w:val="auto"/>
        </w:rPr>
      </w:pPr>
      <w:r>
        <w:rPr>
          <w:rFonts w:ascii="Arial" w:cs="Arial" w:eastAsia="Arial" w:hAnsi="Arial"/>
          <w:sz w:val="17"/>
          <w:szCs w:val="17"/>
          <w:color w:val="auto"/>
        </w:rPr>
        <w:t>Our ability to make scheduled payments of the principal of, or to pay interest on, or to refinance indebtedness depends on and is subject to our financial and operating performance, which in turn is affected by general and regional economic, financial, competitive, business and other factors beyond our control. If we are unable to generate sufficient cash flow to service our debt or to fund our other liquidity needs, we will need to restructure or refinance all or a portion of our debt, which could cause us to default on our obligations and impair our liquidity. Any refinancing of our indebtedness could be at higher interest rates and may require us to comply with more stringent covenants that could further restrict our business operations. We from time to</w:t>
      </w:r>
    </w:p>
    <w:p>
      <w:pPr>
        <w:sectPr>
          <w:pgSz w:w="11880" w:h="15480" w:orient="portrait"/>
          <w:cols w:equalWidth="0" w:num="1">
            <w:col w:w="10040"/>
          </w:cols>
          <w:pgMar w:left="920" w:top="772"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40</w:t>
      </w:r>
    </w:p>
    <w:p>
      <w:pPr>
        <w:sectPr>
          <w:pgSz w:w="11880" w:h="15480" w:orient="portrait"/>
          <w:cols w:equalWidth="0" w:num="1">
            <w:col w:w="10040"/>
          </w:cols>
          <w:pgMar w:left="920" w:top="772" w:right="920" w:bottom="0" w:gutter="0" w:footer="0" w:header="0"/>
          <w:type w:val="continuous"/>
        </w:sectPr>
      </w:pPr>
    </w:p>
    <w:bookmarkStart w:id="52" w:name="page53"/>
    <w:bookmarkEnd w:id="52"/>
    <w:p>
      <w:pPr>
        <w:jc w:val="both"/>
        <w:spacing w:after="0" w:line="271" w:lineRule="auto"/>
        <w:rPr>
          <w:sz w:val="20"/>
          <w:szCs w:val="20"/>
          <w:color w:val="auto"/>
        </w:rPr>
      </w:pPr>
      <w:r>
        <w:rPr>
          <w:rFonts w:ascii="Arial" w:cs="Arial" w:eastAsia="Arial" w:hAnsi="Arial"/>
          <w:sz w:val="20"/>
          <w:szCs w:val="20"/>
          <w:color w:val="auto"/>
        </w:rPr>
        <w:t>time may increase the amount of our indebtedness, modify the terms of our financing arrangements, issue dividends, make capital expenditures and take other actions that may substantially increase our leverage.</w:t>
      </w:r>
    </w:p>
    <w:p>
      <w:pPr>
        <w:spacing w:after="0" w:line="6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We may face losses if our actual experience differs significantly from our reserve assumptions.</w:t>
      </w:r>
    </w:p>
    <w:p>
      <w:pPr>
        <w:spacing w:after="0" w:line="130" w:lineRule="exact"/>
        <w:rPr>
          <w:sz w:val="20"/>
          <w:szCs w:val="20"/>
          <w:color w:val="auto"/>
        </w:rPr>
      </w:pPr>
    </w:p>
    <w:p>
      <w:pPr>
        <w:jc w:val="both"/>
        <w:ind w:firstLine="353"/>
        <w:spacing w:after="0" w:line="300" w:lineRule="auto"/>
        <w:rPr>
          <w:sz w:val="20"/>
          <w:szCs w:val="20"/>
          <w:color w:val="auto"/>
        </w:rPr>
      </w:pPr>
      <w:r>
        <w:rPr>
          <w:rFonts w:ascii="Arial" w:cs="Arial" w:eastAsia="Arial" w:hAnsi="Arial"/>
          <w:sz w:val="17"/>
          <w:szCs w:val="17"/>
          <w:color w:val="auto"/>
        </w:rPr>
        <w:t>Our profitability depends significantly upon the extent to which our actual experience is consistent with the assumptions used in setting rates for our products and establishing liabilities for future life insurance, annuity and PRT policy benefits and claims. However, due to the nature of the underlying risks and the high degree of uncertainty associated with the determination of the liabilities for unpaid policy benefits and claims, we cannot determine precisely the amounts we will ultimately pay to settle these liabilities. As a result, we may experience volatility in our profitability and our reserves from period to period. To the extent that actual experience is less favorable than our underlying assumptions, we could be required to increase our liabilities, which may reduce our profitability and impact our financial strength.</w:t>
      </w:r>
    </w:p>
    <w:p>
      <w:pPr>
        <w:spacing w:after="0" w:line="54" w:lineRule="exact"/>
        <w:rPr>
          <w:sz w:val="20"/>
          <w:szCs w:val="20"/>
          <w:color w:val="auto"/>
        </w:rPr>
      </w:pPr>
    </w:p>
    <w:p>
      <w:pPr>
        <w:jc w:val="both"/>
        <w:ind w:firstLine="353"/>
        <w:spacing w:after="0" w:line="243" w:lineRule="auto"/>
        <w:rPr>
          <w:sz w:val="20"/>
          <w:szCs w:val="20"/>
          <w:color w:val="auto"/>
        </w:rPr>
      </w:pPr>
      <w:r>
        <w:rPr>
          <w:rFonts w:ascii="Arial" w:cs="Arial" w:eastAsia="Arial" w:hAnsi="Arial"/>
          <w:sz w:val="20"/>
          <w:szCs w:val="20"/>
          <w:color w:val="auto"/>
        </w:rPr>
        <w:t>We have been issuing GMWB products since 2008. In our reserve calculations, we make assumptions for policyholder behavior as it relates to GMWB utilization. If emerging experience deviates from our assumptions on GMWB utilization, it could have a significant effect on our reserve levels and related results of operations. We will continue to monitor the GMWB utilization assumption and update our best estimate as applicable.</w:t>
      </w:r>
    </w:p>
    <w:p>
      <w:pPr>
        <w:spacing w:after="0" w:line="86" w:lineRule="exact"/>
        <w:rPr>
          <w:sz w:val="20"/>
          <w:szCs w:val="20"/>
          <w:color w:val="auto"/>
        </w:rPr>
      </w:pPr>
    </w:p>
    <w:p>
      <w:pPr>
        <w:jc w:val="both"/>
        <w:ind w:firstLine="353"/>
        <w:spacing w:after="0" w:line="263" w:lineRule="auto"/>
        <w:rPr>
          <w:sz w:val="20"/>
          <w:szCs w:val="20"/>
          <w:color w:val="auto"/>
        </w:rPr>
      </w:pPr>
      <w:r>
        <w:rPr>
          <w:rFonts w:ascii="Arial" w:cs="Arial" w:eastAsia="Arial" w:hAnsi="Arial"/>
          <w:sz w:val="20"/>
          <w:szCs w:val="20"/>
          <w:color w:val="auto"/>
        </w:rPr>
        <w:t xml:space="preserve">See Item 7 of Part II of this Annual Report, under. </w:t>
      </w:r>
      <w:r>
        <w:rPr>
          <w:rFonts w:ascii="Arial" w:cs="Arial" w:eastAsia="Arial" w:hAnsi="Arial"/>
          <w:sz w:val="20"/>
          <w:szCs w:val="20"/>
          <w:b w:val="1"/>
          <w:bCs w:val="1"/>
          <w:i w:val="1"/>
          <w:iCs w:val="1"/>
          <w:color w:val="auto"/>
        </w:rPr>
        <w:t>Management’s Discussion and Analysis of Financial Condition and</w:t>
      </w:r>
      <w:r>
        <w:rPr>
          <w:rFonts w:ascii="Arial" w:cs="Arial" w:eastAsia="Arial" w:hAnsi="Arial"/>
          <w:sz w:val="20"/>
          <w:szCs w:val="20"/>
          <w:color w:val="auto"/>
        </w:rPr>
        <w:t xml:space="preserve"> </w:t>
      </w:r>
      <w:r>
        <w:rPr>
          <w:rFonts w:ascii="Arial" w:cs="Arial" w:eastAsia="Arial" w:hAnsi="Arial"/>
          <w:sz w:val="20"/>
          <w:szCs w:val="20"/>
          <w:b w:val="1"/>
          <w:bCs w:val="1"/>
          <w:i w:val="1"/>
          <w:iCs w:val="1"/>
          <w:color w:val="auto"/>
        </w:rPr>
        <w:t xml:space="preserve">Results of Operations </w:t>
      </w:r>
      <w:r>
        <w:rPr>
          <w:rFonts w:ascii="Arial" w:cs="Arial" w:eastAsia="Arial" w:hAnsi="Arial"/>
          <w:sz w:val="20"/>
          <w:szCs w:val="20"/>
          <w:color w:val="auto"/>
        </w:rPr>
        <w:t>-</w:t>
      </w:r>
      <w:r>
        <w:rPr>
          <w:rFonts w:ascii="Arial" w:cs="Arial" w:eastAsia="Arial" w:hAnsi="Arial"/>
          <w:sz w:val="20"/>
          <w:szCs w:val="20"/>
          <w:b w:val="1"/>
          <w:bCs w:val="1"/>
          <w:i w:val="1"/>
          <w:iCs w:val="1"/>
          <w:color w:val="auto"/>
        </w:rPr>
        <w:t xml:space="preserve"> Critical Accounting Policies and Estimates</w:t>
      </w:r>
      <w:r>
        <w:rPr>
          <w:rFonts w:ascii="Arial" w:cs="Arial" w:eastAsia="Arial" w:hAnsi="Arial"/>
          <w:sz w:val="20"/>
          <w:szCs w:val="20"/>
          <w:color w:val="auto"/>
        </w:rPr>
        <w:t>.</w:t>
      </w:r>
    </w:p>
    <w:p>
      <w:pPr>
        <w:spacing w:after="0" w:line="59" w:lineRule="exact"/>
        <w:rPr>
          <w:sz w:val="20"/>
          <w:szCs w:val="20"/>
          <w:color w:val="auto"/>
        </w:rPr>
      </w:pPr>
    </w:p>
    <w:p>
      <w:pPr>
        <w:jc w:val="both"/>
        <w:spacing w:after="0" w:line="314" w:lineRule="auto"/>
        <w:rPr>
          <w:sz w:val="20"/>
          <w:szCs w:val="20"/>
          <w:color w:val="auto"/>
        </w:rPr>
      </w:pPr>
      <w:r>
        <w:rPr>
          <w:rFonts w:ascii="Arial" w:cs="Arial" w:eastAsia="Arial" w:hAnsi="Arial"/>
          <w:sz w:val="17"/>
          <w:szCs w:val="17"/>
          <w:b w:val="1"/>
          <w:bCs w:val="1"/>
          <w:i w:val="1"/>
          <w:iCs w:val="1"/>
          <w:color w:val="auto"/>
        </w:rPr>
        <w:t>Our management has historically sought to grow through acquisitions, both in our current lines of business as well as in lines of business outside of our traditional areas of focus or geographic areas. This expansion of our business subjects us to associated risks, such as risks and uncertainties associated with new companies, the diversion of management’s attention and lack of experience in operating unrelated businesses, and may affect our credit and ability to repay our debt.</w:t>
      </w:r>
    </w:p>
    <w:p>
      <w:pPr>
        <w:spacing w:after="0" w:line="43" w:lineRule="exact"/>
        <w:rPr>
          <w:sz w:val="20"/>
          <w:szCs w:val="20"/>
          <w:color w:val="auto"/>
        </w:rPr>
      </w:pPr>
    </w:p>
    <w:p>
      <w:pPr>
        <w:jc w:val="both"/>
        <w:ind w:firstLine="353"/>
        <w:spacing w:after="0" w:line="300" w:lineRule="auto"/>
        <w:rPr>
          <w:sz w:val="20"/>
          <w:szCs w:val="20"/>
          <w:color w:val="auto"/>
        </w:rPr>
      </w:pPr>
      <w:r>
        <w:rPr>
          <w:rFonts w:ascii="Arial" w:cs="Arial" w:eastAsia="Arial" w:hAnsi="Arial"/>
          <w:sz w:val="17"/>
          <w:szCs w:val="17"/>
          <w:color w:val="auto"/>
        </w:rPr>
        <w:t>Our management has historically sought to grow through acquisitions, both in our current lines of business, as well as lines of business that are not directly tied to or synergistic with our current operations. Accordingly, we have in the past acquired, and may in the future acquire, businesses in industries or geographic areas with which management is less familiar than we are with our current businesses. These activities involve risks that could adversely affect our operating results, due to uncertainties involved with new companies, diversion of management’s attention and lack of substantial experience in operating such businesses. There can be no guarantee that we will not enter into transactions or make acquisitions that will cause us to incur additional debt, increase our exposure to market and other risks and cause our credit or financial strength ratings to decline.</w:t>
      </w:r>
    </w:p>
    <w:p>
      <w:pPr>
        <w:spacing w:after="0" w:line="4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We are a holding company and depend on distributions from our subsidiaries for cash.</w:t>
      </w:r>
    </w:p>
    <w:p>
      <w:pPr>
        <w:spacing w:after="0" w:line="130" w:lineRule="exact"/>
        <w:rPr>
          <w:sz w:val="20"/>
          <w:szCs w:val="20"/>
          <w:color w:val="auto"/>
        </w:rPr>
      </w:pPr>
    </w:p>
    <w:p>
      <w:pPr>
        <w:jc w:val="both"/>
        <w:ind w:firstLine="353"/>
        <w:spacing w:after="0" w:line="271" w:lineRule="auto"/>
        <w:rPr>
          <w:sz w:val="20"/>
          <w:szCs w:val="20"/>
          <w:color w:val="auto"/>
        </w:rPr>
      </w:pPr>
      <w:r>
        <w:rPr>
          <w:rFonts w:ascii="Arial" w:cs="Arial" w:eastAsia="Arial" w:hAnsi="Arial"/>
          <w:sz w:val="19"/>
          <w:szCs w:val="19"/>
          <w:color w:val="auto"/>
        </w:rPr>
        <w:t>We are a holding company whose primary assets are the securities of our operating subsidiaries. Our ability to pay interest on our outstanding debt and our other obligations and to pay dividends is dependent on the ability of our subsidiaries to pay dividends or make other distributions or payments to us. If our operating subsidiaries are not able to pay dividends to us, we may not be able to meet our obligations or pay dividends on our common stock.</w:t>
      </w:r>
    </w:p>
    <w:p>
      <w:pPr>
        <w:spacing w:after="0" w:line="72" w:lineRule="exact"/>
        <w:rPr>
          <w:sz w:val="20"/>
          <w:szCs w:val="20"/>
          <w:color w:val="auto"/>
        </w:rPr>
      </w:pPr>
    </w:p>
    <w:p>
      <w:pPr>
        <w:jc w:val="both"/>
        <w:ind w:firstLine="353"/>
        <w:spacing w:after="0" w:line="250" w:lineRule="auto"/>
        <w:rPr>
          <w:sz w:val="20"/>
          <w:szCs w:val="20"/>
          <w:color w:val="auto"/>
        </w:rPr>
      </w:pPr>
      <w:r>
        <w:rPr>
          <w:rFonts w:ascii="Arial" w:cs="Arial" w:eastAsia="Arial" w:hAnsi="Arial"/>
          <w:sz w:val="20"/>
          <w:szCs w:val="20"/>
          <w:color w:val="auto"/>
        </w:rPr>
        <w:t>Our title insurance subsidiaries must comply with state laws, which require them to maintain minimum amounts of working capital, surplus and reserves, and place restrictions on the amount of dividends that they can distribute to us. Compliance with these laws will limit the amounts our regulated subsidiaries can dividend to us. During 2026, our title insurers may pay dividends or make distributions to us of approximately $437 million; however, insurance regulators have the authority to prohibit the payment of ordinary dividends or other payments by our title insurers to us if they determine that such payment could be adverse to our policyholders.</w:t>
      </w:r>
    </w:p>
    <w:p>
      <w:pPr>
        <w:spacing w:after="0" w:line="91" w:lineRule="exact"/>
        <w:rPr>
          <w:sz w:val="20"/>
          <w:szCs w:val="20"/>
          <w:color w:val="auto"/>
        </w:rPr>
      </w:pPr>
    </w:p>
    <w:p>
      <w:pPr>
        <w:jc w:val="both"/>
        <w:ind w:firstLine="353"/>
        <w:spacing w:after="0" w:line="300" w:lineRule="auto"/>
        <w:rPr>
          <w:sz w:val="20"/>
          <w:szCs w:val="20"/>
          <w:color w:val="auto"/>
        </w:rPr>
      </w:pPr>
      <w:r>
        <w:rPr>
          <w:rFonts w:ascii="Arial" w:cs="Arial" w:eastAsia="Arial" w:hAnsi="Arial"/>
          <w:sz w:val="17"/>
          <w:szCs w:val="17"/>
          <w:color w:val="auto"/>
        </w:rPr>
        <w:t>The maximum dividend permitted by law is not necessarily indicative of an insurer’s actual ability to pay dividends, which may be constrained by business and regulatory considerations, such as the impact of dividends on surplus, which could affect an insurer’s ratings or competitive position, the amount of premiums that can be written and the ability to pay future dividends. Further, depending on business and regulatory conditions, we may in the future need to retain cash in our underwriters or even contribute cash to one or more of them in order to maintain their ratings or their statutory capital position. Such a requirement could be the result of investment losses, reserve charges, adverse operating conditions in the current economic environment or changes in interpretation of statutory accounting requirements by regulators.</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business could be interrupted or compromised if we experience difficulties arising from outsourcing relationships.</w:t>
      </w:r>
    </w:p>
    <w:p>
      <w:pPr>
        <w:spacing w:after="0" w:line="164" w:lineRule="exact"/>
        <w:rPr>
          <w:sz w:val="20"/>
          <w:szCs w:val="20"/>
          <w:color w:val="auto"/>
        </w:rPr>
      </w:pPr>
    </w:p>
    <w:p>
      <w:pPr>
        <w:jc w:val="both"/>
        <w:ind w:firstLine="353"/>
        <w:spacing w:after="0" w:line="303" w:lineRule="auto"/>
        <w:rPr>
          <w:sz w:val="20"/>
          <w:szCs w:val="20"/>
          <w:color w:val="auto"/>
        </w:rPr>
      </w:pPr>
      <w:r>
        <w:rPr>
          <w:rFonts w:ascii="Arial" w:cs="Arial" w:eastAsia="Arial" w:hAnsi="Arial"/>
          <w:sz w:val="17"/>
          <w:szCs w:val="17"/>
          <w:color w:val="auto"/>
        </w:rPr>
        <w:t>If we do not maintain an effective outsourcing strategy or third-party providers do not perform as contracted, we may experience operational difficulties, increased costs and a loss of business that could have a material adverse effect on our results of operations. If there is a delay in our third-party providers’ introduction of our new products or if our third-party providers are unable to service our customers appropriately, we may experience a loss of business that could have a material adverse effect on our business, financial condition and results of operations. We have a formal vendor management program that follows a continuous lifecycle for third-party providers. The lifecycle includes an initial risk assessment for new relationships to</w:t>
      </w:r>
    </w:p>
    <w:p>
      <w:pPr>
        <w:sectPr>
          <w:pgSz w:w="11880" w:h="15480" w:orient="portrait"/>
          <w:cols w:equalWidth="0" w:num="1">
            <w:col w:w="10040"/>
          </w:cols>
          <w:pgMar w:left="920" w:top="772" w:right="920" w:bottom="0" w:gutter="0" w:footer="0" w:header="0"/>
        </w:sect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41</w:t>
      </w:r>
    </w:p>
    <w:p>
      <w:pPr>
        <w:sectPr>
          <w:pgSz w:w="11880" w:h="15480" w:orient="portrait"/>
          <w:cols w:equalWidth="0" w:num="1">
            <w:col w:w="10040"/>
          </w:cols>
          <w:pgMar w:left="920" w:top="772" w:right="920" w:bottom="0" w:gutter="0" w:footer="0" w:header="0"/>
          <w:type w:val="continuous"/>
        </w:sectPr>
      </w:pPr>
    </w:p>
    <w:bookmarkStart w:id="53" w:name="page54"/>
    <w:bookmarkEnd w:id="53"/>
    <w:p>
      <w:pPr>
        <w:jc w:val="both"/>
        <w:spacing w:after="0" w:line="254" w:lineRule="auto"/>
        <w:rPr>
          <w:sz w:val="20"/>
          <w:szCs w:val="20"/>
          <w:color w:val="auto"/>
        </w:rPr>
      </w:pPr>
      <w:r>
        <w:rPr>
          <w:rFonts w:ascii="Arial" w:cs="Arial" w:eastAsia="Arial" w:hAnsi="Arial"/>
          <w:sz w:val="20"/>
          <w:szCs w:val="20"/>
          <w:color w:val="auto"/>
        </w:rPr>
        <w:t>determine risk tier; vendor due diligence depending on the risk tier; contract management to effectively address all terms, conditions, duties and obligations, risks/issues identified; ongoing monitoring and management to ensure compliance with contract provisions and service level agreements; and termination/offboarding to ensure appropriate communication and any other requirements such as destruction of data.</w:t>
      </w:r>
    </w:p>
    <w:p>
      <w:pPr>
        <w:spacing w:after="0" w:line="85" w:lineRule="exact"/>
        <w:rPr>
          <w:sz w:val="20"/>
          <w:szCs w:val="20"/>
          <w:color w:val="auto"/>
        </w:rPr>
      </w:pPr>
    </w:p>
    <w:p>
      <w:pPr>
        <w:jc w:val="both"/>
        <w:ind w:firstLine="353"/>
        <w:spacing w:after="0" w:line="325" w:lineRule="auto"/>
        <w:rPr>
          <w:sz w:val="20"/>
          <w:szCs w:val="20"/>
          <w:color w:val="auto"/>
        </w:rPr>
      </w:pPr>
      <w:r>
        <w:rPr>
          <w:rFonts w:ascii="Arial" w:cs="Arial" w:eastAsia="Arial" w:hAnsi="Arial"/>
          <w:sz w:val="17"/>
          <w:szCs w:val="17"/>
          <w:color w:val="auto"/>
        </w:rPr>
        <w:t>If our key providers, distributors or other parties terminate important business arrangements with us, reduce their business with us or renew contracts on terms less favorable to us, which occurs from time to time, we may fail to meet our business objectives and targets, and our cash flows, results of operations and financial condition could be materially adversely affected.</w:t>
      </w:r>
    </w:p>
    <w:p>
      <w:pPr>
        <w:spacing w:after="0" w:line="29" w:lineRule="exact"/>
        <w:rPr>
          <w:sz w:val="20"/>
          <w:szCs w:val="20"/>
          <w:color w:val="auto"/>
        </w:rPr>
      </w:pPr>
    </w:p>
    <w:p>
      <w:pPr>
        <w:jc w:val="both"/>
        <w:ind w:firstLine="353"/>
        <w:spacing w:after="0" w:line="266" w:lineRule="auto"/>
        <w:rPr>
          <w:sz w:val="20"/>
          <w:szCs w:val="20"/>
          <w:color w:val="auto"/>
        </w:rPr>
      </w:pPr>
      <w:r>
        <w:rPr>
          <w:rFonts w:ascii="Arial" w:cs="Arial" w:eastAsia="Arial" w:hAnsi="Arial"/>
          <w:sz w:val="19"/>
          <w:szCs w:val="19"/>
          <w:color w:val="auto"/>
        </w:rPr>
        <w:t>In addition, our reliance on third-party service providers that we do not control does not relieve us of our responsibilities and contractual, legal and other requirements. Any failure or negligence by such third-party service providers in carrying out their contractual duties may result in us becoming subjected to liability to parties who are harmed and ensuing litigation. Any litigation relating to such matters could be costly and time-consuming, and the outcome of any such litigation may be uncertain. Moreover, any adverse publicity arising from such litigation, even if the litigation is not successful, could adversely affect our reputation and sales of our products.</w:t>
      </w:r>
    </w:p>
    <w:p>
      <w:pPr>
        <w:spacing w:after="0" w:line="69" w:lineRule="exact"/>
        <w:rPr>
          <w:sz w:val="20"/>
          <w:szCs w:val="20"/>
          <w:color w:val="auto"/>
        </w:rPr>
      </w:pPr>
    </w:p>
    <w:p>
      <w:pPr>
        <w:jc w:val="both"/>
        <w:spacing w:after="0" w:line="275" w:lineRule="auto"/>
        <w:rPr>
          <w:sz w:val="20"/>
          <w:szCs w:val="20"/>
          <w:color w:val="auto"/>
        </w:rPr>
      </w:pPr>
      <w:r>
        <w:rPr>
          <w:rFonts w:ascii="Arial" w:cs="Arial" w:eastAsia="Arial" w:hAnsi="Arial"/>
          <w:sz w:val="20"/>
          <w:szCs w:val="20"/>
          <w:b w:val="1"/>
          <w:bCs w:val="1"/>
          <w:i w:val="1"/>
          <w:iCs w:val="1"/>
          <w:color w:val="auto"/>
        </w:rPr>
        <w:t>If we are unable to attract and retain national marketing organizations and independent agents, sales of our products may be reduced.</w:t>
      </w:r>
    </w:p>
    <w:p>
      <w:pPr>
        <w:spacing w:after="0" w:line="68" w:lineRule="exact"/>
        <w:rPr>
          <w:sz w:val="20"/>
          <w:szCs w:val="20"/>
          <w:color w:val="auto"/>
        </w:rPr>
      </w:pPr>
    </w:p>
    <w:p>
      <w:pPr>
        <w:jc w:val="both"/>
        <w:ind w:firstLine="353"/>
        <w:spacing w:after="0" w:line="266" w:lineRule="auto"/>
        <w:rPr>
          <w:sz w:val="20"/>
          <w:szCs w:val="20"/>
          <w:color w:val="auto"/>
        </w:rPr>
      </w:pPr>
      <w:r>
        <w:rPr>
          <w:rFonts w:ascii="Arial" w:cs="Arial" w:eastAsia="Arial" w:hAnsi="Arial"/>
          <w:sz w:val="19"/>
          <w:szCs w:val="19"/>
          <w:color w:val="auto"/>
        </w:rPr>
        <w:t>Within our F&amp;G segment, we must attract and retain our network of IMOs and independent agents to sell our products. Insurance companies compete vigorously for productive agents. We compete with other life insurance companies for marketers and agents primarily on the basis of our financial position, support services, compensation and product features. Such marketers and agents may promote products offered by other life insurance companies that offer a larger variety of products than we do. If we are unable to attract and retain a sufficient number of marketers and agents to sell our products, our ability to compete and our revenues would suffer.</w:t>
      </w:r>
    </w:p>
    <w:p>
      <w:pPr>
        <w:spacing w:after="0" w:line="69" w:lineRule="exact"/>
        <w:rPr>
          <w:sz w:val="20"/>
          <w:szCs w:val="20"/>
          <w:color w:val="auto"/>
        </w:rPr>
      </w:pPr>
    </w:p>
    <w:p>
      <w:pPr>
        <w:jc w:val="both"/>
        <w:spacing w:after="0" w:line="275" w:lineRule="auto"/>
        <w:rPr>
          <w:sz w:val="20"/>
          <w:szCs w:val="20"/>
          <w:color w:val="auto"/>
        </w:rPr>
      </w:pPr>
      <w:r>
        <w:rPr>
          <w:rFonts w:ascii="Arial" w:cs="Arial" w:eastAsia="Arial" w:hAnsi="Arial"/>
          <w:sz w:val="20"/>
          <w:szCs w:val="20"/>
          <w:b w:val="1"/>
          <w:bCs w:val="1"/>
          <w:i w:val="1"/>
          <w:iCs w:val="1"/>
          <w:color w:val="auto"/>
        </w:rPr>
        <w:t>Failure of our enterprise-wide risk management processes could result in unexpected monetary losses, damage to our reputation, additional costs or impairment of our ability to conduct business effectively.</w:t>
      </w:r>
    </w:p>
    <w:p>
      <w:pPr>
        <w:spacing w:after="0" w:line="68" w:lineRule="exact"/>
        <w:rPr>
          <w:sz w:val="20"/>
          <w:szCs w:val="20"/>
          <w:color w:val="auto"/>
        </w:rPr>
      </w:pPr>
    </w:p>
    <w:p>
      <w:pPr>
        <w:jc w:val="both"/>
        <w:ind w:firstLine="353"/>
        <w:spacing w:after="0" w:line="300" w:lineRule="auto"/>
        <w:rPr>
          <w:sz w:val="20"/>
          <w:szCs w:val="20"/>
          <w:color w:val="auto"/>
        </w:rPr>
      </w:pPr>
      <w:r>
        <w:rPr>
          <w:rFonts w:ascii="Arial" w:cs="Arial" w:eastAsia="Arial" w:hAnsi="Arial"/>
          <w:sz w:val="17"/>
          <w:szCs w:val="17"/>
          <w:color w:val="auto"/>
        </w:rPr>
        <w:t>As a large insurance entity and a publicly traded company, we have risk management functions, policies and procedures throughout our operations and management. These functions include but are not limited to departments dedicated to enterprise risk management and information technology risk management, information security, business continuity, lender strategy and contracts, and vendor risk management. Our policies and procedures have evolved over the years as we continually reassess our processes both internally and to comply with changes in the regulatory environment. Due to limitations inherent in any internal process, if our risk management processes prove unsuccessful at identifying and responding to risks, we could incur unexpected monetary losses, damage to our reputation, additional costs or impairment of our ability to conduct business effectively.</w:t>
      </w:r>
    </w:p>
    <w:p>
      <w:pPr>
        <w:spacing w:after="0" w:line="46" w:lineRule="exact"/>
        <w:rPr>
          <w:sz w:val="20"/>
          <w:szCs w:val="20"/>
          <w:color w:val="auto"/>
        </w:rPr>
      </w:pPr>
    </w:p>
    <w:p>
      <w:pPr>
        <w:jc w:val="both"/>
        <w:spacing w:after="0" w:line="365" w:lineRule="auto"/>
        <w:rPr>
          <w:sz w:val="20"/>
          <w:szCs w:val="20"/>
          <w:color w:val="auto"/>
        </w:rPr>
      </w:pPr>
      <w:r>
        <w:rPr>
          <w:rFonts w:ascii="Arial" w:cs="Arial" w:eastAsia="Arial" w:hAnsi="Arial"/>
          <w:sz w:val="17"/>
          <w:szCs w:val="17"/>
          <w:b w:val="1"/>
          <w:bCs w:val="1"/>
          <w:i w:val="1"/>
          <w:iCs w:val="1"/>
          <w:color w:val="auto"/>
        </w:rPr>
        <w:t>If we experience changes in the rate or severity of title insurance claims, it may be necessary for us to record additional charges to our claim loss reserve. This may result in lower net earnings and the potential for earnings volatility.</w:t>
      </w:r>
    </w:p>
    <w:p>
      <w:pPr>
        <w:spacing w:after="0" w:line="1" w:lineRule="exact"/>
        <w:rPr>
          <w:sz w:val="20"/>
          <w:szCs w:val="20"/>
          <w:color w:val="auto"/>
        </w:rPr>
      </w:pPr>
    </w:p>
    <w:p>
      <w:pPr>
        <w:jc w:val="both"/>
        <w:ind w:firstLine="353"/>
        <w:spacing w:after="0" w:line="263" w:lineRule="auto"/>
        <w:rPr>
          <w:sz w:val="20"/>
          <w:szCs w:val="20"/>
          <w:color w:val="auto"/>
        </w:rPr>
      </w:pPr>
      <w:r>
        <w:rPr>
          <w:rFonts w:ascii="Arial" w:cs="Arial" w:eastAsia="Arial" w:hAnsi="Arial"/>
          <w:sz w:val="19"/>
          <w:szCs w:val="19"/>
          <w:color w:val="auto"/>
        </w:rPr>
        <w:t>By their nature, claims are often complex, vary greatly in dollar amounts and are affected by economic and market conditions and the legal environment existing at the time of settlement of the claims. Estimating future title loss payments is difficult because of the complex nature of title claims, the long periods of time over which claims are paid, significantly varying dollar amounts of individual claims and other factors. From time to time, we experience large losses or an overall worsening of our loss payment experience in regard to the frequency or severity of claims that require us to record additional charges to our claims loss reserve. There are currently pending several large claims, which we believe can be defended successfully without material loss payments. However, if unanticipated material payments are required to settle these claims, it could result in or contribute to additional charges to our claim loss reserves. These loss events are unpredictable and adversely affect our earnings.</w:t>
      </w:r>
    </w:p>
    <w:p>
      <w:pPr>
        <w:spacing w:after="0" w:line="80" w:lineRule="exact"/>
        <w:rPr>
          <w:sz w:val="20"/>
          <w:szCs w:val="20"/>
          <w:color w:val="auto"/>
        </w:rPr>
      </w:pPr>
    </w:p>
    <w:p>
      <w:pPr>
        <w:jc w:val="both"/>
        <w:ind w:firstLine="353"/>
        <w:spacing w:after="0" w:line="295" w:lineRule="auto"/>
        <w:rPr>
          <w:sz w:val="20"/>
          <w:szCs w:val="20"/>
          <w:color w:val="auto"/>
        </w:rPr>
      </w:pPr>
      <w:r>
        <w:rPr>
          <w:rFonts w:ascii="Arial" w:cs="Arial" w:eastAsia="Arial" w:hAnsi="Arial"/>
          <w:sz w:val="17"/>
          <w:szCs w:val="17"/>
          <w:color w:val="auto"/>
        </w:rPr>
        <w:t>At each quarter end, our recorded reserve for claim losses is initially the result of taking the prior recorded reserve for claim losses, adding the current provision to that balance and subtracting actual paid claims from that balance, resulting in an amount that management then compares to our actuary's central estimate provided in the actuarial calculation. Due to the uncertainty and judgment used by both management and our actuary, our ultimate liability may be greater or less than our current reserves and/or our actuary’s calculation. If the recorded amount is within a reasonable range of the actuary’s central estimate, but not at the central estimate, management assesses other factors in order to determine our best estimate. These factors, which are both qualitative and quantitative, can change from period to period and include items such as current trends in the real estate industry (which management can assess, but for which there is a time lag in the development of the data used by our actuary), any adjustments from the actuarial estimates needed for the effects of unusually large or small claims, improvements in our claims management processes and other cost saving measures. Depending upon our assessment of these factors, we may or may not adjust the recorded reserve. If the recorded amount is not within a reasonable range of the actuary’s central estimate, we would record a charge or credit and reassess the provision rate on a go forward basis.</w:t>
      </w:r>
    </w:p>
    <w:p>
      <w:pPr>
        <w:sectPr>
          <w:pgSz w:w="11880" w:h="15480" w:orient="portrait"/>
          <w:cols w:equalWidth="0" w:num="1">
            <w:col w:w="10040"/>
          </w:cols>
          <w:pgMar w:left="920" w:top="772" w:right="920" w:bottom="0" w:gutter="0" w:footer="0" w:header="0"/>
        </w:sect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42</w:t>
      </w:r>
    </w:p>
    <w:p>
      <w:pPr>
        <w:sectPr>
          <w:pgSz w:w="11880" w:h="15480" w:orient="portrait"/>
          <w:cols w:equalWidth="0" w:num="1">
            <w:col w:w="10040"/>
          </w:cols>
          <w:pgMar w:left="920" w:top="772" w:right="920" w:bottom="0" w:gutter="0" w:footer="0" w:header="0"/>
          <w:type w:val="continuous"/>
        </w:sectPr>
      </w:pPr>
    </w:p>
    <w:bookmarkStart w:id="54" w:name="page55"/>
    <w:bookmarkEnd w:id="54"/>
    <w:p>
      <w:pPr>
        <w:jc w:val="both"/>
        <w:spacing w:after="0" w:line="248" w:lineRule="auto"/>
        <w:rPr>
          <w:sz w:val="20"/>
          <w:szCs w:val="20"/>
          <w:color w:val="auto"/>
        </w:rPr>
      </w:pPr>
      <w:r>
        <w:rPr>
          <w:rFonts w:ascii="Arial" w:cs="Arial" w:eastAsia="Arial" w:hAnsi="Arial"/>
          <w:sz w:val="20"/>
          <w:szCs w:val="20"/>
          <w:b w:val="1"/>
          <w:bCs w:val="1"/>
          <w:i w:val="1"/>
          <w:iCs w:val="1"/>
          <w:color w:val="auto"/>
        </w:rPr>
        <w:t>Changes in the Company’s dealings with large mortgage lenders, servicers or government-sponsored enterprises could adversely affect our title insurance and mortgage servicing subsidiaries.</w:t>
      </w:r>
    </w:p>
    <w:p>
      <w:pPr>
        <w:spacing w:after="0" w:line="69" w:lineRule="exact"/>
        <w:rPr>
          <w:sz w:val="20"/>
          <w:szCs w:val="20"/>
          <w:color w:val="auto"/>
        </w:rPr>
      </w:pPr>
    </w:p>
    <w:p>
      <w:pPr>
        <w:jc w:val="both"/>
        <w:ind w:firstLine="353"/>
        <w:spacing w:after="0" w:line="268" w:lineRule="auto"/>
        <w:rPr>
          <w:sz w:val="20"/>
          <w:szCs w:val="20"/>
          <w:color w:val="auto"/>
        </w:rPr>
      </w:pPr>
      <w:r>
        <w:rPr>
          <w:rFonts w:ascii="Arial" w:cs="Arial" w:eastAsia="Arial" w:hAnsi="Arial"/>
          <w:sz w:val="19"/>
          <w:szCs w:val="19"/>
          <w:color w:val="auto"/>
        </w:rPr>
        <w:t>Large mortgage lenders, servicers and government-sponsored enterprises have significant influence over the products and services provided by our title insurance and mortgage servicing subsidiaries. Changes in our dealings with any of these lenders, servicers or the government-sponsored enterprises, the loss of all or a portion of the business derived from these parties or revisions to the government-sponsored enterprises’ selling or servicing guides related to title insurance or mortgage servicing, could have a material adverse effect on our business.</w:t>
      </w:r>
    </w:p>
    <w:p>
      <w:pPr>
        <w:spacing w:after="0" w:line="6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the rating agencies downgrade our insurance companies, our results of operations and financial condition may suffer.</w:t>
      </w:r>
    </w:p>
    <w:p>
      <w:pPr>
        <w:spacing w:after="0" w:line="164" w:lineRule="exact"/>
        <w:rPr>
          <w:sz w:val="20"/>
          <w:szCs w:val="20"/>
          <w:color w:val="auto"/>
        </w:rPr>
      </w:pPr>
    </w:p>
    <w:p>
      <w:pPr>
        <w:jc w:val="both"/>
        <w:ind w:firstLine="353"/>
        <w:spacing w:after="0" w:line="264" w:lineRule="auto"/>
        <w:rPr>
          <w:sz w:val="20"/>
          <w:szCs w:val="20"/>
          <w:color w:val="auto"/>
        </w:rPr>
      </w:pPr>
      <w:r>
        <w:rPr>
          <w:rFonts w:ascii="Arial" w:cs="Arial" w:eastAsia="Arial" w:hAnsi="Arial"/>
          <w:sz w:val="19"/>
          <w:szCs w:val="19"/>
          <w:color w:val="auto"/>
        </w:rPr>
        <w:t>Ratings have always been an important factor in establishing the competitive position of insurance companies. Our title insurance subsidiaries are rated by S&amp;P, Moody’s and Demotech. Our F&amp;G insurance subsidiaries are rated by A.M. Best, Fitch, Moody's and S&amp;P. Ratings reflect the opinion of a rating agency with regard to an insurance company’s or insurance holding company’s financial strength, operating performance and ability to meet its obligations to policyholders and are not evaluations directed to investors. Our ratings are subject to continued periodic review by rating agencies and the continued retention of those ratings cannot be assured. If our ratings are reduced from their current levels by those entities, our results of operations could be adversely affected.</w:t>
      </w:r>
    </w:p>
    <w:p>
      <w:pPr>
        <w:spacing w:after="0" w:line="7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If our claim loss prevention procedures fail, we could incur significant claim losses.</w:t>
      </w:r>
    </w:p>
    <w:p>
      <w:pPr>
        <w:spacing w:after="0" w:line="130" w:lineRule="exact"/>
        <w:rPr>
          <w:sz w:val="20"/>
          <w:szCs w:val="20"/>
          <w:color w:val="auto"/>
        </w:rPr>
      </w:pPr>
    </w:p>
    <w:p>
      <w:pPr>
        <w:jc w:val="both"/>
        <w:ind w:firstLine="353"/>
        <w:spacing w:after="0" w:line="299" w:lineRule="auto"/>
        <w:rPr>
          <w:sz w:val="20"/>
          <w:szCs w:val="20"/>
          <w:color w:val="auto"/>
        </w:rPr>
      </w:pPr>
      <w:r>
        <w:rPr>
          <w:rFonts w:ascii="Arial" w:cs="Arial" w:eastAsia="Arial" w:hAnsi="Arial"/>
          <w:sz w:val="17"/>
          <w:szCs w:val="17"/>
          <w:color w:val="auto"/>
        </w:rPr>
        <w:t>In the ordinary course of our title insurance business, we assume risks related to insuring clear title to residential and commercial properties. We have established procedures to mitigate the risk of loss from title claims, including extensive underwriting and risk assessment procedures. We also mitigate the risk of large claim losses by reinsuring risks with other insurers under excess of loss and case-by-case facultative reinsurance agreements. Reinsurance agreements generally provide that the reinsurer is liable for loss and loss adjustment expense payments exceeding the amount retained by the ceding company. However, the ceding company remains primarily liable to the insured whether or not the reinsurer is able to meet its contractual obligations. If inherent limitations cause our claim loss risk mitigation procedures to fail, we could incur substantial losses having an adverse effect on our results of operations or financial condition.</w:t>
      </w:r>
    </w:p>
    <w:p>
      <w:pPr>
        <w:spacing w:after="0" w:line="44" w:lineRule="exact"/>
        <w:rPr>
          <w:sz w:val="20"/>
          <w:szCs w:val="20"/>
          <w:color w:val="auto"/>
        </w:rPr>
      </w:pPr>
    </w:p>
    <w:p>
      <w:pPr>
        <w:jc w:val="both"/>
        <w:spacing w:after="0" w:line="275" w:lineRule="auto"/>
        <w:rPr>
          <w:sz w:val="20"/>
          <w:szCs w:val="20"/>
          <w:color w:val="auto"/>
        </w:rPr>
      </w:pPr>
      <w:r>
        <w:rPr>
          <w:rFonts w:ascii="Arial" w:cs="Arial" w:eastAsia="Arial" w:hAnsi="Arial"/>
          <w:sz w:val="20"/>
          <w:szCs w:val="20"/>
          <w:b w:val="1"/>
          <w:bCs w:val="1"/>
          <w:i w:val="1"/>
          <w:iCs w:val="1"/>
          <w:color w:val="auto"/>
        </w:rPr>
        <w:t>Our use of independent agents for a significant amount of our title insurance policies could adversely impact the frequency and severity of title claims.</w:t>
      </w:r>
    </w:p>
    <w:p>
      <w:pPr>
        <w:spacing w:after="0" w:line="68" w:lineRule="exact"/>
        <w:rPr>
          <w:sz w:val="20"/>
          <w:szCs w:val="20"/>
          <w:color w:val="auto"/>
        </w:rPr>
      </w:pPr>
    </w:p>
    <w:p>
      <w:pPr>
        <w:jc w:val="both"/>
        <w:ind w:firstLine="353"/>
        <w:spacing w:after="0" w:line="298" w:lineRule="auto"/>
        <w:rPr>
          <w:sz w:val="20"/>
          <w:szCs w:val="20"/>
          <w:color w:val="auto"/>
        </w:rPr>
      </w:pPr>
      <w:r>
        <w:rPr>
          <w:rFonts w:ascii="Arial" w:cs="Arial" w:eastAsia="Arial" w:hAnsi="Arial"/>
          <w:sz w:val="17"/>
          <w:szCs w:val="17"/>
          <w:color w:val="auto"/>
        </w:rPr>
        <w:t>In our agency operations, an independent agent performs the search and examination function or the agent may purchase a search product from us. In either case, the agent is responsible for ensuring that the search and examination is completed. The agent thus retains the majority of the title premium collected, with the balance remitted to the title underwriter for bearing the risk of loss in the event that a claim is made under the title insurance policy. Our relationship with each agent is governed by an agency agreement defining how the agent issues a title insurance policy on our behalf. The agency agreement also sets forth the agent’s liability to us for policy losses attributable to the agent’s errors. For each agent with whom we enter into an agency agreement, financial and loss experience records are maintained. Periodic audits of our agents are also conducted and the number of agents with whom we transact business is strategically managed in an effort to reduce future expenses and manage risks. Despite efforts to monitor the independent agents with which we transact business, there is no guarantee that an agent will comply with their contractual obligations to us. Furthermore, we cannot be certain that, due to changes in the regulatory environment and litigation trends, we will not be held liable for errors and omissions by agents. Accordingly, our use of independent agents could adversely impact the frequency and severity of title claims.</w:t>
      </w:r>
    </w:p>
    <w:p>
      <w:pPr>
        <w:spacing w:after="0" w:line="4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business is subject to risk due to our owned distribution strategy and investments in distribution consolidation.</w:t>
      </w:r>
    </w:p>
    <w:p>
      <w:pPr>
        <w:spacing w:after="0" w:line="164" w:lineRule="exact"/>
        <w:rPr>
          <w:sz w:val="20"/>
          <w:szCs w:val="20"/>
          <w:color w:val="auto"/>
        </w:rPr>
      </w:pPr>
    </w:p>
    <w:p>
      <w:pPr>
        <w:jc w:val="both"/>
        <w:ind w:firstLine="353"/>
        <w:spacing w:after="0" w:line="295" w:lineRule="auto"/>
        <w:rPr>
          <w:sz w:val="20"/>
          <w:szCs w:val="20"/>
          <w:color w:val="auto"/>
        </w:rPr>
      </w:pPr>
      <w:r>
        <w:rPr>
          <w:rFonts w:ascii="Arial" w:cs="Arial" w:eastAsia="Arial" w:hAnsi="Arial"/>
          <w:sz w:val="17"/>
          <w:szCs w:val="17"/>
          <w:color w:val="auto"/>
        </w:rPr>
        <w:t>Our owned distribution strategy, including our investments in minority and majority stakes in various network marketing groups and other distribution consolidators, exposes us to operational, financial, and strategic risks. These investments, including stakes in Syncis Holdings, DCMT Worldwide, a majority interest in Roar Joint Venture LLC, and a wholly-owned interest in PALH LLC, represent a significant component of our distribution strategy. The success of this strategy depends on the continued growth and performance of these businesses, which is subject to challenges such as the retention and performance of agents, market demand in cultural communities, and our ability to integrate these entities effectively into our broader operations. Furthermore, as industry consolidation among independent agent distribution channels accelerates, competition to acquire and partner with high-performing platforms intensifies, limiting our ability to secure attractive investment opportunities. Our ownership stakes also expose us to financial risks, including the potential for impairment of goodwill or intangible assets if these entities underperform, as well as regulatory and compliance risks related to licensing and fiduciary standards. These factors, combined with the operational challenges of managing both majority and minority investments, create risks that could materially and adversely affect our financial performance, competitive position, and long-term growth prospects.</w:t>
      </w:r>
    </w:p>
    <w:p>
      <w:pPr>
        <w:sectPr>
          <w:pgSz w:w="11880" w:h="15480" w:orient="portrait"/>
          <w:cols w:equalWidth="0" w:num="1">
            <w:col w:w="10040"/>
          </w:cols>
          <w:pgMar w:left="920" w:top="1092"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43</w:t>
      </w:r>
    </w:p>
    <w:p>
      <w:pPr>
        <w:sectPr>
          <w:pgSz w:w="11880" w:h="15480" w:orient="portrait"/>
          <w:cols w:equalWidth="0" w:num="1">
            <w:col w:w="10040"/>
          </w:cols>
          <w:pgMar w:left="920" w:top="1092" w:right="920" w:bottom="0" w:gutter="0" w:footer="0" w:header="0"/>
          <w:type w:val="continuous"/>
        </w:sectPr>
      </w:pPr>
    </w:p>
    <w:bookmarkStart w:id="55" w:name="page56"/>
    <w:bookmarkEnd w:id="55"/>
    <w:p>
      <w:pPr>
        <w:jc w:val="both"/>
        <w:spacing w:after="0" w:line="327" w:lineRule="auto"/>
        <w:rPr>
          <w:sz w:val="20"/>
          <w:szCs w:val="20"/>
          <w:color w:val="auto"/>
        </w:rPr>
      </w:pPr>
      <w:r>
        <w:rPr>
          <w:rFonts w:ascii="Arial" w:cs="Arial" w:eastAsia="Arial" w:hAnsi="Arial"/>
          <w:sz w:val="17"/>
          <w:szCs w:val="17"/>
          <w:b w:val="1"/>
          <w:bCs w:val="1"/>
          <w:i w:val="1"/>
          <w:iCs w:val="1"/>
          <w:color w:val="auto"/>
        </w:rPr>
        <w:t>Our valuation of investments and the determinations of the amounts of allowances and impairments taken on our investments may include methodologies, estimates and assumptions which are subject to differing interpretations and, if changed, could materially adversely affect our results of operations and financial condition.</w:t>
      </w:r>
    </w:p>
    <w:p>
      <w:pPr>
        <w:spacing w:after="0" w:line="31" w:lineRule="exact"/>
        <w:rPr>
          <w:sz w:val="20"/>
          <w:szCs w:val="20"/>
          <w:color w:val="auto"/>
        </w:rPr>
      </w:pPr>
    </w:p>
    <w:p>
      <w:pPr>
        <w:jc w:val="both"/>
        <w:ind w:firstLine="353"/>
        <w:spacing w:after="0" w:line="303" w:lineRule="auto"/>
        <w:rPr>
          <w:sz w:val="20"/>
          <w:szCs w:val="20"/>
          <w:color w:val="auto"/>
        </w:rPr>
      </w:pPr>
      <w:r>
        <w:rPr>
          <w:rFonts w:ascii="Arial" w:cs="Arial" w:eastAsia="Arial" w:hAnsi="Arial"/>
          <w:sz w:val="17"/>
          <w:szCs w:val="17"/>
          <w:color w:val="auto"/>
        </w:rPr>
        <w:t>Fixed maturities, equity securities, and derivatives represent the majority of total cash and invested assets reported at fair value on our balance sheet. Fair value is defined as the price that would be received to sell an asset or paid to transfer a liability in an orderly transaction between market participants at the measurement date (an exit price). Fair value estimates are made based on available market information and judgments about the financial instrument at a specific point in time. Expectations that our investments will continue to perform in accordance with their contractual terms are based on evidence gathered through our normal credit surveillance process and on assumptions a market participant would use in determining the current fair value.</w:t>
      </w:r>
    </w:p>
    <w:p>
      <w:pPr>
        <w:spacing w:after="0" w:line="48" w:lineRule="exact"/>
        <w:rPr>
          <w:sz w:val="20"/>
          <w:szCs w:val="20"/>
          <w:color w:val="auto"/>
        </w:rPr>
      </w:pPr>
    </w:p>
    <w:p>
      <w:pPr>
        <w:jc w:val="both"/>
        <w:ind w:firstLine="353"/>
        <w:spacing w:after="0" w:line="296" w:lineRule="auto"/>
        <w:rPr>
          <w:sz w:val="20"/>
          <w:szCs w:val="20"/>
          <w:color w:val="auto"/>
        </w:rPr>
      </w:pPr>
      <w:r>
        <w:rPr>
          <w:rFonts w:ascii="Arial" w:cs="Arial" w:eastAsia="Arial" w:hAnsi="Arial"/>
          <w:sz w:val="17"/>
          <w:szCs w:val="17"/>
          <w:color w:val="auto"/>
        </w:rPr>
        <w:t>The determination of current expected credit loss varies by investment type and is based upon our periodic evaluation and assessment of known and inherent risks associated with the respective asset class. Our management considers a wide range of factors about the instrument issuer (e.g., operations of the issuer and future earnings potential) and uses their best judgment in evaluating the cause of the decline in the estimated fair value of the instrument and in assessing the prospects for recovery. In addition, we conduct various quantitative credit screens on the investment portfolio to create a credit watchlist. The credit watchlist investments are then further analyzed by our portfolio managers for likelihood of loss of contractual principal and interest. Our portfolio managers also maintain a credit spotlight for investments that do not meet the quantitative screens. These investments have been identified as requiring a higher level of review and monitoring due to idiosyncratic risk. Such evaluations and assessments require significant judgment and are revised as conditions change and new information becomes available. Additional impairments may need to be taken in the future, and the ultimate loss may exceed management’s current estimate of impairment amounts.</w:t>
      </w:r>
    </w:p>
    <w:p>
      <w:pPr>
        <w:spacing w:after="0" w:line="294" w:lineRule="exact"/>
        <w:rPr>
          <w:sz w:val="20"/>
          <w:szCs w:val="20"/>
          <w:color w:val="auto"/>
        </w:rPr>
      </w:pPr>
    </w:p>
    <w:p>
      <w:pPr>
        <w:jc w:val="both"/>
        <w:ind w:firstLine="353"/>
        <w:spacing w:after="0" w:line="312" w:lineRule="auto"/>
        <w:rPr>
          <w:sz w:val="20"/>
          <w:szCs w:val="20"/>
          <w:color w:val="auto"/>
        </w:rPr>
      </w:pPr>
      <w:r>
        <w:rPr>
          <w:rFonts w:ascii="Arial" w:cs="Arial" w:eastAsia="Arial" w:hAnsi="Arial"/>
          <w:sz w:val="17"/>
          <w:szCs w:val="17"/>
          <w:color w:val="auto"/>
        </w:rPr>
        <w:t xml:space="preserve">The value and performance of certain of our assets are dependent upon the performance of collateral underlying these investments. It is possible the collateral will not meet performance expectations leading to adverse changes in the cash flows on our holdings of these types of securities. See Note D </w:t>
      </w:r>
      <w:r>
        <w:rPr>
          <w:rFonts w:ascii="Arial" w:cs="Arial" w:eastAsia="Arial" w:hAnsi="Arial"/>
          <w:sz w:val="17"/>
          <w:szCs w:val="17"/>
          <w:b w:val="1"/>
          <w:bCs w:val="1"/>
          <w:i w:val="1"/>
          <w:iCs w:val="1"/>
          <w:color w:val="auto"/>
        </w:rPr>
        <w:t>Investments</w:t>
      </w:r>
      <w:r>
        <w:rPr>
          <w:rFonts w:ascii="Arial" w:cs="Arial" w:eastAsia="Arial" w:hAnsi="Arial"/>
          <w:sz w:val="17"/>
          <w:szCs w:val="17"/>
          <w:color w:val="auto"/>
        </w:rPr>
        <w:t xml:space="preserve"> to the Consolidated Financial Statements, including the notes thereto, in this Annual Report on Form 10-K for additional information about our investment portfolio.</w:t>
      </w:r>
    </w:p>
    <w:p>
      <w:pPr>
        <w:spacing w:after="0" w:line="3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Risk Factors Related to our Majority Ownership in F&amp;G</w:t>
      </w:r>
    </w:p>
    <w:p>
      <w:pPr>
        <w:spacing w:after="0" w:line="12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The F&amp;G Distribution could adversely affect our results of operations or financial condition.</w:t>
      </w:r>
    </w:p>
    <w:p>
      <w:pPr>
        <w:spacing w:after="0" w:line="130" w:lineRule="exact"/>
        <w:rPr>
          <w:sz w:val="20"/>
          <w:szCs w:val="20"/>
          <w:color w:val="auto"/>
        </w:rPr>
      </w:pPr>
    </w:p>
    <w:p>
      <w:pPr>
        <w:jc w:val="both"/>
        <w:ind w:firstLine="444"/>
        <w:spacing w:after="0" w:line="297" w:lineRule="auto"/>
        <w:rPr>
          <w:sz w:val="20"/>
          <w:szCs w:val="20"/>
          <w:color w:val="auto"/>
        </w:rPr>
      </w:pPr>
      <w:r>
        <w:rPr>
          <w:rFonts w:ascii="Arial" w:cs="Arial" w:eastAsia="Arial" w:hAnsi="Arial"/>
          <w:sz w:val="17"/>
          <w:szCs w:val="17"/>
          <w:color w:val="auto"/>
        </w:rPr>
        <w:t xml:space="preserve">On December 1, 2022, we completed the F&amp;G Distribution. The F&amp;G Distribution is subject to inherent risks and uncertainties, including, but not limited to: diversion of management’s attention; our ability to successfully realize the anticipated benefits of the F&amp;G Distribution; the terms and conditions of agreements and arrangements between FNF and F&amp;G following the distribution, such as the Corporate Services Agreement, dated as of November 30, 2022, between FNF and F&amp;G (the “Corporate Services Agreement”), which provides for, among other things, the provision of certain services by FNF to F&amp;G following the F&amp;G Distribution; and the nature and amount of indebtedness incurred by F&amp;G. On December 31, 2025, we distributed an additional 12% of F&amp;G to holders of FNF Common Stock. In addition, our F&amp;G segment contributes to a significant portion of our earnings and the F&amp;G Distribution could adversely affect our earnings. For additional information related to the F&amp;G Distribution and the 2025 F&amp;G Distribution, refer to Item 1 Business and Note A </w:t>
      </w:r>
      <w:r>
        <w:rPr>
          <w:rFonts w:ascii="Arial" w:cs="Arial" w:eastAsia="Arial" w:hAnsi="Arial"/>
          <w:sz w:val="17"/>
          <w:szCs w:val="17"/>
          <w:b w:val="1"/>
          <w:bCs w:val="1"/>
          <w:i w:val="1"/>
          <w:iCs w:val="1"/>
          <w:color w:val="auto"/>
        </w:rPr>
        <w:t>Business and Summary of</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 xml:space="preserve">Significant Accounting Policies </w:t>
      </w:r>
      <w:r>
        <w:rPr>
          <w:rFonts w:ascii="Arial" w:cs="Arial" w:eastAsia="Arial" w:hAnsi="Arial"/>
          <w:sz w:val="17"/>
          <w:szCs w:val="17"/>
          <w:color w:val="auto"/>
        </w:rPr>
        <w:t>in Part II of this Annual Report on Form 10-K.</w:t>
      </w:r>
    </w:p>
    <w:p>
      <w:pPr>
        <w:spacing w:after="0" w:line="285" w:lineRule="exact"/>
        <w:rPr>
          <w:sz w:val="20"/>
          <w:szCs w:val="20"/>
          <w:color w:val="auto"/>
        </w:rPr>
      </w:pPr>
    </w:p>
    <w:p>
      <w:pPr>
        <w:jc w:val="both"/>
        <w:spacing w:after="0" w:line="275" w:lineRule="auto"/>
        <w:rPr>
          <w:sz w:val="20"/>
          <w:szCs w:val="20"/>
          <w:color w:val="auto"/>
        </w:rPr>
      </w:pPr>
      <w:r>
        <w:rPr>
          <w:rFonts w:ascii="Arial" w:cs="Arial" w:eastAsia="Arial" w:hAnsi="Arial"/>
          <w:sz w:val="20"/>
          <w:szCs w:val="20"/>
          <w:b w:val="1"/>
          <w:bCs w:val="1"/>
          <w:i w:val="1"/>
          <w:iCs w:val="1"/>
          <w:color w:val="auto"/>
        </w:rPr>
        <w:t>Certain F&amp;G directors may have actual or potential conflicts of interest because of their FNF equity ownership or their current or former FNF positions.</w:t>
      </w:r>
    </w:p>
    <w:p>
      <w:pPr>
        <w:spacing w:after="0" w:line="68" w:lineRule="exact"/>
        <w:rPr>
          <w:sz w:val="20"/>
          <w:szCs w:val="20"/>
          <w:color w:val="auto"/>
        </w:rPr>
      </w:pPr>
    </w:p>
    <w:p>
      <w:pPr>
        <w:jc w:val="both"/>
        <w:ind w:firstLine="353"/>
        <w:spacing w:after="0" w:line="299" w:lineRule="auto"/>
        <w:rPr>
          <w:sz w:val="20"/>
          <w:szCs w:val="20"/>
          <w:color w:val="auto"/>
        </w:rPr>
      </w:pPr>
      <w:r>
        <w:rPr>
          <w:rFonts w:ascii="Arial" w:cs="Arial" w:eastAsia="Arial" w:hAnsi="Arial"/>
          <w:sz w:val="17"/>
          <w:szCs w:val="17"/>
          <w:color w:val="auto"/>
        </w:rPr>
        <w:t>A number of F&amp;G’s directors have been, and will continue to be, officers, directors or employees of FNF (or officers, directors or employees of affiliates of FNF) and, thus, have professional relationships with FNF’s officers, directors or employees. In addition, certain of F&amp;G’s directors and executive officers own FNF common stock or other equity compensation awards. These relationships may create, or may create the appearance of, conflicts of interest when these directors and officers are faced with decisions that could have different implications for FNF and F&amp;G, based on their role as a director of F&amp;G and as an officer of FNF or equity holder of FNF. For example, potential conflicts of interest could arise in connection with the resolution of any dispute that may arise between FNF and F&amp;G regarding the terms of the agreements governing F&amp;G’s relationship with FNF, including the Corporate Services Agreement.</w:t>
      </w:r>
    </w:p>
    <w:p>
      <w:pPr>
        <w:spacing w:after="0" w:line="4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Risk Factors Relating to the Geographic Concentrations of our Business Segments</w:t>
      </w:r>
    </w:p>
    <w:p>
      <w:pPr>
        <w:spacing w:after="0" w:line="123" w:lineRule="exact"/>
        <w:rPr>
          <w:sz w:val="20"/>
          <w:szCs w:val="20"/>
          <w:color w:val="auto"/>
        </w:rPr>
      </w:pPr>
    </w:p>
    <w:p>
      <w:pPr>
        <w:jc w:val="both"/>
        <w:spacing w:after="0" w:line="365" w:lineRule="auto"/>
        <w:rPr>
          <w:sz w:val="20"/>
          <w:szCs w:val="20"/>
          <w:color w:val="auto"/>
        </w:rPr>
      </w:pPr>
      <w:r>
        <w:rPr>
          <w:rFonts w:ascii="Arial" w:cs="Arial" w:eastAsia="Arial" w:hAnsi="Arial"/>
          <w:sz w:val="17"/>
          <w:szCs w:val="17"/>
          <w:b w:val="1"/>
          <w:bCs w:val="1"/>
          <w:i w:val="1"/>
          <w:iCs w:val="1"/>
          <w:color w:val="auto"/>
        </w:rPr>
        <w:t>Because we are dependent upon California and Texas for approximately 12.2% and 14.1% of our title insurance premiums, respectively, our Title segment may be adversely affected by regulatory conditions in California and/or Texas.</w:t>
      </w:r>
    </w:p>
    <w:p>
      <w:pPr>
        <w:spacing w:after="0" w:line="1" w:lineRule="exact"/>
        <w:rPr>
          <w:sz w:val="20"/>
          <w:szCs w:val="20"/>
          <w:color w:val="auto"/>
        </w:rPr>
      </w:pPr>
    </w:p>
    <w:p>
      <w:pPr>
        <w:jc w:val="both"/>
        <w:ind w:firstLine="353"/>
        <w:spacing w:after="0" w:line="325" w:lineRule="auto"/>
        <w:rPr>
          <w:sz w:val="20"/>
          <w:szCs w:val="20"/>
          <w:color w:val="auto"/>
        </w:rPr>
      </w:pPr>
      <w:r>
        <w:rPr>
          <w:rFonts w:ascii="Arial" w:cs="Arial" w:eastAsia="Arial" w:hAnsi="Arial"/>
          <w:sz w:val="17"/>
          <w:szCs w:val="17"/>
          <w:color w:val="auto"/>
        </w:rPr>
        <w:t>California and Texas are the two largest sources of revenue for our Title segment. In 2025, California-based premiums accounted for approximately 25.7% of premiums earned by our direct operations and 0.3% of our agency premium revenues, while Texas-based premiums accounted for 19.5% of premiums earned by our direct operations and 9.3% of our agency</w:t>
      </w:r>
    </w:p>
    <w:p>
      <w:pPr>
        <w:sectPr>
          <w:pgSz w:w="11880" w:h="15480" w:orient="portrait"/>
          <w:cols w:equalWidth="0" w:num="1">
            <w:col w:w="10040"/>
          </w:cols>
          <w:pgMar w:left="920" w:top="765" w:right="920" w:bottom="0" w:gutter="0" w:footer="0" w:header="0"/>
        </w:sect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44</w:t>
      </w:r>
    </w:p>
    <w:p>
      <w:pPr>
        <w:sectPr>
          <w:pgSz w:w="11880" w:h="15480" w:orient="portrait"/>
          <w:cols w:equalWidth="0" w:num="1">
            <w:col w:w="10040"/>
          </w:cols>
          <w:pgMar w:left="920" w:top="765" w:right="920" w:bottom="0" w:gutter="0" w:footer="0" w:header="0"/>
          <w:type w:val="continuous"/>
        </w:sectPr>
      </w:pPr>
    </w:p>
    <w:bookmarkStart w:id="56" w:name="page57"/>
    <w:bookmarkEnd w:id="56"/>
    <w:p>
      <w:pPr>
        <w:jc w:val="both"/>
        <w:spacing w:after="0" w:line="303" w:lineRule="auto"/>
        <w:rPr>
          <w:sz w:val="20"/>
          <w:szCs w:val="20"/>
          <w:color w:val="auto"/>
        </w:rPr>
      </w:pPr>
      <w:r>
        <w:rPr>
          <w:rFonts w:ascii="Arial" w:cs="Arial" w:eastAsia="Arial" w:hAnsi="Arial"/>
          <w:sz w:val="17"/>
          <w:szCs w:val="17"/>
          <w:color w:val="auto"/>
        </w:rPr>
        <w:t>premium revenues. In the aggregate, California and Texas accounted for approximately 12.2% and 14.1%, respectively, of our total title insurance premiums for 2025. A significant part of our revenues and profitability are therefore subject to our operations in California and Texas and to the prevailing regulatory conditions in these states. Adverse regulatory developments in California and Texas, which could include reductions in the maximum rates permitted to be charged, inadequate rate increases or more fundamental changes in the design or implementation of the California and Texas title insurance regulatory framework, could have a material adverse effect on our results of operations and financial condition.</w:t>
      </w:r>
    </w:p>
    <w:p>
      <w:pPr>
        <w:spacing w:after="0" w:line="41" w:lineRule="exact"/>
        <w:rPr>
          <w:sz w:val="20"/>
          <w:szCs w:val="20"/>
          <w:color w:val="auto"/>
        </w:rPr>
      </w:pPr>
    </w:p>
    <w:p>
      <w:pPr>
        <w:jc w:val="both"/>
        <w:spacing w:after="0" w:line="275" w:lineRule="auto"/>
        <w:rPr>
          <w:sz w:val="20"/>
          <w:szCs w:val="20"/>
          <w:color w:val="auto"/>
        </w:rPr>
      </w:pPr>
      <w:r>
        <w:rPr>
          <w:rFonts w:ascii="Arial" w:cs="Arial" w:eastAsia="Arial" w:hAnsi="Arial"/>
          <w:sz w:val="20"/>
          <w:szCs w:val="20"/>
          <w:b w:val="1"/>
          <w:bCs w:val="1"/>
          <w:i w:val="1"/>
          <w:iCs w:val="1"/>
          <w:color w:val="auto"/>
        </w:rPr>
        <w:t>Concentration in certain states for the distribution of our life insurance and annuity products in our F&amp;G segment may subject us to losses attributable to economic downturns or catastrophes in those states.</w:t>
      </w:r>
    </w:p>
    <w:p>
      <w:pPr>
        <w:spacing w:after="0" w:line="68" w:lineRule="exact"/>
        <w:rPr>
          <w:sz w:val="20"/>
          <w:szCs w:val="20"/>
          <w:color w:val="auto"/>
        </w:rPr>
      </w:pPr>
    </w:p>
    <w:p>
      <w:pPr>
        <w:jc w:val="both"/>
        <w:ind w:firstLine="353"/>
        <w:spacing w:after="0" w:line="258" w:lineRule="auto"/>
        <w:rPr>
          <w:sz w:val="20"/>
          <w:szCs w:val="20"/>
          <w:color w:val="auto"/>
        </w:rPr>
      </w:pPr>
      <w:r>
        <w:rPr>
          <w:rFonts w:ascii="Arial" w:cs="Arial" w:eastAsia="Arial" w:hAnsi="Arial"/>
          <w:sz w:val="20"/>
          <w:szCs w:val="20"/>
          <w:color w:val="auto"/>
        </w:rPr>
        <w:t>Our top five states for the distribution of our life insurance and annuity products in our F&amp;G segment are California, Florida, Pennsylvania, Texas and New Jersey. Any adverse economic developments or catastrophes in these states could have an adverse impact on our F&amp;G segment.</w:t>
      </w:r>
    </w:p>
    <w:p>
      <w:pPr>
        <w:spacing w:after="0" w:line="7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Risk Factors Relating to Government Regulation of the Insurance Industry</w:t>
      </w:r>
    </w:p>
    <w:p>
      <w:pPr>
        <w:spacing w:after="0" w:line="123" w:lineRule="exact"/>
        <w:rPr>
          <w:sz w:val="20"/>
          <w:szCs w:val="20"/>
          <w:color w:val="auto"/>
        </w:rPr>
      </w:pPr>
    </w:p>
    <w:p>
      <w:pPr>
        <w:jc w:val="both"/>
        <w:spacing w:after="0" w:line="273" w:lineRule="auto"/>
        <w:rPr>
          <w:sz w:val="20"/>
          <w:szCs w:val="20"/>
          <w:color w:val="auto"/>
        </w:rPr>
      </w:pPr>
      <w:r>
        <w:rPr>
          <w:rFonts w:ascii="Arial" w:cs="Arial" w:eastAsia="Arial" w:hAnsi="Arial"/>
          <w:sz w:val="19"/>
          <w:szCs w:val="19"/>
          <w:b w:val="1"/>
          <w:bCs w:val="1"/>
          <w:i w:val="1"/>
          <w:iCs w:val="1"/>
          <w:color w:val="auto"/>
        </w:rPr>
        <w:t>Our subsidiaries must comply with federal and state statutes and regulations. These statutes and regulations may increase our costs, impede our provision of certain products or services, or impose burdensome conditions on actions that we might seek to take to increase the revenues of those subsidiaries, resulting in decreased demand for the Company's products and services or otherwise adversely affecting the Company.</w:t>
      </w:r>
    </w:p>
    <w:p>
      <w:pPr>
        <w:spacing w:after="0" w:line="71" w:lineRule="exact"/>
        <w:rPr>
          <w:sz w:val="20"/>
          <w:szCs w:val="20"/>
          <w:color w:val="auto"/>
        </w:rPr>
      </w:pPr>
    </w:p>
    <w:p>
      <w:pPr>
        <w:jc w:val="both"/>
        <w:ind w:firstLine="353"/>
        <w:spacing w:after="0" w:line="249" w:lineRule="auto"/>
        <w:rPr>
          <w:sz w:val="20"/>
          <w:szCs w:val="20"/>
          <w:color w:val="auto"/>
        </w:rPr>
      </w:pPr>
      <w:r>
        <w:rPr>
          <w:rFonts w:ascii="Arial" w:cs="Arial" w:eastAsia="Arial" w:hAnsi="Arial"/>
          <w:sz w:val="20"/>
          <w:szCs w:val="20"/>
          <w:color w:val="auto"/>
        </w:rPr>
        <w:t>Changes to federal and state statutes and regulations; statutory or regulatory guidance, policies, or interpretations of existing regulations or statutes; guidelines published by the government-sponsored enterprises; enhanced federal or state governmental oversight or efforts by federal or state governmental agencies that cause customers to refrain from purchasing or using the Company’s products and services, could: (i) prohibit, impact, or limit our future operations; (ii) make it more costly or burdensome to conduct such operations; or (iii) result in decreased demand for the Company’s products and services. Such changes could impact our competitive position and have a negative impact on our ability to generate revenues, earnings and cash flows.</w:t>
      </w:r>
    </w:p>
    <w:p>
      <w:pPr>
        <w:spacing w:after="0" w:line="94" w:lineRule="exact"/>
        <w:rPr>
          <w:sz w:val="20"/>
          <w:szCs w:val="20"/>
          <w:color w:val="auto"/>
        </w:rPr>
      </w:pPr>
    </w:p>
    <w:p>
      <w:pPr>
        <w:jc w:val="both"/>
        <w:ind w:firstLine="353"/>
        <w:spacing w:after="0" w:line="258" w:lineRule="auto"/>
        <w:rPr>
          <w:sz w:val="20"/>
          <w:szCs w:val="20"/>
          <w:color w:val="auto"/>
        </w:rPr>
      </w:pPr>
      <w:r>
        <w:rPr>
          <w:rFonts w:ascii="Arial" w:cs="Arial" w:eastAsia="Arial" w:hAnsi="Arial"/>
          <w:sz w:val="20"/>
          <w:szCs w:val="20"/>
          <w:color w:val="auto"/>
        </w:rPr>
        <w:t>Additionally, our insurance businesses are subject to extensive regulation by state insurance authorities in each state in which they operate. These agencies have broad administrative and supervisory power relating to the following, among other matters:</w:t>
      </w:r>
    </w:p>
    <w:p>
      <w:pPr>
        <w:spacing w:after="0" w:line="82" w:lineRule="exact"/>
        <w:rPr>
          <w:sz w:val="20"/>
          <w:szCs w:val="20"/>
          <w:color w:val="auto"/>
        </w:rPr>
      </w:pPr>
    </w:p>
    <w:p>
      <w:pPr>
        <w:ind w:left="700" w:hanging="355"/>
        <w:spacing w:after="0"/>
        <w:tabs>
          <w:tab w:leader="none" w:pos="700" w:val="left"/>
        </w:tabs>
        <w:numPr>
          <w:ilvl w:val="0"/>
          <w:numId w:val="27"/>
        </w:numPr>
        <w:rPr>
          <w:rFonts w:ascii="Arial" w:cs="Arial" w:eastAsia="Arial" w:hAnsi="Arial"/>
          <w:sz w:val="20"/>
          <w:szCs w:val="20"/>
          <w:color w:val="auto"/>
        </w:rPr>
      </w:pPr>
      <w:r>
        <w:rPr>
          <w:rFonts w:ascii="Arial" w:cs="Arial" w:eastAsia="Arial" w:hAnsi="Arial"/>
          <w:sz w:val="20"/>
          <w:szCs w:val="20"/>
          <w:color w:val="auto"/>
        </w:rPr>
        <w:t>licensing requirements;</w:t>
      </w:r>
    </w:p>
    <w:p>
      <w:pPr>
        <w:spacing w:after="0" w:line="24" w:lineRule="exact"/>
        <w:rPr>
          <w:rFonts w:ascii="Arial" w:cs="Arial" w:eastAsia="Arial" w:hAnsi="Arial"/>
          <w:sz w:val="20"/>
          <w:szCs w:val="20"/>
          <w:color w:val="auto"/>
        </w:rPr>
      </w:pPr>
    </w:p>
    <w:p>
      <w:pPr>
        <w:ind w:left="700" w:hanging="355"/>
        <w:spacing w:after="0"/>
        <w:tabs>
          <w:tab w:leader="none" w:pos="700" w:val="left"/>
        </w:tabs>
        <w:numPr>
          <w:ilvl w:val="0"/>
          <w:numId w:val="27"/>
        </w:numPr>
        <w:rPr>
          <w:rFonts w:ascii="Arial" w:cs="Arial" w:eastAsia="Arial" w:hAnsi="Arial"/>
          <w:sz w:val="20"/>
          <w:szCs w:val="20"/>
          <w:color w:val="auto"/>
        </w:rPr>
      </w:pPr>
      <w:r>
        <w:rPr>
          <w:rFonts w:ascii="Arial" w:cs="Arial" w:eastAsia="Arial" w:hAnsi="Arial"/>
          <w:sz w:val="20"/>
          <w:szCs w:val="20"/>
          <w:color w:val="auto"/>
        </w:rPr>
        <w:t>trade and marketing practices;</w:t>
      </w:r>
    </w:p>
    <w:p>
      <w:pPr>
        <w:spacing w:after="0" w:line="5" w:lineRule="exact"/>
        <w:rPr>
          <w:rFonts w:ascii="Arial" w:cs="Arial" w:eastAsia="Arial" w:hAnsi="Arial"/>
          <w:sz w:val="20"/>
          <w:szCs w:val="20"/>
          <w:color w:val="auto"/>
        </w:rPr>
      </w:pPr>
    </w:p>
    <w:p>
      <w:pPr>
        <w:ind w:left="700" w:hanging="355"/>
        <w:spacing w:after="0"/>
        <w:tabs>
          <w:tab w:leader="none" w:pos="700" w:val="left"/>
        </w:tabs>
        <w:numPr>
          <w:ilvl w:val="0"/>
          <w:numId w:val="27"/>
        </w:numPr>
        <w:rPr>
          <w:rFonts w:ascii="Arial" w:cs="Arial" w:eastAsia="Arial" w:hAnsi="Arial"/>
          <w:sz w:val="20"/>
          <w:szCs w:val="20"/>
          <w:color w:val="auto"/>
        </w:rPr>
      </w:pPr>
      <w:r>
        <w:rPr>
          <w:rFonts w:ascii="Arial" w:cs="Arial" w:eastAsia="Arial" w:hAnsi="Arial"/>
          <w:sz w:val="20"/>
          <w:szCs w:val="20"/>
          <w:color w:val="auto"/>
        </w:rPr>
        <w:t>accounting and financing practices;</w:t>
      </w:r>
    </w:p>
    <w:p>
      <w:pPr>
        <w:spacing w:after="0" w:line="5" w:lineRule="exact"/>
        <w:rPr>
          <w:rFonts w:ascii="Arial" w:cs="Arial" w:eastAsia="Arial" w:hAnsi="Arial"/>
          <w:sz w:val="20"/>
          <w:szCs w:val="20"/>
          <w:color w:val="auto"/>
        </w:rPr>
      </w:pPr>
    </w:p>
    <w:p>
      <w:pPr>
        <w:ind w:left="700" w:hanging="355"/>
        <w:spacing w:after="0"/>
        <w:tabs>
          <w:tab w:leader="none" w:pos="700" w:val="left"/>
        </w:tabs>
        <w:numPr>
          <w:ilvl w:val="0"/>
          <w:numId w:val="27"/>
        </w:numPr>
        <w:rPr>
          <w:rFonts w:ascii="Arial" w:cs="Arial" w:eastAsia="Arial" w:hAnsi="Arial"/>
          <w:sz w:val="20"/>
          <w:szCs w:val="20"/>
          <w:color w:val="auto"/>
        </w:rPr>
      </w:pPr>
      <w:r>
        <w:rPr>
          <w:rFonts w:ascii="Arial" w:cs="Arial" w:eastAsia="Arial" w:hAnsi="Arial"/>
          <w:sz w:val="20"/>
          <w:szCs w:val="20"/>
          <w:color w:val="auto"/>
        </w:rPr>
        <w:t>disclosure requirements on key terms of mortgage loans;</w:t>
      </w:r>
    </w:p>
    <w:p>
      <w:pPr>
        <w:spacing w:after="0" w:line="5" w:lineRule="exact"/>
        <w:rPr>
          <w:rFonts w:ascii="Arial" w:cs="Arial" w:eastAsia="Arial" w:hAnsi="Arial"/>
          <w:sz w:val="20"/>
          <w:szCs w:val="20"/>
          <w:color w:val="auto"/>
        </w:rPr>
      </w:pPr>
    </w:p>
    <w:p>
      <w:pPr>
        <w:ind w:left="700" w:hanging="355"/>
        <w:spacing w:after="0"/>
        <w:tabs>
          <w:tab w:leader="none" w:pos="700" w:val="left"/>
        </w:tabs>
        <w:numPr>
          <w:ilvl w:val="0"/>
          <w:numId w:val="27"/>
        </w:numPr>
        <w:rPr>
          <w:rFonts w:ascii="Arial" w:cs="Arial" w:eastAsia="Arial" w:hAnsi="Arial"/>
          <w:sz w:val="20"/>
          <w:szCs w:val="20"/>
          <w:color w:val="auto"/>
        </w:rPr>
      </w:pPr>
      <w:r>
        <w:rPr>
          <w:rFonts w:ascii="Arial" w:cs="Arial" w:eastAsia="Arial" w:hAnsi="Arial"/>
          <w:sz w:val="20"/>
          <w:szCs w:val="20"/>
          <w:color w:val="auto"/>
        </w:rPr>
        <w:t>capital and surplus requirements;</w:t>
      </w:r>
    </w:p>
    <w:p>
      <w:pPr>
        <w:spacing w:after="0" w:line="5" w:lineRule="exact"/>
        <w:rPr>
          <w:rFonts w:ascii="Arial" w:cs="Arial" w:eastAsia="Arial" w:hAnsi="Arial"/>
          <w:sz w:val="20"/>
          <w:szCs w:val="20"/>
          <w:color w:val="auto"/>
        </w:rPr>
      </w:pPr>
    </w:p>
    <w:p>
      <w:pPr>
        <w:ind w:left="700" w:hanging="355"/>
        <w:spacing w:after="0"/>
        <w:tabs>
          <w:tab w:leader="none" w:pos="700" w:val="left"/>
        </w:tabs>
        <w:numPr>
          <w:ilvl w:val="0"/>
          <w:numId w:val="27"/>
        </w:numPr>
        <w:rPr>
          <w:rFonts w:ascii="Arial" w:cs="Arial" w:eastAsia="Arial" w:hAnsi="Arial"/>
          <w:sz w:val="20"/>
          <w:szCs w:val="20"/>
          <w:color w:val="auto"/>
        </w:rPr>
      </w:pPr>
      <w:r>
        <w:rPr>
          <w:rFonts w:ascii="Arial" w:cs="Arial" w:eastAsia="Arial" w:hAnsi="Arial"/>
          <w:sz w:val="20"/>
          <w:szCs w:val="20"/>
          <w:color w:val="auto"/>
        </w:rPr>
        <w:t>the amount of dividends and other payments made by insurance subsidiaries;</w:t>
      </w:r>
    </w:p>
    <w:p>
      <w:pPr>
        <w:spacing w:after="0" w:line="5" w:lineRule="exact"/>
        <w:rPr>
          <w:rFonts w:ascii="Arial" w:cs="Arial" w:eastAsia="Arial" w:hAnsi="Arial"/>
          <w:sz w:val="20"/>
          <w:szCs w:val="20"/>
          <w:color w:val="auto"/>
        </w:rPr>
      </w:pPr>
    </w:p>
    <w:p>
      <w:pPr>
        <w:ind w:left="700" w:hanging="355"/>
        <w:spacing w:after="0"/>
        <w:tabs>
          <w:tab w:leader="none" w:pos="700" w:val="left"/>
        </w:tabs>
        <w:numPr>
          <w:ilvl w:val="0"/>
          <w:numId w:val="27"/>
        </w:numPr>
        <w:rPr>
          <w:rFonts w:ascii="Arial" w:cs="Arial" w:eastAsia="Arial" w:hAnsi="Arial"/>
          <w:sz w:val="20"/>
          <w:szCs w:val="20"/>
          <w:color w:val="auto"/>
        </w:rPr>
      </w:pPr>
      <w:r>
        <w:rPr>
          <w:rFonts w:ascii="Arial" w:cs="Arial" w:eastAsia="Arial" w:hAnsi="Arial"/>
          <w:sz w:val="20"/>
          <w:szCs w:val="20"/>
          <w:color w:val="auto"/>
        </w:rPr>
        <w:t>investment practices;</w:t>
      </w:r>
    </w:p>
    <w:p>
      <w:pPr>
        <w:spacing w:after="0" w:line="5" w:lineRule="exact"/>
        <w:rPr>
          <w:rFonts w:ascii="Arial" w:cs="Arial" w:eastAsia="Arial" w:hAnsi="Arial"/>
          <w:sz w:val="20"/>
          <w:szCs w:val="20"/>
          <w:color w:val="auto"/>
        </w:rPr>
      </w:pPr>
    </w:p>
    <w:p>
      <w:pPr>
        <w:ind w:left="700" w:hanging="355"/>
        <w:spacing w:after="0"/>
        <w:tabs>
          <w:tab w:leader="none" w:pos="700" w:val="left"/>
        </w:tabs>
        <w:numPr>
          <w:ilvl w:val="0"/>
          <w:numId w:val="27"/>
        </w:numPr>
        <w:rPr>
          <w:rFonts w:ascii="Arial" w:cs="Arial" w:eastAsia="Arial" w:hAnsi="Arial"/>
          <w:sz w:val="20"/>
          <w:szCs w:val="20"/>
          <w:color w:val="auto"/>
        </w:rPr>
      </w:pPr>
      <w:r>
        <w:rPr>
          <w:rFonts w:ascii="Arial" w:cs="Arial" w:eastAsia="Arial" w:hAnsi="Arial"/>
          <w:sz w:val="20"/>
          <w:szCs w:val="20"/>
          <w:color w:val="auto"/>
        </w:rPr>
        <w:t>rate schedules;</w:t>
      </w:r>
    </w:p>
    <w:p>
      <w:pPr>
        <w:spacing w:after="0" w:line="5" w:lineRule="exact"/>
        <w:rPr>
          <w:rFonts w:ascii="Arial" w:cs="Arial" w:eastAsia="Arial" w:hAnsi="Arial"/>
          <w:sz w:val="20"/>
          <w:szCs w:val="20"/>
          <w:color w:val="auto"/>
        </w:rPr>
      </w:pPr>
    </w:p>
    <w:p>
      <w:pPr>
        <w:ind w:left="700" w:hanging="355"/>
        <w:spacing w:after="0"/>
        <w:tabs>
          <w:tab w:leader="none" w:pos="700" w:val="left"/>
        </w:tabs>
        <w:numPr>
          <w:ilvl w:val="0"/>
          <w:numId w:val="27"/>
        </w:numPr>
        <w:rPr>
          <w:rFonts w:ascii="Arial" w:cs="Arial" w:eastAsia="Arial" w:hAnsi="Arial"/>
          <w:sz w:val="20"/>
          <w:szCs w:val="20"/>
          <w:color w:val="auto"/>
        </w:rPr>
      </w:pPr>
      <w:r>
        <w:rPr>
          <w:rFonts w:ascii="Arial" w:cs="Arial" w:eastAsia="Arial" w:hAnsi="Arial"/>
          <w:sz w:val="20"/>
          <w:szCs w:val="20"/>
          <w:color w:val="auto"/>
        </w:rPr>
        <w:t>deposits of securities for the benefit of policyholders;</w:t>
      </w:r>
    </w:p>
    <w:p>
      <w:pPr>
        <w:spacing w:after="0" w:line="5" w:lineRule="exact"/>
        <w:rPr>
          <w:rFonts w:ascii="Arial" w:cs="Arial" w:eastAsia="Arial" w:hAnsi="Arial"/>
          <w:sz w:val="20"/>
          <w:szCs w:val="20"/>
          <w:color w:val="auto"/>
        </w:rPr>
      </w:pPr>
    </w:p>
    <w:p>
      <w:pPr>
        <w:ind w:left="700" w:hanging="355"/>
        <w:spacing w:after="0"/>
        <w:tabs>
          <w:tab w:leader="none" w:pos="700" w:val="left"/>
        </w:tabs>
        <w:numPr>
          <w:ilvl w:val="0"/>
          <w:numId w:val="27"/>
        </w:numPr>
        <w:rPr>
          <w:rFonts w:ascii="Arial" w:cs="Arial" w:eastAsia="Arial" w:hAnsi="Arial"/>
          <w:sz w:val="20"/>
          <w:szCs w:val="20"/>
          <w:color w:val="auto"/>
        </w:rPr>
      </w:pPr>
      <w:r>
        <w:rPr>
          <w:rFonts w:ascii="Arial" w:cs="Arial" w:eastAsia="Arial" w:hAnsi="Arial"/>
          <w:sz w:val="20"/>
          <w:szCs w:val="20"/>
          <w:color w:val="auto"/>
        </w:rPr>
        <w:t>establishing reserves; and</w:t>
      </w:r>
    </w:p>
    <w:p>
      <w:pPr>
        <w:spacing w:after="0" w:line="5" w:lineRule="exact"/>
        <w:rPr>
          <w:rFonts w:ascii="Arial" w:cs="Arial" w:eastAsia="Arial" w:hAnsi="Arial"/>
          <w:sz w:val="20"/>
          <w:szCs w:val="20"/>
          <w:color w:val="auto"/>
        </w:rPr>
      </w:pPr>
    </w:p>
    <w:p>
      <w:pPr>
        <w:ind w:left="700" w:hanging="355"/>
        <w:spacing w:after="0"/>
        <w:tabs>
          <w:tab w:leader="none" w:pos="700" w:val="left"/>
        </w:tabs>
        <w:numPr>
          <w:ilvl w:val="0"/>
          <w:numId w:val="27"/>
        </w:numPr>
        <w:rPr>
          <w:rFonts w:ascii="Arial" w:cs="Arial" w:eastAsia="Arial" w:hAnsi="Arial"/>
          <w:sz w:val="20"/>
          <w:szCs w:val="20"/>
          <w:color w:val="auto"/>
        </w:rPr>
      </w:pPr>
      <w:r>
        <w:rPr>
          <w:rFonts w:ascii="Arial" w:cs="Arial" w:eastAsia="Arial" w:hAnsi="Arial"/>
          <w:sz w:val="20"/>
          <w:szCs w:val="20"/>
          <w:color w:val="auto"/>
        </w:rPr>
        <w:t>regulation of reinsurance.</w:t>
      </w:r>
    </w:p>
    <w:p>
      <w:pPr>
        <w:spacing w:after="0" w:line="84" w:lineRule="exact"/>
        <w:rPr>
          <w:sz w:val="20"/>
          <w:szCs w:val="20"/>
          <w:color w:val="auto"/>
        </w:rPr>
      </w:pPr>
    </w:p>
    <w:p>
      <w:pPr>
        <w:jc w:val="both"/>
        <w:ind w:firstLine="353"/>
        <w:spacing w:after="0" w:line="299" w:lineRule="auto"/>
        <w:rPr>
          <w:sz w:val="20"/>
          <w:szCs w:val="20"/>
          <w:color w:val="auto"/>
        </w:rPr>
      </w:pPr>
      <w:r>
        <w:rPr>
          <w:rFonts w:ascii="Arial" w:cs="Arial" w:eastAsia="Arial" w:hAnsi="Arial"/>
          <w:sz w:val="17"/>
          <w:szCs w:val="17"/>
          <w:color w:val="auto"/>
        </w:rPr>
        <w:t xml:space="preserve">Most states also regulate insurance holding companies like us with respect to acquisitions, changes of control and the terms of transactions with our affiliates. State regulations may impede or impose burdensome conditions on our ability to increase or maintain rate levels or on other actions that we may want to take to enhance our operating results. In addition, we may incur significant costs in the course of complying with regulatory requirements. Further, various state legislatures have in the past considered offering a public alternative to the title industry in their states, as a means to increase state government revenues. Although we think this situation is unlikely, if one or more such takeovers were to occur, they could adversely affect our business. We cannot be assured that future legislative or regulatory changes will not adversely affect our business operations. See “Item 1. </w:t>
      </w:r>
      <w:r>
        <w:rPr>
          <w:rFonts w:ascii="Arial" w:cs="Arial" w:eastAsia="Arial" w:hAnsi="Arial"/>
          <w:sz w:val="17"/>
          <w:szCs w:val="17"/>
          <w:b w:val="1"/>
          <w:bCs w:val="1"/>
          <w:i w:val="1"/>
          <w:iCs w:val="1"/>
          <w:color w:val="auto"/>
        </w:rPr>
        <w:t>Business</w:t>
      </w:r>
      <w:r>
        <w:rPr>
          <w:rFonts w:ascii="Arial" w:cs="Arial" w:eastAsia="Arial" w:hAnsi="Arial"/>
          <w:sz w:val="17"/>
          <w:szCs w:val="17"/>
          <w:color w:val="auto"/>
        </w:rPr>
        <w:t xml:space="preserve"> — Regulation” of this Annual Report for further discussion of the current regulatory environment.</w:t>
      </w:r>
    </w:p>
    <w:p>
      <w:pPr>
        <w:spacing w:after="0" w:line="51" w:lineRule="exact"/>
        <w:rPr>
          <w:sz w:val="20"/>
          <w:szCs w:val="20"/>
          <w:color w:val="auto"/>
        </w:rPr>
      </w:pPr>
    </w:p>
    <w:p>
      <w:pPr>
        <w:jc w:val="both"/>
        <w:ind w:firstLine="353"/>
        <w:spacing w:after="0" w:line="264" w:lineRule="auto"/>
        <w:rPr>
          <w:sz w:val="20"/>
          <w:szCs w:val="20"/>
          <w:color w:val="auto"/>
        </w:rPr>
      </w:pPr>
      <w:r>
        <w:rPr>
          <w:rFonts w:ascii="Arial" w:cs="Arial" w:eastAsia="Arial" w:hAnsi="Arial"/>
          <w:sz w:val="19"/>
          <w:szCs w:val="19"/>
          <w:color w:val="auto"/>
        </w:rPr>
        <w:t>Our ServiceLink subsidiary provides mortgage transaction services including title-related services and facilitation of production and management of mortgage loans. Certain of these businesses are subject to federal and state regulatory oversight. For example, ServiceLink’s LoanCare business services and subservices mortgage loans secured primarily by residential real estate throughout the United States. LoanCare is subject to extensive federal, state and local regulatory oversight, including federal and state regulatory examinations, information gathering requests, inquiries and investigations by governmental and regulatory agencies, including the CFPB. In connection with formal and informal inquiries by those agencies, LoanCare receives numerous requests, subpoenas, and orders for documents, testimony and information in connection with various aspects of its or its clients’ regulated activities.</w:t>
      </w:r>
    </w:p>
    <w:p>
      <w:pPr>
        <w:sectPr>
          <w:pgSz w:w="11880" w:h="15480" w:orient="portrait"/>
          <w:cols w:equalWidth="0" w:num="1">
            <w:col w:w="10040"/>
          </w:cols>
          <w:pgMar w:left="920" w:top="772" w:right="920" w:bottom="0" w:gutter="0" w:footer="0" w:header="0"/>
        </w:sect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45</w:t>
      </w:r>
    </w:p>
    <w:p>
      <w:pPr>
        <w:sectPr>
          <w:pgSz w:w="11880" w:h="15480" w:orient="portrait"/>
          <w:cols w:equalWidth="0" w:num="1">
            <w:col w:w="10040"/>
          </w:cols>
          <w:pgMar w:left="920" w:top="772" w:right="920" w:bottom="0" w:gutter="0" w:footer="0" w:header="0"/>
          <w:type w:val="continuous"/>
        </w:sectPr>
      </w:pPr>
    </w:p>
    <w:bookmarkStart w:id="57" w:name="page58"/>
    <w:bookmarkEnd w:id="57"/>
    <w:p>
      <w:pPr>
        <w:jc w:val="both"/>
        <w:ind w:firstLine="353"/>
        <w:spacing w:after="0" w:line="306" w:lineRule="auto"/>
        <w:rPr>
          <w:sz w:val="20"/>
          <w:szCs w:val="20"/>
          <w:color w:val="auto"/>
        </w:rPr>
      </w:pPr>
      <w:r>
        <w:rPr>
          <w:rFonts w:ascii="Arial" w:cs="Arial" w:eastAsia="Arial" w:hAnsi="Arial"/>
          <w:sz w:val="17"/>
          <w:szCs w:val="17"/>
          <w:color w:val="auto"/>
        </w:rPr>
        <w:t>LoanCare is also required to maintain a variety of licenses, both federal and state. License requirements are in a frequent state of renewal and reexamination as regulations change or are reinterpreted. In addition, federal and state statutes establish specific guidelines and procedures that debt collectors must follow when collecting consumer accounts. LoanCare’s failure to comply with any of these laws, should the states take an opposing interpretation, could have an adverse effect on LoanCare in the event and to the extent that they apply to some or all of its servicing activities.</w:t>
      </w:r>
    </w:p>
    <w:p>
      <w:pPr>
        <w:spacing w:after="0" w:line="4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State regulation of the rates we charge for title insurance could adversely affect our results of operations.</w:t>
      </w:r>
    </w:p>
    <w:p>
      <w:pPr>
        <w:spacing w:after="0" w:line="130" w:lineRule="exact"/>
        <w:rPr>
          <w:sz w:val="20"/>
          <w:szCs w:val="20"/>
          <w:color w:val="auto"/>
        </w:rPr>
      </w:pPr>
    </w:p>
    <w:p>
      <w:pPr>
        <w:jc w:val="both"/>
        <w:ind w:firstLine="353"/>
        <w:spacing w:after="0" w:line="299" w:lineRule="auto"/>
        <w:rPr>
          <w:sz w:val="20"/>
          <w:szCs w:val="20"/>
          <w:color w:val="auto"/>
        </w:rPr>
      </w:pPr>
      <w:r>
        <w:rPr>
          <w:rFonts w:ascii="Arial" w:cs="Arial" w:eastAsia="Arial" w:hAnsi="Arial"/>
          <w:sz w:val="17"/>
          <w:szCs w:val="17"/>
          <w:color w:val="auto"/>
        </w:rPr>
        <w:t>Our insurance subsidiaries are subject to extensive rate regulation by the applicable state agencies in the jurisdictions in which they operate. Title insurance rates are regulated differently in various states, with some states requiring the subsidiaries to file and receive approval of rates before such rates become effective and some states promulgating the rates that can be charged. In general, premium rates are determined on the basis of historical data for claim frequency and severity as well as related production costs and other expenses. In all states in which our title subsidiaries operate, our rates must not be excessive, inadequate or unfairly discriminatory. Premium rates are likely to prove insufficient when ultimate claims and expenses exceed historically projected levels. Premium rate inadequacy may not become evident quickly and may take time to correct, and could adversely affect our results of operations and financial condition.</w:t>
      </w:r>
    </w:p>
    <w:p>
      <w:pPr>
        <w:spacing w:after="0" w:line="4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Our F&amp;G segment is highly regulated and subject to numerous legal restrictions and regulations.</w:t>
      </w:r>
    </w:p>
    <w:p>
      <w:pPr>
        <w:spacing w:after="0" w:line="114" w:lineRule="exact"/>
        <w:rPr>
          <w:sz w:val="20"/>
          <w:szCs w:val="20"/>
          <w:color w:val="auto"/>
        </w:rPr>
      </w:pPr>
    </w:p>
    <w:p>
      <w:pPr>
        <w:jc w:val="both"/>
        <w:ind w:firstLine="353"/>
        <w:spacing w:after="0" w:line="254" w:lineRule="auto"/>
        <w:rPr>
          <w:sz w:val="20"/>
          <w:szCs w:val="20"/>
          <w:color w:val="auto"/>
        </w:rPr>
      </w:pPr>
      <w:r>
        <w:rPr>
          <w:rFonts w:ascii="Arial" w:cs="Arial" w:eastAsia="Arial" w:hAnsi="Arial"/>
          <w:sz w:val="20"/>
          <w:szCs w:val="20"/>
          <w:color w:val="auto"/>
        </w:rPr>
        <w:t>F&amp;G's insurance businesses are subject to extensive regulation by state insurance authorities in each state in which they operate. Most states also regulate insurance holding companies like us with respect to acquisitions, changes of control and the terms of transactions with our affiliates. In addition, we may incur significant costs in the course of complying with regulatory requirements.</w:t>
      </w:r>
    </w:p>
    <w:p>
      <w:pPr>
        <w:spacing w:after="0" w:line="65" w:lineRule="exact"/>
        <w:rPr>
          <w:sz w:val="20"/>
          <w:szCs w:val="20"/>
          <w:color w:val="auto"/>
        </w:rPr>
      </w:pPr>
    </w:p>
    <w:p>
      <w:pPr>
        <w:jc w:val="both"/>
        <w:ind w:firstLine="353"/>
        <w:spacing w:after="0" w:line="246" w:lineRule="auto"/>
        <w:rPr>
          <w:sz w:val="20"/>
          <w:szCs w:val="20"/>
          <w:color w:val="auto"/>
        </w:rPr>
      </w:pPr>
      <w:r>
        <w:rPr>
          <w:rFonts w:ascii="Arial" w:cs="Arial" w:eastAsia="Arial" w:hAnsi="Arial"/>
          <w:sz w:val="19"/>
          <w:szCs w:val="19"/>
          <w:color w:val="auto"/>
        </w:rPr>
        <w:t>State insurance regulators, the NAIC and federal regulators continually reexamine existing laws and regulations and may impose changes in the future. New interpretations of existing laws and the passage of new legislation may harm our ability to sell new policies, increase our claims exposure on policies we issued previously and adversely affect our profitability and financial strength. We are also subject to the risk that compliance with any particular regulator’s interpretation of a legal or accounting issue may not result in compliance with another regulator’s interpretation of the same issue, particularly when compliance is judged in hindsight. Regulators and other authorities have the power to bring administrative or judicial proceedings against us, which could result in, among other things, suspension or revocation of our licenses, cease and desist orders, fines, civil penalties, criminal penalties or other disciplinary action, which could materially harm our results of operations and financial condition.</w:t>
      </w:r>
    </w:p>
    <w:p>
      <w:pPr>
        <w:spacing w:after="0" w:line="78" w:lineRule="exact"/>
        <w:rPr>
          <w:sz w:val="20"/>
          <w:szCs w:val="20"/>
          <w:color w:val="auto"/>
        </w:rPr>
      </w:pPr>
    </w:p>
    <w:p>
      <w:pPr>
        <w:jc w:val="both"/>
        <w:ind w:firstLine="353"/>
        <w:spacing w:after="0" w:line="287" w:lineRule="auto"/>
        <w:rPr>
          <w:sz w:val="20"/>
          <w:szCs w:val="20"/>
          <w:color w:val="auto"/>
        </w:rPr>
      </w:pPr>
      <w:r>
        <w:rPr>
          <w:rFonts w:ascii="Arial" w:cs="Arial" w:eastAsia="Arial" w:hAnsi="Arial"/>
          <w:sz w:val="17"/>
          <w:szCs w:val="17"/>
          <w:color w:val="auto"/>
        </w:rPr>
        <w:t xml:space="preserve">We cannot predict what form any future changes in these or other areas of regulation affecting the insurance industry might take or what effect, if any, such proposals might have on us if enacted into law. In addition, because our activities are relatively concentrated in a small number of lines of business, any change in law or regulation affecting one of those lines of business could have a disproportionate impact on us as compared to other more diversified insurance companies. See “Item 1. </w:t>
      </w:r>
      <w:r>
        <w:rPr>
          <w:rFonts w:ascii="Arial" w:cs="Arial" w:eastAsia="Arial" w:hAnsi="Arial"/>
          <w:sz w:val="17"/>
          <w:szCs w:val="17"/>
          <w:b w:val="1"/>
          <w:bCs w:val="1"/>
          <w:i w:val="1"/>
          <w:iCs w:val="1"/>
          <w:color w:val="auto"/>
        </w:rPr>
        <w:t>Business</w:t>
      </w:r>
      <w:r>
        <w:rPr>
          <w:rFonts w:ascii="Arial" w:cs="Arial" w:eastAsia="Arial" w:hAnsi="Arial"/>
          <w:sz w:val="17"/>
          <w:szCs w:val="17"/>
          <w:color w:val="auto"/>
        </w:rPr>
        <w:t xml:space="preserve"> — Regulation” of this Annual Report for further discussion of the impact of regulations on our business.</w:t>
      </w:r>
    </w:p>
    <w:p>
      <w:pPr>
        <w:spacing w:after="0" w:line="39" w:lineRule="exact"/>
        <w:rPr>
          <w:sz w:val="20"/>
          <w:szCs w:val="20"/>
          <w:color w:val="auto"/>
        </w:rPr>
      </w:pPr>
    </w:p>
    <w:p>
      <w:pPr>
        <w:jc w:val="both"/>
        <w:spacing w:after="0" w:line="353" w:lineRule="auto"/>
        <w:rPr>
          <w:sz w:val="20"/>
          <w:szCs w:val="20"/>
          <w:color w:val="auto"/>
        </w:rPr>
      </w:pPr>
      <w:r>
        <w:rPr>
          <w:rFonts w:ascii="Arial" w:cs="Arial" w:eastAsia="Arial" w:hAnsi="Arial"/>
          <w:sz w:val="17"/>
          <w:szCs w:val="17"/>
          <w:b w:val="1"/>
          <w:bCs w:val="1"/>
          <w:i w:val="1"/>
          <w:iCs w:val="1"/>
          <w:color w:val="auto"/>
        </w:rPr>
        <w:t>F&amp;G's business is subject to government regulation in each of the jurisdictions in which we conduct business and regulators have broad administrative and discretionary authority over our business and business practices.</w:t>
      </w:r>
    </w:p>
    <w:p>
      <w:pPr>
        <w:spacing w:after="0" w:line="1" w:lineRule="exact"/>
        <w:rPr>
          <w:sz w:val="20"/>
          <w:szCs w:val="20"/>
          <w:color w:val="auto"/>
        </w:rPr>
      </w:pPr>
    </w:p>
    <w:p>
      <w:pPr>
        <w:jc w:val="both"/>
        <w:ind w:firstLine="353"/>
        <w:spacing w:after="0" w:line="281" w:lineRule="auto"/>
        <w:rPr>
          <w:sz w:val="20"/>
          <w:szCs w:val="20"/>
          <w:color w:val="auto"/>
        </w:rPr>
      </w:pPr>
      <w:r>
        <w:rPr>
          <w:rFonts w:ascii="Arial" w:cs="Arial" w:eastAsia="Arial" w:hAnsi="Arial"/>
          <w:sz w:val="17"/>
          <w:szCs w:val="17"/>
          <w:color w:val="auto"/>
        </w:rPr>
        <w:t>F&amp;G's business is subject to government regulation in each of the states in which we conduct business and is concerned primarily with the protection of policyholders and other customers rather than shareholders. Such regulation is vested in state agencies having broad administrative and discretionary authority, which may include, among other things, premium rates and increases thereto, underwriting practices, reserve requirements, marketing practices, advertising, privacy, policy forms, reinsurance reserve requirements, acquisitions, mergers, and capital adequacy. At any given time, we and our insurance subsidiaries may be the subject of a number of ongoing financial or market conduct, audits, or inquiries. From time to time, regulators raise issues during such examinations or audits that could have a material impact on our business.</w:t>
      </w:r>
    </w:p>
    <w:p>
      <w:pPr>
        <w:spacing w:after="0" w:line="52" w:lineRule="exact"/>
        <w:rPr>
          <w:sz w:val="20"/>
          <w:szCs w:val="20"/>
          <w:color w:val="auto"/>
        </w:rPr>
      </w:pPr>
    </w:p>
    <w:p>
      <w:pPr>
        <w:jc w:val="both"/>
        <w:ind w:firstLine="353"/>
        <w:spacing w:after="0" w:line="251" w:lineRule="auto"/>
        <w:rPr>
          <w:sz w:val="20"/>
          <w:szCs w:val="20"/>
          <w:color w:val="auto"/>
        </w:rPr>
      </w:pPr>
      <w:r>
        <w:rPr>
          <w:rFonts w:ascii="Arial" w:cs="Arial" w:eastAsia="Arial" w:hAnsi="Arial"/>
          <w:sz w:val="19"/>
          <w:szCs w:val="19"/>
          <w:color w:val="auto"/>
        </w:rPr>
        <w:t>Under insurance guaranty fund laws in most states, insurance companies doing business therein can be assessed up to prescribed limits for policyholder losses incurred by insolvent companies. We cannot predict the amount or timing of any such future assessments and therefore the liability we have established for these potential assessments may not be adequate. In addition, regulators may change their interpretation or application of existing laws and regulations such as the case with broadening the scope of carriers that must contribute towards Long Term Care insolvencies.</w:t>
      </w:r>
    </w:p>
    <w:p>
      <w:pPr>
        <w:spacing w:after="0" w:line="66" w:lineRule="exact"/>
        <w:rPr>
          <w:sz w:val="20"/>
          <w:szCs w:val="20"/>
          <w:color w:val="auto"/>
        </w:rPr>
      </w:pPr>
    </w:p>
    <w:p>
      <w:pPr>
        <w:jc w:val="both"/>
        <w:spacing w:after="0" w:line="260" w:lineRule="auto"/>
        <w:rPr>
          <w:sz w:val="20"/>
          <w:szCs w:val="20"/>
          <w:color w:val="auto"/>
        </w:rPr>
      </w:pPr>
      <w:r>
        <w:rPr>
          <w:rFonts w:ascii="Arial" w:cs="Arial" w:eastAsia="Arial" w:hAnsi="Arial"/>
          <w:sz w:val="20"/>
          <w:szCs w:val="20"/>
          <w:b w:val="1"/>
          <w:bCs w:val="1"/>
          <w:i w:val="1"/>
          <w:iCs w:val="1"/>
          <w:color w:val="auto"/>
        </w:rPr>
        <w:t>F&amp;G's business in the United States is regulated by the National Association of Insurance Commissioners (“NAIC”), which continues to consider reforms including relating to cybersecurity regulations, best interest standards, risk-based capital (“RBC”) and life insurance reserves.</w:t>
      </w:r>
    </w:p>
    <w:p>
      <w:pPr>
        <w:spacing w:after="0" w:line="63" w:lineRule="exact"/>
        <w:rPr>
          <w:sz w:val="20"/>
          <w:szCs w:val="20"/>
          <w:color w:val="auto"/>
        </w:rPr>
      </w:pPr>
    </w:p>
    <w:p>
      <w:pPr>
        <w:jc w:val="both"/>
        <w:ind w:firstLine="353"/>
        <w:spacing w:after="0" w:line="293" w:lineRule="auto"/>
        <w:rPr>
          <w:sz w:val="20"/>
          <w:szCs w:val="20"/>
          <w:color w:val="auto"/>
        </w:rPr>
      </w:pPr>
      <w:r>
        <w:rPr>
          <w:rFonts w:ascii="Arial" w:cs="Arial" w:eastAsia="Arial" w:hAnsi="Arial"/>
          <w:sz w:val="17"/>
          <w:szCs w:val="17"/>
          <w:color w:val="auto"/>
        </w:rPr>
        <w:t>Although our business is subject to regulation in each state in which we conduct business, in many instances the state regulatory models emanate from the NAIC. Some of the NAIC pronouncements, particularly as they affect accounting issues, take effect automatically in the various states without affirmative action by the states. Statutes, regulations and interpretations may be applied with retroactive impact, particularly in areas such as accounting and reserve requirements. The NAIC continues</w:t>
      </w:r>
    </w:p>
    <w:p>
      <w:pPr>
        <w:sectPr>
          <w:pgSz w:w="11880" w:h="15480" w:orient="portrait"/>
          <w:cols w:equalWidth="0" w:num="1">
            <w:col w:w="10040"/>
          </w:cols>
          <w:pgMar w:left="920" w:top="772" w:right="920" w:bottom="0" w:gutter="0" w:footer="0" w:header="0"/>
        </w:sect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46</w:t>
      </w:r>
    </w:p>
    <w:p>
      <w:pPr>
        <w:sectPr>
          <w:pgSz w:w="11880" w:h="15480" w:orient="portrait"/>
          <w:cols w:equalWidth="0" w:num="1">
            <w:col w:w="10040"/>
          </w:cols>
          <w:pgMar w:left="920" w:top="772" w:right="920" w:bottom="0" w:gutter="0" w:footer="0" w:header="0"/>
          <w:type w:val="continuous"/>
        </w:sectPr>
      </w:pPr>
    </w:p>
    <w:bookmarkStart w:id="58" w:name="page59"/>
    <w:bookmarkEnd w:id="58"/>
    <w:p>
      <w:pPr>
        <w:jc w:val="both"/>
        <w:spacing w:after="0" w:line="254" w:lineRule="auto"/>
        <w:rPr>
          <w:sz w:val="20"/>
          <w:szCs w:val="20"/>
          <w:color w:val="auto"/>
        </w:rPr>
      </w:pPr>
      <w:r>
        <w:rPr>
          <w:rFonts w:ascii="Arial" w:cs="Arial" w:eastAsia="Arial" w:hAnsi="Arial"/>
          <w:sz w:val="20"/>
          <w:szCs w:val="20"/>
          <w:color w:val="auto"/>
        </w:rPr>
        <w:t>to work to reform state regulation in various areas, including comprehensive reforms relating to cybersecurity regulations, best interest standards, RBC and life insurance reserves.</w:t>
      </w:r>
    </w:p>
    <w:p>
      <w:pPr>
        <w:spacing w:after="0" w:line="70" w:lineRule="exact"/>
        <w:rPr>
          <w:sz w:val="20"/>
          <w:szCs w:val="20"/>
          <w:color w:val="auto"/>
        </w:rPr>
      </w:pPr>
    </w:p>
    <w:p>
      <w:pPr>
        <w:jc w:val="both"/>
        <w:ind w:firstLine="353"/>
        <w:spacing w:after="0" w:line="284" w:lineRule="auto"/>
        <w:rPr>
          <w:sz w:val="20"/>
          <w:szCs w:val="20"/>
          <w:color w:val="auto"/>
        </w:rPr>
      </w:pPr>
      <w:r>
        <w:rPr>
          <w:rFonts w:ascii="Arial" w:cs="Arial" w:eastAsia="Arial" w:hAnsi="Arial"/>
          <w:sz w:val="17"/>
          <w:szCs w:val="17"/>
          <w:color w:val="auto"/>
        </w:rPr>
        <w:t>Our insurance subsidiaries are subject to minimum capitalization requirements based on RBC formulas for life insurance companies that establish capital requirements relating to insurance, business, asset, interest rate and certain other risks. Changes to statutory reserve or RBC requirements may increase the amount of reserves or capital our insurance companies are required to hold and may impact our ability to pay dividends. In addition, changes in statutory reserve or risk-based capital requirements may adversely impact our financial strength ratings. Changes currently under consideration include adding an operational risk component, factors for asset credit risk, and group wide capital calculations.</w:t>
      </w:r>
    </w:p>
    <w:p>
      <w:pPr>
        <w:spacing w:after="0" w:line="40" w:lineRule="exact"/>
        <w:rPr>
          <w:sz w:val="20"/>
          <w:szCs w:val="20"/>
          <w:color w:val="auto"/>
        </w:rPr>
      </w:pPr>
    </w:p>
    <w:p>
      <w:pPr>
        <w:jc w:val="both"/>
        <w:spacing w:after="0" w:line="260" w:lineRule="auto"/>
        <w:rPr>
          <w:sz w:val="20"/>
          <w:szCs w:val="20"/>
          <w:color w:val="auto"/>
        </w:rPr>
      </w:pPr>
      <w:r>
        <w:rPr>
          <w:rFonts w:ascii="Arial" w:cs="Arial" w:eastAsia="Arial" w:hAnsi="Arial"/>
          <w:sz w:val="20"/>
          <w:szCs w:val="20"/>
          <w:b w:val="1"/>
          <w:bCs w:val="1"/>
          <w:i w:val="1"/>
          <w:iCs w:val="1"/>
          <w:color w:val="auto"/>
        </w:rPr>
        <w:t>Current and emerging developments relating to market conduct standards for the financial industry emerging from the United States Department of Labor’s (“DOL”) implementation of the “fiduciary rule” may over time materially affect our business.</w:t>
      </w:r>
    </w:p>
    <w:p>
      <w:pPr>
        <w:spacing w:after="0" w:line="83" w:lineRule="exact"/>
        <w:rPr>
          <w:sz w:val="20"/>
          <w:szCs w:val="20"/>
          <w:color w:val="auto"/>
        </w:rPr>
      </w:pPr>
    </w:p>
    <w:p>
      <w:pPr>
        <w:jc w:val="both"/>
        <w:ind w:firstLine="353"/>
        <w:spacing w:after="0" w:line="294" w:lineRule="auto"/>
        <w:rPr>
          <w:sz w:val="20"/>
          <w:szCs w:val="20"/>
          <w:color w:val="auto"/>
        </w:rPr>
      </w:pPr>
      <w:r>
        <w:rPr>
          <w:rFonts w:ascii="Arial" w:cs="Arial" w:eastAsia="Arial" w:hAnsi="Arial"/>
          <w:sz w:val="17"/>
          <w:szCs w:val="17"/>
          <w:color w:val="auto"/>
        </w:rPr>
        <w:t>In December 2020, the DOL issued its final version of an investment advice rule replacing the previous “Fiduciary Rule” that had been challenged by industry participants and vacated in March 2018 by the United States Fifth Circuit Court of Appeals. The new investment advice rule reinstates the five-part test for determining whether a person is considered a fiduciary for purposes of the Employee Retirement Income Security Act of 1974 (“ERISA”) and the Internal Revenue Code of 1986, as amended (the “Code”), and sets forth a new exemption, referred to as prohibited transaction class exemption (“PTE”) 2020-02. The rule’s preamble also contains the DOL’s reinterpretation of elements of the five-part test that appears to encompass more insurance agents selling IRA products and withdraws the DOL’s longstanding position that rollover recommendations out of employer plans are not subject to ERISA. The new rule took effect on February 16, 2021. The DOL left in place PTE 84-24, which is a longstanding class exemption providing prohibited transaction relief for insurance agents selling annuity products, provided that certain disclosures are made to the plan fiduciary, which is the policyholder in the case of an IRA, and certain other conditions are met. Among other things, these disclosures include the agent’s relationship to the insurer and commissions received in connection with the annuity sale. We, along with FGL Insurance and FGL NY Insurance, designed and launched a compliance program in January 2022 requiring all agents selling IRA products to submit an acknowledgment with each IRA application indicating the agent has satisfied PTE 84-24 requirements on a precautionary basis in case the agent acted or is found to have acted as a fiduciary.</w:t>
      </w:r>
    </w:p>
    <w:p>
      <w:pPr>
        <w:spacing w:after="0" w:line="293" w:lineRule="exact"/>
        <w:rPr>
          <w:sz w:val="20"/>
          <w:szCs w:val="20"/>
          <w:color w:val="auto"/>
        </w:rPr>
      </w:pPr>
    </w:p>
    <w:p>
      <w:pPr>
        <w:jc w:val="both"/>
        <w:ind w:firstLine="353"/>
        <w:spacing w:after="0" w:line="293" w:lineRule="auto"/>
        <w:rPr>
          <w:sz w:val="20"/>
          <w:szCs w:val="20"/>
          <w:color w:val="auto"/>
        </w:rPr>
      </w:pPr>
      <w:r>
        <w:rPr>
          <w:rFonts w:ascii="Arial" w:cs="Arial" w:eastAsia="Arial" w:hAnsi="Arial"/>
          <w:sz w:val="17"/>
          <w:szCs w:val="17"/>
          <w:color w:val="auto"/>
        </w:rPr>
        <w:t>On April 23, 2024, following previous attempts to expand fiduciary regulation for advisers, the DOL released a new rule, the “New Fiduciary Rule”, which significantly broadens the definition of “fiduciary” under ERISA and Section 4975 when advisers provide investment recommendations to plans subject to ERISA and Section 4975 of the Code. Among other requirements, the New Fiduciary Rule provides that any person will be an investment advice fiduciary if such person provides investment advice or makes an investment recommendation to a retirement investor (i.e., a plan, a discretionary plan fiduciary, a plan participant or beneficiary, an IRA, an IRA owner or beneficiary, or an IRA fiduciary) for a fee or other compensation, the person makes professional investment recommendations to investors on a regular basis as part of their business, and the recommendation is provided under circumstances that would indicate to a reasonable investor in like circumstances that the recommendation is based on a review of the particular needs or individual investor circumstances of the retirement investor, reflects the application of professional or expert judgment to the retirement investor’s particular needs or individual circumstances, and may be relied upon by the retirement investor as intended to advance the retirement investor’s best interest. Unlike the current ERISA standard, the New Fiduciary Rule subjects non-discretionary investment advice to retirement plans and accounts under the care and loyalty standards that also apply to investment advisors with discretionary authority or control over such plans and accounts. In addition, on the same date, the DOL issued amended versions of PTE 2020-02 and PTE 84-24, either or both of which provide prohibited transaction exemptive relief to insurance companies and insurance producers who make insurance product recommendations to retirement investors, subject to certain conditions. The New Fiduciary Rule likely means that certain of the Company’s agents will be considered fiduciaries for purposes of ERISA and the Code, subjecting the Company, and the insurance industry on the whole, to greater regulatory risk.</w:t>
      </w:r>
    </w:p>
    <w:p>
      <w:pPr>
        <w:spacing w:after="0" w:line="294" w:lineRule="exact"/>
        <w:rPr>
          <w:sz w:val="20"/>
          <w:szCs w:val="20"/>
          <w:color w:val="auto"/>
        </w:rPr>
      </w:pPr>
    </w:p>
    <w:p>
      <w:pPr>
        <w:jc w:val="both"/>
        <w:ind w:firstLine="353"/>
        <w:spacing w:after="0" w:line="299" w:lineRule="auto"/>
        <w:rPr>
          <w:sz w:val="20"/>
          <w:szCs w:val="20"/>
          <w:color w:val="auto"/>
        </w:rPr>
      </w:pPr>
      <w:r>
        <w:rPr>
          <w:rFonts w:ascii="Arial" w:cs="Arial" w:eastAsia="Arial" w:hAnsi="Arial"/>
          <w:sz w:val="17"/>
          <w:szCs w:val="17"/>
          <w:color w:val="auto"/>
        </w:rPr>
        <w:t xml:space="preserve">The DOL’s New Fiduciary Rule, which was scheduled to become effective on September 23, 2024, has been challenged. On July 25, 2024, in the case of </w:t>
      </w:r>
      <w:r>
        <w:rPr>
          <w:rFonts w:ascii="Arial" w:cs="Arial" w:eastAsia="Arial" w:hAnsi="Arial"/>
          <w:sz w:val="17"/>
          <w:szCs w:val="17"/>
          <w:b w:val="1"/>
          <w:bCs w:val="1"/>
          <w:i w:val="1"/>
          <w:iCs w:val="1"/>
          <w:color w:val="auto"/>
        </w:rPr>
        <w:t>Federation of Americans for Consumer Choice, Inc., et al. v. United States Department of</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 xml:space="preserve">Labor, et al., </w:t>
      </w:r>
      <w:r>
        <w:rPr>
          <w:rFonts w:ascii="Arial" w:cs="Arial" w:eastAsia="Arial" w:hAnsi="Arial"/>
          <w:sz w:val="17"/>
          <w:szCs w:val="17"/>
          <w:color w:val="auto"/>
        </w:rPr>
        <w:t>(“Federation of Americans”) the United States District Court for the Eastern District of Texas issued an order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staying the effective date of the DOL’s New Fiduciary Rule (and related amendments to PTE 84-24) that was issued in March 2024. The District Court, in part relying on the Supreme Court’s recent ruling in </w:t>
      </w:r>
      <w:r>
        <w:rPr>
          <w:rFonts w:ascii="Arial" w:cs="Arial" w:eastAsia="Arial" w:hAnsi="Arial"/>
          <w:sz w:val="17"/>
          <w:szCs w:val="17"/>
          <w:b w:val="1"/>
          <w:bCs w:val="1"/>
          <w:i w:val="1"/>
          <w:iCs w:val="1"/>
          <w:color w:val="auto"/>
        </w:rPr>
        <w:t>Loper Bright Enterprises v. Raimondo</w:t>
      </w:r>
      <w:r>
        <w:rPr>
          <w:rFonts w:ascii="Arial" w:cs="Arial" w:eastAsia="Arial" w:hAnsi="Arial"/>
          <w:sz w:val="17"/>
          <w:szCs w:val="17"/>
          <w:color w:val="auto"/>
        </w:rPr>
        <w:t>, found that the plaintiffs (primarily insurance agents) were likely to succeed on their arguments that the New Fiduciary Rule improperly expanded the definition of an “investment advice fiduciary” under ERISA. As a result, the New Fiduciary Rule’s original effective date of September 23, 2024 was delayed until further notice.</w:t>
      </w:r>
    </w:p>
    <w:p>
      <w:pPr>
        <w:spacing w:after="0" w:line="49" w:lineRule="exact"/>
        <w:rPr>
          <w:sz w:val="20"/>
          <w:szCs w:val="20"/>
          <w:color w:val="auto"/>
        </w:rPr>
      </w:pPr>
    </w:p>
    <w:p>
      <w:pPr>
        <w:jc w:val="both"/>
        <w:ind w:firstLine="353"/>
        <w:spacing w:after="0" w:line="326" w:lineRule="auto"/>
        <w:rPr>
          <w:sz w:val="20"/>
          <w:szCs w:val="20"/>
          <w:color w:val="auto"/>
        </w:rPr>
      </w:pPr>
      <w:r>
        <w:rPr>
          <w:rFonts w:ascii="Arial" w:cs="Arial" w:eastAsia="Arial" w:hAnsi="Arial"/>
          <w:sz w:val="17"/>
          <w:szCs w:val="17"/>
          <w:color w:val="auto"/>
        </w:rPr>
        <w:t xml:space="preserve">In addition, on July 26, 2024, a companion case to </w:t>
      </w:r>
      <w:r>
        <w:rPr>
          <w:rFonts w:ascii="Arial" w:cs="Arial" w:eastAsia="Arial" w:hAnsi="Arial"/>
          <w:sz w:val="17"/>
          <w:szCs w:val="17"/>
          <w:b w:val="1"/>
          <w:bCs w:val="1"/>
          <w:i w:val="1"/>
          <w:iCs w:val="1"/>
          <w:color w:val="auto"/>
        </w:rPr>
        <w:t>Federation of Americans</w:t>
      </w:r>
      <w:r>
        <w:rPr>
          <w:rFonts w:ascii="Arial" w:cs="Arial" w:eastAsia="Arial" w:hAnsi="Arial"/>
          <w:sz w:val="17"/>
          <w:szCs w:val="17"/>
          <w:color w:val="auto"/>
        </w:rPr>
        <w:t xml:space="preserve"> filed in the United States District Court for the Northern District of Texas, </w:t>
      </w:r>
      <w:r>
        <w:rPr>
          <w:rFonts w:ascii="Arial" w:cs="Arial" w:eastAsia="Arial" w:hAnsi="Arial"/>
          <w:sz w:val="17"/>
          <w:szCs w:val="17"/>
          <w:b w:val="1"/>
          <w:bCs w:val="1"/>
          <w:i w:val="1"/>
          <w:iCs w:val="1"/>
          <w:color w:val="auto"/>
        </w:rPr>
        <w:t>American Council of Life Insurers, et al. v. United States Dep’t of Labor, et al.,</w:t>
      </w:r>
      <w:r>
        <w:rPr>
          <w:rFonts w:ascii="Arial" w:cs="Arial" w:eastAsia="Arial" w:hAnsi="Arial"/>
          <w:sz w:val="17"/>
          <w:szCs w:val="17"/>
          <w:color w:val="auto"/>
        </w:rPr>
        <w:t xml:space="preserve"> held the remaining PTE amendments included in the New Fiduciary Rule (PTEs 2020-02, 75-1, 77-4, 80-83, 83-1 and 86-128) that were not</w:t>
      </w:r>
    </w:p>
    <w:p>
      <w:pPr>
        <w:sectPr>
          <w:pgSz w:w="11880" w:h="15480" w:orient="portrait"/>
          <w:cols w:equalWidth="0" w:num="1">
            <w:col w:w="10040"/>
          </w:cols>
          <w:pgMar w:left="920" w:top="772" w:right="920" w:bottom="0" w:gutter="0" w:footer="0" w:header="0"/>
        </w:sect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47</w:t>
      </w:r>
    </w:p>
    <w:p>
      <w:pPr>
        <w:sectPr>
          <w:pgSz w:w="11880" w:h="15480" w:orient="portrait"/>
          <w:cols w:equalWidth="0" w:num="1">
            <w:col w:w="10040"/>
          </w:cols>
          <w:pgMar w:left="920" w:top="772" w:right="920" w:bottom="0" w:gutter="0" w:footer="0" w:header="0"/>
          <w:type w:val="continuous"/>
        </w:sectPr>
      </w:pPr>
    </w:p>
    <w:bookmarkStart w:id="59" w:name="page60"/>
    <w:bookmarkEnd w:id="59"/>
    <w:p>
      <w:pPr>
        <w:spacing w:after="0" w:line="273" w:lineRule="auto"/>
        <w:rPr>
          <w:sz w:val="20"/>
          <w:szCs w:val="20"/>
          <w:color w:val="auto"/>
        </w:rPr>
      </w:pPr>
      <w:r>
        <w:rPr>
          <w:rFonts w:ascii="Arial" w:cs="Arial" w:eastAsia="Arial" w:hAnsi="Arial"/>
          <w:sz w:val="20"/>
          <w:szCs w:val="20"/>
          <w:color w:val="auto"/>
        </w:rPr>
        <w:t xml:space="preserve">challenged in </w:t>
      </w:r>
      <w:r>
        <w:rPr>
          <w:rFonts w:ascii="Arial" w:cs="Arial" w:eastAsia="Arial" w:hAnsi="Arial"/>
          <w:sz w:val="20"/>
          <w:szCs w:val="20"/>
          <w:b w:val="1"/>
          <w:bCs w:val="1"/>
          <w:i w:val="1"/>
          <w:iCs w:val="1"/>
          <w:color w:val="auto"/>
        </w:rPr>
        <w:t>Federation of Americans</w:t>
      </w:r>
      <w:r>
        <w:rPr>
          <w:rFonts w:ascii="Arial" w:cs="Arial" w:eastAsia="Arial" w:hAnsi="Arial"/>
          <w:sz w:val="20"/>
          <w:szCs w:val="20"/>
          <w:color w:val="auto"/>
        </w:rPr>
        <w:t xml:space="preserve"> were also stayed, noting that the Northern District fully agreed with the Eastern District’s analysis and decision to stay the effective date of the New Fiduciary Rule.</w:t>
      </w:r>
    </w:p>
    <w:p>
      <w:pPr>
        <w:spacing w:after="0" w:line="67" w:lineRule="exact"/>
        <w:rPr>
          <w:sz w:val="20"/>
          <w:szCs w:val="20"/>
          <w:color w:val="auto"/>
        </w:rPr>
      </w:pPr>
    </w:p>
    <w:p>
      <w:pPr>
        <w:ind w:right="20" w:firstLine="353"/>
        <w:spacing w:after="0" w:line="264" w:lineRule="auto"/>
        <w:rPr>
          <w:sz w:val="20"/>
          <w:szCs w:val="20"/>
          <w:color w:val="auto"/>
        </w:rPr>
      </w:pPr>
      <w:r>
        <w:rPr>
          <w:rFonts w:ascii="Arial" w:cs="Arial" w:eastAsia="Arial" w:hAnsi="Arial"/>
          <w:sz w:val="19"/>
          <w:szCs w:val="19"/>
          <w:color w:val="auto"/>
        </w:rPr>
        <w:t>On September 20, 2024, the DOL appealed both rulings to the Fifth Circuit Court of Appeals. In early 2025, the DOL filed successive unopposed motions to hold the appeals in abeyance to allow new agency officials time to become familiar with the issues in these cases and determine how they wish to proceed. The motions were granted so the appeals were in abeyance. In November 2025, the DOL moved to voluntarily dismiss their appeals and the Fifth Circuit agreed and remanded the cases to the District Courts. The DOL has moved the District Courts to allow until March 2026 to determine their position and next steps with the cases. Adverse Texas District Court rulings could have harmful effects on the insurance industry, creating additional hurdles to operate our business.</w:t>
      </w:r>
    </w:p>
    <w:p>
      <w:pPr>
        <w:spacing w:after="0" w:line="82" w:lineRule="exact"/>
        <w:rPr>
          <w:sz w:val="20"/>
          <w:szCs w:val="20"/>
          <w:color w:val="auto"/>
        </w:rPr>
      </w:pPr>
    </w:p>
    <w:p>
      <w:pPr>
        <w:jc w:val="both"/>
        <w:ind w:firstLine="353"/>
        <w:spacing w:after="0" w:line="299" w:lineRule="auto"/>
        <w:rPr>
          <w:sz w:val="20"/>
          <w:szCs w:val="20"/>
          <w:color w:val="auto"/>
        </w:rPr>
      </w:pPr>
      <w:r>
        <w:rPr>
          <w:rFonts w:ascii="Arial" w:cs="Arial" w:eastAsia="Arial" w:hAnsi="Arial"/>
          <w:sz w:val="17"/>
          <w:szCs w:val="17"/>
          <w:color w:val="auto"/>
        </w:rPr>
        <w:t>We cannot predict the final outcome of the pending litigation regarding the New Fiduciary Rule; however, management believes these current and emerging developments relating to market conduct standards for the financial services industry may, over time, materially affect the way in which our agents do business, the role of IMOs, sale of IRA products including IRA-to-IRA and employer plan rollovers, how we supervise our distribution force, compensation practices and liability exposure and costs, all of which could adversely impact our business, results of operations and/or financial condition. In addition to implementing the compliance procedures described above, management is monitoring further developments closely and will be working with IMOs and distributors to adapt to these evolving regulatory requirements and risks. Please refer to “</w:t>
      </w:r>
      <w:r>
        <w:rPr>
          <w:rFonts w:ascii="Arial" w:cs="Arial" w:eastAsia="Arial" w:hAnsi="Arial"/>
          <w:sz w:val="17"/>
          <w:szCs w:val="17"/>
          <w:b w:val="1"/>
          <w:bCs w:val="1"/>
          <w:i w:val="1"/>
          <w:iCs w:val="1"/>
          <w:color w:val="auto"/>
        </w:rPr>
        <w:t>Business-Regulation of F&amp;G</w:t>
      </w:r>
      <w:r>
        <w:rPr>
          <w:rFonts w:ascii="Arial" w:cs="Arial" w:eastAsia="Arial" w:hAnsi="Arial"/>
          <w:sz w:val="17"/>
          <w:szCs w:val="17"/>
          <w:color w:val="auto"/>
        </w:rPr>
        <w:t>” for additional details on the DOL’s “Fiduciary Rule.”</w:t>
      </w:r>
    </w:p>
    <w:p>
      <w:pPr>
        <w:spacing w:after="0" w:line="44" w:lineRule="exact"/>
        <w:rPr>
          <w:sz w:val="20"/>
          <w:szCs w:val="20"/>
          <w:color w:val="auto"/>
        </w:rPr>
      </w:pPr>
    </w:p>
    <w:p>
      <w:pPr>
        <w:jc w:val="both"/>
        <w:spacing w:after="0" w:line="275" w:lineRule="auto"/>
        <w:rPr>
          <w:sz w:val="20"/>
          <w:szCs w:val="20"/>
          <w:color w:val="auto"/>
        </w:rPr>
      </w:pPr>
      <w:r>
        <w:rPr>
          <w:rFonts w:ascii="Arial" w:cs="Arial" w:eastAsia="Arial" w:hAnsi="Arial"/>
          <w:sz w:val="20"/>
          <w:szCs w:val="20"/>
          <w:b w:val="1"/>
          <w:bCs w:val="1"/>
          <w:i w:val="1"/>
          <w:iCs w:val="1"/>
          <w:color w:val="auto"/>
        </w:rPr>
        <w:t>Changes to regulations under ERISA could adversely affect the Company by increasing the Company’s regulatory and compliance burden.</w:t>
      </w:r>
    </w:p>
    <w:p>
      <w:pPr>
        <w:spacing w:after="0" w:line="68" w:lineRule="exact"/>
        <w:rPr>
          <w:sz w:val="20"/>
          <w:szCs w:val="20"/>
          <w:color w:val="auto"/>
        </w:rPr>
      </w:pPr>
    </w:p>
    <w:p>
      <w:pPr>
        <w:jc w:val="both"/>
        <w:ind w:firstLine="353"/>
        <w:spacing w:after="0" w:line="279" w:lineRule="auto"/>
        <w:rPr>
          <w:sz w:val="20"/>
          <w:szCs w:val="20"/>
          <w:color w:val="auto"/>
        </w:rPr>
      </w:pPr>
      <w:r>
        <w:rPr>
          <w:rFonts w:ascii="Arial" w:cs="Arial" w:eastAsia="Arial" w:hAnsi="Arial"/>
          <w:sz w:val="17"/>
          <w:szCs w:val="17"/>
          <w:color w:val="auto"/>
        </w:rPr>
        <w:t>The prohibited transaction rules of ERISA and the Code generally restrict the provision of investment advice to ERISA plans and participants and IRA owners, if the investment recommendation results in fees paid to the individual advisor, his or her firm, or their affiliates, which vary according to the investment recommendation chosen. The 2020 PTE, which took effect on February 16, 2021, was expected to ease some of the investment advice restrictions under ERISA. However, this expectation may change if the New Fiduciary Rule, discussed earlier, becomes law. Currently, the New Fiduciary Rule’s effective date has been stayed from going into effect. In recent years, the DOL has issued or proposed several regulations that increase the level of disclosure that must be provided to plan sponsors and participants. These ERISA disclosure requirements will increase the Company’s regulatory and compliance burden, resulting in increased costs.</w:t>
      </w:r>
    </w:p>
    <w:p>
      <w:pPr>
        <w:spacing w:after="0" w:line="49" w:lineRule="exact"/>
        <w:rPr>
          <w:sz w:val="20"/>
          <w:szCs w:val="20"/>
          <w:color w:val="auto"/>
        </w:rPr>
      </w:pPr>
    </w:p>
    <w:p>
      <w:pPr>
        <w:jc w:val="both"/>
        <w:spacing w:after="0" w:line="394" w:lineRule="auto"/>
        <w:rPr>
          <w:sz w:val="20"/>
          <w:szCs w:val="20"/>
          <w:color w:val="auto"/>
        </w:rPr>
      </w:pPr>
      <w:r>
        <w:rPr>
          <w:rFonts w:ascii="Arial" w:cs="Arial" w:eastAsia="Arial" w:hAnsi="Arial"/>
          <w:sz w:val="17"/>
          <w:szCs w:val="17"/>
          <w:b w:val="1"/>
          <w:bCs w:val="1"/>
          <w:i w:val="1"/>
          <w:iCs w:val="1"/>
          <w:color w:val="auto"/>
        </w:rPr>
        <w:t>Our regulation in Bermuda and the Cayman Islands may limit or curtail our activities, and changes to existing regulations may affect our ability to continue to offer our existing products and services, or new products and services.</w:t>
      </w:r>
    </w:p>
    <w:p>
      <w:pPr>
        <w:jc w:val="both"/>
        <w:ind w:firstLine="353"/>
        <w:spacing w:after="0" w:line="254" w:lineRule="auto"/>
        <w:rPr>
          <w:sz w:val="20"/>
          <w:szCs w:val="20"/>
          <w:color w:val="auto"/>
        </w:rPr>
      </w:pPr>
      <w:r>
        <w:rPr>
          <w:rFonts w:ascii="Arial" w:cs="Arial" w:eastAsia="Arial" w:hAnsi="Arial"/>
          <w:sz w:val="20"/>
          <w:szCs w:val="20"/>
          <w:color w:val="auto"/>
        </w:rPr>
        <w:t>Our business is subject to regulation in Bermuda and the Cayman Islands, including the BMA and the CIMA. These regulations may limit or curtail our activities, including activities that might be profitable, and changes to existing regulations may affect our ability to continue to offer our existing products and services, or new products and services we may wish to offer in the future.</w:t>
      </w:r>
    </w:p>
    <w:p>
      <w:pPr>
        <w:spacing w:after="0" w:line="85" w:lineRule="exact"/>
        <w:rPr>
          <w:sz w:val="20"/>
          <w:szCs w:val="20"/>
          <w:color w:val="auto"/>
        </w:rPr>
      </w:pPr>
    </w:p>
    <w:p>
      <w:pPr>
        <w:jc w:val="both"/>
        <w:ind w:firstLine="353"/>
        <w:spacing w:after="0" w:line="294" w:lineRule="auto"/>
        <w:rPr>
          <w:sz w:val="20"/>
          <w:szCs w:val="20"/>
          <w:color w:val="auto"/>
        </w:rPr>
      </w:pPr>
      <w:r>
        <w:rPr>
          <w:rFonts w:ascii="Arial" w:cs="Arial" w:eastAsia="Arial" w:hAnsi="Arial"/>
          <w:sz w:val="17"/>
          <w:szCs w:val="17"/>
          <w:color w:val="auto"/>
        </w:rPr>
        <w:t>Our reinsurance subsidiary, F&amp;G Life Re, is registered in Bermuda under the Bermuda Insurance Act and is subject to the rules and regulations promulgated thereunder. The BMA has sought regulatory equivalency, which enables Bermuda’s commercial insurers to transact business with the European Union (“EU”) on a “level playing field.” In connection with its initial efforts to achieve equivalency under the EU’s Directive (2009/138/EC) (“Solvency II”), the BMA implemented and imposed additional requirements on the companies it regulates. Effective January 1, 2015, Bermuda was placed on the NAIC’s List of Qualified Jurisdictions, which makes Bermuda-domiciled reinsurers that meet certain criteria to qualify as a certified reinsurer eligible for reduced reinsurance collateral requirements under the NAIC’s Credit for Reinsurance Model Law and Regulations as adopted by various states. F&amp;G Life Re has been designated as a certified reinsurer in Iowa. The European Commission in 2016 granted Bermuda’s commercial insurers full equivalency in all areas of Solvency II for an indefinite period of time. Effective January 1, 2020, Bermuda was granted NAIC Reciprocal Jurisdiction status, which makes Bermuda domiciled reinsurers that satisfy certain conditions eligible to be designated as a reciprocal jurisdiction reinsurer. Under the NAIC’s Credit for Reinsurance Model Law and Regulations, which has been adopted by all states, a ceding insurer may take credit for reinsurance ceded to a reciprocal jurisdiction reinsurer without posting any collateral. F&amp;G Life Re has been approved as a reciprocal jurisdiction reinsurer in Iowa.</w:t>
      </w:r>
    </w:p>
    <w:p>
      <w:pPr>
        <w:spacing w:after="0" w:line="297" w:lineRule="exact"/>
        <w:rPr>
          <w:sz w:val="20"/>
          <w:szCs w:val="20"/>
          <w:color w:val="auto"/>
        </w:rPr>
      </w:pPr>
    </w:p>
    <w:p>
      <w:pPr>
        <w:jc w:val="both"/>
        <w:ind w:firstLine="353"/>
        <w:spacing w:after="0" w:line="250" w:lineRule="auto"/>
        <w:rPr>
          <w:sz w:val="20"/>
          <w:szCs w:val="20"/>
          <w:color w:val="auto"/>
        </w:rPr>
      </w:pPr>
      <w:r>
        <w:rPr>
          <w:rFonts w:ascii="Arial" w:cs="Arial" w:eastAsia="Arial" w:hAnsi="Arial"/>
          <w:sz w:val="20"/>
          <w:szCs w:val="20"/>
          <w:color w:val="auto"/>
        </w:rPr>
        <w:t>Our reinsurance subsidiary, F&amp;G Cayman Re, is a licensed Class D insurer in the Cayman Islands and a wholly owned direct subsidiary of ours, is licensed by the CIMA and is subject to supervision by CIMA. CIMA may, at any time, direct F&amp;G Cayman Re, in relation to a policy, a line of business or the entire business, to cease or refrain from committing an act or pursing a course of conduct and to perform such acts as in the opinion of CIMA are necessary to remedy or ameliorate the situation. Please refer to “</w:t>
      </w:r>
      <w:r>
        <w:rPr>
          <w:rFonts w:ascii="Arial" w:cs="Arial" w:eastAsia="Arial" w:hAnsi="Arial"/>
          <w:sz w:val="20"/>
          <w:szCs w:val="20"/>
          <w:b w:val="1"/>
          <w:bCs w:val="1"/>
          <w:i w:val="1"/>
          <w:iCs w:val="1"/>
          <w:color w:val="auto"/>
        </w:rPr>
        <w:t>Business-Regulation of F&amp;G</w:t>
      </w:r>
      <w:r>
        <w:rPr>
          <w:rFonts w:ascii="Arial" w:cs="Arial" w:eastAsia="Arial" w:hAnsi="Arial"/>
          <w:sz w:val="20"/>
          <w:szCs w:val="20"/>
          <w:color w:val="auto"/>
        </w:rPr>
        <w:t>” for additional details on the regulations in Bermuda and the Cayman Islands.</w:t>
      </w:r>
    </w:p>
    <w:p>
      <w:pPr>
        <w:sectPr>
          <w:pgSz w:w="11880" w:h="15480" w:orient="portrait"/>
          <w:cols w:equalWidth="0" w:num="1">
            <w:col w:w="10040"/>
          </w:cols>
          <w:pgMar w:left="920" w:top="770"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48</w:t>
      </w:r>
    </w:p>
    <w:p>
      <w:pPr>
        <w:sectPr>
          <w:pgSz w:w="11880" w:h="15480" w:orient="portrait"/>
          <w:cols w:equalWidth="0" w:num="1">
            <w:col w:w="10040"/>
          </w:cols>
          <w:pgMar w:left="920" w:top="770" w:right="920" w:bottom="0" w:gutter="0" w:footer="0" w:header="0"/>
          <w:type w:val="continuous"/>
        </w:sectPr>
      </w:pPr>
    </w:p>
    <w:bookmarkStart w:id="60" w:name="page61"/>
    <w:bookmarkEnd w:id="60"/>
    <w:p>
      <w:pPr>
        <w:spacing w:after="0"/>
        <w:rPr>
          <w:sz w:val="20"/>
          <w:szCs w:val="20"/>
          <w:color w:val="auto"/>
        </w:rPr>
      </w:pPr>
      <w:r>
        <w:rPr>
          <w:rFonts w:ascii="Arial" w:cs="Arial" w:eastAsia="Arial" w:hAnsi="Arial"/>
          <w:sz w:val="20"/>
          <w:szCs w:val="20"/>
          <w:b w:val="1"/>
          <w:bCs w:val="1"/>
          <w:i w:val="1"/>
          <w:iCs w:val="1"/>
          <w:color w:val="auto"/>
        </w:rPr>
        <w:t>The SECURE 2.0 Act of 2022 may impact our business and the markets in which we compete.</w:t>
      </w:r>
    </w:p>
    <w:p>
      <w:pPr>
        <w:spacing w:after="0" w:line="130" w:lineRule="exact"/>
        <w:rPr>
          <w:sz w:val="20"/>
          <w:szCs w:val="20"/>
          <w:color w:val="auto"/>
        </w:rPr>
      </w:pPr>
    </w:p>
    <w:p>
      <w:pPr>
        <w:jc w:val="both"/>
        <w:ind w:firstLine="353"/>
        <w:spacing w:after="0" w:line="262" w:lineRule="auto"/>
        <w:rPr>
          <w:sz w:val="20"/>
          <w:szCs w:val="20"/>
          <w:color w:val="auto"/>
        </w:rPr>
      </w:pPr>
      <w:r>
        <w:rPr>
          <w:rFonts w:ascii="Arial" w:cs="Arial" w:eastAsia="Arial" w:hAnsi="Arial"/>
          <w:sz w:val="19"/>
          <w:szCs w:val="19"/>
          <w:color w:val="auto"/>
        </w:rPr>
        <w:t>The Secure 2.0 Act of 2022, Division T of the Consolidated Appropriations Act, 2023 (“SECURE Act 2.0”), was signed into law on December 29, 2022, and for which relevant provisions went into effect January 1, 2023, in certain respects. The SECURE Act 2.0 contains provisions that may impact our F&amp;G insurance subsidiaries, and these changes could affect the desirability of IRAs, necessitate changes to our administrative system to implement the Act, and affect, to some extent, the length of time that IRA assets remain in our annuity products. These provisions include, for example, raising the age for required minimum distributions from IRAs from 72 to 73 (age 74 after 2032); additional exceptions to the 10% penalty tax for distributions before age 59-1/2; reduction of the penalty for failures to take a required distribution amount; directions to the SEC for new registration forms for RILAs; and directions to the DOL to revisit fiduciary standards relating to choosing an annuity provider in pension risk transfer transactions. While we cannot predict whether, or to what extent, the SECURE Act 2.0 will ultimately impact us, whether positive or negative, it may have implications for our business operations and the markets in which we compete.</w:t>
      </w:r>
    </w:p>
    <w:p>
      <w:pPr>
        <w:spacing w:after="0" w:line="74" w:lineRule="exact"/>
        <w:rPr>
          <w:sz w:val="20"/>
          <w:szCs w:val="20"/>
          <w:color w:val="auto"/>
        </w:rPr>
      </w:pPr>
    </w:p>
    <w:p>
      <w:pPr>
        <w:jc w:val="both"/>
        <w:spacing w:after="0" w:line="275" w:lineRule="auto"/>
        <w:rPr>
          <w:sz w:val="20"/>
          <w:szCs w:val="20"/>
          <w:color w:val="auto"/>
        </w:rPr>
      </w:pPr>
      <w:r>
        <w:rPr>
          <w:rFonts w:ascii="Arial" w:cs="Arial" w:eastAsia="Arial" w:hAnsi="Arial"/>
          <w:sz w:val="20"/>
          <w:szCs w:val="20"/>
          <w:b w:val="1"/>
          <w:bCs w:val="1"/>
          <w:i w:val="1"/>
          <w:iCs w:val="1"/>
          <w:color w:val="auto"/>
        </w:rPr>
        <w:t>Regulatory investigations of the insurance industry may lead to fines, settlements, new regulation or legal uncertainty, which could negatively affect our results of operations.</w:t>
      </w:r>
    </w:p>
    <w:p>
      <w:pPr>
        <w:spacing w:after="0" w:line="68" w:lineRule="exact"/>
        <w:rPr>
          <w:sz w:val="20"/>
          <w:szCs w:val="20"/>
          <w:color w:val="auto"/>
        </w:rPr>
      </w:pPr>
    </w:p>
    <w:p>
      <w:pPr>
        <w:jc w:val="both"/>
        <w:ind w:firstLine="353"/>
        <w:spacing w:after="0" w:line="299" w:lineRule="auto"/>
        <w:rPr>
          <w:sz w:val="20"/>
          <w:szCs w:val="20"/>
          <w:color w:val="auto"/>
        </w:rPr>
      </w:pPr>
      <w:r>
        <w:rPr>
          <w:rFonts w:ascii="Arial" w:cs="Arial" w:eastAsia="Arial" w:hAnsi="Arial"/>
          <w:sz w:val="17"/>
          <w:szCs w:val="17"/>
          <w:color w:val="auto"/>
        </w:rPr>
        <w:t>From time to time we receive inquiries and requests for information from state insurance departments, attorneys general and other regulatory agencies about various matters relating to our business. Sometimes these take the form of civil investigative demands or subpoenas. We cooperate with all such inquiries and we have responded to or are currently responding to inquiries from multiple governmental agencies. Also, regulators and courts have been dealing with issues arising from foreclosures and related processes and documentation. Various governmental entities are studying the insurance product, market, pricing and business practices, and potential regulatory and legislative changes, which may materially affect our business and operations. From time to time, we are assessed fines for violations of regulations or other matters or enter into settlements with such authorities, which may require us to pay fines or claims or take other actions.</w:t>
      </w:r>
    </w:p>
    <w:p>
      <w:pPr>
        <w:spacing w:after="0" w:line="44" w:lineRule="exact"/>
        <w:rPr>
          <w:sz w:val="20"/>
          <w:szCs w:val="20"/>
          <w:color w:val="auto"/>
        </w:rPr>
      </w:pPr>
    </w:p>
    <w:p>
      <w:pPr>
        <w:jc w:val="both"/>
        <w:spacing w:after="0" w:line="275" w:lineRule="auto"/>
        <w:rPr>
          <w:sz w:val="20"/>
          <w:szCs w:val="20"/>
          <w:color w:val="auto"/>
        </w:rPr>
      </w:pPr>
      <w:r>
        <w:rPr>
          <w:rFonts w:ascii="Arial" w:cs="Arial" w:eastAsia="Arial" w:hAnsi="Arial"/>
          <w:sz w:val="20"/>
          <w:szCs w:val="20"/>
          <w:b w:val="1"/>
          <w:bCs w:val="1"/>
          <w:i w:val="1"/>
          <w:iCs w:val="1"/>
          <w:color w:val="auto"/>
        </w:rPr>
        <w:t>Changing rules, public disclosure regulations and stakeholder expectations on environmental, social and corporate governance (“ESG”) related matters create a variety of risks for our business.</w:t>
      </w:r>
    </w:p>
    <w:p>
      <w:pPr>
        <w:spacing w:after="0" w:line="68" w:lineRule="exact"/>
        <w:rPr>
          <w:sz w:val="20"/>
          <w:szCs w:val="20"/>
          <w:color w:val="auto"/>
        </w:rPr>
      </w:pPr>
    </w:p>
    <w:p>
      <w:pPr>
        <w:jc w:val="both"/>
        <w:ind w:firstLine="353"/>
        <w:spacing w:after="0" w:line="249" w:lineRule="auto"/>
        <w:rPr>
          <w:sz w:val="20"/>
          <w:szCs w:val="20"/>
          <w:color w:val="auto"/>
        </w:rPr>
      </w:pPr>
      <w:r>
        <w:rPr>
          <w:rFonts w:ascii="Arial" w:cs="Arial" w:eastAsia="Arial" w:hAnsi="Arial"/>
          <w:sz w:val="20"/>
          <w:szCs w:val="20"/>
          <w:color w:val="auto"/>
        </w:rPr>
        <w:t>In addition to the changing rules and regulations related to ESG matters imposed by governmental and self-regulatory organizations, a variety of third-party organizations, institutional investors and customers evaluate the performance of companies on ESG topics, and the results of these assessments are widely publicized. These changing rules, regulations and stakeholder expectations have resulted in, and are likely to continue to result in, increased general and administrative expenses and increased management time and attention spent complying with or meeting such regulations and expectations. Reduced access to or increased cost of capital may occur as financial institutions and investors increase or change expectations related to ESG matters.</w:t>
      </w:r>
    </w:p>
    <w:p>
      <w:pPr>
        <w:spacing w:after="0" w:line="94" w:lineRule="exact"/>
        <w:rPr>
          <w:sz w:val="20"/>
          <w:szCs w:val="20"/>
          <w:color w:val="auto"/>
        </w:rPr>
      </w:pPr>
    </w:p>
    <w:p>
      <w:pPr>
        <w:jc w:val="both"/>
        <w:ind w:firstLine="353"/>
        <w:spacing w:after="0" w:line="297" w:lineRule="auto"/>
        <w:rPr>
          <w:sz w:val="20"/>
          <w:szCs w:val="20"/>
          <w:color w:val="auto"/>
        </w:rPr>
      </w:pPr>
      <w:r>
        <w:rPr>
          <w:rFonts w:ascii="Arial" w:cs="Arial" w:eastAsia="Arial" w:hAnsi="Arial"/>
          <w:sz w:val="17"/>
          <w:szCs w:val="17"/>
          <w:color w:val="auto"/>
        </w:rPr>
        <w:t>Developing and acting on initiatives within the scope of ESG, and collecting, measuring and reporting ESG-related information and metrics can be costly, difficult and time consuming and is subject to evolving reporting standards. We may also communicate certain initiatives and goals, regarding environmental matters, diversity, social investments and other ESG-related matters, in our SEC filings or in other public disclosures. These initiatives and goals within the scope of ESG could be difficult and expensive to implement, the technologies needed to implement them may not be cost effective and may not advance at a sufficient pace, and we could be criticized for the accuracy, adequacy or completeness of the disclosure. If our ESG-related data, processes and reporting are incomplete or inaccurate, or if we fail to achieve progress with respect to our goals, including our previously announced commitments to reduce greenhouse gas emissions, within the scope of ESG on a timely basis, or at all, our reputation, business, financial performance and growth could be adversely affected.</w:t>
      </w:r>
    </w:p>
    <w:p>
      <w:pPr>
        <w:spacing w:after="0" w:line="57" w:lineRule="exact"/>
        <w:rPr>
          <w:sz w:val="20"/>
          <w:szCs w:val="20"/>
          <w:color w:val="auto"/>
        </w:rPr>
      </w:pPr>
    </w:p>
    <w:p>
      <w:pPr>
        <w:jc w:val="both"/>
        <w:ind w:firstLine="353"/>
        <w:spacing w:after="0" w:line="268" w:lineRule="auto"/>
        <w:rPr>
          <w:sz w:val="20"/>
          <w:szCs w:val="20"/>
          <w:color w:val="auto"/>
        </w:rPr>
      </w:pPr>
      <w:r>
        <w:rPr>
          <w:rFonts w:ascii="Arial" w:cs="Arial" w:eastAsia="Arial" w:hAnsi="Arial"/>
          <w:sz w:val="19"/>
          <w:szCs w:val="19"/>
          <w:color w:val="auto"/>
        </w:rPr>
        <w:t>In addition, in recent years “anti-ESG” sentiment has gained momentum across the U.S., with several states and Congress having proposed or enacted “anti-ESG” policies, legislation, or initiatives or issued related legal opinions, and the President having recently issued an executive order opposing diversity equity and inclusion (“DEI”) initiatives in the private sector. Such "anti-ESG" and anti-DEI-related policies, legislation, initiatives, litigation, legal opinions, and scrutiny could result in additional compliance obligations, investigations and enforcement actions, or reputational harm.</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Risk Factors Relating to the Credit Risk of our Counterparties</w:t>
      </w:r>
    </w:p>
    <w:p>
      <w:pPr>
        <w:spacing w:after="0" w:line="123" w:lineRule="exact"/>
        <w:rPr>
          <w:sz w:val="20"/>
          <w:szCs w:val="20"/>
          <w:color w:val="auto"/>
        </w:rPr>
      </w:pPr>
    </w:p>
    <w:p>
      <w:pPr>
        <w:jc w:val="both"/>
        <w:spacing w:after="0" w:line="275" w:lineRule="auto"/>
        <w:rPr>
          <w:sz w:val="20"/>
          <w:szCs w:val="20"/>
          <w:color w:val="auto"/>
        </w:rPr>
      </w:pPr>
      <w:r>
        <w:rPr>
          <w:rFonts w:ascii="Arial" w:cs="Arial" w:eastAsia="Arial" w:hAnsi="Arial"/>
          <w:sz w:val="20"/>
          <w:szCs w:val="20"/>
          <w:b w:val="1"/>
          <w:bCs w:val="1"/>
          <w:i w:val="1"/>
          <w:iCs w:val="1"/>
          <w:color w:val="auto"/>
        </w:rPr>
        <w:t>We are subject to the credit risk of our counterparties, including companies with whom we have reinsurance agreements or we have purchased equity options.</w:t>
      </w:r>
    </w:p>
    <w:p>
      <w:pPr>
        <w:spacing w:after="0" w:line="68" w:lineRule="exact"/>
        <w:rPr>
          <w:sz w:val="20"/>
          <w:szCs w:val="20"/>
          <w:color w:val="auto"/>
        </w:rPr>
      </w:pPr>
    </w:p>
    <w:p>
      <w:pPr>
        <w:jc w:val="both"/>
        <w:ind w:firstLine="412"/>
        <w:spacing w:after="0" w:line="312" w:lineRule="auto"/>
        <w:rPr>
          <w:sz w:val="20"/>
          <w:szCs w:val="20"/>
          <w:color w:val="auto"/>
        </w:rPr>
      </w:pPr>
      <w:r>
        <w:rPr>
          <w:rFonts w:ascii="Arial" w:cs="Arial" w:eastAsia="Arial" w:hAnsi="Arial"/>
          <w:sz w:val="17"/>
          <w:szCs w:val="17"/>
          <w:color w:val="auto"/>
        </w:rPr>
        <w:t>We cede material amounts of insurance and transfers of related assets and certain liabilities to other insurance companies through reinsurance. Accordingly, we bear credit risk with respect to our reinsurers. The failure, insolvency, inability, or unwillingness of any reinsurer to pay under the terms of reinsurance agreements with us could materially adversely affect our business, financial condition, liquidity, and results of operations. We regularly monitor the credit rating and performance of our</w:t>
      </w:r>
    </w:p>
    <w:p>
      <w:pPr>
        <w:sectPr>
          <w:pgSz w:w="11880" w:h="15480" w:orient="portrait"/>
          <w:cols w:equalWidth="0" w:num="1">
            <w:col w:w="10040"/>
          </w:cols>
          <w:pgMar w:left="920" w:top="765"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49</w:t>
      </w:r>
    </w:p>
    <w:p>
      <w:pPr>
        <w:sectPr>
          <w:pgSz w:w="11880" w:h="15480" w:orient="portrait"/>
          <w:cols w:equalWidth="0" w:num="1">
            <w:col w:w="10040"/>
          </w:cols>
          <w:pgMar w:left="920" w:top="765" w:right="920" w:bottom="0" w:gutter="0" w:footer="0" w:header="0"/>
          <w:type w:val="continuous"/>
        </w:sectPr>
      </w:pPr>
    </w:p>
    <w:bookmarkStart w:id="61" w:name="page62"/>
    <w:bookmarkEnd w:id="61"/>
    <w:p>
      <w:pPr>
        <w:jc w:val="both"/>
        <w:spacing w:after="0" w:line="251" w:lineRule="auto"/>
        <w:rPr>
          <w:sz w:val="20"/>
          <w:szCs w:val="20"/>
          <w:color w:val="auto"/>
        </w:rPr>
      </w:pPr>
      <w:r>
        <w:rPr>
          <w:rFonts w:ascii="Arial" w:cs="Arial" w:eastAsia="Arial" w:hAnsi="Arial"/>
          <w:sz w:val="20"/>
          <w:szCs w:val="20"/>
          <w:color w:val="auto"/>
        </w:rPr>
        <w:t>reinsurance parties. Aspida Re, Wilton Re, Somerset and Everlake represent our largest third-party reinsurance counterparty exposure. As of December 31, 2025, the net amount recoverable from Aspida Re, Wilton Re, Somerset, and Everlake were $8,589 million, $5,071 million, $1,868 million, and $1,032 million, respectively. The risk of non-performance is mitigated with various forms of collateral or collateral arrangements, including secured trusts, funds withheld accounts and irrevocable letters of credit.</w:t>
      </w:r>
    </w:p>
    <w:p>
      <w:pPr>
        <w:spacing w:after="0" w:line="91" w:lineRule="exact"/>
        <w:rPr>
          <w:sz w:val="20"/>
          <w:szCs w:val="20"/>
          <w:color w:val="auto"/>
        </w:rPr>
      </w:pPr>
    </w:p>
    <w:p>
      <w:pPr>
        <w:jc w:val="both"/>
        <w:ind w:firstLine="353"/>
        <w:spacing w:after="0" w:line="303" w:lineRule="auto"/>
        <w:rPr>
          <w:sz w:val="20"/>
          <w:szCs w:val="20"/>
          <w:color w:val="auto"/>
        </w:rPr>
      </w:pPr>
      <w:r>
        <w:rPr>
          <w:rFonts w:ascii="Arial" w:cs="Arial" w:eastAsia="Arial" w:hAnsi="Arial"/>
          <w:sz w:val="17"/>
          <w:szCs w:val="17"/>
          <w:color w:val="auto"/>
        </w:rPr>
        <w:t>We are also exposed to credit loss in the event of non-performance by our counterparties on options. We seek to reduce the risk associated with such agreements by purchasing such options from large, well-established financial institutions, and by holding collateral. There can be no assurance we will not suffer losses in the event of counterparty non-performance. Several of our derivative counterparty International Swap and Derivative Association (“ISDA”) agreements contain additional termination event triggers based on a downgrade of FGL Insurance. These triggers would give these counterparties the option to terminate our options, which could lead to losses if occurring at an inopportune time.</w:t>
      </w:r>
    </w:p>
    <w:p>
      <w:pPr>
        <w:spacing w:after="0" w:line="46" w:lineRule="exact"/>
        <w:rPr>
          <w:sz w:val="20"/>
          <w:szCs w:val="20"/>
          <w:color w:val="auto"/>
        </w:rPr>
      </w:pPr>
    </w:p>
    <w:p>
      <w:pPr>
        <w:jc w:val="both"/>
        <w:ind w:firstLine="353"/>
        <w:spacing w:after="0" w:line="273" w:lineRule="auto"/>
        <w:rPr>
          <w:sz w:val="20"/>
          <w:szCs w:val="20"/>
          <w:color w:val="auto"/>
        </w:rPr>
      </w:pPr>
      <w:r>
        <w:rPr>
          <w:rFonts w:ascii="Arial" w:cs="Arial" w:eastAsia="Arial" w:hAnsi="Arial"/>
          <w:sz w:val="20"/>
          <w:szCs w:val="20"/>
          <w:color w:val="auto"/>
        </w:rPr>
        <w:t xml:space="preserve">Please refer to </w:t>
      </w:r>
      <w:r>
        <w:rPr>
          <w:rFonts w:ascii="Arial" w:cs="Arial" w:eastAsia="Arial" w:hAnsi="Arial"/>
          <w:sz w:val="20"/>
          <w:szCs w:val="20"/>
          <w:b w:val="1"/>
          <w:bCs w:val="1"/>
          <w:i w:val="1"/>
          <w:iCs w:val="1"/>
          <w:color w:val="auto"/>
        </w:rPr>
        <w:t>“Management’s Discussion and Analysis of Financial Condition and Results of Operations”</w:t>
      </w:r>
      <w:r>
        <w:rPr>
          <w:rFonts w:ascii="Arial" w:cs="Arial" w:eastAsia="Arial" w:hAnsi="Arial"/>
          <w:sz w:val="20"/>
          <w:szCs w:val="20"/>
          <w:color w:val="auto"/>
        </w:rPr>
        <w:t xml:space="preserve"> for additional details on credit risk and counterparty risk.</w:t>
      </w:r>
    </w:p>
    <w:p>
      <w:pPr>
        <w:spacing w:after="0" w:line="5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financial institutions at which we hold escrow funds fail, it could have a material adverse impact on our company.</w:t>
      </w:r>
    </w:p>
    <w:p>
      <w:pPr>
        <w:spacing w:after="0" w:line="164" w:lineRule="exact"/>
        <w:rPr>
          <w:sz w:val="20"/>
          <w:szCs w:val="20"/>
          <w:color w:val="auto"/>
        </w:rPr>
      </w:pPr>
    </w:p>
    <w:p>
      <w:pPr>
        <w:jc w:val="both"/>
        <w:ind w:firstLine="353"/>
        <w:spacing w:after="0" w:line="266" w:lineRule="auto"/>
        <w:rPr>
          <w:sz w:val="20"/>
          <w:szCs w:val="20"/>
          <w:color w:val="auto"/>
        </w:rPr>
      </w:pPr>
      <w:r>
        <w:rPr>
          <w:rFonts w:ascii="Arial" w:cs="Arial" w:eastAsia="Arial" w:hAnsi="Arial"/>
          <w:sz w:val="19"/>
          <w:szCs w:val="19"/>
          <w:color w:val="auto"/>
        </w:rPr>
        <w:t>We hold customers' assets in escrow at various financial institutions, pending completion of real estate transactions. These assets are maintained in segregated bank accounts and have not been included in the accompanying Consolidated Balance Sheets. We have a contingent liability relating to proper disposition of these balances for our customers, which amounted to $16.2 billion at December 31, 2025. Failure of one or more of these financial institutions may lead us to become liable for the funds owed to third parties and there is no guarantee that we would recover the funds deposited, whether through Federal Deposit Insurance Corporation coverage or otherwise.</w:t>
      </w:r>
    </w:p>
    <w:p>
      <w:pPr>
        <w:spacing w:after="0" w:line="69" w:lineRule="exact"/>
        <w:rPr>
          <w:sz w:val="20"/>
          <w:szCs w:val="20"/>
          <w:color w:val="auto"/>
        </w:rPr>
      </w:pPr>
    </w:p>
    <w:p>
      <w:pPr>
        <w:jc w:val="both"/>
        <w:spacing w:after="0" w:line="275" w:lineRule="auto"/>
        <w:rPr>
          <w:sz w:val="20"/>
          <w:szCs w:val="20"/>
          <w:color w:val="auto"/>
        </w:rPr>
      </w:pPr>
      <w:r>
        <w:rPr>
          <w:rFonts w:ascii="Arial" w:cs="Arial" w:eastAsia="Arial" w:hAnsi="Arial"/>
          <w:sz w:val="20"/>
          <w:szCs w:val="20"/>
          <w:b w:val="1"/>
          <w:bCs w:val="1"/>
          <w:color w:val="auto"/>
        </w:rPr>
        <w:t>Risk Factors Related to a National or Global Crisis, Climate Change, Computer Cyber-terrorism and Other Catastrophic Events</w:t>
      </w:r>
    </w:p>
    <w:p>
      <w:pPr>
        <w:spacing w:after="0" w:line="61" w:lineRule="exact"/>
        <w:rPr>
          <w:sz w:val="20"/>
          <w:szCs w:val="20"/>
          <w:color w:val="auto"/>
        </w:rPr>
      </w:pPr>
    </w:p>
    <w:p>
      <w:pPr>
        <w:jc w:val="both"/>
        <w:spacing w:after="0" w:line="275" w:lineRule="auto"/>
        <w:rPr>
          <w:sz w:val="20"/>
          <w:szCs w:val="20"/>
          <w:color w:val="auto"/>
        </w:rPr>
      </w:pPr>
      <w:r>
        <w:rPr>
          <w:rFonts w:ascii="Arial" w:cs="Arial" w:eastAsia="Arial" w:hAnsi="Arial"/>
          <w:sz w:val="20"/>
          <w:szCs w:val="20"/>
          <w:b w:val="1"/>
          <w:bCs w:val="1"/>
          <w:i w:val="1"/>
          <w:iCs w:val="1"/>
          <w:color w:val="auto"/>
        </w:rPr>
        <w:t>Our business could be materially and adversely affected by the occurrence of a catastrophe, including natural disasters or those caused by humans.</w:t>
      </w:r>
    </w:p>
    <w:p>
      <w:pPr>
        <w:spacing w:after="0" w:line="68" w:lineRule="exact"/>
        <w:rPr>
          <w:sz w:val="20"/>
          <w:szCs w:val="20"/>
          <w:color w:val="auto"/>
        </w:rPr>
      </w:pPr>
    </w:p>
    <w:p>
      <w:pPr>
        <w:jc w:val="both"/>
        <w:ind w:firstLine="353"/>
        <w:spacing w:after="0" w:line="271" w:lineRule="auto"/>
        <w:rPr>
          <w:sz w:val="20"/>
          <w:szCs w:val="20"/>
          <w:color w:val="auto"/>
        </w:rPr>
      </w:pPr>
      <w:r>
        <w:rPr>
          <w:rFonts w:ascii="Arial" w:cs="Arial" w:eastAsia="Arial" w:hAnsi="Arial"/>
          <w:sz w:val="20"/>
          <w:szCs w:val="20"/>
          <w:color w:val="auto"/>
        </w:rPr>
        <w:t>Any catastrophic event, such as a pandemic, terrorist attacks, floods, severe storms or hurricanes, or cyber-attacks, could have a material and adverse effect on our business in several respects:</w:t>
      </w:r>
    </w:p>
    <w:p>
      <w:pPr>
        <w:spacing w:after="0" w:line="69" w:lineRule="exact"/>
        <w:rPr>
          <w:sz w:val="20"/>
          <w:szCs w:val="20"/>
          <w:color w:val="auto"/>
        </w:rPr>
      </w:pPr>
    </w:p>
    <w:p>
      <w:pPr>
        <w:ind w:left="700" w:hanging="355"/>
        <w:spacing w:after="0" w:line="348" w:lineRule="auto"/>
        <w:tabs>
          <w:tab w:leader="none" w:pos="70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outbreak of a pandemic disease, like COVID-19, could have a material adverse effect on our liquidity, financial condition, and the operating results of our insurance business due to its impact on the economy and financial markets;</w:t>
      </w:r>
    </w:p>
    <w:p>
      <w:pPr>
        <w:spacing w:after="0" w:line="1" w:lineRule="exact"/>
        <w:rPr>
          <w:rFonts w:ascii="Arial" w:cs="Arial" w:eastAsia="Arial" w:hAnsi="Arial"/>
          <w:sz w:val="17"/>
          <w:szCs w:val="17"/>
          <w:color w:val="auto"/>
        </w:rPr>
      </w:pPr>
    </w:p>
    <w:p>
      <w:pPr>
        <w:jc w:val="both"/>
        <w:ind w:left="700" w:hanging="355"/>
        <w:spacing w:after="0" w:line="258" w:lineRule="auto"/>
        <w:tabs>
          <w:tab w:leader="none" w:pos="700" w:val="left"/>
        </w:tabs>
        <w:numPr>
          <w:ilvl w:val="0"/>
          <w:numId w:val="28"/>
        </w:numPr>
        <w:rPr>
          <w:rFonts w:ascii="Arial" w:cs="Arial" w:eastAsia="Arial" w:hAnsi="Arial"/>
          <w:sz w:val="20"/>
          <w:szCs w:val="20"/>
          <w:color w:val="auto"/>
        </w:rPr>
      </w:pPr>
      <w:r>
        <w:rPr>
          <w:rFonts w:ascii="Arial" w:cs="Arial" w:eastAsia="Arial" w:hAnsi="Arial"/>
          <w:sz w:val="20"/>
          <w:szCs w:val="20"/>
          <w:color w:val="auto"/>
        </w:rPr>
        <w:t>the occurrence of any pandemic disease, natural disaster, terrorist attack, or any other catastrophic event that results in our workforce being unable to be physically located at one of our facilities could result in lengthy interruptions in our service; or</w:t>
      </w:r>
    </w:p>
    <w:p>
      <w:pPr>
        <w:spacing w:after="0" w:line="61" w:lineRule="exact"/>
        <w:rPr>
          <w:rFonts w:ascii="Arial" w:cs="Arial" w:eastAsia="Arial" w:hAnsi="Arial"/>
          <w:sz w:val="20"/>
          <w:szCs w:val="20"/>
          <w:color w:val="auto"/>
        </w:rPr>
      </w:pPr>
    </w:p>
    <w:p>
      <w:pPr>
        <w:jc w:val="both"/>
        <w:ind w:left="700" w:hanging="355"/>
        <w:spacing w:after="0" w:line="250" w:lineRule="auto"/>
        <w:tabs>
          <w:tab w:leader="none" w:pos="700" w:val="left"/>
        </w:tabs>
        <w:numPr>
          <w:ilvl w:val="0"/>
          <w:numId w:val="28"/>
        </w:numPr>
        <w:rPr>
          <w:rFonts w:ascii="Arial" w:cs="Arial" w:eastAsia="Arial" w:hAnsi="Arial"/>
          <w:sz w:val="20"/>
          <w:szCs w:val="20"/>
          <w:color w:val="auto"/>
        </w:rPr>
      </w:pPr>
      <w:r>
        <w:rPr>
          <w:rFonts w:ascii="Arial" w:cs="Arial" w:eastAsia="Arial" w:hAnsi="Arial"/>
          <w:sz w:val="20"/>
          <w:szCs w:val="20"/>
          <w:color w:val="auto"/>
        </w:rPr>
        <w:t>we could experience long-term interruptions in our service and the services provided by our significant vendors due to the effects of catastrophic events, including but not limited to cyber-attacks. Some of our operational systems are not fully redundant, and our disaster recovery and business continuity planning cannot account for all eventualities. Additionally, unanticipated problems with our disaster recovery systems could further impede our ability to conduct business, particularly if those problems affect our computer-based data processing, transmission, storage and retrieval systems and destroy valuable data;</w:t>
      </w:r>
    </w:p>
    <w:p>
      <w:pPr>
        <w:spacing w:after="0" w:line="71" w:lineRule="exact"/>
        <w:rPr>
          <w:rFonts w:ascii="Arial" w:cs="Arial" w:eastAsia="Arial" w:hAnsi="Arial"/>
          <w:sz w:val="20"/>
          <w:szCs w:val="20"/>
          <w:color w:val="auto"/>
        </w:rPr>
      </w:pPr>
    </w:p>
    <w:p>
      <w:pPr>
        <w:ind w:left="700" w:hanging="355"/>
        <w:spacing w:after="0" w:line="298" w:lineRule="auto"/>
        <w:tabs>
          <w:tab w:leader="none" w:pos="700" w:val="left"/>
        </w:tabs>
        <w:numPr>
          <w:ilvl w:val="0"/>
          <w:numId w:val="28"/>
        </w:numPr>
        <w:rPr>
          <w:rFonts w:ascii="Arial" w:cs="Arial" w:eastAsia="Arial" w:hAnsi="Arial"/>
          <w:sz w:val="19"/>
          <w:szCs w:val="19"/>
          <w:color w:val="auto"/>
        </w:rPr>
      </w:pPr>
      <w:r>
        <w:rPr>
          <w:rFonts w:ascii="Arial" w:cs="Arial" w:eastAsia="Arial" w:hAnsi="Arial"/>
          <w:sz w:val="19"/>
          <w:szCs w:val="19"/>
          <w:color w:val="auto"/>
        </w:rPr>
        <w:t>we manage our financial exposure for losses in our title insurance business and in our F&amp;G segment with third-party reinsurance. Catastrophic events could adversely affect the cost and availability of that reinsurance;</w:t>
      </w:r>
    </w:p>
    <w:p>
      <w:pPr>
        <w:spacing w:after="0" w:line="25" w:lineRule="exact"/>
        <w:rPr>
          <w:rFonts w:ascii="Arial" w:cs="Arial" w:eastAsia="Arial" w:hAnsi="Arial"/>
          <w:sz w:val="19"/>
          <w:szCs w:val="19"/>
          <w:color w:val="auto"/>
        </w:rPr>
      </w:pPr>
    </w:p>
    <w:p>
      <w:pPr>
        <w:ind w:left="700" w:hanging="355"/>
        <w:spacing w:after="0" w:line="271" w:lineRule="auto"/>
        <w:tabs>
          <w:tab w:leader="none" w:pos="700" w:val="left"/>
        </w:tabs>
        <w:numPr>
          <w:ilvl w:val="0"/>
          <w:numId w:val="28"/>
        </w:numPr>
        <w:rPr>
          <w:rFonts w:ascii="Arial" w:cs="Arial" w:eastAsia="Arial" w:hAnsi="Arial"/>
          <w:sz w:val="20"/>
          <w:szCs w:val="20"/>
          <w:color w:val="auto"/>
        </w:rPr>
      </w:pPr>
      <w:r>
        <w:rPr>
          <w:rFonts w:ascii="Arial" w:cs="Arial" w:eastAsia="Arial" w:hAnsi="Arial"/>
          <w:sz w:val="20"/>
          <w:szCs w:val="20"/>
          <w:color w:val="auto"/>
        </w:rPr>
        <w:t>the value of our investment portfolio may decrease if the securities in which we invest are negatively impacted by climate change, pandemics, severe weather conditions, and other catastrophic events.</w:t>
      </w:r>
    </w:p>
    <w:p>
      <w:pPr>
        <w:spacing w:after="0" w:line="49" w:lineRule="exact"/>
        <w:rPr>
          <w:sz w:val="20"/>
          <w:szCs w:val="20"/>
          <w:color w:val="auto"/>
        </w:rPr>
      </w:pPr>
    </w:p>
    <w:p>
      <w:pPr>
        <w:jc w:val="both"/>
        <w:ind w:firstLine="353"/>
        <w:spacing w:after="0" w:line="250" w:lineRule="auto"/>
        <w:rPr>
          <w:sz w:val="20"/>
          <w:szCs w:val="20"/>
          <w:color w:val="auto"/>
        </w:rPr>
      </w:pPr>
      <w:r>
        <w:rPr>
          <w:rFonts w:ascii="Arial" w:cs="Arial" w:eastAsia="Arial" w:hAnsi="Arial"/>
          <w:sz w:val="20"/>
          <w:szCs w:val="20"/>
          <w:color w:val="auto"/>
        </w:rPr>
        <w:t>Natural catastrophes and pandemics present risks that could adversely affect our results of operations. In addition, our business operations may be adversely affected by the increased risk of malicious and terrorist acts, which could disrupt our operations or the safety of our employees or customers. Claims arising from such events could have an adverse effect on our business, operations and financial condition, either directly or as a result of their effect on our reinsurers or other counterparties. Such events could also have an adverse effect on the rate and amount of lapses and surrenders of existing policies, as well as sales of new policies.</w:t>
      </w:r>
    </w:p>
    <w:p>
      <w:pPr>
        <w:spacing w:after="0" w:line="91" w:lineRule="exact"/>
        <w:rPr>
          <w:sz w:val="20"/>
          <w:szCs w:val="20"/>
          <w:color w:val="auto"/>
        </w:rPr>
      </w:pPr>
    </w:p>
    <w:p>
      <w:pPr>
        <w:jc w:val="both"/>
        <w:ind w:firstLine="353"/>
        <w:spacing w:after="0" w:line="312" w:lineRule="auto"/>
        <w:rPr>
          <w:sz w:val="20"/>
          <w:szCs w:val="20"/>
          <w:color w:val="auto"/>
        </w:rPr>
      </w:pPr>
      <w:r>
        <w:rPr>
          <w:rFonts w:ascii="Arial" w:cs="Arial" w:eastAsia="Arial" w:hAnsi="Arial"/>
          <w:sz w:val="17"/>
          <w:szCs w:val="17"/>
          <w:color w:val="auto"/>
        </w:rPr>
        <w:t>While we believe we have taken steps to identify and mitigate these types of risks, such risks cannot be reliably predicted, nor fully protected against even if anticipated. In addition, such events could result in overall macroeconomic volatility or specifically a decrease or halt in economic activity in large geographic areas, adversely affecting the marketing or administration of our business within such geographic areas or the general economic climate, which in turn could have an</w:t>
      </w:r>
    </w:p>
    <w:p>
      <w:pPr>
        <w:sectPr>
          <w:pgSz w:w="11880" w:h="15480" w:orient="portrait"/>
          <w:cols w:equalWidth="0" w:num="1">
            <w:col w:w="10040"/>
          </w:cols>
          <w:pgMar w:left="920" w:top="772" w:right="920" w:bottom="0" w:gutter="0" w:footer="0" w:header="0"/>
        </w:sect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50</w:t>
      </w:r>
    </w:p>
    <w:p>
      <w:pPr>
        <w:sectPr>
          <w:pgSz w:w="11880" w:h="15480" w:orient="portrait"/>
          <w:cols w:equalWidth="0" w:num="1">
            <w:col w:w="10040"/>
          </w:cols>
          <w:pgMar w:left="920" w:top="772" w:right="920" w:bottom="0" w:gutter="0" w:footer="0" w:header="0"/>
          <w:type w:val="continuous"/>
        </w:sectPr>
      </w:pPr>
    </w:p>
    <w:bookmarkStart w:id="62" w:name="page63"/>
    <w:bookmarkEnd w:id="62"/>
    <w:p>
      <w:pPr>
        <w:jc w:val="both"/>
        <w:spacing w:after="0" w:line="271" w:lineRule="auto"/>
        <w:rPr>
          <w:sz w:val="20"/>
          <w:szCs w:val="20"/>
          <w:color w:val="auto"/>
        </w:rPr>
      </w:pPr>
      <w:r>
        <w:rPr>
          <w:rFonts w:ascii="Arial" w:cs="Arial" w:eastAsia="Arial" w:hAnsi="Arial"/>
          <w:sz w:val="20"/>
          <w:szCs w:val="20"/>
          <w:color w:val="auto"/>
        </w:rPr>
        <w:t>adverse effect on our business, results of operations, and financial condition. The possible macroeconomic effects of such events could also adversely affect our asset portfolio.</w:t>
      </w:r>
    </w:p>
    <w:p>
      <w:pPr>
        <w:spacing w:after="0" w:line="6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General Risk Factors</w:t>
      </w:r>
    </w:p>
    <w:p>
      <w:pPr>
        <w:spacing w:after="0" w:line="123" w:lineRule="exact"/>
        <w:rPr>
          <w:sz w:val="20"/>
          <w:szCs w:val="20"/>
          <w:color w:val="auto"/>
        </w:rPr>
      </w:pPr>
    </w:p>
    <w:p>
      <w:pPr>
        <w:jc w:val="both"/>
        <w:spacing w:after="0" w:line="250" w:lineRule="auto"/>
        <w:rPr>
          <w:sz w:val="20"/>
          <w:szCs w:val="20"/>
          <w:color w:val="auto"/>
        </w:rPr>
      </w:pPr>
      <w:r>
        <w:rPr>
          <w:rFonts w:ascii="Arial" w:cs="Arial" w:eastAsia="Arial" w:hAnsi="Arial"/>
          <w:sz w:val="20"/>
          <w:szCs w:val="20"/>
          <w:b w:val="1"/>
          <w:bCs w:val="1"/>
          <w:i w:val="1"/>
          <w:iCs w:val="1"/>
          <w:color w:val="auto"/>
        </w:rPr>
        <w:t>Failure of our information security systems or unauthorized access to such systems could result in a loss or disclosure of confidential information, damage to our reputation, monetary losses, additional costs and impairment of our ability to conduct business effectively.</w:t>
      </w:r>
    </w:p>
    <w:p>
      <w:pPr>
        <w:spacing w:after="0" w:line="82" w:lineRule="exact"/>
        <w:rPr>
          <w:sz w:val="20"/>
          <w:szCs w:val="20"/>
          <w:color w:val="auto"/>
        </w:rPr>
      </w:pPr>
    </w:p>
    <w:p>
      <w:pPr>
        <w:jc w:val="both"/>
        <w:ind w:firstLine="353"/>
        <w:spacing w:after="0" w:line="295" w:lineRule="auto"/>
        <w:rPr>
          <w:sz w:val="20"/>
          <w:szCs w:val="20"/>
          <w:color w:val="auto"/>
        </w:rPr>
      </w:pPr>
      <w:r>
        <w:rPr>
          <w:rFonts w:ascii="Arial" w:cs="Arial" w:eastAsia="Arial" w:hAnsi="Arial"/>
          <w:sz w:val="17"/>
          <w:szCs w:val="17"/>
          <w:color w:val="auto"/>
        </w:rPr>
        <w:t>Our operations are highly dependent upon the effective operation of our computer systems. We use our computer systems to receive, process, store and transmit sensitive personal consumer data (such as names and addresses, social security numbers, driver's license numbers and bank account information) and important business information of our customers. We also electronically manage substantial cash, investment assets and escrow account balances on behalf of ourselves and our customers, as well as financial information about our businesses generally. The integrity of our computer systems and the protection of the information that resides on such systems are important to our successful operation. If we fail to maintain an adequate security infrastructure, adapt to emerging security threats such as ransomware or follow our internal business processes with respect to security, the information or assets we hold could be compromised. Further, even if we, or third parties to which we outsource certain information technology services, maintain a reasonable, industry-standard information security infrastructure to mitigate these risks, the inherent risk that unauthorized access to information or assets remains. This risk is increased by transmittal of information over the internet and the increased threat and sophistication of cyber criminals. While, to date, we believe that we have not experienced a material breach of our computer systems, the occurrence or scope of such events is not always apparent.</w:t>
      </w:r>
    </w:p>
    <w:p>
      <w:pPr>
        <w:spacing w:after="0" w:line="292" w:lineRule="exact"/>
        <w:rPr>
          <w:sz w:val="20"/>
          <w:szCs w:val="20"/>
          <w:color w:val="auto"/>
        </w:rPr>
      </w:pPr>
    </w:p>
    <w:p>
      <w:pPr>
        <w:jc w:val="both"/>
        <w:ind w:firstLine="353"/>
        <w:spacing w:after="0" w:line="293" w:lineRule="auto"/>
        <w:rPr>
          <w:sz w:val="20"/>
          <w:szCs w:val="20"/>
          <w:color w:val="auto"/>
        </w:rPr>
      </w:pPr>
      <w:r>
        <w:rPr>
          <w:rFonts w:ascii="Arial" w:cs="Arial" w:eastAsia="Arial" w:hAnsi="Arial"/>
          <w:sz w:val="17"/>
          <w:szCs w:val="17"/>
          <w:color w:val="auto"/>
        </w:rPr>
        <w:t>Examples of security threats that represent significant inherent risk with little to no warning include the MoveIT security incident affecting F&amp;G, in which F&amp;G activated its crisis management protocols to adequately manage the investigation, impact and response to this incident. In November 2023, we experienced a cybersecurity incident where an unauthorized third-party accessed certain of our systems, deployed a type of malware that is not self-propagating, and exfiltrated certain data. We promptly commenced an investigation, retained leading experts to assist the Company, notified law enforcement authorities, regulatory authorities and other stakeholders and followed our incident response plans. Although we believe we have remediated the significant exposures related to these incidents, there remains potential for future losses associated with litigation and damage to our reputation. If additional information regarding an event previously considered immaterial is discovered, or a new event were to occur, it could potentially have a material adverse effect on our operations or financial condition. In addition, some laws and certain of our contracts require notification of various parties, including regulators, consumers or customers, in the event that confidential or personal information has or may have been taken or accessed by unauthorized parties. Such notifications can potentially result, among other things, in adverse publicity, diversion of management and other resources, the attention of regulatory authorities, the imposition of fines and disruptions in business operations, the effects of which may be material. Any inability to prevent security or privacy breaches, or the perception that such breaches may occur, could inhibit our ability to retain or attract new clients and/or result in financial losses, litigation, increased costs, negative publicity or other adverse consequences to our business.</w:t>
      </w:r>
    </w:p>
    <w:p>
      <w:pPr>
        <w:spacing w:after="0" w:line="301" w:lineRule="exact"/>
        <w:rPr>
          <w:sz w:val="20"/>
          <w:szCs w:val="20"/>
          <w:color w:val="auto"/>
        </w:rPr>
      </w:pPr>
    </w:p>
    <w:p>
      <w:pPr>
        <w:jc w:val="both"/>
        <w:ind w:firstLine="353"/>
        <w:spacing w:after="0" w:line="284" w:lineRule="auto"/>
        <w:rPr>
          <w:sz w:val="20"/>
          <w:szCs w:val="20"/>
          <w:color w:val="auto"/>
        </w:rPr>
      </w:pPr>
      <w:r>
        <w:rPr>
          <w:rFonts w:ascii="Arial" w:cs="Arial" w:eastAsia="Arial" w:hAnsi="Arial"/>
          <w:sz w:val="17"/>
          <w:szCs w:val="17"/>
          <w:color w:val="auto"/>
        </w:rPr>
        <w:t>While we currently maintain cybersecurity insurance, such insurance may not be sufficient in type or amount to cover us against claims related to cybersecurity breaches or attacks, failures or other data security-related incidents, and we cannot be certain that cyber insurance will continue to be available to us on economically reasonable terms, or at all, or that an insurer will not deny coverage as to any future claim. The successful assertion of one or more claims against us that exceed available insurance coverage, or the occurrence of changes in our insurance policies, including premium increases or the imposition of large deductibles, could materially and adversely affect our financial condition, results of operations and cash flows.</w:t>
      </w:r>
    </w:p>
    <w:p>
      <w:pPr>
        <w:spacing w:after="0" w:line="47" w:lineRule="exact"/>
        <w:rPr>
          <w:sz w:val="20"/>
          <w:szCs w:val="20"/>
          <w:color w:val="auto"/>
        </w:rPr>
      </w:pPr>
    </w:p>
    <w:p>
      <w:pPr>
        <w:jc w:val="both"/>
        <w:ind w:firstLine="353"/>
        <w:spacing w:after="0" w:line="303" w:lineRule="auto"/>
        <w:rPr>
          <w:sz w:val="20"/>
          <w:szCs w:val="20"/>
          <w:color w:val="auto"/>
        </w:rPr>
      </w:pPr>
      <w:r>
        <w:rPr>
          <w:rFonts w:ascii="Arial" w:cs="Arial" w:eastAsia="Arial" w:hAnsi="Arial"/>
          <w:sz w:val="17"/>
          <w:szCs w:val="17"/>
          <w:color w:val="auto"/>
        </w:rPr>
        <w:t>Further, our financial institution clients have obligations to safeguard their information technology systems and the confidentiality of customer information. In certain of our businesses, we are bound contractually and/or by regulation to comply with the same requirements. If we fail to comply with these regulations and requirements, we could be exposed to lawsuits for breach of contract, governmental proceedings or the imposition of fines. In addition, future adoption of more restrictive privacy laws, rules or industry security requirements by federal or state regulatory bodies or by a specific industry in which we do business could have an adverse impact on us through increased costs or restrictions on business processes.</w:t>
      </w:r>
    </w:p>
    <w:p>
      <w:pPr>
        <w:spacing w:after="0" w:line="67" w:lineRule="exact"/>
        <w:rPr>
          <w:sz w:val="20"/>
          <w:szCs w:val="20"/>
          <w:color w:val="auto"/>
        </w:rPr>
      </w:pPr>
    </w:p>
    <w:p>
      <w:pPr>
        <w:jc w:val="both"/>
        <w:spacing w:after="0" w:line="296" w:lineRule="auto"/>
        <w:rPr>
          <w:sz w:val="20"/>
          <w:szCs w:val="20"/>
          <w:color w:val="auto"/>
        </w:rPr>
      </w:pPr>
      <w:r>
        <w:rPr>
          <w:rFonts w:ascii="Arial" w:cs="Arial" w:eastAsia="Arial" w:hAnsi="Arial"/>
          <w:sz w:val="20"/>
          <w:szCs w:val="20"/>
          <w:b w:val="1"/>
          <w:bCs w:val="1"/>
          <w:i w:val="1"/>
          <w:iCs w:val="1"/>
          <w:color w:val="auto"/>
        </w:rPr>
        <w:t>The new and emerging types of Artificial Intelligence and their uses are very early stage in the industry and may be subject to many uncertain future developments and regulations.</w:t>
      </w:r>
    </w:p>
    <w:p>
      <w:pPr>
        <w:spacing w:after="0" w:line="48" w:lineRule="exact"/>
        <w:rPr>
          <w:sz w:val="20"/>
          <w:szCs w:val="20"/>
          <w:color w:val="auto"/>
        </w:rPr>
      </w:pPr>
    </w:p>
    <w:p>
      <w:pPr>
        <w:jc w:val="both"/>
        <w:ind w:firstLine="353"/>
        <w:spacing w:after="0" w:line="312" w:lineRule="auto"/>
        <w:rPr>
          <w:sz w:val="20"/>
          <w:szCs w:val="20"/>
          <w:color w:val="auto"/>
        </w:rPr>
      </w:pPr>
      <w:r>
        <w:rPr>
          <w:rFonts w:ascii="Arial" w:cs="Arial" w:eastAsia="Arial" w:hAnsi="Arial"/>
          <w:sz w:val="17"/>
          <w:szCs w:val="17"/>
          <w:color w:val="auto"/>
        </w:rPr>
        <w:t>Regulatory agencies are evaluating existing regulatory frameworks for insurance industry wide use of Artificial Intelligence. New artificial intelligence algorithms and predictive models may be used by insurance companies in selling insurance products to consumers. However, the use of new artificial intelligence models may make insurance companies more susceptible to potential bias, discrimination and data breaches. These concerns could lead to development of new, or</w:t>
      </w:r>
    </w:p>
    <w:p>
      <w:pPr>
        <w:sectPr>
          <w:pgSz w:w="11880" w:h="15480" w:orient="portrait"/>
          <w:cols w:equalWidth="0" w:num="1">
            <w:col w:w="10040"/>
          </w:cols>
          <w:pgMar w:left="920" w:top="772"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51</w:t>
      </w:r>
    </w:p>
    <w:p>
      <w:pPr>
        <w:sectPr>
          <w:pgSz w:w="11880" w:h="15480" w:orient="portrait"/>
          <w:cols w:equalWidth="0" w:num="1">
            <w:col w:w="10040"/>
          </w:cols>
          <w:pgMar w:left="920" w:top="772" w:right="920" w:bottom="0" w:gutter="0" w:footer="0" w:header="0"/>
          <w:type w:val="continuous"/>
        </w:sectPr>
      </w:pPr>
    </w:p>
    <w:bookmarkStart w:id="63" w:name="page64"/>
    <w:bookmarkEnd w:id="63"/>
    <w:p>
      <w:pPr>
        <w:jc w:val="both"/>
        <w:spacing w:after="0" w:line="271" w:lineRule="auto"/>
        <w:rPr>
          <w:sz w:val="20"/>
          <w:szCs w:val="20"/>
          <w:color w:val="auto"/>
        </w:rPr>
      </w:pPr>
      <w:r>
        <w:rPr>
          <w:rFonts w:ascii="Arial" w:cs="Arial" w:eastAsia="Arial" w:hAnsi="Arial"/>
          <w:sz w:val="20"/>
          <w:szCs w:val="20"/>
          <w:color w:val="auto"/>
        </w:rPr>
        <w:t>modifications to, laws and regulations pertaining to the use of Artificial Intelligence by insurance companies or the broader financial services sector, which may prove to be onerous for companies to implement in a timely manner.</w:t>
      </w:r>
    </w:p>
    <w:p>
      <w:pPr>
        <w:spacing w:after="0" w:line="69" w:lineRule="exact"/>
        <w:rPr>
          <w:sz w:val="20"/>
          <w:szCs w:val="20"/>
          <w:color w:val="auto"/>
        </w:rPr>
      </w:pPr>
    </w:p>
    <w:p>
      <w:pPr>
        <w:jc w:val="both"/>
        <w:ind w:firstLine="353"/>
        <w:spacing w:after="0" w:line="294" w:lineRule="auto"/>
        <w:rPr>
          <w:sz w:val="20"/>
          <w:szCs w:val="20"/>
          <w:color w:val="auto"/>
        </w:rPr>
      </w:pPr>
      <w:r>
        <w:rPr>
          <w:rFonts w:ascii="Arial" w:cs="Arial" w:eastAsia="Arial" w:hAnsi="Arial"/>
          <w:sz w:val="17"/>
          <w:szCs w:val="17"/>
          <w:color w:val="auto"/>
        </w:rPr>
        <w:t>The use of artificial intelligence and machine learning technologies, including generative artificial intelligence, has increased rapidly with increasing complexity and changes in the nature of the technology. Our potential uses of generative artificial intelligence may be subject to various risks including flaws or limitations in the large language models or training datasets that may result in biased or inaccurate results, ethical considerations, and the ability to safely deploy and implement governance and controls for such systems. Laws and regulations related to artificial intelligence are evolving, and there is uncertainty as to potential adoption of new laws and regulations and the application of existing laws and regulations to use of artificial intelligence, which may restrict or impose burdensome and costly requirements on our ability to use artificial intelligence. In addition, there has been considerable patent and other intellectual property development activity in the artificial intelligence industry, which has resulted in litigation based on allegations of infringement or other violations of intellectual property rights. We may receive claims from third parties, including our competitors, alleging that our use of artificial intelligence technology infringes on or violates such third party's intellectual property rights. Adverse consequences of these risks related to artificial intelligence could undermine the decisions, predictions or analysis such technologies produce and subject us to competitive harm, legal liability, heightened regulatory scrutiny and brand or reputational harm.</w:t>
      </w:r>
    </w:p>
    <w:p>
      <w:pPr>
        <w:spacing w:after="0" w:line="62" w:lineRule="exact"/>
        <w:rPr>
          <w:sz w:val="20"/>
          <w:szCs w:val="20"/>
          <w:color w:val="auto"/>
        </w:rPr>
      </w:pPr>
    </w:p>
    <w:p>
      <w:pPr>
        <w:jc w:val="both"/>
        <w:ind w:firstLine="353"/>
        <w:spacing w:after="0" w:line="264" w:lineRule="auto"/>
        <w:rPr>
          <w:sz w:val="20"/>
          <w:szCs w:val="20"/>
          <w:color w:val="auto"/>
        </w:rPr>
      </w:pPr>
      <w:r>
        <w:rPr>
          <w:rFonts w:ascii="Arial" w:cs="Arial" w:eastAsia="Arial" w:hAnsi="Arial"/>
          <w:sz w:val="19"/>
          <w:szCs w:val="19"/>
          <w:color w:val="auto"/>
        </w:rPr>
        <w:t>Our ability to adopt new technologies may be inhibited by the emergence of industry-wide standards, a changing legislative and regulatory environment, an inability to develop appropriate governance and controls, a lack of internal product and engineering expertise, resistance to change from consumers, or lack of appropriate change management processes or the complexity of our systems. In addition, our adoption of new technologies and our introduction of new products and services may expose us to new or enhanced risks, particularly in areas where we have less experience or our existing governance and control systems may be insufficient, which could require us to make substantial expenditures or subject us to legal liability, heightened regulatory scrutiny and brand or reputational harm.</w:t>
      </w:r>
    </w:p>
    <w:p>
      <w:pPr>
        <w:spacing w:after="0" w:line="7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Damage to our reputation may adversely affect our revenues and profitability.</w:t>
      </w:r>
    </w:p>
    <w:p>
      <w:pPr>
        <w:spacing w:after="0" w:line="130" w:lineRule="exact"/>
        <w:rPr>
          <w:sz w:val="20"/>
          <w:szCs w:val="20"/>
          <w:color w:val="auto"/>
        </w:rPr>
      </w:pPr>
    </w:p>
    <w:p>
      <w:pPr>
        <w:jc w:val="both"/>
        <w:ind w:firstLine="353"/>
        <w:spacing w:after="0" w:line="249" w:lineRule="auto"/>
        <w:rPr>
          <w:sz w:val="20"/>
          <w:szCs w:val="20"/>
          <w:color w:val="auto"/>
        </w:rPr>
      </w:pPr>
      <w:r>
        <w:rPr>
          <w:rFonts w:ascii="Arial" w:cs="Arial" w:eastAsia="Arial" w:hAnsi="Arial"/>
          <w:sz w:val="20"/>
          <w:szCs w:val="20"/>
          <w:color w:val="auto"/>
        </w:rPr>
        <w:t>Our reputation is a key asset, and our continued success is dependent upon our ability to earn and maintain the trust and confidence of our broad range of customers. We provide our products and services to a wide range of customers, and our ability to attract and retain customers is highly dependent upon the external perceptions of our level of service, trustworthiness, business practices, financial condition and other subjective qualities. Damage to our reputation may arise from a variety of sources including, but not limited to, litigation or regulatory actions, compliance failures, employee misconduct, cybersecurity incidents, unfavorable press coverage and unfavorable comments on social media. Any damage to our reputation could adversely affect our ability to attract and retain customers and employees, potentially leading to a reduction in our revenues and profitability.</w:t>
      </w:r>
    </w:p>
    <w:p>
      <w:pPr>
        <w:spacing w:after="0" w:line="8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Failure to respond to rapid changes in technology could adversely affect our results of operations or financial condition.</w:t>
      </w:r>
    </w:p>
    <w:p>
      <w:pPr>
        <w:spacing w:after="0" w:line="164" w:lineRule="exact"/>
        <w:rPr>
          <w:sz w:val="20"/>
          <w:szCs w:val="20"/>
          <w:color w:val="auto"/>
        </w:rPr>
      </w:pPr>
    </w:p>
    <w:p>
      <w:pPr>
        <w:jc w:val="both"/>
        <w:ind w:firstLine="353"/>
        <w:spacing w:after="0" w:line="271" w:lineRule="auto"/>
        <w:rPr>
          <w:sz w:val="20"/>
          <w:szCs w:val="20"/>
          <w:color w:val="auto"/>
        </w:rPr>
      </w:pPr>
      <w:r>
        <w:rPr>
          <w:rFonts w:ascii="Arial" w:cs="Arial" w:eastAsia="Arial" w:hAnsi="Arial"/>
          <w:sz w:val="19"/>
          <w:szCs w:val="19"/>
          <w:color w:val="auto"/>
        </w:rPr>
        <w:t>Rapidly evolving technologies and innovations in software and financial technology could drive changes in how real estate transactions are recorded and processed throughout the mortgage life cycle. There is no guarantee that we will be able to effectively adapt to and utilize changing technology. Existing or new competitors may be able to utilize or create technology more effectively than us, which could result in the loss of market share.</w:t>
      </w:r>
    </w:p>
    <w:p>
      <w:pPr>
        <w:spacing w:after="0" w:line="6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We may not be able to protect our intellectual property and may be subject to infringement claims.</w:t>
      </w:r>
    </w:p>
    <w:p>
      <w:pPr>
        <w:spacing w:after="0" w:line="130" w:lineRule="exact"/>
        <w:rPr>
          <w:sz w:val="20"/>
          <w:szCs w:val="20"/>
          <w:color w:val="auto"/>
        </w:rPr>
      </w:pPr>
    </w:p>
    <w:p>
      <w:pPr>
        <w:jc w:val="both"/>
        <w:ind w:firstLine="353"/>
        <w:spacing w:after="0" w:line="249" w:lineRule="auto"/>
        <w:rPr>
          <w:sz w:val="20"/>
          <w:szCs w:val="20"/>
          <w:color w:val="auto"/>
        </w:rPr>
      </w:pPr>
      <w:r>
        <w:rPr>
          <w:rFonts w:ascii="Arial" w:cs="Arial" w:eastAsia="Arial" w:hAnsi="Arial"/>
          <w:sz w:val="20"/>
          <w:szCs w:val="20"/>
          <w:color w:val="auto"/>
        </w:rPr>
        <w:t>We rely on a combination of contractual rights and copyright, trademark and trade secret laws to establish and protect our intellectual property. Although we use a broad range of measures to protect our intellectual property rights, third parties may infringe or misappropriate our intellectual property. We may have to litigate to enforce and protect our copyrights, trademarks, trade secrets and know-how or to determine their scope, validity or enforceability, which represents a diversion of resources that may be significant in amount and may not prove successful. The loss of intellectual property protection or the inability to secure or enforce the protection of our intellectual property assets could adversely impact our business and our ability to compete effectively.</w:t>
      </w:r>
    </w:p>
    <w:p>
      <w:pPr>
        <w:spacing w:after="0" w:line="94" w:lineRule="exact"/>
        <w:rPr>
          <w:sz w:val="20"/>
          <w:szCs w:val="20"/>
          <w:color w:val="auto"/>
        </w:rPr>
      </w:pPr>
    </w:p>
    <w:p>
      <w:pPr>
        <w:jc w:val="both"/>
        <w:ind w:firstLine="353"/>
        <w:spacing w:after="0" w:line="263" w:lineRule="auto"/>
        <w:rPr>
          <w:sz w:val="20"/>
          <w:szCs w:val="20"/>
          <w:color w:val="auto"/>
        </w:rPr>
      </w:pPr>
      <w:r>
        <w:rPr>
          <w:rFonts w:ascii="Arial" w:cs="Arial" w:eastAsia="Arial" w:hAnsi="Arial"/>
          <w:sz w:val="19"/>
          <w:szCs w:val="19"/>
          <w:color w:val="auto"/>
        </w:rPr>
        <w:t>We may be subject to costly litigation in the event that another party alleges our operations or activities infringe upon that party’s intellectual property rights. Third parties may have, or may eventually be issued, patents or other protections that could be infringed by our products, methods, processes or services or could otherwise limit our ability to offer certain product features. We may also be subject to claims by third parties for breach of copyright, trademark, trade secret or license usage rights. Any such claims and any resulting litigation could result in significant expense and liability for damages or we could be enjoined from providing certain products or services to our customers or utilizing and benefiting from certain methods, processes, copyrights, trademarks, trade secrets or licenses, or alternatively, we could be required to enter into costly licensing arrangements with third parties, all of which could have a material adverse effect on our business, results of operations and financial condition.</w:t>
      </w:r>
    </w:p>
    <w:p>
      <w:pPr>
        <w:sectPr>
          <w:pgSz w:w="11880" w:h="15480" w:orient="portrait"/>
          <w:cols w:equalWidth="0" w:num="1">
            <w:col w:w="10040"/>
          </w:cols>
          <w:pgMar w:left="920" w:top="772" w:right="920" w:bottom="0" w:gutter="0" w:footer="0" w:header="0"/>
        </w:sect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52</w:t>
      </w:r>
    </w:p>
    <w:p>
      <w:pPr>
        <w:sectPr>
          <w:pgSz w:w="11880" w:h="15480" w:orient="portrait"/>
          <w:cols w:equalWidth="0" w:num="1">
            <w:col w:w="10040"/>
          </w:cols>
          <w:pgMar w:left="920" w:top="772" w:right="920" w:bottom="0" w:gutter="0" w:footer="0" w:header="0"/>
          <w:type w:val="continuous"/>
        </w:sectPr>
      </w:pPr>
    </w:p>
    <w:bookmarkStart w:id="64" w:name="page65"/>
    <w:bookmarkEnd w:id="64"/>
    <w:p>
      <w:pPr>
        <w:spacing w:after="0"/>
        <w:rPr>
          <w:sz w:val="20"/>
          <w:szCs w:val="20"/>
          <w:color w:val="auto"/>
        </w:rPr>
      </w:pPr>
      <w:r>
        <w:rPr>
          <w:rFonts w:ascii="Arial" w:cs="Arial" w:eastAsia="Arial" w:hAnsi="Arial"/>
          <w:sz w:val="17"/>
          <w:szCs w:val="17"/>
          <w:b w:val="1"/>
          <w:bCs w:val="1"/>
          <w:i w:val="1"/>
          <w:iCs w:val="1"/>
          <w:color w:val="auto"/>
        </w:rPr>
        <w:t>We are the subject of various legal proceedings that could have a material adverse effect on our results of operations.</w:t>
      </w:r>
    </w:p>
    <w:p>
      <w:pPr>
        <w:spacing w:after="0" w:line="164" w:lineRule="exact"/>
        <w:rPr>
          <w:sz w:val="20"/>
          <w:szCs w:val="20"/>
          <w:color w:val="auto"/>
        </w:rPr>
      </w:pPr>
    </w:p>
    <w:p>
      <w:pPr>
        <w:jc w:val="both"/>
        <w:ind w:firstLine="353"/>
        <w:spacing w:after="0" w:line="266" w:lineRule="auto"/>
        <w:rPr>
          <w:sz w:val="20"/>
          <w:szCs w:val="20"/>
          <w:color w:val="auto"/>
        </w:rPr>
      </w:pPr>
      <w:r>
        <w:rPr>
          <w:rFonts w:ascii="Arial" w:cs="Arial" w:eastAsia="Arial" w:hAnsi="Arial"/>
          <w:sz w:val="19"/>
          <w:szCs w:val="19"/>
          <w:color w:val="auto"/>
        </w:rPr>
        <w:t xml:space="preserve">We are involved from time to time in various legal proceedings, including in some cases class-action lawsuits and regulatory inquiries, investigations or other proceedings. If we are unsuccessful in our defense of litigation matters or regulatory proceedings, we may be forced to pay damages, fines or penalties and/or change our business practices, any of which could have a material adverse effect on our business and results of operations. See Note H </w:t>
      </w:r>
      <w:r>
        <w:rPr>
          <w:rFonts w:ascii="Arial" w:cs="Arial" w:eastAsia="Arial" w:hAnsi="Arial"/>
          <w:sz w:val="19"/>
          <w:szCs w:val="19"/>
          <w:b w:val="1"/>
          <w:bCs w:val="1"/>
          <w:i w:val="1"/>
          <w:iCs w:val="1"/>
          <w:color w:val="auto"/>
        </w:rPr>
        <w:t>Commitments and Contingencies</w:t>
      </w:r>
      <w:r>
        <w:rPr>
          <w:rFonts w:ascii="Arial" w:cs="Arial" w:eastAsia="Arial" w:hAnsi="Arial"/>
          <w:sz w:val="19"/>
          <w:szCs w:val="19"/>
          <w:color w:val="auto"/>
        </w:rPr>
        <w:t xml:space="preserve"> to our Consolidated Financial Statements included in Item 8 of Part II of this Annual Report for further discussion of pending litigation and regulatory matters and our related accrual.</w:t>
      </w:r>
    </w:p>
    <w:p>
      <w:pPr>
        <w:spacing w:after="0" w:line="69" w:lineRule="exact"/>
        <w:rPr>
          <w:sz w:val="20"/>
          <w:szCs w:val="20"/>
          <w:color w:val="auto"/>
        </w:rPr>
      </w:pPr>
    </w:p>
    <w:p>
      <w:pPr>
        <w:jc w:val="both"/>
        <w:spacing w:after="0" w:line="302" w:lineRule="auto"/>
        <w:rPr>
          <w:sz w:val="20"/>
          <w:szCs w:val="20"/>
          <w:color w:val="auto"/>
        </w:rPr>
      </w:pPr>
      <w:r>
        <w:rPr>
          <w:rFonts w:ascii="Arial" w:cs="Arial" w:eastAsia="Arial" w:hAnsi="Arial"/>
          <w:sz w:val="19"/>
          <w:szCs w:val="19"/>
          <w:b w:val="1"/>
          <w:bCs w:val="1"/>
          <w:i w:val="1"/>
          <w:iCs w:val="1"/>
          <w:color w:val="auto"/>
        </w:rPr>
        <w:t>We operate in a highly competitive industry, which could limit our ability to gain or maintain our position in the industry and could materially adversely affect our business, financial condition and results of operations.</w:t>
      </w:r>
    </w:p>
    <w:p>
      <w:pPr>
        <w:spacing w:after="0" w:line="45" w:lineRule="exact"/>
        <w:rPr>
          <w:sz w:val="20"/>
          <w:szCs w:val="20"/>
          <w:color w:val="auto"/>
        </w:rPr>
      </w:pPr>
    </w:p>
    <w:p>
      <w:pPr>
        <w:jc w:val="both"/>
        <w:ind w:firstLine="353"/>
        <w:spacing w:after="0" w:line="268" w:lineRule="auto"/>
        <w:rPr>
          <w:sz w:val="20"/>
          <w:szCs w:val="20"/>
          <w:color w:val="auto"/>
        </w:rPr>
      </w:pPr>
      <w:r>
        <w:rPr>
          <w:rFonts w:ascii="Arial" w:cs="Arial" w:eastAsia="Arial" w:hAnsi="Arial"/>
          <w:sz w:val="19"/>
          <w:szCs w:val="19"/>
          <w:color w:val="auto"/>
        </w:rPr>
        <w:t>Our F&amp;G insurance subsidiaries operate in a highly competitive industry and encounter significant competition in all of our product lines from other insurance companies, many of which have greater financial resources and higher financial strength ratings than us and that may have a greater market share, offer a broader range of products, services or features, assume a greater level of risk, have lower operating or financing costs or have different profitability expectations than us. Competition could result in, among other things, lower sales or higher lapses of existing products.</w:t>
      </w:r>
    </w:p>
    <w:p>
      <w:pPr>
        <w:spacing w:after="0" w:line="74" w:lineRule="exact"/>
        <w:rPr>
          <w:sz w:val="20"/>
          <w:szCs w:val="20"/>
          <w:color w:val="auto"/>
        </w:rPr>
      </w:pPr>
    </w:p>
    <w:p>
      <w:pPr>
        <w:jc w:val="both"/>
        <w:ind w:firstLine="353"/>
        <w:spacing w:after="0" w:line="264" w:lineRule="auto"/>
        <w:rPr>
          <w:sz w:val="20"/>
          <w:szCs w:val="20"/>
          <w:color w:val="auto"/>
        </w:rPr>
      </w:pPr>
      <w:r>
        <w:rPr>
          <w:rFonts w:ascii="Arial" w:cs="Arial" w:eastAsia="Arial" w:hAnsi="Arial"/>
          <w:sz w:val="19"/>
          <w:szCs w:val="19"/>
          <w:color w:val="auto"/>
        </w:rPr>
        <w:t>F&amp;G's annuity products compete with indexed annuities and fixed rate annuities sold by other insurance companies and also with mutual fund products, traditional bank investments and other retirement funding alternatives offered by asset managers, banks and broker-dealers. The ability of banks and broker dealers to increase their securities-related business or to affiliate with insurance companies may materially and adversely affect sales of all of our products by substantially increasing the number and financial strength of potential competitors. Our insurance products compete with those of other insurance companies, financial intermediaries and other institutions based on a number of factors, including premium rates, policy terms and conditions, service provided to distribution channels and policyholders, ratings by rating agencies, reputation and commission structures.</w:t>
      </w:r>
    </w:p>
    <w:p>
      <w:pPr>
        <w:spacing w:after="0" w:line="77" w:lineRule="exact"/>
        <w:rPr>
          <w:sz w:val="20"/>
          <w:szCs w:val="20"/>
          <w:color w:val="auto"/>
        </w:rPr>
      </w:pPr>
    </w:p>
    <w:p>
      <w:pPr>
        <w:jc w:val="both"/>
        <w:ind w:firstLine="353"/>
        <w:spacing w:after="0" w:line="263" w:lineRule="auto"/>
        <w:rPr>
          <w:sz w:val="20"/>
          <w:szCs w:val="20"/>
          <w:color w:val="auto"/>
        </w:rPr>
      </w:pPr>
      <w:r>
        <w:rPr>
          <w:rFonts w:ascii="Arial" w:cs="Arial" w:eastAsia="Arial" w:hAnsi="Arial"/>
          <w:sz w:val="19"/>
          <w:szCs w:val="19"/>
          <w:color w:val="auto"/>
        </w:rPr>
        <w:t>F&amp;G's ability to compete is dependent upon, among other things, its ability to develop competitive and profitable products, its ability to maintain low unit costs, its maintenance of adequate financial strength ratings from rating agencies and its ability to attract and retain distribution channels to market its products, the competition for which is vigorous. F&amp;G must anticipate and respond effectively to changes in customer preferences, new industry standards, evolving distribution models, disruptive technology developments and alternate business models. The evolving nature of consumer needs and preferences and improvements in technology could result in a reduction in consumer demand and in the prices of the products and services F&amp;G offers. F&amp;G's competitive position may be impacted they are unable to deploy, in a cost effective and competitive manner, technology such as artificial intelligence and machine learning, or if F&amp;G's competitors collect and use data which they do not have the ability to access or use.</w:t>
      </w:r>
    </w:p>
    <w:p>
      <w:pPr>
        <w:spacing w:after="0" w:line="80" w:lineRule="exact"/>
        <w:rPr>
          <w:sz w:val="20"/>
          <w:szCs w:val="20"/>
          <w:color w:val="auto"/>
        </w:rPr>
      </w:pPr>
    </w:p>
    <w:p>
      <w:pPr>
        <w:jc w:val="both"/>
        <w:ind w:firstLine="353"/>
        <w:spacing w:after="0" w:line="250" w:lineRule="auto"/>
        <w:rPr>
          <w:sz w:val="20"/>
          <w:szCs w:val="20"/>
          <w:color w:val="auto"/>
        </w:rPr>
      </w:pPr>
      <w:r>
        <w:rPr>
          <w:rFonts w:ascii="Arial" w:cs="Arial" w:eastAsia="Arial" w:hAnsi="Arial"/>
          <w:sz w:val="20"/>
          <w:szCs w:val="20"/>
          <w:color w:val="auto"/>
        </w:rPr>
        <w:t>There is a risk that purchasers may be able to obtain more favorable terms and offerings from competitors, vendors or other third parties, including pricing and technology. Additionally, customers may turn to our competitors as a result of F&amp;G or its client’s failure, or perceived failure, to deliver on customer expectations, product or service flaws, technology issues, gaps in operational support or other issues affecting customer experience. As a result, competition may adversely affect the persistency of F&amp;G's policies, F&amp;G's ability to sell products and provide services, maintain client relationships, and F&amp;G's revenues and results of operations.</w:t>
      </w:r>
    </w:p>
    <w:p>
      <w:pPr>
        <w:spacing w:after="0" w:line="8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The loss of key personnel could negatively affect our financial results and impair our operating abilities.</w:t>
      </w:r>
    </w:p>
    <w:p>
      <w:pPr>
        <w:spacing w:after="0" w:line="130" w:lineRule="exact"/>
        <w:rPr>
          <w:sz w:val="20"/>
          <w:szCs w:val="20"/>
          <w:color w:val="auto"/>
        </w:rPr>
      </w:pPr>
    </w:p>
    <w:p>
      <w:pPr>
        <w:jc w:val="both"/>
        <w:ind w:firstLine="353"/>
        <w:spacing w:after="0" w:line="251" w:lineRule="auto"/>
        <w:rPr>
          <w:sz w:val="20"/>
          <w:szCs w:val="20"/>
          <w:color w:val="auto"/>
        </w:rPr>
      </w:pPr>
      <w:r>
        <w:rPr>
          <w:rFonts w:ascii="Arial" w:cs="Arial" w:eastAsia="Arial" w:hAnsi="Arial"/>
          <w:sz w:val="20"/>
          <w:szCs w:val="20"/>
          <w:color w:val="auto"/>
        </w:rPr>
        <w:t>Our success substantially depends on our ability to attract and retain key members of our senior management team and officers. If we lose one or more of these key employees, our operating results and in turn the value of our common stock could be materially adversely affected. Although we have employment agreements with many of our officers, there can be no assurance that the entire term of the employment agreement will be served or that the employment agreement will be renewed upon expiration.</w:t>
      </w:r>
    </w:p>
    <w:p>
      <w:pPr>
        <w:spacing w:after="0" w:line="84" w:lineRule="exact"/>
        <w:rPr>
          <w:sz w:val="20"/>
          <w:szCs w:val="20"/>
          <w:color w:val="auto"/>
        </w:rPr>
      </w:pPr>
    </w:p>
    <w:p>
      <w:pPr>
        <w:spacing w:after="0"/>
        <w:tabs>
          <w:tab w:leader="none" w:pos="1380" w:val="left"/>
        </w:tabs>
        <w:rPr>
          <w:sz w:val="20"/>
          <w:szCs w:val="20"/>
          <w:color w:val="auto"/>
        </w:rPr>
      </w:pPr>
      <w:r>
        <w:rPr>
          <w:rFonts w:ascii="Arial" w:cs="Arial" w:eastAsia="Arial" w:hAnsi="Arial"/>
          <w:sz w:val="20"/>
          <w:szCs w:val="20"/>
          <w:b w:val="1"/>
          <w:bCs w:val="1"/>
          <w:color w:val="auto"/>
        </w:rPr>
        <w:t>Item 1B.</w:t>
      </w:r>
      <w:r>
        <w:rPr>
          <w:sz w:val="20"/>
          <w:szCs w:val="20"/>
          <w:color w:val="auto"/>
        </w:rPr>
        <w:tab/>
      </w:r>
      <w:r>
        <w:rPr>
          <w:rFonts w:ascii="Arial" w:cs="Arial" w:eastAsia="Arial" w:hAnsi="Arial"/>
          <w:sz w:val="16"/>
          <w:szCs w:val="16"/>
          <w:b w:val="1"/>
          <w:bCs w:val="1"/>
          <w:i w:val="1"/>
          <w:iCs w:val="1"/>
          <w:color w:val="auto"/>
        </w:rPr>
        <w:t>Unresolved Staff Comments</w:t>
      </w:r>
    </w:p>
    <w:p>
      <w:pPr>
        <w:spacing w:after="0" w:line="110" w:lineRule="exact"/>
        <w:rPr>
          <w:sz w:val="20"/>
          <w:szCs w:val="20"/>
          <w:color w:val="auto"/>
        </w:rPr>
      </w:pPr>
    </w:p>
    <w:p>
      <w:pPr>
        <w:ind w:left="340"/>
        <w:spacing w:after="0"/>
        <w:rPr>
          <w:sz w:val="20"/>
          <w:szCs w:val="20"/>
          <w:color w:val="auto"/>
        </w:rPr>
      </w:pPr>
      <w:r>
        <w:rPr>
          <w:rFonts w:ascii="Arial" w:cs="Arial" w:eastAsia="Arial" w:hAnsi="Arial"/>
          <w:sz w:val="20"/>
          <w:szCs w:val="20"/>
          <w:color w:val="auto"/>
        </w:rPr>
        <w:t>None.</w:t>
      </w:r>
    </w:p>
    <w:p>
      <w:pPr>
        <w:sectPr>
          <w:pgSz w:w="11880" w:h="15480" w:orient="portrait"/>
          <w:cols w:equalWidth="0" w:num="1">
            <w:col w:w="10040"/>
          </w:cols>
          <w:pgMar w:left="920" w:top="765"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53</w:t>
      </w:r>
    </w:p>
    <w:p>
      <w:pPr>
        <w:sectPr>
          <w:pgSz w:w="11880" w:h="15480" w:orient="portrait"/>
          <w:cols w:equalWidth="0" w:num="1">
            <w:col w:w="10040"/>
          </w:cols>
          <w:pgMar w:left="920" w:top="765" w:right="920" w:bottom="0" w:gutter="0" w:footer="0" w:header="0"/>
          <w:type w:val="continuous"/>
        </w:sectPr>
      </w:pPr>
    </w:p>
    <w:bookmarkStart w:id="65" w:name="page66"/>
    <w:bookmarkEnd w:id="65"/>
    <w:p>
      <w:pPr>
        <w:spacing w:after="0"/>
        <w:tabs>
          <w:tab w:leader="none" w:pos="1380" w:val="left"/>
        </w:tabs>
        <w:rPr>
          <w:sz w:val="20"/>
          <w:szCs w:val="20"/>
          <w:color w:val="auto"/>
        </w:rPr>
      </w:pPr>
      <w:r>
        <w:rPr>
          <w:rFonts w:ascii="Arial" w:cs="Arial" w:eastAsia="Arial" w:hAnsi="Arial"/>
          <w:sz w:val="20"/>
          <w:szCs w:val="20"/>
          <w:b w:val="1"/>
          <w:bCs w:val="1"/>
          <w:color w:val="auto"/>
        </w:rPr>
        <w:t>Item 1C.</w:t>
      </w:r>
      <w:r>
        <w:rPr>
          <w:sz w:val="20"/>
          <w:szCs w:val="20"/>
          <w:color w:val="auto"/>
        </w:rPr>
        <w:tab/>
      </w:r>
      <w:r>
        <w:rPr>
          <w:rFonts w:ascii="Arial" w:cs="Arial" w:eastAsia="Arial" w:hAnsi="Arial"/>
          <w:sz w:val="16"/>
          <w:szCs w:val="16"/>
          <w:b w:val="1"/>
          <w:bCs w:val="1"/>
          <w:i w:val="1"/>
          <w:iCs w:val="1"/>
          <w:color w:val="auto"/>
        </w:rPr>
        <w:t>Cybersecurity</w:t>
      </w:r>
    </w:p>
    <w:p>
      <w:pPr>
        <w:spacing w:after="0" w:line="110" w:lineRule="exact"/>
        <w:rPr>
          <w:sz w:val="20"/>
          <w:szCs w:val="20"/>
          <w:color w:val="auto"/>
        </w:rPr>
      </w:pPr>
    </w:p>
    <w:p>
      <w:pPr>
        <w:jc w:val="both"/>
        <w:ind w:firstLine="353"/>
        <w:spacing w:after="0" w:line="271" w:lineRule="auto"/>
        <w:rPr>
          <w:sz w:val="20"/>
          <w:szCs w:val="20"/>
          <w:color w:val="auto"/>
        </w:rPr>
      </w:pPr>
      <w:r>
        <w:rPr>
          <w:rFonts w:ascii="Arial" w:cs="Arial" w:eastAsia="Arial" w:hAnsi="Arial"/>
          <w:sz w:val="20"/>
          <w:szCs w:val="20"/>
          <w:color w:val="auto"/>
        </w:rPr>
        <w:t>We are highly dependent on information technology in the operation of our various businesses. Cybersecurity is an integral part of our operations and is a focus of all employees, including senior management and our Board.</w:t>
      </w:r>
    </w:p>
    <w:p>
      <w:pPr>
        <w:spacing w:after="0" w:line="6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Risk Management and Strategy</w:t>
      </w:r>
    </w:p>
    <w:p>
      <w:pPr>
        <w:spacing w:after="0" w:line="130" w:lineRule="exact"/>
        <w:rPr>
          <w:sz w:val="20"/>
          <w:szCs w:val="20"/>
          <w:color w:val="auto"/>
        </w:rPr>
      </w:pPr>
    </w:p>
    <w:p>
      <w:pPr>
        <w:jc w:val="both"/>
        <w:ind w:firstLine="353"/>
        <w:spacing w:after="0" w:line="300" w:lineRule="auto"/>
        <w:rPr>
          <w:sz w:val="20"/>
          <w:szCs w:val="20"/>
          <w:color w:val="auto"/>
        </w:rPr>
      </w:pPr>
      <w:r>
        <w:rPr>
          <w:rFonts w:ascii="Arial" w:cs="Arial" w:eastAsia="Arial" w:hAnsi="Arial"/>
          <w:sz w:val="17"/>
          <w:szCs w:val="17"/>
          <w:color w:val="auto"/>
        </w:rPr>
        <w:t>We assess, identify and manage cybersecurity risks through various processes within our Enterprise Risk Management Program and Information Security Program. We focus on all areas of cybersecurity, including threat and vulnerability management, security monitoring, identity and access management, phishing awareness, risk oversight, third-party risk management, disaster recovery and continuity management. We have established policies, including those related to privacy, information security and cybersecurity, and we employ a broad and diversified set of cybersecurity risk monitoring and risk mitigation techniques. Internal audits, external audits and self-assessments are conducted to assess the effectiveness and maturity of our Enterprise Risk Management Program and Information Security Program.</w:t>
      </w:r>
    </w:p>
    <w:p>
      <w:pPr>
        <w:spacing w:after="0" w:line="54" w:lineRule="exact"/>
        <w:rPr>
          <w:sz w:val="20"/>
          <w:szCs w:val="20"/>
          <w:color w:val="auto"/>
        </w:rPr>
      </w:pPr>
    </w:p>
    <w:p>
      <w:pPr>
        <w:jc w:val="both"/>
        <w:ind w:firstLine="353"/>
        <w:spacing w:after="0" w:line="312" w:lineRule="auto"/>
        <w:rPr>
          <w:sz w:val="20"/>
          <w:szCs w:val="20"/>
          <w:color w:val="auto"/>
        </w:rPr>
      </w:pPr>
      <w:r>
        <w:rPr>
          <w:rFonts w:ascii="Arial" w:cs="Arial" w:eastAsia="Arial" w:hAnsi="Arial"/>
          <w:sz w:val="17"/>
          <w:szCs w:val="17"/>
          <w:color w:val="auto"/>
        </w:rPr>
        <w:t>Our employees are one of our strongest assets in protecting our customers' information and mitigating cybersecurity risk. We maintain comprehensive and tailored training programs that focus on applicable privacy and cybersecurity requirements. Additionally, we make strategic investments in cybersecurity to protect our customers and information systems, including both capital expenditures and operating expenses for hardware, software, personnel and consulting services.</w:t>
      </w:r>
    </w:p>
    <w:p>
      <w:pPr>
        <w:spacing w:after="0" w:line="42" w:lineRule="exact"/>
        <w:rPr>
          <w:sz w:val="20"/>
          <w:szCs w:val="20"/>
          <w:color w:val="auto"/>
        </w:rPr>
      </w:pPr>
    </w:p>
    <w:p>
      <w:pPr>
        <w:jc w:val="both"/>
        <w:ind w:firstLine="353"/>
        <w:spacing w:after="0" w:line="303" w:lineRule="auto"/>
        <w:rPr>
          <w:sz w:val="20"/>
          <w:szCs w:val="20"/>
          <w:color w:val="auto"/>
        </w:rPr>
      </w:pPr>
      <w:r>
        <w:rPr>
          <w:rFonts w:ascii="Arial" w:cs="Arial" w:eastAsia="Arial" w:hAnsi="Arial"/>
          <w:sz w:val="17"/>
          <w:szCs w:val="17"/>
          <w:color w:val="auto"/>
        </w:rPr>
        <w:t>Our processes to assess, identify and manage cybersecurity risks, including cybersecurity risks related to the use of third-party service providers, are fully integrated into our Enterprise Risk Management Program. In some circumstances we use third-party service providers to provide expertise and to monitor utilization of specific cyber tools, and in certain cases, to supplement staffing services. Through our vendor risk management process, these vendors undergo various assessments such as financial, reputational, contractual and informational security. These assessments are performed to ascertain that these vendors meet our policy requirements relative to the services they perform on our behalf.</w:t>
      </w:r>
    </w:p>
    <w:p>
      <w:pPr>
        <w:spacing w:after="0" w:line="48" w:lineRule="exact"/>
        <w:rPr>
          <w:sz w:val="20"/>
          <w:szCs w:val="20"/>
          <w:color w:val="auto"/>
        </w:rPr>
      </w:pPr>
    </w:p>
    <w:p>
      <w:pPr>
        <w:jc w:val="both"/>
        <w:ind w:firstLine="353"/>
        <w:spacing w:after="0" w:line="251" w:lineRule="auto"/>
        <w:rPr>
          <w:sz w:val="20"/>
          <w:szCs w:val="20"/>
          <w:color w:val="auto"/>
        </w:rPr>
      </w:pPr>
      <w:r>
        <w:rPr>
          <w:rFonts w:ascii="Arial" w:cs="Arial" w:eastAsia="Arial" w:hAnsi="Arial"/>
          <w:sz w:val="20"/>
          <w:szCs w:val="20"/>
          <w:color w:val="auto"/>
        </w:rPr>
        <w:t>To further reduce the residual risk associated with cybersecurity, we maintain Miscellaneous Professional Liability Insurance, which provides coverage for cybersecurity incidents. The deductible limits on these policies are determined by a corporate insurance risk management group and executive management at least on an annual basis. This group determines appropriate coverage levels and deductibles for each policy based on tolerance and weighs the coverage against the premium for the policy.</w:t>
      </w:r>
    </w:p>
    <w:p>
      <w:pPr>
        <w:spacing w:after="0" w:line="8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Governance</w:t>
      </w:r>
    </w:p>
    <w:p>
      <w:pPr>
        <w:spacing w:after="0" w:line="12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Management's Role in Assessing and Managing Cybersecurity Risk</w:t>
      </w:r>
    </w:p>
    <w:p>
      <w:pPr>
        <w:spacing w:after="0" w:line="125" w:lineRule="exact"/>
        <w:rPr>
          <w:sz w:val="20"/>
          <w:szCs w:val="20"/>
          <w:color w:val="auto"/>
        </w:rPr>
      </w:pPr>
    </w:p>
    <w:p>
      <w:pPr>
        <w:jc w:val="both"/>
        <w:ind w:firstLine="353"/>
        <w:spacing w:after="0" w:line="297" w:lineRule="auto"/>
        <w:rPr>
          <w:sz w:val="20"/>
          <w:szCs w:val="20"/>
          <w:color w:val="auto"/>
        </w:rPr>
      </w:pPr>
      <w:r>
        <w:rPr>
          <w:rFonts w:ascii="Arial" w:cs="Arial" w:eastAsia="Arial" w:hAnsi="Arial"/>
          <w:sz w:val="17"/>
          <w:szCs w:val="17"/>
          <w:color w:val="auto"/>
        </w:rPr>
        <w:t>Our Corporate Information Security Group is led by our Chief Information Security Officer ("CISO") who is responsible for our information security strategy. This strategy includes policy management, security engineering, identity and access management, vulnerability management and cyber threat detection and response through our Security Operations Center. Our CISO has extensive information technology and program management experience as do many of our employees in our information security group. Our CISO, as well as others in our information security group, hold certifications such the Certified Information System Security Professional certification. We believe cybersecurity is a shared responsibility throughout the organization and thus we also manage cybersecurity risks, through a cross-functional committee of members of senior management known as the Enterprise Risk Steering Committee, which includes the CISO. The diversity of this group allows for identification of key enterprise risks from strategic, operational, financial, legal, information technology and compliance perspectives. These individuals receive reporting on our cybersecurity programs and also participate in table-top exercises relating to potential security incidents. The CISO is also the primary point of contact for reporting information security incidents and for coordinating information security activities including incident response and digital forensics. Our CISO reports to our Chief Security Officer who also has extensive experience in the information security space.</w:t>
      </w:r>
    </w:p>
    <w:p>
      <w:pPr>
        <w:spacing w:after="0" w:line="7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Board Oversight of Cybersecurity</w:t>
      </w:r>
    </w:p>
    <w:p>
      <w:pPr>
        <w:spacing w:after="0" w:line="125" w:lineRule="exact"/>
        <w:rPr>
          <w:sz w:val="20"/>
          <w:szCs w:val="20"/>
          <w:color w:val="auto"/>
        </w:rPr>
      </w:pPr>
    </w:p>
    <w:p>
      <w:pPr>
        <w:jc w:val="both"/>
        <w:ind w:firstLine="353"/>
        <w:spacing w:after="0" w:line="303" w:lineRule="auto"/>
        <w:rPr>
          <w:sz w:val="20"/>
          <w:szCs w:val="20"/>
          <w:color w:val="auto"/>
        </w:rPr>
      </w:pPr>
      <w:r>
        <w:rPr>
          <w:rFonts w:ascii="Arial" w:cs="Arial" w:eastAsia="Arial" w:hAnsi="Arial"/>
          <w:sz w:val="17"/>
          <w:szCs w:val="17"/>
          <w:color w:val="auto"/>
        </w:rPr>
        <w:t xml:space="preserve">Our board has a strong focus on cybersecurity. Our approaches to cybersecurity and privacy risk are overseen by the audit committee. At each regular meeting of the audit committee of our Board of Directors, our Chief Risk Officer, Chief Compliance Officer, Chief Security Officer, Chief Information Security Officer, and Chief Audit Officer provide reports relating to existing and emerging cyber and data security risks, as well as reports on the Company’s risk assessments and security incidents. Our audit committee chairman reports on these discussions to our board of directors on a quarterly basis. See Item 1A </w:t>
      </w:r>
      <w:r>
        <w:rPr>
          <w:rFonts w:ascii="Arial" w:cs="Arial" w:eastAsia="Arial" w:hAnsi="Arial"/>
          <w:sz w:val="17"/>
          <w:szCs w:val="17"/>
          <w:b w:val="1"/>
          <w:bCs w:val="1"/>
          <w:i w:val="1"/>
          <w:iCs w:val="1"/>
          <w:color w:val="auto"/>
        </w:rPr>
        <w:t>Risk Factors</w:t>
      </w:r>
      <w:r>
        <w:rPr>
          <w:rFonts w:ascii="Arial" w:cs="Arial" w:eastAsia="Arial" w:hAnsi="Arial"/>
          <w:sz w:val="17"/>
          <w:szCs w:val="17"/>
          <w:color w:val="auto"/>
        </w:rPr>
        <w:t xml:space="preserve"> for discussion of material risks faced by the Company, including risks related to cybersecurity.</w:t>
      </w:r>
    </w:p>
    <w:p>
      <w:pPr>
        <w:sectPr>
          <w:pgSz w:w="11880" w:h="15480" w:orient="portrait"/>
          <w:cols w:equalWidth="0" w:num="1">
            <w:col w:w="10040"/>
          </w:cols>
          <w:pgMar w:left="920" w:top="765"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54</w:t>
      </w:r>
    </w:p>
    <w:p>
      <w:pPr>
        <w:sectPr>
          <w:pgSz w:w="11880" w:h="15480" w:orient="portrait"/>
          <w:cols w:equalWidth="0" w:num="1">
            <w:col w:w="10040"/>
          </w:cols>
          <w:pgMar w:left="920" w:top="765" w:right="920" w:bottom="0" w:gutter="0" w:footer="0" w:header="0"/>
          <w:type w:val="continuous"/>
        </w:sectPr>
      </w:pPr>
    </w:p>
    <w:bookmarkStart w:id="66" w:name="page67"/>
    <w:bookmarkEnd w:id="66"/>
    <w:p>
      <w:pPr>
        <w:spacing w:after="0"/>
        <w:rPr>
          <w:sz w:val="20"/>
          <w:szCs w:val="20"/>
          <w:color w:val="auto"/>
        </w:rPr>
      </w:pPr>
      <w:r>
        <w:rPr>
          <w:rFonts w:ascii="Arial" w:cs="Arial" w:eastAsia="Arial" w:hAnsi="Arial"/>
          <w:sz w:val="20"/>
          <w:szCs w:val="20"/>
          <w:b w:val="1"/>
          <w:bCs w:val="1"/>
          <w:i w:val="1"/>
          <w:iCs w:val="1"/>
          <w:color w:val="auto"/>
        </w:rPr>
        <w:t>2023 Cybersecurity Incident</w:t>
      </w:r>
    </w:p>
    <w:p>
      <w:pPr>
        <w:spacing w:after="0" w:line="130" w:lineRule="exact"/>
        <w:rPr>
          <w:sz w:val="20"/>
          <w:szCs w:val="20"/>
          <w:color w:val="auto"/>
        </w:rPr>
      </w:pPr>
    </w:p>
    <w:p>
      <w:pPr>
        <w:jc w:val="both"/>
        <w:ind w:firstLine="353"/>
        <w:spacing w:after="0" w:line="251" w:lineRule="auto"/>
        <w:rPr>
          <w:sz w:val="20"/>
          <w:szCs w:val="20"/>
          <w:color w:val="auto"/>
        </w:rPr>
      </w:pPr>
      <w:r>
        <w:rPr>
          <w:rFonts w:ascii="Arial" w:cs="Arial" w:eastAsia="Arial" w:hAnsi="Arial"/>
          <w:sz w:val="20"/>
          <w:szCs w:val="20"/>
          <w:color w:val="auto"/>
        </w:rPr>
        <w:t>On November 19, 2023, we became aware of a cybersecurity incident that impacted certain of our systems. We promptly commenced an investigation, retained leading experts to assist the Company, notified law enforcement authorities, regulatory authorities and other stakeholders and followed our incident response plans. In addition, we took containment measures such as blocking access to certain of our systems resulting in varying levels of disruption to our businesses. The incident was contained on November 26, 2023.</w:t>
      </w:r>
    </w:p>
    <w:p>
      <w:pPr>
        <w:spacing w:after="0" w:line="91" w:lineRule="exact"/>
        <w:rPr>
          <w:sz w:val="20"/>
          <w:szCs w:val="20"/>
          <w:color w:val="auto"/>
        </w:rPr>
      </w:pPr>
    </w:p>
    <w:p>
      <w:pPr>
        <w:jc w:val="both"/>
        <w:ind w:firstLine="353"/>
        <w:spacing w:after="0" w:line="312" w:lineRule="auto"/>
        <w:rPr>
          <w:sz w:val="20"/>
          <w:szCs w:val="20"/>
          <w:color w:val="auto"/>
        </w:rPr>
      </w:pPr>
      <w:r>
        <w:rPr>
          <w:rFonts w:ascii="Arial" w:cs="Arial" w:eastAsia="Arial" w:hAnsi="Arial"/>
          <w:sz w:val="17"/>
          <w:szCs w:val="17"/>
          <w:color w:val="auto"/>
        </w:rPr>
        <w:t>We completed our forensic investigation on December 13, 2023. We determined that an unauthorized third-party accessed certain of our systems, deployed a type of malware that is not self-propagating and exfiltrated certain data. We have no evidence that any customer-owned system was directly impacted in the incident, and no customer has reported that this has occurred. The last confirmed date of unauthorized third-party activity in our network occurred on November 20, 2023.</w:t>
      </w:r>
    </w:p>
    <w:p>
      <w:pPr>
        <w:spacing w:after="0" w:line="42" w:lineRule="exact"/>
        <w:rPr>
          <w:sz w:val="20"/>
          <w:szCs w:val="20"/>
          <w:color w:val="auto"/>
        </w:rPr>
      </w:pPr>
    </w:p>
    <w:p>
      <w:pPr>
        <w:ind w:left="340"/>
        <w:spacing w:after="0"/>
        <w:rPr>
          <w:sz w:val="20"/>
          <w:szCs w:val="20"/>
          <w:color w:val="auto"/>
        </w:rPr>
      </w:pPr>
      <w:r>
        <w:rPr>
          <w:rFonts w:ascii="Arial" w:cs="Arial" w:eastAsia="Arial" w:hAnsi="Arial"/>
          <w:sz w:val="20"/>
          <w:szCs w:val="20"/>
          <w:color w:val="auto"/>
        </w:rPr>
        <w:t>This incident did not have a material impact on the Company.</w:t>
      </w:r>
    </w:p>
    <w:p>
      <w:pPr>
        <w:spacing w:after="0" w:line="116" w:lineRule="exact"/>
        <w:rPr>
          <w:sz w:val="20"/>
          <w:szCs w:val="20"/>
          <w:color w:val="auto"/>
        </w:rPr>
      </w:pPr>
    </w:p>
    <w:p>
      <w:pPr>
        <w:spacing w:after="0"/>
        <w:tabs>
          <w:tab w:leader="none" w:pos="1380" w:val="left"/>
        </w:tabs>
        <w:rPr>
          <w:sz w:val="20"/>
          <w:szCs w:val="20"/>
          <w:color w:val="auto"/>
        </w:rPr>
      </w:pPr>
      <w:r>
        <w:rPr>
          <w:rFonts w:ascii="Arial" w:cs="Arial" w:eastAsia="Arial" w:hAnsi="Arial"/>
          <w:sz w:val="20"/>
          <w:szCs w:val="20"/>
          <w:b w:val="1"/>
          <w:bCs w:val="1"/>
          <w:color w:val="auto"/>
        </w:rPr>
        <w:t>Item 2.</w:t>
      </w:r>
      <w:r>
        <w:rPr>
          <w:sz w:val="20"/>
          <w:szCs w:val="20"/>
          <w:color w:val="auto"/>
        </w:rPr>
        <w:tab/>
      </w:r>
      <w:r>
        <w:rPr>
          <w:rFonts w:ascii="Arial" w:cs="Arial" w:eastAsia="Arial" w:hAnsi="Arial"/>
          <w:sz w:val="16"/>
          <w:szCs w:val="16"/>
          <w:b w:val="1"/>
          <w:bCs w:val="1"/>
          <w:i w:val="1"/>
          <w:iCs w:val="1"/>
          <w:color w:val="auto"/>
        </w:rPr>
        <w:t>Properties</w:t>
      </w:r>
    </w:p>
    <w:p>
      <w:pPr>
        <w:spacing w:after="0" w:line="130" w:lineRule="exact"/>
        <w:rPr>
          <w:sz w:val="20"/>
          <w:szCs w:val="20"/>
          <w:color w:val="auto"/>
        </w:rPr>
      </w:pPr>
    </w:p>
    <w:p>
      <w:pPr>
        <w:jc w:val="both"/>
        <w:ind w:firstLine="353"/>
        <w:spacing w:after="0" w:line="271" w:lineRule="auto"/>
        <w:rPr>
          <w:sz w:val="20"/>
          <w:szCs w:val="20"/>
          <w:color w:val="auto"/>
        </w:rPr>
      </w:pPr>
      <w:r>
        <w:rPr>
          <w:rFonts w:ascii="Arial" w:cs="Arial" w:eastAsia="Arial" w:hAnsi="Arial"/>
          <w:sz w:val="20"/>
          <w:szCs w:val="20"/>
          <w:color w:val="auto"/>
        </w:rPr>
        <w:t>Our corporate headquarters are in Jacksonville, Florida in owned facilities. F&amp;G's headquarters are in Des Moines, Iowa in leased facilities.</w:t>
      </w:r>
    </w:p>
    <w:p>
      <w:pPr>
        <w:spacing w:after="0" w:line="47" w:lineRule="exact"/>
        <w:rPr>
          <w:sz w:val="20"/>
          <w:szCs w:val="20"/>
          <w:color w:val="auto"/>
        </w:rPr>
      </w:pPr>
    </w:p>
    <w:p>
      <w:pPr>
        <w:jc w:val="both"/>
        <w:ind w:firstLine="353"/>
        <w:spacing w:after="0" w:line="254" w:lineRule="auto"/>
        <w:rPr>
          <w:sz w:val="20"/>
          <w:szCs w:val="20"/>
          <w:color w:val="auto"/>
        </w:rPr>
      </w:pPr>
      <w:r>
        <w:rPr>
          <w:rFonts w:ascii="Arial" w:cs="Arial" w:eastAsia="Arial" w:hAnsi="Arial"/>
          <w:sz w:val="20"/>
          <w:szCs w:val="20"/>
          <w:color w:val="auto"/>
        </w:rPr>
        <w:t xml:space="preserve">The majority of our branch offices are leased from third parties. See Note P </w:t>
      </w:r>
      <w:r>
        <w:rPr>
          <w:rFonts w:ascii="Arial" w:cs="Arial" w:eastAsia="Arial" w:hAnsi="Arial"/>
          <w:sz w:val="20"/>
          <w:szCs w:val="20"/>
          <w:b w:val="1"/>
          <w:bCs w:val="1"/>
          <w:i w:val="1"/>
          <w:iCs w:val="1"/>
          <w:color w:val="auto"/>
        </w:rPr>
        <w:t>Leases</w:t>
      </w:r>
      <w:r>
        <w:rPr>
          <w:rFonts w:ascii="Arial" w:cs="Arial" w:eastAsia="Arial" w:hAnsi="Arial"/>
          <w:sz w:val="20"/>
          <w:szCs w:val="20"/>
          <w:color w:val="auto"/>
        </w:rPr>
        <w:t xml:space="preserve"> to our Consolidated Financial Statements included in Item 8 of Part II of this Annual Report for further information on our outstanding leases. Our subsidiaries conduct their business operations primarily in leased office space in 47 states, Washington, DC, Canada, India, Bermuda and the Cayman Islands.</w:t>
      </w:r>
    </w:p>
    <w:p>
      <w:pPr>
        <w:spacing w:after="0" w:line="83" w:lineRule="exact"/>
        <w:rPr>
          <w:sz w:val="20"/>
          <w:szCs w:val="20"/>
          <w:color w:val="auto"/>
        </w:rPr>
      </w:pPr>
    </w:p>
    <w:p>
      <w:pPr>
        <w:spacing w:after="0"/>
        <w:tabs>
          <w:tab w:leader="none" w:pos="1380" w:val="left"/>
        </w:tabs>
        <w:rPr>
          <w:sz w:val="20"/>
          <w:szCs w:val="20"/>
          <w:color w:val="auto"/>
        </w:rPr>
      </w:pPr>
      <w:r>
        <w:rPr>
          <w:rFonts w:ascii="Arial" w:cs="Arial" w:eastAsia="Arial" w:hAnsi="Arial"/>
          <w:sz w:val="20"/>
          <w:szCs w:val="20"/>
          <w:b w:val="1"/>
          <w:bCs w:val="1"/>
          <w:color w:val="auto"/>
        </w:rPr>
        <w:t>Item 3.</w:t>
      </w:r>
      <w:r>
        <w:rPr>
          <w:sz w:val="20"/>
          <w:szCs w:val="20"/>
          <w:color w:val="auto"/>
        </w:rPr>
        <w:tab/>
      </w:r>
      <w:r>
        <w:rPr>
          <w:rFonts w:ascii="Arial" w:cs="Arial" w:eastAsia="Arial" w:hAnsi="Arial"/>
          <w:sz w:val="16"/>
          <w:szCs w:val="16"/>
          <w:b w:val="1"/>
          <w:bCs w:val="1"/>
          <w:i w:val="1"/>
          <w:iCs w:val="1"/>
          <w:color w:val="auto"/>
        </w:rPr>
        <w:t>Legal Proceedings</w:t>
      </w:r>
    </w:p>
    <w:p>
      <w:pPr>
        <w:spacing w:after="0" w:line="125" w:lineRule="exact"/>
        <w:rPr>
          <w:sz w:val="20"/>
          <w:szCs w:val="20"/>
          <w:color w:val="auto"/>
        </w:rPr>
      </w:pPr>
    </w:p>
    <w:p>
      <w:pPr>
        <w:jc w:val="both"/>
        <w:ind w:firstLine="353"/>
        <w:spacing w:after="0" w:line="259" w:lineRule="auto"/>
        <w:rPr>
          <w:sz w:val="20"/>
          <w:szCs w:val="20"/>
          <w:color w:val="auto"/>
        </w:rPr>
      </w:pPr>
      <w:r>
        <w:rPr>
          <w:rFonts w:ascii="Arial" w:cs="Arial" w:eastAsia="Arial" w:hAnsi="Arial"/>
          <w:sz w:val="20"/>
          <w:szCs w:val="20"/>
          <w:color w:val="auto"/>
        </w:rPr>
        <w:t xml:space="preserve">For a description of our legal proceedings see discussion of </w:t>
      </w:r>
      <w:r>
        <w:rPr>
          <w:rFonts w:ascii="Arial" w:cs="Arial" w:eastAsia="Arial" w:hAnsi="Arial"/>
          <w:sz w:val="20"/>
          <w:szCs w:val="20"/>
          <w:b w:val="1"/>
          <w:bCs w:val="1"/>
          <w:i w:val="1"/>
          <w:iCs w:val="1"/>
          <w:color w:val="auto"/>
        </w:rPr>
        <w:t>Legal and Regulatory Contingencies</w:t>
      </w:r>
      <w:r>
        <w:rPr>
          <w:rFonts w:ascii="Arial" w:cs="Arial" w:eastAsia="Arial" w:hAnsi="Arial"/>
          <w:sz w:val="20"/>
          <w:szCs w:val="20"/>
          <w:color w:val="auto"/>
        </w:rPr>
        <w:t xml:space="preserve"> in Note G </w:t>
      </w:r>
      <w:r>
        <w:rPr>
          <w:rFonts w:ascii="Arial" w:cs="Arial" w:eastAsia="Arial" w:hAnsi="Arial"/>
          <w:sz w:val="20"/>
          <w:szCs w:val="20"/>
          <w:b w:val="1"/>
          <w:bCs w:val="1"/>
          <w:i w:val="1"/>
          <w:iCs w:val="1"/>
          <w:color w:val="auto"/>
        </w:rPr>
        <w:t>Commitments</w:t>
      </w:r>
      <w:r>
        <w:rPr>
          <w:rFonts w:ascii="Arial" w:cs="Arial" w:eastAsia="Arial" w:hAnsi="Arial"/>
          <w:sz w:val="20"/>
          <w:szCs w:val="20"/>
          <w:color w:val="auto"/>
        </w:rPr>
        <w:t xml:space="preserve"> </w:t>
      </w:r>
      <w:r>
        <w:rPr>
          <w:rFonts w:ascii="Arial" w:cs="Arial" w:eastAsia="Arial" w:hAnsi="Arial"/>
          <w:sz w:val="20"/>
          <w:szCs w:val="20"/>
          <w:b w:val="1"/>
          <w:bCs w:val="1"/>
          <w:i w:val="1"/>
          <w:iCs w:val="1"/>
          <w:color w:val="auto"/>
        </w:rPr>
        <w:t xml:space="preserve">and Contingencies </w:t>
      </w:r>
      <w:r>
        <w:rPr>
          <w:rFonts w:ascii="Arial" w:cs="Arial" w:eastAsia="Arial" w:hAnsi="Arial"/>
          <w:sz w:val="20"/>
          <w:szCs w:val="20"/>
          <w:color w:val="auto"/>
        </w:rPr>
        <w:t>to our Consolidated Financial Statements included in Item 8 of Part II of this Annual Report, which is</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incorporated by reference into this Item 3 of Part I.</w:t>
      </w:r>
    </w:p>
    <w:p>
      <w:pPr>
        <w:spacing w:after="0" w:line="76" w:lineRule="exact"/>
        <w:rPr>
          <w:sz w:val="20"/>
          <w:szCs w:val="20"/>
          <w:color w:val="auto"/>
        </w:rPr>
      </w:pPr>
    </w:p>
    <w:p>
      <w:pPr>
        <w:spacing w:after="0"/>
        <w:tabs>
          <w:tab w:leader="none" w:pos="1380" w:val="left"/>
        </w:tabs>
        <w:rPr>
          <w:sz w:val="20"/>
          <w:szCs w:val="20"/>
          <w:color w:val="auto"/>
        </w:rPr>
      </w:pPr>
      <w:r>
        <w:rPr>
          <w:rFonts w:ascii="Arial" w:cs="Arial" w:eastAsia="Arial" w:hAnsi="Arial"/>
          <w:sz w:val="20"/>
          <w:szCs w:val="20"/>
          <w:b w:val="1"/>
          <w:bCs w:val="1"/>
          <w:color w:val="auto"/>
        </w:rPr>
        <w:t>Item 4.</w:t>
      </w:r>
      <w:r>
        <w:rPr>
          <w:sz w:val="20"/>
          <w:szCs w:val="20"/>
          <w:color w:val="auto"/>
        </w:rPr>
        <w:tab/>
      </w:r>
      <w:r>
        <w:rPr>
          <w:rFonts w:ascii="Arial" w:cs="Arial" w:eastAsia="Arial" w:hAnsi="Arial"/>
          <w:sz w:val="17"/>
          <w:szCs w:val="17"/>
          <w:b w:val="1"/>
          <w:bCs w:val="1"/>
          <w:i w:val="1"/>
          <w:iCs w:val="1"/>
          <w:color w:val="auto"/>
        </w:rPr>
        <w:t>Mine Safety Disclosures</w:t>
      </w:r>
    </w:p>
    <w:p>
      <w:pPr>
        <w:spacing w:after="0" w:line="107" w:lineRule="exact"/>
        <w:rPr>
          <w:sz w:val="20"/>
          <w:szCs w:val="20"/>
          <w:color w:val="auto"/>
        </w:rPr>
      </w:pPr>
    </w:p>
    <w:p>
      <w:pPr>
        <w:ind w:left="340"/>
        <w:spacing w:after="0"/>
        <w:rPr>
          <w:sz w:val="20"/>
          <w:szCs w:val="20"/>
          <w:color w:val="auto"/>
        </w:rPr>
      </w:pPr>
      <w:r>
        <w:rPr>
          <w:rFonts w:ascii="Arial" w:cs="Arial" w:eastAsia="Arial" w:hAnsi="Arial"/>
          <w:sz w:val="20"/>
          <w:szCs w:val="20"/>
          <w:color w:val="auto"/>
        </w:rPr>
        <w:t>Not applicable.</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PART II</w:t>
      </w:r>
    </w:p>
    <w:p>
      <w:pPr>
        <w:spacing w:after="0" w:line="29" w:lineRule="exact"/>
        <w:rPr>
          <w:sz w:val="20"/>
          <w:szCs w:val="20"/>
          <w:color w:val="auto"/>
        </w:rPr>
      </w:pPr>
    </w:p>
    <w:p>
      <w:pPr>
        <w:ind w:left="1400" w:right="400" w:hanging="1410"/>
        <w:spacing w:after="0" w:line="250" w:lineRule="auto"/>
        <w:tabs>
          <w:tab w:leader="none" w:pos="1380" w:val="left"/>
        </w:tabs>
        <w:rPr>
          <w:sz w:val="20"/>
          <w:szCs w:val="20"/>
          <w:color w:val="auto"/>
        </w:rPr>
      </w:pPr>
      <w:r>
        <w:rPr>
          <w:rFonts w:ascii="Arial" w:cs="Arial" w:eastAsia="Arial" w:hAnsi="Arial"/>
          <w:sz w:val="20"/>
          <w:szCs w:val="20"/>
          <w:b w:val="1"/>
          <w:bCs w:val="1"/>
          <w:color w:val="auto"/>
        </w:rPr>
        <w:t>Item 5.</w:t>
      </w:r>
      <w:r>
        <w:rPr>
          <w:sz w:val="20"/>
          <w:szCs w:val="20"/>
          <w:color w:val="auto"/>
        </w:rPr>
        <w:tab/>
      </w:r>
      <w:r>
        <w:rPr>
          <w:rFonts w:ascii="Arial" w:cs="Arial" w:eastAsia="Arial" w:hAnsi="Arial"/>
          <w:sz w:val="20"/>
          <w:szCs w:val="20"/>
          <w:b w:val="1"/>
          <w:bCs w:val="1"/>
          <w:i w:val="1"/>
          <w:iCs w:val="1"/>
          <w:color w:val="auto"/>
        </w:rPr>
        <w:t>Market for Registrant's Common Equity, Related Stockholder Matters and Issuer Purchases of Equity Securities</w:t>
      </w:r>
    </w:p>
    <w:p>
      <w:pPr>
        <w:spacing w:after="0" w:line="73" w:lineRule="exact"/>
        <w:rPr>
          <w:sz w:val="20"/>
          <w:szCs w:val="20"/>
          <w:color w:val="auto"/>
        </w:rPr>
      </w:pPr>
    </w:p>
    <w:p>
      <w:pPr>
        <w:ind w:left="340"/>
        <w:spacing w:after="0"/>
        <w:rPr>
          <w:sz w:val="20"/>
          <w:szCs w:val="20"/>
          <w:color w:val="auto"/>
        </w:rPr>
      </w:pPr>
      <w:r>
        <w:rPr>
          <w:rFonts w:ascii="Arial" w:cs="Arial" w:eastAsia="Arial" w:hAnsi="Arial"/>
          <w:sz w:val="20"/>
          <w:szCs w:val="20"/>
          <w:color w:val="auto"/>
        </w:rPr>
        <w:t>Our common stock trades on the New York Stock Exchange under the trading symbol "FNF".</w:t>
      </w:r>
    </w:p>
    <w:p>
      <w:pPr>
        <w:spacing w:after="0" w:line="123" w:lineRule="exact"/>
        <w:rPr>
          <w:sz w:val="20"/>
          <w:szCs w:val="20"/>
          <w:color w:val="auto"/>
        </w:rPr>
      </w:pPr>
    </w:p>
    <w:p>
      <w:pPr>
        <w:jc w:val="both"/>
        <w:ind w:firstLine="353"/>
        <w:spacing w:after="0" w:line="271" w:lineRule="auto"/>
        <w:rPr>
          <w:sz w:val="20"/>
          <w:szCs w:val="20"/>
          <w:color w:val="auto"/>
        </w:rPr>
      </w:pPr>
      <w:r>
        <w:rPr>
          <w:rFonts w:ascii="Arial" w:cs="Arial" w:eastAsia="Arial" w:hAnsi="Arial"/>
          <w:sz w:val="20"/>
          <w:szCs w:val="20"/>
          <w:color w:val="auto"/>
        </w:rPr>
        <w:t>On January 31, 2026, the last reported sale price of our common stock on the New York Stock Exchange was $54.39. We had approximately 5,246 shareholders of record on January 31, 2026.</w:t>
      </w:r>
    </w:p>
    <w:p>
      <w:pPr>
        <w:spacing w:after="0" w:line="67" w:lineRule="exact"/>
        <w:rPr>
          <w:sz w:val="20"/>
          <w:szCs w:val="20"/>
          <w:color w:val="auto"/>
        </w:rPr>
      </w:pPr>
    </w:p>
    <w:p>
      <w:pPr>
        <w:jc w:val="both"/>
        <w:ind w:firstLine="353"/>
        <w:spacing w:after="0" w:line="259" w:lineRule="auto"/>
        <w:rPr>
          <w:sz w:val="20"/>
          <w:szCs w:val="20"/>
          <w:color w:val="auto"/>
        </w:rPr>
      </w:pPr>
      <w:r>
        <w:rPr>
          <w:rFonts w:ascii="Arial" w:cs="Arial" w:eastAsia="Arial" w:hAnsi="Arial"/>
          <w:sz w:val="20"/>
          <w:szCs w:val="20"/>
          <w:color w:val="auto"/>
        </w:rPr>
        <w:t xml:space="preserve">Refer to Note T </w:t>
      </w:r>
      <w:r>
        <w:rPr>
          <w:rFonts w:ascii="Arial" w:cs="Arial" w:eastAsia="Arial" w:hAnsi="Arial"/>
          <w:sz w:val="20"/>
          <w:szCs w:val="20"/>
          <w:b w:val="1"/>
          <w:bCs w:val="1"/>
          <w:i w:val="1"/>
          <w:iCs w:val="1"/>
          <w:color w:val="auto"/>
        </w:rPr>
        <w:t>Employee Benefit Plans</w:t>
      </w:r>
      <w:r>
        <w:rPr>
          <w:rFonts w:ascii="Arial" w:cs="Arial" w:eastAsia="Arial" w:hAnsi="Arial"/>
          <w:sz w:val="20"/>
          <w:szCs w:val="20"/>
          <w:color w:val="auto"/>
        </w:rPr>
        <w:t xml:space="preserve"> to our Consolidated Financial Statements included in Item 8 of Part II of this Annual Report, which is incorporated by reference into this Item 5 of Part II, for further information on securities issued for employee stock compensation pursuant to our Omnibus Plan.</w:t>
      </w:r>
    </w:p>
    <w:p>
      <w:pPr>
        <w:spacing w:after="0" w:line="80" w:lineRule="exact"/>
        <w:rPr>
          <w:sz w:val="20"/>
          <w:szCs w:val="20"/>
          <w:color w:val="auto"/>
        </w:rPr>
      </w:pPr>
    </w:p>
    <w:p>
      <w:pPr>
        <w:ind w:right="80" w:firstLine="353"/>
        <w:spacing w:after="0" w:line="271" w:lineRule="auto"/>
        <w:rPr>
          <w:sz w:val="20"/>
          <w:szCs w:val="20"/>
          <w:color w:val="auto"/>
        </w:rPr>
      </w:pPr>
      <w:r>
        <w:rPr>
          <w:rFonts w:ascii="Arial" w:cs="Arial" w:eastAsia="Arial" w:hAnsi="Arial"/>
          <w:sz w:val="20"/>
          <w:szCs w:val="20"/>
          <w:color w:val="auto"/>
        </w:rPr>
        <w:t>Information concerning securities authorized for issuance under our equity compensation plans will be included in Item 12 of Part III of this Annual Report.</w:t>
      </w:r>
    </w:p>
    <w:p>
      <w:pPr>
        <w:sectPr>
          <w:pgSz w:w="11880" w:h="15480" w:orient="portrait"/>
          <w:cols w:equalWidth="0" w:num="1">
            <w:col w:w="10040"/>
          </w:cols>
          <w:pgMar w:left="920" w:top="765"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55</w:t>
      </w:r>
    </w:p>
    <w:p>
      <w:pPr>
        <w:sectPr>
          <w:pgSz w:w="11880" w:h="15480" w:orient="portrait"/>
          <w:cols w:equalWidth="0" w:num="1">
            <w:col w:w="10040"/>
          </w:cols>
          <w:pgMar w:left="920" w:top="765" w:right="920" w:bottom="0" w:gutter="0" w:footer="0" w:header="0"/>
          <w:type w:val="continuous"/>
        </w:sectPr>
      </w:pPr>
    </w:p>
    <w:bookmarkStart w:id="67" w:name="page68"/>
    <w:bookmarkEnd w:id="67"/>
    <w:p>
      <w:pPr>
        <w:ind w:left="340"/>
        <w:spacing w:after="0"/>
        <w:rPr>
          <w:sz w:val="20"/>
          <w:szCs w:val="20"/>
          <w:color w:val="auto"/>
        </w:rPr>
      </w:pPr>
      <w:r>
        <w:rPr>
          <w:rFonts w:ascii="Arial" w:cs="Arial" w:eastAsia="Arial" w:hAnsi="Arial"/>
          <w:sz w:val="20"/>
          <w:szCs w:val="20"/>
          <w:b w:val="1"/>
          <w:bCs w:val="1"/>
          <w:i w:val="1"/>
          <w:iCs w:val="1"/>
          <w:color w:val="auto"/>
        </w:rPr>
        <w:t>Performance Graph</w:t>
      </w:r>
    </w:p>
    <w:p>
      <w:pPr>
        <w:spacing w:after="0" w:line="110" w:lineRule="exact"/>
        <w:rPr>
          <w:sz w:val="20"/>
          <w:szCs w:val="20"/>
          <w:color w:val="auto"/>
        </w:rPr>
      </w:pPr>
    </w:p>
    <w:p>
      <w:pPr>
        <w:jc w:val="both"/>
        <w:ind w:firstLine="353"/>
        <w:spacing w:after="0" w:line="303" w:lineRule="auto"/>
        <w:rPr>
          <w:sz w:val="20"/>
          <w:szCs w:val="20"/>
          <w:color w:val="auto"/>
        </w:rPr>
      </w:pPr>
      <w:r>
        <w:rPr>
          <w:rFonts w:ascii="Arial" w:cs="Arial" w:eastAsia="Arial" w:hAnsi="Arial"/>
          <w:sz w:val="17"/>
          <w:szCs w:val="17"/>
          <w:color w:val="auto"/>
        </w:rPr>
        <w:t>Set forth below is a graph comparing cumulative total shareholder return on our FNF common stock against the cumulative total return on the S&amp;P 500 Index and against the cumulative total return of a peer group index consisting of certain companies in the primary industry in which we compete (SIC code 6361 — Title Insurance) for the period ending December 31, 2025. This peer group consists of the following companies: First American Financial Corporation and Stewart Information Services Corp. The peer group comparison has been weighted based on their stock market capitalization. The graph assumes an initial investment of $100.00 on December 31, 2020, with dividends reinvested over the periods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69215</wp:posOffset>
            </wp:positionV>
            <wp:extent cx="6384925" cy="53047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24">
                      <a:extLst>
                        <a:ext uri="{28A0092B-C50C-407E-A947-70E740481C1C}"/>
                      </a:extLst>
                    </a:blip>
                    <a:srcRect/>
                    <a:stretch>
                      <a:fillRect/>
                    </a:stretch>
                  </pic:blipFill>
                  <pic:spPr bwMode="auto">
                    <a:xfrm>
                      <a:off x="0" y="0"/>
                      <a:ext cx="6384925" cy="53047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7"/>
          <w:szCs w:val="17"/>
          <w:b w:val="1"/>
          <w:bCs w:val="1"/>
          <w:i w:val="1"/>
          <w:iCs w:val="1"/>
          <w:color w:val="auto"/>
        </w:rPr>
        <w:t>The stock price performance included in this graph is not necessarily indicative of future stock price performance.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13335</wp:posOffset>
                </wp:positionH>
                <wp:positionV relativeFrom="paragraph">
                  <wp:posOffset>64770</wp:posOffset>
                </wp:positionV>
                <wp:extent cx="6348095" cy="0"/>
                <wp:wrapNone/>
                <wp:docPr id="53" name="Shape 5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4809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53" o:spid="_x0000_s107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05pt,5.1pt" to="500.9pt,5.1pt" o:allowincell="f" strokecolor="#000000" strokeweight="1pt"/>
            </w:pict>
          </mc:Fallback>
        </mc:AlternateContent>
      </w:r>
    </w:p>
    <w:p>
      <w:pPr>
        <w:spacing w:after="0" w:line="109" w:lineRule="exact"/>
        <w:rPr>
          <w:sz w:val="20"/>
          <w:szCs w:val="20"/>
          <w:color w:val="auto"/>
        </w:rPr>
      </w:pPr>
    </w:p>
    <w:tbl>
      <w:tblPr>
        <w:tblLayout w:type="fixed"/>
        <w:tblInd w:w="20" w:type="dxa"/>
        <w:tblCellMar>
          <w:top w:w="0" w:type="dxa"/>
          <w:left w:w="0" w:type="dxa"/>
          <w:bottom w:w="0" w:type="dxa"/>
          <w:right w:w="0" w:type="dxa"/>
        </w:tblCellMar>
      </w:tblPr>
      <w:tr>
        <w:trPr>
          <w:trHeight w:val="213"/>
        </w:trPr>
        <w:tc>
          <w:tcPr>
            <w:tcW w:w="35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142"/>
              <w:spacing w:after="0"/>
              <w:rPr>
                <w:sz w:val="20"/>
                <w:szCs w:val="20"/>
                <w:color w:val="auto"/>
              </w:rPr>
            </w:pPr>
            <w:r>
              <w:rPr>
                <w:rFonts w:ascii="Arial" w:cs="Arial" w:eastAsia="Arial" w:hAnsi="Arial"/>
                <w:sz w:val="16"/>
                <w:szCs w:val="16"/>
                <w:b w:val="1"/>
                <w:bCs w:val="1"/>
                <w:color w:val="auto"/>
              </w:rPr>
              <w:t>12/31/2020</w:t>
            </w:r>
          </w:p>
        </w:tc>
        <w:tc>
          <w:tcPr>
            <w:tcW w:w="1080" w:type="dxa"/>
            <w:vAlign w:val="bottom"/>
            <w:tcBorders>
              <w:bottom w:val="single" w:sz="8" w:color="auto"/>
            </w:tcBorders>
          </w:tcPr>
          <w:p>
            <w:pPr>
              <w:jc w:val="right"/>
              <w:ind w:right="162"/>
              <w:spacing w:after="0"/>
              <w:rPr>
                <w:sz w:val="20"/>
                <w:szCs w:val="20"/>
                <w:color w:val="auto"/>
              </w:rPr>
            </w:pPr>
            <w:r>
              <w:rPr>
                <w:rFonts w:ascii="Arial" w:cs="Arial" w:eastAsia="Arial" w:hAnsi="Arial"/>
                <w:sz w:val="16"/>
                <w:szCs w:val="16"/>
                <w:b w:val="1"/>
                <w:bCs w:val="1"/>
                <w:color w:val="auto"/>
              </w:rPr>
              <w:t>12/31/2021</w:t>
            </w:r>
          </w:p>
        </w:tc>
        <w:tc>
          <w:tcPr>
            <w:tcW w:w="1080" w:type="dxa"/>
            <w:vAlign w:val="bottom"/>
            <w:tcBorders>
              <w:bottom w:val="single" w:sz="8" w:color="auto"/>
            </w:tcBorders>
          </w:tcPr>
          <w:p>
            <w:pPr>
              <w:jc w:val="right"/>
              <w:ind w:right="162"/>
              <w:spacing w:after="0"/>
              <w:rPr>
                <w:sz w:val="20"/>
                <w:szCs w:val="20"/>
                <w:color w:val="auto"/>
              </w:rPr>
            </w:pPr>
            <w:r>
              <w:rPr>
                <w:rFonts w:ascii="Arial" w:cs="Arial" w:eastAsia="Arial" w:hAnsi="Arial"/>
                <w:sz w:val="16"/>
                <w:szCs w:val="16"/>
                <w:b w:val="1"/>
                <w:bCs w:val="1"/>
                <w:color w:val="auto"/>
              </w:rPr>
              <w:t>12/31/2022</w:t>
            </w:r>
          </w:p>
        </w:tc>
        <w:tc>
          <w:tcPr>
            <w:tcW w:w="1060" w:type="dxa"/>
            <w:vAlign w:val="bottom"/>
            <w:tcBorders>
              <w:bottom w:val="single" w:sz="8" w:color="auto"/>
            </w:tcBorders>
          </w:tcPr>
          <w:p>
            <w:pPr>
              <w:jc w:val="right"/>
              <w:ind w:right="142"/>
              <w:spacing w:after="0"/>
              <w:rPr>
                <w:sz w:val="20"/>
                <w:szCs w:val="20"/>
                <w:color w:val="auto"/>
              </w:rPr>
            </w:pPr>
            <w:r>
              <w:rPr>
                <w:rFonts w:ascii="Arial" w:cs="Arial" w:eastAsia="Arial" w:hAnsi="Arial"/>
                <w:sz w:val="16"/>
                <w:szCs w:val="16"/>
                <w:b w:val="1"/>
                <w:bCs w:val="1"/>
                <w:color w:val="auto"/>
              </w:rPr>
              <w:t>12/31/2023</w:t>
            </w:r>
          </w:p>
        </w:tc>
        <w:tc>
          <w:tcPr>
            <w:tcW w:w="1080" w:type="dxa"/>
            <w:vAlign w:val="bottom"/>
            <w:tcBorders>
              <w:bottom w:val="single" w:sz="8" w:color="auto"/>
            </w:tcBorders>
          </w:tcPr>
          <w:p>
            <w:pPr>
              <w:jc w:val="right"/>
              <w:ind w:right="162"/>
              <w:spacing w:after="0"/>
              <w:rPr>
                <w:sz w:val="20"/>
                <w:szCs w:val="20"/>
                <w:color w:val="auto"/>
              </w:rPr>
            </w:pPr>
            <w:r>
              <w:rPr>
                <w:rFonts w:ascii="Arial" w:cs="Arial" w:eastAsia="Arial" w:hAnsi="Arial"/>
                <w:sz w:val="16"/>
                <w:szCs w:val="16"/>
                <w:b w:val="1"/>
                <w:bCs w:val="1"/>
                <w:color w:val="auto"/>
              </w:rPr>
              <w:t>12/31/2024</w:t>
            </w:r>
          </w:p>
        </w:tc>
        <w:tc>
          <w:tcPr>
            <w:tcW w:w="1020" w:type="dxa"/>
            <w:vAlign w:val="bottom"/>
            <w:tcBorders>
              <w:bottom w:val="single" w:sz="8" w:color="auto"/>
            </w:tcBorders>
          </w:tcPr>
          <w:p>
            <w:pPr>
              <w:jc w:val="right"/>
              <w:ind w:right="102"/>
              <w:spacing w:after="0"/>
              <w:rPr>
                <w:sz w:val="20"/>
                <w:szCs w:val="20"/>
                <w:color w:val="auto"/>
              </w:rPr>
            </w:pPr>
            <w:r>
              <w:rPr>
                <w:rFonts w:ascii="Arial" w:cs="Arial" w:eastAsia="Arial" w:hAnsi="Arial"/>
                <w:sz w:val="16"/>
                <w:szCs w:val="16"/>
                <w:b w:val="1"/>
                <w:bCs w:val="1"/>
                <w:color w:val="auto"/>
              </w:rPr>
              <w:t>12/31/2025</w:t>
            </w:r>
          </w:p>
        </w:tc>
      </w:tr>
      <w:tr>
        <w:trPr>
          <w:trHeight w:val="326"/>
        </w:trPr>
        <w:tc>
          <w:tcPr>
            <w:tcW w:w="3520" w:type="dxa"/>
            <w:vAlign w:val="bottom"/>
          </w:tcPr>
          <w:p>
            <w:pPr>
              <w:ind w:left="60"/>
              <w:spacing w:after="0"/>
              <w:rPr>
                <w:sz w:val="20"/>
                <w:szCs w:val="20"/>
                <w:color w:val="auto"/>
              </w:rPr>
            </w:pPr>
            <w:r>
              <w:rPr>
                <w:rFonts w:ascii="Arial" w:cs="Arial" w:eastAsia="Arial" w:hAnsi="Arial"/>
                <w:sz w:val="16"/>
                <w:szCs w:val="16"/>
                <w:color w:val="auto"/>
                <w:w w:val="95"/>
              </w:rPr>
              <w:t>Fidelity National Financial, Inc.</w:t>
            </w:r>
            <w:r>
              <w:rPr>
                <w:rFonts w:ascii="Arial" w:cs="Arial" w:eastAsia="Arial" w:hAnsi="Arial"/>
                <w:sz w:val="16"/>
                <w:szCs w:val="16"/>
                <w:color w:val="989898"/>
                <w:w w:val="95"/>
              </w:rPr>
              <w:t>................................</w:t>
            </w:r>
          </w:p>
        </w:tc>
        <w:tc>
          <w:tcPr>
            <w:tcW w:w="1160" w:type="dxa"/>
            <w:vAlign w:val="bottom"/>
          </w:tcPr>
          <w:p>
            <w:pPr>
              <w:jc w:val="right"/>
              <w:ind w:right="42"/>
              <w:spacing w:after="0"/>
              <w:rPr>
                <w:sz w:val="20"/>
                <w:szCs w:val="20"/>
                <w:color w:val="auto"/>
              </w:rPr>
            </w:pPr>
            <w:r>
              <w:rPr>
                <w:rFonts w:ascii="Arial" w:cs="Arial" w:eastAsia="Arial" w:hAnsi="Arial"/>
                <w:sz w:val="16"/>
                <w:szCs w:val="16"/>
                <w:color w:val="auto"/>
              </w:rPr>
              <w:t>100.00</w:t>
            </w:r>
          </w:p>
        </w:tc>
        <w:tc>
          <w:tcPr>
            <w:tcW w:w="1080" w:type="dxa"/>
            <w:vAlign w:val="bottom"/>
          </w:tcPr>
          <w:p>
            <w:pPr>
              <w:jc w:val="right"/>
              <w:ind w:right="42"/>
              <w:spacing w:after="0"/>
              <w:rPr>
                <w:sz w:val="20"/>
                <w:szCs w:val="20"/>
                <w:color w:val="auto"/>
              </w:rPr>
            </w:pPr>
            <w:r>
              <w:rPr>
                <w:rFonts w:ascii="Arial" w:cs="Arial" w:eastAsia="Arial" w:hAnsi="Arial"/>
                <w:sz w:val="16"/>
                <w:szCs w:val="16"/>
                <w:color w:val="auto"/>
              </w:rPr>
              <w:t>138.38</w:t>
            </w:r>
          </w:p>
        </w:tc>
        <w:tc>
          <w:tcPr>
            <w:tcW w:w="1080" w:type="dxa"/>
            <w:vAlign w:val="bottom"/>
          </w:tcPr>
          <w:p>
            <w:pPr>
              <w:jc w:val="right"/>
              <w:ind w:right="42"/>
              <w:spacing w:after="0"/>
              <w:rPr>
                <w:sz w:val="20"/>
                <w:szCs w:val="20"/>
                <w:color w:val="auto"/>
              </w:rPr>
            </w:pPr>
            <w:r>
              <w:rPr>
                <w:rFonts w:ascii="Arial" w:cs="Arial" w:eastAsia="Arial" w:hAnsi="Arial"/>
                <w:sz w:val="16"/>
                <w:szCs w:val="16"/>
                <w:color w:val="auto"/>
              </w:rPr>
              <w:t>108.77</w:t>
            </w:r>
          </w:p>
        </w:tc>
        <w:tc>
          <w:tcPr>
            <w:tcW w:w="1060" w:type="dxa"/>
            <w:vAlign w:val="bottom"/>
          </w:tcPr>
          <w:p>
            <w:pPr>
              <w:jc w:val="right"/>
              <w:ind w:right="42"/>
              <w:spacing w:after="0"/>
              <w:rPr>
                <w:sz w:val="20"/>
                <w:szCs w:val="20"/>
                <w:color w:val="auto"/>
              </w:rPr>
            </w:pPr>
            <w:r>
              <w:rPr>
                <w:rFonts w:ascii="Arial" w:cs="Arial" w:eastAsia="Arial" w:hAnsi="Arial"/>
                <w:sz w:val="16"/>
                <w:szCs w:val="16"/>
                <w:color w:val="auto"/>
              </w:rPr>
              <w:t>154.85</w:t>
            </w:r>
          </w:p>
        </w:tc>
        <w:tc>
          <w:tcPr>
            <w:tcW w:w="1080" w:type="dxa"/>
            <w:vAlign w:val="bottom"/>
          </w:tcPr>
          <w:p>
            <w:pPr>
              <w:jc w:val="right"/>
              <w:ind w:right="42"/>
              <w:spacing w:after="0"/>
              <w:rPr>
                <w:sz w:val="20"/>
                <w:szCs w:val="20"/>
                <w:color w:val="auto"/>
              </w:rPr>
            </w:pPr>
            <w:r>
              <w:rPr>
                <w:rFonts w:ascii="Arial" w:cs="Arial" w:eastAsia="Arial" w:hAnsi="Arial"/>
                <w:sz w:val="16"/>
                <w:szCs w:val="16"/>
                <w:color w:val="auto"/>
              </w:rPr>
              <w:t>176.86</w:t>
            </w:r>
          </w:p>
        </w:tc>
        <w:tc>
          <w:tcPr>
            <w:tcW w:w="1020" w:type="dxa"/>
            <w:vAlign w:val="bottom"/>
          </w:tcPr>
          <w:p>
            <w:pPr>
              <w:jc w:val="right"/>
              <w:spacing w:after="0"/>
              <w:rPr>
                <w:sz w:val="20"/>
                <w:szCs w:val="20"/>
                <w:color w:val="auto"/>
              </w:rPr>
            </w:pPr>
            <w:r>
              <w:rPr>
                <w:rFonts w:ascii="Arial" w:cs="Arial" w:eastAsia="Arial" w:hAnsi="Arial"/>
                <w:sz w:val="16"/>
                <w:szCs w:val="16"/>
                <w:color w:val="auto"/>
              </w:rPr>
              <w:t>184.84</w:t>
            </w:r>
          </w:p>
        </w:tc>
      </w:tr>
      <w:tr>
        <w:trPr>
          <w:trHeight w:val="250"/>
        </w:trPr>
        <w:tc>
          <w:tcPr>
            <w:tcW w:w="3520" w:type="dxa"/>
            <w:vAlign w:val="bottom"/>
          </w:tcPr>
          <w:p>
            <w:pPr>
              <w:ind w:left="60"/>
              <w:spacing w:after="0"/>
              <w:rPr>
                <w:sz w:val="20"/>
                <w:szCs w:val="20"/>
                <w:color w:val="auto"/>
              </w:rPr>
            </w:pPr>
            <w:r>
              <w:rPr>
                <w:rFonts w:ascii="Arial" w:cs="Arial" w:eastAsia="Arial" w:hAnsi="Arial"/>
                <w:sz w:val="16"/>
                <w:szCs w:val="16"/>
                <w:color w:val="auto"/>
                <w:w w:val="92"/>
              </w:rPr>
              <w:t xml:space="preserve">S&amp;P 500 </w:t>
            </w:r>
            <w:r>
              <w:rPr>
                <w:rFonts w:ascii="Arial" w:cs="Arial" w:eastAsia="Arial" w:hAnsi="Arial"/>
                <w:sz w:val="16"/>
                <w:szCs w:val="16"/>
                <w:color w:val="989898"/>
                <w:w w:val="92"/>
              </w:rPr>
              <w:t>....................................................................</w:t>
            </w:r>
          </w:p>
        </w:tc>
        <w:tc>
          <w:tcPr>
            <w:tcW w:w="1160" w:type="dxa"/>
            <w:vAlign w:val="bottom"/>
          </w:tcPr>
          <w:p>
            <w:pPr>
              <w:jc w:val="right"/>
              <w:ind w:right="42"/>
              <w:spacing w:after="0"/>
              <w:rPr>
                <w:sz w:val="20"/>
                <w:szCs w:val="20"/>
                <w:color w:val="auto"/>
              </w:rPr>
            </w:pPr>
            <w:r>
              <w:rPr>
                <w:rFonts w:ascii="Arial" w:cs="Arial" w:eastAsia="Arial" w:hAnsi="Arial"/>
                <w:sz w:val="16"/>
                <w:szCs w:val="16"/>
                <w:color w:val="auto"/>
              </w:rPr>
              <w:t>100.00</w:t>
            </w:r>
          </w:p>
        </w:tc>
        <w:tc>
          <w:tcPr>
            <w:tcW w:w="1080" w:type="dxa"/>
            <w:vAlign w:val="bottom"/>
          </w:tcPr>
          <w:p>
            <w:pPr>
              <w:jc w:val="right"/>
              <w:ind w:right="42"/>
              <w:spacing w:after="0"/>
              <w:rPr>
                <w:sz w:val="20"/>
                <w:szCs w:val="20"/>
                <w:color w:val="auto"/>
              </w:rPr>
            </w:pPr>
            <w:r>
              <w:rPr>
                <w:rFonts w:ascii="Arial" w:cs="Arial" w:eastAsia="Arial" w:hAnsi="Arial"/>
                <w:sz w:val="16"/>
                <w:szCs w:val="16"/>
                <w:color w:val="auto"/>
              </w:rPr>
              <w:t>128.71</w:t>
            </w:r>
          </w:p>
        </w:tc>
        <w:tc>
          <w:tcPr>
            <w:tcW w:w="1080" w:type="dxa"/>
            <w:vAlign w:val="bottom"/>
          </w:tcPr>
          <w:p>
            <w:pPr>
              <w:jc w:val="right"/>
              <w:ind w:right="42"/>
              <w:spacing w:after="0"/>
              <w:rPr>
                <w:sz w:val="20"/>
                <w:szCs w:val="20"/>
                <w:color w:val="auto"/>
              </w:rPr>
            </w:pPr>
            <w:r>
              <w:rPr>
                <w:rFonts w:ascii="Arial" w:cs="Arial" w:eastAsia="Arial" w:hAnsi="Arial"/>
                <w:sz w:val="16"/>
                <w:szCs w:val="16"/>
                <w:color w:val="auto"/>
              </w:rPr>
              <w:t>105.40</w:t>
            </w:r>
          </w:p>
        </w:tc>
        <w:tc>
          <w:tcPr>
            <w:tcW w:w="1060" w:type="dxa"/>
            <w:vAlign w:val="bottom"/>
          </w:tcPr>
          <w:p>
            <w:pPr>
              <w:jc w:val="right"/>
              <w:ind w:right="42"/>
              <w:spacing w:after="0"/>
              <w:rPr>
                <w:sz w:val="20"/>
                <w:szCs w:val="20"/>
                <w:color w:val="auto"/>
              </w:rPr>
            </w:pPr>
            <w:r>
              <w:rPr>
                <w:rFonts w:ascii="Arial" w:cs="Arial" w:eastAsia="Arial" w:hAnsi="Arial"/>
                <w:sz w:val="16"/>
                <w:szCs w:val="16"/>
                <w:color w:val="auto"/>
              </w:rPr>
              <w:t>133.10</w:t>
            </w:r>
          </w:p>
        </w:tc>
        <w:tc>
          <w:tcPr>
            <w:tcW w:w="1080" w:type="dxa"/>
            <w:vAlign w:val="bottom"/>
          </w:tcPr>
          <w:p>
            <w:pPr>
              <w:jc w:val="right"/>
              <w:ind w:right="42"/>
              <w:spacing w:after="0"/>
              <w:rPr>
                <w:sz w:val="20"/>
                <w:szCs w:val="20"/>
                <w:color w:val="auto"/>
              </w:rPr>
            </w:pPr>
            <w:r>
              <w:rPr>
                <w:rFonts w:ascii="Arial" w:cs="Arial" w:eastAsia="Arial" w:hAnsi="Arial"/>
                <w:sz w:val="16"/>
                <w:szCs w:val="16"/>
                <w:color w:val="auto"/>
              </w:rPr>
              <w:t>166.40</w:t>
            </w:r>
          </w:p>
        </w:tc>
        <w:tc>
          <w:tcPr>
            <w:tcW w:w="1020" w:type="dxa"/>
            <w:vAlign w:val="bottom"/>
          </w:tcPr>
          <w:p>
            <w:pPr>
              <w:jc w:val="right"/>
              <w:spacing w:after="0"/>
              <w:rPr>
                <w:sz w:val="20"/>
                <w:szCs w:val="20"/>
                <w:color w:val="auto"/>
              </w:rPr>
            </w:pPr>
            <w:r>
              <w:rPr>
                <w:rFonts w:ascii="Arial" w:cs="Arial" w:eastAsia="Arial" w:hAnsi="Arial"/>
                <w:sz w:val="16"/>
                <w:szCs w:val="16"/>
                <w:color w:val="auto"/>
              </w:rPr>
              <w:t>196.16</w:t>
            </w:r>
          </w:p>
        </w:tc>
      </w:tr>
      <w:tr>
        <w:trPr>
          <w:trHeight w:val="250"/>
        </w:trPr>
        <w:tc>
          <w:tcPr>
            <w:tcW w:w="3520" w:type="dxa"/>
            <w:vAlign w:val="bottom"/>
          </w:tcPr>
          <w:p>
            <w:pPr>
              <w:ind w:left="60"/>
              <w:spacing w:after="0"/>
              <w:rPr>
                <w:sz w:val="20"/>
                <w:szCs w:val="20"/>
                <w:color w:val="auto"/>
              </w:rPr>
            </w:pPr>
            <w:r>
              <w:rPr>
                <w:rFonts w:ascii="Arial" w:cs="Arial" w:eastAsia="Arial" w:hAnsi="Arial"/>
                <w:sz w:val="16"/>
                <w:szCs w:val="16"/>
                <w:color w:val="auto"/>
                <w:w w:val="92"/>
              </w:rPr>
              <w:t xml:space="preserve">Peer Group </w:t>
            </w:r>
            <w:r>
              <w:rPr>
                <w:rFonts w:ascii="Arial" w:cs="Arial" w:eastAsia="Arial" w:hAnsi="Arial"/>
                <w:sz w:val="16"/>
                <w:szCs w:val="16"/>
                <w:color w:val="989898"/>
                <w:w w:val="92"/>
              </w:rPr>
              <w:t>................................................................</w:t>
            </w:r>
          </w:p>
        </w:tc>
        <w:tc>
          <w:tcPr>
            <w:tcW w:w="1160" w:type="dxa"/>
            <w:vAlign w:val="bottom"/>
          </w:tcPr>
          <w:p>
            <w:pPr>
              <w:jc w:val="right"/>
              <w:ind w:right="42"/>
              <w:spacing w:after="0"/>
              <w:rPr>
                <w:sz w:val="20"/>
                <w:szCs w:val="20"/>
                <w:color w:val="auto"/>
              </w:rPr>
            </w:pPr>
            <w:r>
              <w:rPr>
                <w:rFonts w:ascii="Arial" w:cs="Arial" w:eastAsia="Arial" w:hAnsi="Arial"/>
                <w:sz w:val="16"/>
                <w:szCs w:val="16"/>
                <w:color w:val="auto"/>
              </w:rPr>
              <w:t>100.00</w:t>
            </w:r>
          </w:p>
        </w:tc>
        <w:tc>
          <w:tcPr>
            <w:tcW w:w="1080" w:type="dxa"/>
            <w:vAlign w:val="bottom"/>
          </w:tcPr>
          <w:p>
            <w:pPr>
              <w:jc w:val="right"/>
              <w:ind w:right="42"/>
              <w:spacing w:after="0"/>
              <w:rPr>
                <w:sz w:val="20"/>
                <w:szCs w:val="20"/>
                <w:color w:val="auto"/>
              </w:rPr>
            </w:pPr>
            <w:r>
              <w:rPr>
                <w:rFonts w:ascii="Arial" w:cs="Arial" w:eastAsia="Arial" w:hAnsi="Arial"/>
                <w:sz w:val="16"/>
                <w:szCs w:val="16"/>
                <w:color w:val="auto"/>
              </w:rPr>
              <w:t>158.44</w:t>
            </w:r>
          </w:p>
        </w:tc>
        <w:tc>
          <w:tcPr>
            <w:tcW w:w="1080" w:type="dxa"/>
            <w:vAlign w:val="bottom"/>
          </w:tcPr>
          <w:p>
            <w:pPr>
              <w:jc w:val="right"/>
              <w:ind w:right="42"/>
              <w:spacing w:after="0"/>
              <w:rPr>
                <w:sz w:val="20"/>
                <w:szCs w:val="20"/>
                <w:color w:val="auto"/>
              </w:rPr>
            </w:pPr>
            <w:r>
              <w:rPr>
                <w:rFonts w:ascii="Arial" w:cs="Arial" w:eastAsia="Arial" w:hAnsi="Arial"/>
                <w:sz w:val="16"/>
                <w:szCs w:val="16"/>
                <w:color w:val="auto"/>
              </w:rPr>
              <w:t>105.48</w:t>
            </w:r>
          </w:p>
        </w:tc>
        <w:tc>
          <w:tcPr>
            <w:tcW w:w="1060" w:type="dxa"/>
            <w:vAlign w:val="bottom"/>
          </w:tcPr>
          <w:p>
            <w:pPr>
              <w:jc w:val="right"/>
              <w:ind w:right="42"/>
              <w:spacing w:after="0"/>
              <w:rPr>
                <w:sz w:val="20"/>
                <w:szCs w:val="20"/>
                <w:color w:val="auto"/>
              </w:rPr>
            </w:pPr>
            <w:r>
              <w:rPr>
                <w:rFonts w:ascii="Arial" w:cs="Arial" w:eastAsia="Arial" w:hAnsi="Arial"/>
                <w:sz w:val="16"/>
                <w:szCs w:val="16"/>
                <w:color w:val="auto"/>
              </w:rPr>
              <w:t>137.52</w:t>
            </w:r>
          </w:p>
        </w:tc>
        <w:tc>
          <w:tcPr>
            <w:tcW w:w="1080" w:type="dxa"/>
            <w:vAlign w:val="bottom"/>
          </w:tcPr>
          <w:p>
            <w:pPr>
              <w:jc w:val="right"/>
              <w:ind w:right="42"/>
              <w:spacing w:after="0"/>
              <w:rPr>
                <w:sz w:val="20"/>
                <w:szCs w:val="20"/>
                <w:color w:val="auto"/>
              </w:rPr>
            </w:pPr>
            <w:r>
              <w:rPr>
                <w:rFonts w:ascii="Arial" w:cs="Arial" w:eastAsia="Arial" w:hAnsi="Arial"/>
                <w:sz w:val="16"/>
                <w:szCs w:val="16"/>
                <w:color w:val="auto"/>
              </w:rPr>
              <w:t>142.86</w:t>
            </w:r>
          </w:p>
        </w:tc>
        <w:tc>
          <w:tcPr>
            <w:tcW w:w="1020" w:type="dxa"/>
            <w:vAlign w:val="bottom"/>
          </w:tcPr>
          <w:p>
            <w:pPr>
              <w:jc w:val="right"/>
              <w:spacing w:after="0"/>
              <w:rPr>
                <w:sz w:val="20"/>
                <w:szCs w:val="20"/>
                <w:color w:val="auto"/>
              </w:rPr>
            </w:pPr>
            <w:r>
              <w:rPr>
                <w:rFonts w:ascii="Arial" w:cs="Arial" w:eastAsia="Arial" w:hAnsi="Arial"/>
                <w:sz w:val="16"/>
                <w:szCs w:val="16"/>
                <w:color w:val="auto"/>
              </w:rPr>
              <w:t>147.32</w:t>
            </w:r>
          </w:p>
        </w:tc>
      </w:tr>
    </w:tbl>
    <w:p>
      <w:pPr>
        <w:spacing w:after="0" w:line="200" w:lineRule="exact"/>
        <w:rPr>
          <w:sz w:val="20"/>
          <w:szCs w:val="20"/>
          <w:color w:val="auto"/>
        </w:rPr>
      </w:pPr>
    </w:p>
    <w:p>
      <w:pPr>
        <w:sectPr>
          <w:pgSz w:w="11880" w:h="15480" w:orient="portrait"/>
          <w:cols w:equalWidth="0" w:num="1">
            <w:col w:w="10040"/>
          </w:cols>
          <w:pgMar w:left="920" w:top="765"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56</w:t>
      </w:r>
    </w:p>
    <w:p>
      <w:pPr>
        <w:sectPr>
          <w:pgSz w:w="11880" w:h="15480" w:orient="portrait"/>
          <w:cols w:equalWidth="0" w:num="1">
            <w:col w:w="10040"/>
          </w:cols>
          <w:pgMar w:left="920" w:top="765" w:right="920" w:bottom="0" w:gutter="0" w:footer="0" w:header="0"/>
          <w:type w:val="continuous"/>
        </w:sectPr>
      </w:pPr>
    </w:p>
    <w:bookmarkStart w:id="68" w:name="page69"/>
    <w:bookmarkEnd w:id="68"/>
    <w:p>
      <w:pPr>
        <w:spacing w:after="0"/>
        <w:rPr>
          <w:sz w:val="20"/>
          <w:szCs w:val="20"/>
          <w:color w:val="auto"/>
        </w:rPr>
      </w:pPr>
      <w:r>
        <w:rPr>
          <w:rFonts w:ascii="Arial" w:cs="Arial" w:eastAsia="Arial" w:hAnsi="Arial"/>
          <w:sz w:val="20"/>
          <w:szCs w:val="20"/>
          <w:b w:val="1"/>
          <w:bCs w:val="1"/>
          <w:i w:val="1"/>
          <w:iCs w:val="1"/>
          <w:color w:val="auto"/>
        </w:rPr>
        <w:t>Dividends</w:t>
      </w:r>
    </w:p>
    <w:p>
      <w:pPr>
        <w:spacing w:after="0" w:line="130" w:lineRule="exact"/>
        <w:rPr>
          <w:sz w:val="20"/>
          <w:szCs w:val="20"/>
          <w:color w:val="auto"/>
        </w:rPr>
      </w:pPr>
    </w:p>
    <w:p>
      <w:pPr>
        <w:jc w:val="both"/>
        <w:ind w:firstLine="353"/>
        <w:spacing w:after="0" w:line="278" w:lineRule="auto"/>
        <w:rPr>
          <w:sz w:val="20"/>
          <w:szCs w:val="20"/>
          <w:color w:val="auto"/>
        </w:rPr>
      </w:pPr>
      <w:r>
        <w:rPr>
          <w:rFonts w:ascii="Arial" w:cs="Arial" w:eastAsia="Arial" w:hAnsi="Arial"/>
          <w:sz w:val="19"/>
          <w:szCs w:val="19"/>
          <w:color w:val="auto"/>
        </w:rPr>
        <w:t>On February 19, 2026, our Board of Directors formally declared a $0.52 per FNF share cash dividend that is payable on March 31, 2026, to FNF shareholders of record as of March 17, 2026. During the years ended December 31, 2025, 2024, and 2023, we declared dividends on our common stock of $2.02, $1.94, and $1.83, respectively.</w:t>
      </w:r>
    </w:p>
    <w:p>
      <w:pPr>
        <w:spacing w:after="0" w:line="64" w:lineRule="exact"/>
        <w:rPr>
          <w:sz w:val="20"/>
          <w:szCs w:val="20"/>
          <w:color w:val="auto"/>
        </w:rPr>
      </w:pPr>
    </w:p>
    <w:p>
      <w:pPr>
        <w:jc w:val="both"/>
        <w:ind w:firstLine="353"/>
        <w:spacing w:after="0" w:line="258" w:lineRule="auto"/>
        <w:rPr>
          <w:sz w:val="20"/>
          <w:szCs w:val="20"/>
          <w:color w:val="auto"/>
        </w:rPr>
      </w:pPr>
      <w:r>
        <w:rPr>
          <w:rFonts w:ascii="Arial" w:cs="Arial" w:eastAsia="Arial" w:hAnsi="Arial"/>
          <w:sz w:val="20"/>
          <w:szCs w:val="20"/>
          <w:color w:val="auto"/>
        </w:rPr>
        <w:t>Our current dividend policy anticipates the payment of quarterly dividends in the future. The declaration and payment of dividends will be at the discretion of our Board of Directors and will be dependent upon our future earnings, financial condition and capital requirements.</w:t>
      </w:r>
    </w:p>
    <w:p>
      <w:pPr>
        <w:spacing w:after="0" w:line="7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Purchases of Equity Securities by the Issuer</w:t>
      </w:r>
    </w:p>
    <w:p>
      <w:pPr>
        <w:spacing w:after="0" w:line="130" w:lineRule="exact"/>
        <w:rPr>
          <w:sz w:val="20"/>
          <w:szCs w:val="20"/>
          <w:color w:val="auto"/>
        </w:rPr>
      </w:pPr>
    </w:p>
    <w:p>
      <w:pPr>
        <w:jc w:val="both"/>
        <w:ind w:firstLine="353"/>
        <w:spacing w:after="0" w:line="266" w:lineRule="auto"/>
        <w:rPr>
          <w:sz w:val="20"/>
          <w:szCs w:val="20"/>
          <w:color w:val="auto"/>
        </w:rPr>
      </w:pPr>
      <w:r>
        <w:rPr>
          <w:rFonts w:ascii="Arial" w:cs="Arial" w:eastAsia="Arial" w:hAnsi="Arial"/>
          <w:sz w:val="19"/>
          <w:szCs w:val="19"/>
          <w:color w:val="auto"/>
        </w:rPr>
        <w:t>On July 31, 2024, our Board of Directors approved a new three-year stock repurchase program effective July 31, 2024 (the "2024 Repurchase Program") under which we are authorized to purchase up to 25 million shares of our FNF common stock through July 31, 2027. Since the commencement of the 2024 Repurchase Program, we repurchased a total of 4,426,224 FNF common shares for approximately $252 million, at an average price of $56.80 per share. Subsequent to December 31, 2025 ,and through market close on February 19, 2026, we repurchased a total of 60,000 shares, for approximately $3 million, or an average of $55.66 under the 2024 Repurchase Program.</w:t>
      </w:r>
    </w:p>
    <w:p>
      <w:pPr>
        <w:spacing w:after="0" w:line="69" w:lineRule="exact"/>
        <w:rPr>
          <w:sz w:val="20"/>
          <w:szCs w:val="20"/>
          <w:color w:val="auto"/>
        </w:rPr>
      </w:pPr>
    </w:p>
    <w:p>
      <w:pPr>
        <w:spacing w:after="0"/>
        <w:tabs>
          <w:tab w:leader="none" w:pos="1060" w:val="left"/>
        </w:tabs>
        <w:rPr>
          <w:sz w:val="20"/>
          <w:szCs w:val="20"/>
          <w:color w:val="auto"/>
        </w:rPr>
      </w:pPr>
      <w:r>
        <w:rPr>
          <w:rFonts w:ascii="Arial" w:cs="Arial" w:eastAsia="Arial" w:hAnsi="Arial"/>
          <w:sz w:val="20"/>
          <w:szCs w:val="20"/>
          <w:b w:val="1"/>
          <w:bCs w:val="1"/>
          <w:color w:val="auto"/>
        </w:rPr>
        <w:t>Item 6.</w:t>
      </w:r>
      <w:r>
        <w:rPr>
          <w:sz w:val="20"/>
          <w:szCs w:val="20"/>
          <w:color w:val="auto"/>
        </w:rPr>
        <w:tab/>
      </w:r>
      <w:r>
        <w:rPr>
          <w:rFonts w:ascii="Arial" w:cs="Arial" w:eastAsia="Arial" w:hAnsi="Arial"/>
          <w:sz w:val="15"/>
          <w:szCs w:val="15"/>
          <w:b w:val="1"/>
          <w:bCs w:val="1"/>
          <w:i w:val="1"/>
          <w:iCs w:val="1"/>
          <w:color w:val="auto"/>
        </w:rPr>
        <w:t>Reserved.</w:t>
      </w:r>
    </w:p>
    <w:p>
      <w:pPr>
        <w:sectPr>
          <w:pgSz w:w="11880" w:h="15480" w:orient="portrait"/>
          <w:cols w:equalWidth="0" w:num="1">
            <w:col w:w="10040"/>
          </w:cols>
          <w:pgMar w:left="920" w:top="765"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57</w:t>
      </w:r>
    </w:p>
    <w:p>
      <w:pPr>
        <w:sectPr>
          <w:pgSz w:w="11880" w:h="15480" w:orient="portrait"/>
          <w:cols w:equalWidth="0" w:num="1">
            <w:col w:w="10040"/>
          </w:cols>
          <w:pgMar w:left="920" w:top="765" w:right="920" w:bottom="0" w:gutter="0" w:footer="0" w:header="0"/>
          <w:type w:val="continuous"/>
        </w:sectPr>
      </w:pPr>
    </w:p>
    <w:bookmarkStart w:id="69" w:name="page70"/>
    <w:bookmarkEnd w:id="69"/>
    <w:p>
      <w:pPr>
        <w:ind w:left="40"/>
        <w:spacing w:after="0"/>
        <w:rPr>
          <w:sz w:val="20"/>
          <w:szCs w:val="20"/>
          <w:color w:val="auto"/>
        </w:rPr>
      </w:pPr>
      <w:r>
        <w:rPr>
          <w:rFonts w:ascii="Arial" w:cs="Arial" w:eastAsia="Arial" w:hAnsi="Arial"/>
          <w:sz w:val="20"/>
          <w:szCs w:val="20"/>
          <w:b w:val="1"/>
          <w:bCs w:val="1"/>
          <w:color w:val="auto"/>
        </w:rPr>
        <w:t>Item 7. Management's Discussion and Analysis of Financial Condition and Results of Operations</w:t>
      </w:r>
    </w:p>
    <w:p>
      <w:pPr>
        <w:spacing w:after="0" w:line="130" w:lineRule="exact"/>
        <w:rPr>
          <w:sz w:val="20"/>
          <w:szCs w:val="20"/>
          <w:color w:val="auto"/>
        </w:rPr>
      </w:pPr>
    </w:p>
    <w:p>
      <w:pPr>
        <w:jc w:val="both"/>
        <w:ind w:firstLine="353"/>
        <w:spacing w:after="0" w:line="271" w:lineRule="auto"/>
        <w:rPr>
          <w:sz w:val="20"/>
          <w:szCs w:val="20"/>
          <w:color w:val="auto"/>
        </w:rPr>
      </w:pPr>
      <w:r>
        <w:rPr>
          <w:rFonts w:ascii="Arial" w:cs="Arial" w:eastAsia="Arial" w:hAnsi="Arial"/>
          <w:sz w:val="20"/>
          <w:szCs w:val="20"/>
          <w:color w:val="auto"/>
        </w:rPr>
        <w:t>The following discussion should be read in conjunction with the Consolidated Financial Statements and the Notes thereto and Selected Financial Data included elsewhere in this Annual Report.</w:t>
      </w:r>
    </w:p>
    <w:p>
      <w:pPr>
        <w:spacing w:after="0" w:line="6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Overview</w:t>
      </w:r>
    </w:p>
    <w:p>
      <w:pPr>
        <w:spacing w:after="0" w:line="130" w:lineRule="exact"/>
        <w:rPr>
          <w:sz w:val="20"/>
          <w:szCs w:val="20"/>
          <w:color w:val="auto"/>
        </w:rPr>
      </w:pPr>
    </w:p>
    <w:p>
      <w:pPr>
        <w:jc w:val="both"/>
        <w:ind w:firstLine="353"/>
        <w:spacing w:after="0" w:line="298" w:lineRule="auto"/>
        <w:rPr>
          <w:sz w:val="20"/>
          <w:szCs w:val="20"/>
          <w:color w:val="auto"/>
        </w:rPr>
      </w:pPr>
      <w:r>
        <w:rPr>
          <w:rFonts w:ascii="Arial" w:cs="Arial" w:eastAsia="Arial" w:hAnsi="Arial"/>
          <w:sz w:val="19"/>
          <w:szCs w:val="19"/>
          <w:color w:val="auto"/>
        </w:rPr>
        <w:t>For a description of our business, including descriptions of segments, see the discussion under Business in Item 1 of Part I of this Annual Report, which is incorporated by reference into this Item 7 of Part II of this Annual Report.</w:t>
      </w:r>
    </w:p>
    <w:p>
      <w:pPr>
        <w:spacing w:after="0" w:line="45" w:lineRule="exact"/>
        <w:rPr>
          <w:sz w:val="20"/>
          <w:szCs w:val="20"/>
          <w:color w:val="auto"/>
        </w:rPr>
      </w:pPr>
    </w:p>
    <w:p>
      <w:pPr>
        <w:jc w:val="both"/>
        <w:ind w:firstLine="353"/>
        <w:spacing w:after="0" w:line="296" w:lineRule="auto"/>
        <w:rPr>
          <w:sz w:val="20"/>
          <w:szCs w:val="20"/>
          <w:color w:val="auto"/>
        </w:rPr>
      </w:pPr>
      <w:r>
        <w:rPr>
          <w:rFonts w:ascii="Arial" w:cs="Arial" w:eastAsia="Arial" w:hAnsi="Arial"/>
          <w:sz w:val="17"/>
          <w:szCs w:val="17"/>
          <w:color w:val="auto"/>
        </w:rPr>
        <w:t>On June 11, 2025, the Company effected a redomestication of the Company from the State of Delaware to the State of Nevada (the “Redomestication”). As of June 11, 2025, the affairs of the Company ceased to be governed by the Delaware General Corporation Law and the Company adopted a new certificate of incorporation and bylaws governed by the Nevada Revised Statutes. The Redomestication did not result in any change in the business, physical location, management, assets, liabilities, or net worth of the Company, nor did it result in any change in location of the Company’s current employees, including management. The Redomestication did not affect any of the Company’s material contracts with any third parties, and the Company’s rights and obligations under those material contractual arrangements will continue to be the rights and obligations of the Company after the Redomestication. The daily business operations of the Company will continue as they were conducted prior to the Redomestication. The consolidated financial condition and results of operations of the Company immediately after consummation of the Redomestication remain the same as immediately before the Redomestication.</w:t>
      </w:r>
    </w:p>
    <w:p>
      <w:pPr>
        <w:spacing w:after="0" w:line="5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Business Trends and Conditions</w:t>
      </w:r>
    </w:p>
    <w:p>
      <w:pPr>
        <w:spacing w:after="0" w:line="128" w:lineRule="exact"/>
        <w:rPr>
          <w:sz w:val="20"/>
          <w:szCs w:val="20"/>
          <w:color w:val="auto"/>
        </w:rPr>
      </w:pPr>
    </w:p>
    <w:p>
      <w:pPr>
        <w:ind w:left="340"/>
        <w:spacing w:after="0"/>
        <w:rPr>
          <w:sz w:val="20"/>
          <w:szCs w:val="20"/>
          <w:color w:val="auto"/>
        </w:rPr>
      </w:pPr>
      <w:r>
        <w:rPr>
          <w:rFonts w:ascii="Arial" w:cs="Arial" w:eastAsia="Arial" w:hAnsi="Arial"/>
          <w:sz w:val="20"/>
          <w:szCs w:val="20"/>
          <w:b w:val="1"/>
          <w:bCs w:val="1"/>
          <w:i w:val="1"/>
          <w:iCs w:val="1"/>
          <w:color w:val="auto"/>
        </w:rPr>
        <w:t>Title</w:t>
      </w:r>
    </w:p>
    <w:p>
      <w:pPr>
        <w:spacing w:after="0" w:line="125" w:lineRule="exact"/>
        <w:rPr>
          <w:sz w:val="20"/>
          <w:szCs w:val="20"/>
          <w:color w:val="auto"/>
        </w:rPr>
      </w:pPr>
    </w:p>
    <w:p>
      <w:pPr>
        <w:jc w:val="both"/>
        <w:ind w:firstLine="353"/>
        <w:spacing w:after="0" w:line="258" w:lineRule="auto"/>
        <w:rPr>
          <w:sz w:val="20"/>
          <w:szCs w:val="20"/>
          <w:color w:val="auto"/>
        </w:rPr>
      </w:pPr>
      <w:r>
        <w:rPr>
          <w:rFonts w:ascii="Arial" w:cs="Arial" w:eastAsia="Arial" w:hAnsi="Arial"/>
          <w:sz w:val="20"/>
          <w:szCs w:val="20"/>
          <w:color w:val="auto"/>
        </w:rPr>
        <w:t>Our Title segment revenue is closely related to the level of real estate activity that includes sales, mortgage financing and mortgage refinancing. Declines in the level of real estate activity or the average price of real estate sales will adversely affect our title insurance revenues.</w:t>
      </w:r>
    </w:p>
    <w:p>
      <w:pPr>
        <w:spacing w:after="0" w:line="82" w:lineRule="exact"/>
        <w:rPr>
          <w:sz w:val="20"/>
          <w:szCs w:val="20"/>
          <w:color w:val="auto"/>
        </w:rPr>
      </w:pPr>
    </w:p>
    <w:p>
      <w:pPr>
        <w:ind w:left="340"/>
        <w:spacing w:after="0"/>
        <w:rPr>
          <w:sz w:val="20"/>
          <w:szCs w:val="20"/>
          <w:color w:val="auto"/>
        </w:rPr>
      </w:pPr>
      <w:r>
        <w:rPr>
          <w:rFonts w:ascii="Arial" w:cs="Arial" w:eastAsia="Arial" w:hAnsi="Arial"/>
          <w:sz w:val="20"/>
          <w:szCs w:val="20"/>
          <w:color w:val="auto"/>
        </w:rPr>
        <w:t>We have found that residential real estate activity is generally dependent on the following factors:</w:t>
      </w:r>
    </w:p>
    <w:p>
      <w:pPr>
        <w:spacing w:after="0" w:line="103" w:lineRule="exact"/>
        <w:rPr>
          <w:sz w:val="20"/>
          <w:szCs w:val="20"/>
          <w:color w:val="auto"/>
        </w:rPr>
      </w:pPr>
    </w:p>
    <w:p>
      <w:pPr>
        <w:ind w:left="700" w:hanging="355"/>
        <w:spacing w:after="0"/>
        <w:tabs>
          <w:tab w:leader="none" w:pos="700" w:val="left"/>
        </w:tabs>
        <w:numPr>
          <w:ilvl w:val="0"/>
          <w:numId w:val="29"/>
        </w:numPr>
        <w:rPr>
          <w:rFonts w:ascii="Arial" w:cs="Arial" w:eastAsia="Arial" w:hAnsi="Arial"/>
          <w:sz w:val="20"/>
          <w:szCs w:val="20"/>
          <w:color w:val="auto"/>
        </w:rPr>
      </w:pPr>
      <w:r>
        <w:rPr>
          <w:rFonts w:ascii="Arial" w:cs="Arial" w:eastAsia="Arial" w:hAnsi="Arial"/>
          <w:sz w:val="20"/>
          <w:szCs w:val="20"/>
          <w:color w:val="auto"/>
        </w:rPr>
        <w:t>mortgage interest rates;</w:t>
      </w:r>
    </w:p>
    <w:p>
      <w:pPr>
        <w:spacing w:after="0" w:line="24" w:lineRule="exact"/>
        <w:rPr>
          <w:rFonts w:ascii="Arial" w:cs="Arial" w:eastAsia="Arial" w:hAnsi="Arial"/>
          <w:sz w:val="20"/>
          <w:szCs w:val="20"/>
          <w:color w:val="auto"/>
        </w:rPr>
      </w:pPr>
    </w:p>
    <w:p>
      <w:pPr>
        <w:ind w:left="700" w:hanging="355"/>
        <w:spacing w:after="0"/>
        <w:tabs>
          <w:tab w:leader="none" w:pos="700" w:val="left"/>
        </w:tabs>
        <w:numPr>
          <w:ilvl w:val="0"/>
          <w:numId w:val="29"/>
        </w:numPr>
        <w:rPr>
          <w:rFonts w:ascii="Arial" w:cs="Arial" w:eastAsia="Arial" w:hAnsi="Arial"/>
          <w:sz w:val="20"/>
          <w:szCs w:val="20"/>
          <w:color w:val="auto"/>
        </w:rPr>
      </w:pPr>
      <w:r>
        <w:rPr>
          <w:rFonts w:ascii="Arial" w:cs="Arial" w:eastAsia="Arial" w:hAnsi="Arial"/>
          <w:sz w:val="20"/>
          <w:szCs w:val="20"/>
          <w:color w:val="auto"/>
        </w:rPr>
        <w:t>mortgage funding supply;</w:t>
      </w:r>
    </w:p>
    <w:p>
      <w:pPr>
        <w:spacing w:after="0" w:line="5" w:lineRule="exact"/>
        <w:rPr>
          <w:rFonts w:ascii="Arial" w:cs="Arial" w:eastAsia="Arial" w:hAnsi="Arial"/>
          <w:sz w:val="20"/>
          <w:szCs w:val="20"/>
          <w:color w:val="auto"/>
        </w:rPr>
      </w:pPr>
    </w:p>
    <w:p>
      <w:pPr>
        <w:ind w:left="700" w:hanging="355"/>
        <w:spacing w:after="0"/>
        <w:tabs>
          <w:tab w:leader="none" w:pos="700" w:val="left"/>
        </w:tabs>
        <w:numPr>
          <w:ilvl w:val="0"/>
          <w:numId w:val="29"/>
        </w:numPr>
        <w:rPr>
          <w:rFonts w:ascii="Arial" w:cs="Arial" w:eastAsia="Arial" w:hAnsi="Arial"/>
          <w:sz w:val="20"/>
          <w:szCs w:val="20"/>
          <w:color w:val="auto"/>
        </w:rPr>
      </w:pPr>
      <w:r>
        <w:rPr>
          <w:rFonts w:ascii="Arial" w:cs="Arial" w:eastAsia="Arial" w:hAnsi="Arial"/>
          <w:sz w:val="20"/>
          <w:szCs w:val="20"/>
          <w:color w:val="auto"/>
        </w:rPr>
        <w:t>housing inventory and home prices;</w:t>
      </w:r>
    </w:p>
    <w:p>
      <w:pPr>
        <w:spacing w:after="0" w:line="5" w:lineRule="exact"/>
        <w:rPr>
          <w:rFonts w:ascii="Arial" w:cs="Arial" w:eastAsia="Arial" w:hAnsi="Arial"/>
          <w:sz w:val="20"/>
          <w:szCs w:val="20"/>
          <w:color w:val="auto"/>
        </w:rPr>
      </w:pPr>
    </w:p>
    <w:p>
      <w:pPr>
        <w:ind w:left="700" w:hanging="355"/>
        <w:spacing w:after="0"/>
        <w:tabs>
          <w:tab w:leader="none" w:pos="700" w:val="left"/>
        </w:tabs>
        <w:numPr>
          <w:ilvl w:val="0"/>
          <w:numId w:val="29"/>
        </w:numPr>
        <w:rPr>
          <w:rFonts w:ascii="Arial" w:cs="Arial" w:eastAsia="Arial" w:hAnsi="Arial"/>
          <w:sz w:val="20"/>
          <w:szCs w:val="20"/>
          <w:color w:val="auto"/>
        </w:rPr>
      </w:pPr>
      <w:r>
        <w:rPr>
          <w:rFonts w:ascii="Arial" w:cs="Arial" w:eastAsia="Arial" w:hAnsi="Arial"/>
          <w:sz w:val="20"/>
          <w:szCs w:val="20"/>
          <w:color w:val="auto"/>
        </w:rPr>
        <w:t>supply and demand for commercial real estate; and</w:t>
      </w:r>
    </w:p>
    <w:p>
      <w:pPr>
        <w:spacing w:after="0" w:line="5" w:lineRule="exact"/>
        <w:rPr>
          <w:rFonts w:ascii="Arial" w:cs="Arial" w:eastAsia="Arial" w:hAnsi="Arial"/>
          <w:sz w:val="20"/>
          <w:szCs w:val="20"/>
          <w:color w:val="auto"/>
        </w:rPr>
      </w:pPr>
    </w:p>
    <w:p>
      <w:pPr>
        <w:ind w:left="700" w:hanging="355"/>
        <w:spacing w:after="0"/>
        <w:tabs>
          <w:tab w:leader="none" w:pos="700" w:val="left"/>
        </w:tabs>
        <w:numPr>
          <w:ilvl w:val="0"/>
          <w:numId w:val="29"/>
        </w:numPr>
        <w:rPr>
          <w:rFonts w:ascii="Arial" w:cs="Arial" w:eastAsia="Arial" w:hAnsi="Arial"/>
          <w:sz w:val="20"/>
          <w:szCs w:val="20"/>
          <w:color w:val="auto"/>
        </w:rPr>
      </w:pPr>
      <w:r>
        <w:rPr>
          <w:rFonts w:ascii="Arial" w:cs="Arial" w:eastAsia="Arial" w:hAnsi="Arial"/>
          <w:sz w:val="20"/>
          <w:szCs w:val="20"/>
          <w:color w:val="auto"/>
        </w:rPr>
        <w:t>the strength of the United States economy, including employment levels.</w:t>
      </w:r>
    </w:p>
    <w:p>
      <w:pPr>
        <w:spacing w:after="0" w:line="84" w:lineRule="exact"/>
        <w:rPr>
          <w:sz w:val="20"/>
          <w:szCs w:val="20"/>
          <w:color w:val="auto"/>
        </w:rPr>
      </w:pPr>
    </w:p>
    <w:p>
      <w:pPr>
        <w:jc w:val="both"/>
        <w:ind w:firstLine="353"/>
        <w:spacing w:after="0" w:line="258" w:lineRule="auto"/>
        <w:rPr>
          <w:sz w:val="20"/>
          <w:szCs w:val="20"/>
          <w:color w:val="auto"/>
        </w:rPr>
      </w:pPr>
      <w:r>
        <w:rPr>
          <w:rFonts w:ascii="Arial" w:cs="Arial" w:eastAsia="Arial" w:hAnsi="Arial"/>
          <w:sz w:val="20"/>
          <w:szCs w:val="20"/>
          <w:color w:val="auto"/>
        </w:rPr>
        <w:t>The most recent forecast of the MBA, as of February 17, 2026, estimated (actual for fiscal year 2024) the size of the U.S. residential mortgage originations market as shown in the following table for 2024 - 2028 in its "Mortgage Finance Forecast" (in trillions):</w:t>
      </w:r>
    </w:p>
    <w:p>
      <w:pPr>
        <w:spacing w:after="0" w:line="96" w:lineRule="exact"/>
        <w:rPr>
          <w:sz w:val="20"/>
          <w:szCs w:val="20"/>
          <w:color w:val="auto"/>
        </w:rPr>
      </w:pPr>
    </w:p>
    <w:tbl>
      <w:tblPr>
        <w:tblLayout w:type="fixed"/>
        <w:tblInd w:w="40" w:type="dxa"/>
        <w:tblCellMar>
          <w:top w:w="0" w:type="dxa"/>
          <w:left w:w="0" w:type="dxa"/>
          <w:bottom w:w="0" w:type="dxa"/>
          <w:right w:w="0" w:type="dxa"/>
        </w:tblCellMar>
      </w:tblPr>
      <w:tr>
        <w:trPr>
          <w:trHeight w:val="213"/>
        </w:trPr>
        <w:tc>
          <w:tcPr>
            <w:tcW w:w="61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122"/>
              <w:spacing w:after="0"/>
              <w:rPr>
                <w:sz w:val="20"/>
                <w:szCs w:val="20"/>
                <w:color w:val="auto"/>
              </w:rPr>
            </w:pPr>
            <w:r>
              <w:rPr>
                <w:rFonts w:ascii="Arial" w:cs="Arial" w:eastAsia="Arial" w:hAnsi="Arial"/>
                <w:sz w:val="16"/>
                <w:szCs w:val="16"/>
                <w:b w:val="1"/>
                <w:bCs w:val="1"/>
                <w:color w:val="auto"/>
                <w:w w:val="95"/>
              </w:rPr>
              <w:t>2028</w:t>
            </w:r>
          </w:p>
        </w:tc>
        <w:tc>
          <w:tcPr>
            <w:tcW w:w="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122"/>
              <w:spacing w:after="0"/>
              <w:rPr>
                <w:sz w:val="20"/>
                <w:szCs w:val="20"/>
                <w:color w:val="auto"/>
              </w:rPr>
            </w:pPr>
            <w:r>
              <w:rPr>
                <w:rFonts w:ascii="Arial" w:cs="Arial" w:eastAsia="Arial" w:hAnsi="Arial"/>
                <w:sz w:val="16"/>
                <w:szCs w:val="16"/>
                <w:b w:val="1"/>
                <w:bCs w:val="1"/>
                <w:color w:val="auto"/>
                <w:w w:val="95"/>
              </w:rPr>
              <w:t>2027</w:t>
            </w:r>
          </w:p>
        </w:tc>
        <w:tc>
          <w:tcPr>
            <w:tcW w:w="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ind w:right="122"/>
              <w:spacing w:after="0"/>
              <w:rPr>
                <w:sz w:val="20"/>
                <w:szCs w:val="20"/>
                <w:color w:val="auto"/>
              </w:rPr>
            </w:pPr>
            <w:r>
              <w:rPr>
                <w:rFonts w:ascii="Arial" w:cs="Arial" w:eastAsia="Arial" w:hAnsi="Arial"/>
                <w:sz w:val="16"/>
                <w:szCs w:val="16"/>
                <w:b w:val="1"/>
                <w:bCs w:val="1"/>
                <w:color w:val="auto"/>
                <w:w w:val="89"/>
              </w:rPr>
              <w:t>2026</w:t>
            </w:r>
          </w:p>
        </w:tc>
        <w:tc>
          <w:tcPr>
            <w:tcW w:w="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ind w:right="122"/>
              <w:spacing w:after="0"/>
              <w:rPr>
                <w:sz w:val="20"/>
                <w:szCs w:val="20"/>
                <w:color w:val="auto"/>
              </w:rPr>
            </w:pPr>
            <w:r>
              <w:rPr>
                <w:rFonts w:ascii="Arial" w:cs="Arial" w:eastAsia="Arial" w:hAnsi="Arial"/>
                <w:sz w:val="16"/>
                <w:szCs w:val="16"/>
                <w:b w:val="1"/>
                <w:bCs w:val="1"/>
                <w:color w:val="auto"/>
                <w:w w:val="89"/>
              </w:rPr>
              <w:t>2025</w:t>
            </w:r>
          </w:p>
        </w:tc>
        <w:tc>
          <w:tcPr>
            <w:tcW w:w="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ind w:right="122"/>
              <w:spacing w:after="0"/>
              <w:rPr>
                <w:sz w:val="20"/>
                <w:szCs w:val="20"/>
                <w:color w:val="auto"/>
              </w:rPr>
            </w:pPr>
            <w:r>
              <w:rPr>
                <w:rFonts w:ascii="Arial" w:cs="Arial" w:eastAsia="Arial" w:hAnsi="Arial"/>
                <w:sz w:val="16"/>
                <w:szCs w:val="16"/>
                <w:b w:val="1"/>
                <w:bCs w:val="1"/>
                <w:color w:val="auto"/>
                <w:w w:val="89"/>
              </w:rPr>
              <w:t>2024</w:t>
            </w:r>
          </w:p>
        </w:tc>
      </w:tr>
      <w:tr>
        <w:trPr>
          <w:trHeight w:val="267"/>
        </w:trPr>
        <w:tc>
          <w:tcPr>
            <w:tcW w:w="6160" w:type="dxa"/>
            <w:vAlign w:val="bottom"/>
          </w:tcPr>
          <w:p>
            <w:pPr>
              <w:spacing w:after="0"/>
              <w:rPr>
                <w:sz w:val="20"/>
                <w:szCs w:val="20"/>
                <w:color w:val="auto"/>
              </w:rPr>
            </w:pPr>
            <w:r>
              <w:rPr>
                <w:rFonts w:ascii="Arial" w:cs="Arial" w:eastAsia="Arial" w:hAnsi="Arial"/>
                <w:sz w:val="16"/>
                <w:szCs w:val="16"/>
                <w:color w:val="auto"/>
              </w:rPr>
              <w:t>Purchase transactions</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560" w:type="dxa"/>
            <w:vAlign w:val="bottom"/>
          </w:tcPr>
          <w:p>
            <w:pPr>
              <w:jc w:val="right"/>
              <w:ind w:right="2"/>
              <w:spacing w:after="0"/>
              <w:rPr>
                <w:sz w:val="20"/>
                <w:szCs w:val="20"/>
                <w:color w:val="auto"/>
              </w:rPr>
            </w:pPr>
            <w:r>
              <w:rPr>
                <w:rFonts w:ascii="Arial" w:cs="Arial" w:eastAsia="Arial" w:hAnsi="Arial"/>
                <w:sz w:val="16"/>
                <w:szCs w:val="16"/>
                <w:color w:val="auto"/>
              </w:rPr>
              <w:t>1.5</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560" w:type="dxa"/>
            <w:vAlign w:val="bottom"/>
          </w:tcPr>
          <w:p>
            <w:pPr>
              <w:jc w:val="right"/>
              <w:ind w:right="2"/>
              <w:spacing w:after="0"/>
              <w:rPr>
                <w:sz w:val="20"/>
                <w:szCs w:val="20"/>
                <w:color w:val="auto"/>
              </w:rPr>
            </w:pPr>
            <w:r>
              <w:rPr>
                <w:rFonts w:ascii="Arial" w:cs="Arial" w:eastAsia="Arial" w:hAnsi="Arial"/>
                <w:sz w:val="16"/>
                <w:szCs w:val="16"/>
                <w:color w:val="auto"/>
              </w:rPr>
              <w:t>1.5</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540" w:type="dxa"/>
            <w:vAlign w:val="bottom"/>
          </w:tcPr>
          <w:p>
            <w:pPr>
              <w:jc w:val="right"/>
              <w:ind w:right="2"/>
              <w:spacing w:after="0"/>
              <w:rPr>
                <w:sz w:val="20"/>
                <w:szCs w:val="20"/>
                <w:color w:val="auto"/>
              </w:rPr>
            </w:pPr>
            <w:r>
              <w:rPr>
                <w:rFonts w:ascii="Arial" w:cs="Arial" w:eastAsia="Arial" w:hAnsi="Arial"/>
                <w:sz w:val="16"/>
                <w:szCs w:val="16"/>
                <w:color w:val="auto"/>
              </w:rPr>
              <w:t>1.4</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540" w:type="dxa"/>
            <w:vAlign w:val="bottom"/>
          </w:tcPr>
          <w:p>
            <w:pPr>
              <w:jc w:val="right"/>
              <w:ind w:right="2"/>
              <w:spacing w:after="0"/>
              <w:rPr>
                <w:sz w:val="20"/>
                <w:szCs w:val="20"/>
                <w:color w:val="auto"/>
              </w:rPr>
            </w:pPr>
            <w:r>
              <w:rPr>
                <w:rFonts w:ascii="Arial" w:cs="Arial" w:eastAsia="Arial" w:hAnsi="Arial"/>
                <w:sz w:val="16"/>
                <w:szCs w:val="16"/>
                <w:color w:val="auto"/>
              </w:rPr>
              <w:t>1.4</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1.3</w:t>
            </w:r>
          </w:p>
        </w:tc>
      </w:tr>
      <w:tr>
        <w:trPr>
          <w:trHeight w:val="301"/>
        </w:trPr>
        <w:tc>
          <w:tcPr>
            <w:tcW w:w="6160" w:type="dxa"/>
            <w:vAlign w:val="bottom"/>
          </w:tcPr>
          <w:p>
            <w:pPr>
              <w:spacing w:after="0"/>
              <w:rPr>
                <w:sz w:val="20"/>
                <w:szCs w:val="20"/>
                <w:color w:val="auto"/>
              </w:rPr>
            </w:pPr>
            <w:r>
              <w:rPr>
                <w:rFonts w:ascii="Arial" w:cs="Arial" w:eastAsia="Arial" w:hAnsi="Arial"/>
                <w:sz w:val="16"/>
                <w:szCs w:val="16"/>
                <w:color w:val="auto"/>
              </w:rPr>
              <w:t>Refinance transactions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0.7</w:t>
            </w:r>
          </w:p>
        </w:tc>
        <w:tc>
          <w:tcPr>
            <w:tcW w:w="60" w:type="dxa"/>
            <w:vAlign w:val="bottom"/>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0.7</w:t>
            </w:r>
          </w:p>
        </w:tc>
        <w:tc>
          <w:tcPr>
            <w:tcW w:w="60" w:type="dxa"/>
            <w:vAlign w:val="bottom"/>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0.8</w:t>
            </w:r>
          </w:p>
        </w:tc>
        <w:tc>
          <w:tcPr>
            <w:tcW w:w="60" w:type="dxa"/>
            <w:vAlign w:val="bottom"/>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0.7</w:t>
            </w:r>
          </w:p>
        </w:tc>
        <w:tc>
          <w:tcPr>
            <w:tcW w:w="60" w:type="dxa"/>
            <w:vAlign w:val="bottom"/>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0.4</w:t>
            </w:r>
          </w:p>
        </w:tc>
      </w:tr>
      <w:tr>
        <w:trPr>
          <w:trHeight w:val="254"/>
        </w:trPr>
        <w:tc>
          <w:tcPr>
            <w:tcW w:w="6160" w:type="dxa"/>
            <w:vAlign w:val="bottom"/>
          </w:tcPr>
          <w:p>
            <w:pPr>
              <w:spacing w:after="0"/>
              <w:rPr>
                <w:sz w:val="20"/>
                <w:szCs w:val="20"/>
                <w:color w:val="auto"/>
              </w:rPr>
            </w:pPr>
            <w:r>
              <w:rPr>
                <w:rFonts w:ascii="Arial" w:cs="Arial" w:eastAsia="Arial" w:hAnsi="Arial"/>
                <w:sz w:val="16"/>
                <w:szCs w:val="16"/>
                <w:color w:val="auto"/>
              </w:rPr>
              <w:t>Total U.S. mortgage originations forecast</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560" w:type="dxa"/>
            <w:vAlign w:val="bottom"/>
          </w:tcPr>
          <w:p>
            <w:pPr>
              <w:jc w:val="right"/>
              <w:ind w:right="2"/>
              <w:spacing w:after="0"/>
              <w:rPr>
                <w:sz w:val="20"/>
                <w:szCs w:val="20"/>
                <w:color w:val="auto"/>
              </w:rPr>
            </w:pPr>
            <w:r>
              <w:rPr>
                <w:rFonts w:ascii="Arial" w:cs="Arial" w:eastAsia="Arial" w:hAnsi="Arial"/>
                <w:sz w:val="16"/>
                <w:szCs w:val="16"/>
                <w:color w:val="auto"/>
              </w:rPr>
              <w:t>2.2</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560" w:type="dxa"/>
            <w:vAlign w:val="bottom"/>
          </w:tcPr>
          <w:p>
            <w:pPr>
              <w:jc w:val="right"/>
              <w:ind w:right="2"/>
              <w:spacing w:after="0"/>
              <w:rPr>
                <w:sz w:val="20"/>
                <w:szCs w:val="20"/>
                <w:color w:val="auto"/>
              </w:rPr>
            </w:pPr>
            <w:r>
              <w:rPr>
                <w:rFonts w:ascii="Arial" w:cs="Arial" w:eastAsia="Arial" w:hAnsi="Arial"/>
                <w:sz w:val="16"/>
                <w:szCs w:val="16"/>
                <w:color w:val="auto"/>
              </w:rPr>
              <w:t>2.2</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540" w:type="dxa"/>
            <w:vAlign w:val="bottom"/>
          </w:tcPr>
          <w:p>
            <w:pPr>
              <w:jc w:val="right"/>
              <w:ind w:right="2"/>
              <w:spacing w:after="0"/>
              <w:rPr>
                <w:sz w:val="20"/>
                <w:szCs w:val="20"/>
                <w:color w:val="auto"/>
              </w:rPr>
            </w:pPr>
            <w:r>
              <w:rPr>
                <w:rFonts w:ascii="Arial" w:cs="Arial" w:eastAsia="Arial" w:hAnsi="Arial"/>
                <w:sz w:val="16"/>
                <w:szCs w:val="16"/>
                <w:color w:val="auto"/>
              </w:rPr>
              <w:t>2.2</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540" w:type="dxa"/>
            <w:vAlign w:val="bottom"/>
          </w:tcPr>
          <w:p>
            <w:pPr>
              <w:jc w:val="right"/>
              <w:ind w:right="2"/>
              <w:spacing w:after="0"/>
              <w:rPr>
                <w:sz w:val="20"/>
                <w:szCs w:val="20"/>
                <w:color w:val="auto"/>
              </w:rPr>
            </w:pPr>
            <w:r>
              <w:rPr>
                <w:rFonts w:ascii="Arial" w:cs="Arial" w:eastAsia="Arial" w:hAnsi="Arial"/>
                <w:sz w:val="16"/>
                <w:szCs w:val="16"/>
                <w:color w:val="auto"/>
              </w:rPr>
              <w:t>2.1</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1.7</w:t>
            </w:r>
          </w:p>
        </w:tc>
      </w:tr>
      <w:tr>
        <w:trPr>
          <w:trHeight w:val="20"/>
        </w:trPr>
        <w:tc>
          <w:tcPr>
            <w:tcW w:w="6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-591185</wp:posOffset>
            </wp:positionV>
            <wp:extent cx="6410325" cy="59817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25">
                      <a:extLst>
                        <a:ext uri="{28A0092B-C50C-407E-A947-70E740481C1C}"/>
                      </a:extLst>
                    </a:blip>
                    <a:srcRect/>
                    <a:stretch>
                      <a:fillRect/>
                    </a:stretch>
                  </pic:blipFill>
                  <pic:spPr bwMode="auto">
                    <a:xfrm>
                      <a:off x="0" y="0"/>
                      <a:ext cx="6410325" cy="598170"/>
                    </a:xfrm>
                    <a:prstGeom prst="rect">
                      <a:avLst/>
                    </a:prstGeom>
                    <a:noFill/>
                  </pic:spPr>
                </pic:pic>
              </a:graphicData>
            </a:graphic>
          </wp:anchor>
        </w:drawing>
      </w:r>
    </w:p>
    <w:p>
      <w:pPr>
        <w:spacing w:after="0" w:line="105" w:lineRule="exact"/>
        <w:rPr>
          <w:sz w:val="20"/>
          <w:szCs w:val="20"/>
          <w:color w:val="auto"/>
        </w:rPr>
      </w:pPr>
    </w:p>
    <w:p>
      <w:pPr>
        <w:jc w:val="both"/>
        <w:ind w:firstLine="353"/>
        <w:spacing w:after="0" w:line="250" w:lineRule="auto"/>
        <w:rPr>
          <w:sz w:val="20"/>
          <w:szCs w:val="20"/>
          <w:color w:val="auto"/>
        </w:rPr>
      </w:pPr>
      <w:r>
        <w:rPr>
          <w:rFonts w:ascii="Arial" w:cs="Arial" w:eastAsia="Arial" w:hAnsi="Arial"/>
          <w:sz w:val="20"/>
          <w:szCs w:val="20"/>
          <w:color w:val="auto"/>
        </w:rPr>
        <w:t>The Federal Reserve raised the benchmark interest rate from near zero as of March 2022 to a range between 5.25% and 5.50% in July 2023 in an effort to combat inflation. Following a decline in inflation in 2024, the Federal Reserve reduced the benchmark rate to a range of 4.25% and 4.50% as of December 31, 2024. The Federal Reserve further reduced the benchmark rate by 75 basis points in 2025 to a range of 3.50% and 3.75% as of December 31, 2025. Average interest rates for a 30-year fixed rate mortgage were averaged 6.6%, 6.7% and 6.8% during the years ended December 31, 2025, 2024 and 2023, respectively.</w:t>
      </w:r>
    </w:p>
    <w:p>
      <w:pPr>
        <w:spacing w:after="0" w:line="72" w:lineRule="exact"/>
        <w:rPr>
          <w:sz w:val="20"/>
          <w:szCs w:val="20"/>
          <w:color w:val="auto"/>
        </w:rPr>
      </w:pPr>
    </w:p>
    <w:p>
      <w:pPr>
        <w:jc w:val="both"/>
        <w:ind w:firstLine="353"/>
        <w:spacing w:after="0" w:line="306" w:lineRule="auto"/>
        <w:rPr>
          <w:sz w:val="20"/>
          <w:szCs w:val="20"/>
          <w:color w:val="auto"/>
        </w:rPr>
      </w:pPr>
      <w:r>
        <w:rPr>
          <w:rFonts w:ascii="Arial" w:cs="Arial" w:eastAsia="Arial" w:hAnsi="Arial"/>
          <w:sz w:val="17"/>
          <w:szCs w:val="17"/>
          <w:color w:val="auto"/>
        </w:rPr>
        <w:t>A shortage in the supply of homes for sale, increasing home prices, varying mortgage interest rates, inflation, disrupted labor markets, and geopolitical uncertainties created a challenging residential real estate market in 2023, 2024, and 2025. In early 2026, the federal government implemented or proposed reforms to address housing and home affordability, including a directive to certain government-sponsored enterprises to purchase up to $200 billion of mortgage-backed securities in an effort to lower interest rates, enhance affordability and reduce the spread between mortgage rates and Treasury yields.</w:t>
      </w:r>
    </w:p>
    <w:p>
      <w:pPr>
        <w:spacing w:after="0" w:line="28" w:lineRule="exact"/>
        <w:rPr>
          <w:sz w:val="20"/>
          <w:szCs w:val="20"/>
          <w:color w:val="auto"/>
        </w:rPr>
      </w:pPr>
    </w:p>
    <w:p>
      <w:pPr>
        <w:jc w:val="both"/>
        <w:ind w:firstLine="353"/>
        <w:spacing w:after="0" w:line="312" w:lineRule="auto"/>
        <w:rPr>
          <w:sz w:val="20"/>
          <w:szCs w:val="20"/>
          <w:color w:val="auto"/>
        </w:rPr>
      </w:pPr>
      <w:r>
        <w:rPr>
          <w:rFonts w:ascii="Arial" w:cs="Arial" w:eastAsia="Arial" w:hAnsi="Arial"/>
          <w:sz w:val="17"/>
          <w:szCs w:val="17"/>
          <w:color w:val="auto"/>
        </w:rPr>
        <w:t>Existing-home sales increased 1% in December 2025 as compared to the corresponding month in 2024, while median existing-home sales prices rose to $405,400 in December 2025, a 0.4% increase over the corresponding month in 2024. Existing-home sales decreased 9% in December 2024 as compared to the corresponding month in 2023, while median existing-home sales prices rose to $404,400 in December 2024, a 6% increase over the corresponding month in 2023.</w:t>
      </w:r>
    </w:p>
    <w:p>
      <w:pPr>
        <w:sectPr>
          <w:pgSz w:w="11880" w:h="15480" w:orient="portrait"/>
          <w:cols w:equalWidth="0" w:num="1">
            <w:col w:w="10040"/>
          </w:cols>
          <w:pgMar w:left="920" w:top="765"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58</w:t>
      </w:r>
    </w:p>
    <w:p>
      <w:pPr>
        <w:sectPr>
          <w:pgSz w:w="11880" w:h="15480" w:orient="portrait"/>
          <w:cols w:equalWidth="0" w:num="1">
            <w:col w:w="10040"/>
          </w:cols>
          <w:pgMar w:left="920" w:top="765" w:right="920" w:bottom="0" w:gutter="0" w:footer="0" w:header="0"/>
          <w:type w:val="continuous"/>
        </w:sectPr>
      </w:pPr>
    </w:p>
    <w:bookmarkStart w:id="70" w:name="page71"/>
    <w:bookmarkEnd w:id="70"/>
    <w:p>
      <w:pPr>
        <w:jc w:val="both"/>
        <w:ind w:firstLine="353"/>
        <w:spacing w:after="0" w:line="348" w:lineRule="auto"/>
        <w:rPr>
          <w:sz w:val="20"/>
          <w:szCs w:val="20"/>
          <w:color w:val="auto"/>
        </w:rPr>
      </w:pPr>
      <w:r>
        <w:rPr>
          <w:rFonts w:ascii="Arial" w:cs="Arial" w:eastAsia="Arial" w:hAnsi="Arial"/>
          <w:sz w:val="17"/>
          <w:szCs w:val="17"/>
          <w:color w:val="auto"/>
        </w:rPr>
        <w:t>According to the U.S. Department of Labor's Bureau of Labor, the unemployment rate was near record lows throughout 2023. The unemployment rate was 4.4%, 4.1% and 3.7% in December of 2025, 2024 and 2023, respectively.</w:t>
      </w:r>
    </w:p>
    <w:p>
      <w:pPr>
        <w:spacing w:after="0" w:line="2" w:lineRule="exact"/>
        <w:rPr>
          <w:sz w:val="20"/>
          <w:szCs w:val="20"/>
          <w:color w:val="auto"/>
        </w:rPr>
      </w:pPr>
    </w:p>
    <w:p>
      <w:pPr>
        <w:jc w:val="both"/>
        <w:ind w:firstLine="353"/>
        <w:spacing w:after="0" w:line="296" w:lineRule="auto"/>
        <w:rPr>
          <w:sz w:val="20"/>
          <w:szCs w:val="20"/>
          <w:color w:val="auto"/>
        </w:rPr>
      </w:pPr>
      <w:r>
        <w:rPr>
          <w:rFonts w:ascii="Arial" w:cs="Arial" w:eastAsia="Arial" w:hAnsi="Arial"/>
          <w:sz w:val="17"/>
          <w:szCs w:val="17"/>
          <w:color w:val="auto"/>
        </w:rPr>
        <w:t>We issue commercial title insurance policies in sectors including office, industrial, energy, hospitality, retail and multi-family, among others. The demand for commercial title insurance varies based on a variety of factors such as investor appetite, financing availability and supply and demand in a particular area. Because commercial real estate transactions tend to be generally driven by supply and demand for commercial space in a particular area rather than by interest rate fluctuations, we believe that our commercial real estate title insurance business is less dependent on the industry cycles discussed above than our residential real estate title business. Factors including U.S. tax reform and a shift in U.S. monetary policy have had, or are expected to have, varying effects on availability of financing in the U.S. Lower corporate and individual tax rates and corporate tax-deductibility of capital expenditures have provided increased capacity and incentive for investments in commercial real estate. In recent years, we experienced fluctuating demand in commercial real estate markets. Commercial volumes were depressed throughout 2023 and 2024 when compared to recent preceding years. Commercial volumes increased significantly in 2025. The increase in commercial volumes in 2025 was broad-based, across several asset classes.</w:t>
      </w:r>
    </w:p>
    <w:p>
      <w:pPr>
        <w:spacing w:after="0" w:line="33" w:lineRule="exact"/>
        <w:rPr>
          <w:sz w:val="20"/>
          <w:szCs w:val="20"/>
          <w:color w:val="auto"/>
        </w:rPr>
      </w:pPr>
    </w:p>
    <w:p>
      <w:pPr>
        <w:jc w:val="both"/>
        <w:ind w:firstLine="353"/>
        <w:spacing w:after="0" w:line="258" w:lineRule="auto"/>
        <w:rPr>
          <w:sz w:val="20"/>
          <w:szCs w:val="20"/>
          <w:color w:val="auto"/>
        </w:rPr>
      </w:pPr>
      <w:r>
        <w:rPr>
          <w:rFonts w:ascii="Arial" w:cs="Arial" w:eastAsia="Arial" w:hAnsi="Arial"/>
          <w:sz w:val="20"/>
          <w:szCs w:val="20"/>
          <w:color w:val="auto"/>
        </w:rPr>
        <w:t>We continually monitor mortgage origination trends and believe that, based on our ability to produce industry leading operating margins through all economic cycles, we are well positioned to adjust our operations for adverse changes in real estate activity and to take advantage of increased volume when demand increases.</w:t>
      </w:r>
    </w:p>
    <w:p>
      <w:pPr>
        <w:spacing w:after="0" w:line="60" w:lineRule="exact"/>
        <w:rPr>
          <w:sz w:val="20"/>
          <w:szCs w:val="20"/>
          <w:color w:val="auto"/>
        </w:rPr>
      </w:pPr>
    </w:p>
    <w:p>
      <w:pPr>
        <w:jc w:val="both"/>
        <w:ind w:firstLine="353"/>
        <w:spacing w:after="0" w:line="303" w:lineRule="auto"/>
        <w:rPr>
          <w:sz w:val="20"/>
          <w:szCs w:val="20"/>
          <w:color w:val="auto"/>
        </w:rPr>
      </w:pPr>
      <w:r>
        <w:rPr>
          <w:rFonts w:ascii="Arial" w:cs="Arial" w:eastAsia="Arial" w:hAnsi="Arial"/>
          <w:sz w:val="17"/>
          <w:szCs w:val="17"/>
          <w:b w:val="1"/>
          <w:bCs w:val="1"/>
          <w:i w:val="1"/>
          <w:iCs w:val="1"/>
          <w:color w:val="auto"/>
        </w:rPr>
        <w:t xml:space="preserve">Seasonality. </w:t>
      </w:r>
      <w:r>
        <w:rPr>
          <w:rFonts w:ascii="Arial" w:cs="Arial" w:eastAsia="Arial" w:hAnsi="Arial"/>
          <w:sz w:val="17"/>
          <w:szCs w:val="17"/>
          <w:color w:val="auto"/>
        </w:rPr>
        <w:t>Historically, real estate transactions have produced seasonal revenue fluctuations in the real estate industry.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first calendar quarter is typically the weakest quarter in terms of revenue due to the generally low volume of home sales during January and February. The second and third calendar quarters are typically the strongest quarters in terms of revenue, primarily due to a higher volume of residential transactions in the spring and summer months. The fourth quarter is typically strong due to the desire of commercial entities to complete transactions by year-end. We have noted short-term fluctuations through recent years in resale and refinance transactions as a result of changes in interest rates.</w:t>
      </w:r>
    </w:p>
    <w:p>
      <w:pPr>
        <w:spacing w:after="0" w:line="48" w:lineRule="exact"/>
        <w:rPr>
          <w:sz w:val="20"/>
          <w:szCs w:val="20"/>
          <w:color w:val="auto"/>
        </w:rPr>
      </w:pPr>
    </w:p>
    <w:p>
      <w:pPr>
        <w:jc w:val="both"/>
        <w:ind w:firstLine="353"/>
        <w:spacing w:after="0" w:line="307" w:lineRule="auto"/>
        <w:rPr>
          <w:sz w:val="20"/>
          <w:szCs w:val="20"/>
          <w:color w:val="auto"/>
        </w:rPr>
      </w:pPr>
      <w:r>
        <w:rPr>
          <w:rFonts w:ascii="Arial" w:cs="Arial" w:eastAsia="Arial" w:hAnsi="Arial"/>
          <w:sz w:val="17"/>
          <w:szCs w:val="17"/>
          <w:b w:val="1"/>
          <w:bCs w:val="1"/>
          <w:i w:val="1"/>
          <w:iCs w:val="1"/>
          <w:color w:val="auto"/>
        </w:rPr>
        <w:t xml:space="preserve">Geographic Operations. </w:t>
      </w:r>
      <w:r>
        <w:rPr>
          <w:rFonts w:ascii="Arial" w:cs="Arial" w:eastAsia="Arial" w:hAnsi="Arial"/>
          <w:sz w:val="17"/>
          <w:szCs w:val="17"/>
          <w:color w:val="auto"/>
        </w:rPr>
        <w:t>Our direct title operations are divided into approximately 166 profit centers. Each profit center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processes title insurance transactions within its geographical area, which is usually identified by a county, a group of counties forming a region, or a state, depending on the management structure in that part of the country. We also transact title insurance business through a network of approximately 5,100 agents, primarily in those areas in which agents are the more prevalent title insurance provider. Substantially all of our revenues are generated in the United States.</w:t>
      </w:r>
    </w:p>
    <w:p>
      <w:pPr>
        <w:spacing w:after="0" w:line="45" w:lineRule="exact"/>
        <w:rPr>
          <w:sz w:val="20"/>
          <w:szCs w:val="20"/>
          <w:color w:val="auto"/>
        </w:rPr>
      </w:pPr>
    </w:p>
    <w:p>
      <w:pPr>
        <w:jc w:val="both"/>
        <w:ind w:firstLine="353"/>
        <w:spacing w:after="0" w:line="271" w:lineRule="auto"/>
        <w:rPr>
          <w:sz w:val="20"/>
          <w:szCs w:val="20"/>
          <w:color w:val="auto"/>
        </w:rPr>
      </w:pPr>
      <w:r>
        <w:rPr>
          <w:rFonts w:ascii="Arial" w:cs="Arial" w:eastAsia="Arial" w:hAnsi="Arial"/>
          <w:sz w:val="20"/>
          <w:szCs w:val="20"/>
          <w:color w:val="auto"/>
        </w:rPr>
        <w:t>The following table sets forth the approximate dollar and percentage volumes of our title insurance premium revenue by state:</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13"/>
        </w:trPr>
        <w:tc>
          <w:tcPr>
            <w:tcW w:w="37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060" w:type="dxa"/>
            <w:vAlign w:val="bottom"/>
            <w:tcBorders>
              <w:bottom w:val="single" w:sz="8" w:color="auto"/>
            </w:tcBorders>
            <w:gridSpan w:val="5"/>
          </w:tcPr>
          <w:p>
            <w:pPr>
              <w:jc w:val="center"/>
              <w:spacing w:after="0"/>
              <w:rPr>
                <w:sz w:val="20"/>
                <w:szCs w:val="20"/>
                <w:color w:val="auto"/>
              </w:rPr>
            </w:pPr>
            <w:r>
              <w:rPr>
                <w:rFonts w:ascii="Arial" w:cs="Arial" w:eastAsia="Arial" w:hAnsi="Arial"/>
                <w:sz w:val="16"/>
                <w:szCs w:val="16"/>
                <w:b w:val="1"/>
                <w:bCs w:val="1"/>
                <w:color w:val="auto"/>
                <w:w w:val="89"/>
              </w:rPr>
              <w:t>Year Ended December 31,</w:t>
            </w:r>
          </w:p>
        </w:tc>
        <w:tc>
          <w:tcPr>
            <w:tcW w:w="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r>
      <w:tr>
        <w:trPr>
          <w:trHeight w:val="215"/>
        </w:trPr>
        <w:tc>
          <w:tcPr>
            <w:tcW w:w="37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6"/>
                <w:szCs w:val="16"/>
                <w:b w:val="1"/>
                <w:bCs w:val="1"/>
                <w:color w:val="auto"/>
              </w:rPr>
              <w:t>2025</w:t>
            </w:r>
          </w:p>
        </w:tc>
        <w:tc>
          <w:tcPr>
            <w:tcW w:w="72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gridSpan w:val="3"/>
          </w:tcPr>
          <w:p>
            <w:pPr>
              <w:jc w:val="center"/>
              <w:ind w:left="462"/>
              <w:spacing w:after="0"/>
              <w:rPr>
                <w:sz w:val="20"/>
                <w:szCs w:val="20"/>
                <w:color w:val="auto"/>
              </w:rPr>
            </w:pPr>
            <w:r>
              <w:rPr>
                <w:rFonts w:ascii="Arial" w:cs="Arial" w:eastAsia="Arial" w:hAnsi="Arial"/>
                <w:sz w:val="16"/>
                <w:szCs w:val="16"/>
                <w:b w:val="1"/>
                <w:bCs w:val="1"/>
                <w:color w:val="auto"/>
                <w:w w:val="84"/>
              </w:rPr>
              <w:t>2024</w:t>
            </w:r>
          </w:p>
        </w:tc>
        <w:tc>
          <w:tcPr>
            <w:tcW w:w="72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6"/>
                <w:szCs w:val="16"/>
                <w:b w:val="1"/>
                <w:bCs w:val="1"/>
                <w:color w:val="auto"/>
              </w:rPr>
              <w:t>2023</w:t>
            </w:r>
          </w:p>
        </w:tc>
        <w:tc>
          <w:tcPr>
            <w:tcW w:w="700" w:type="dxa"/>
            <w:vAlign w:val="bottom"/>
            <w:tcBorders>
              <w:bottom w:val="single" w:sz="8" w:color="auto"/>
            </w:tcBorders>
          </w:tcPr>
          <w:p>
            <w:pPr>
              <w:spacing w:after="0"/>
              <w:rPr>
                <w:sz w:val="18"/>
                <w:szCs w:val="18"/>
                <w:color w:val="auto"/>
              </w:rPr>
            </w:pPr>
          </w:p>
        </w:tc>
      </w:tr>
      <w:tr>
        <w:trPr>
          <w:trHeight w:val="215"/>
        </w:trPr>
        <w:tc>
          <w:tcPr>
            <w:tcW w:w="37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62"/>
              <w:spacing w:after="0"/>
              <w:rPr>
                <w:sz w:val="20"/>
                <w:szCs w:val="20"/>
                <w:color w:val="auto"/>
              </w:rPr>
            </w:pPr>
            <w:r>
              <w:rPr>
                <w:rFonts w:ascii="Arial" w:cs="Arial" w:eastAsia="Arial" w:hAnsi="Arial"/>
                <w:sz w:val="16"/>
                <w:szCs w:val="16"/>
                <w:b w:val="1"/>
                <w:bCs w:val="1"/>
                <w:color w:val="auto"/>
                <w:w w:val="92"/>
              </w:rPr>
              <w:t>Amount</w:t>
            </w:r>
          </w:p>
        </w:tc>
        <w:tc>
          <w:tcPr>
            <w:tcW w:w="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342"/>
              <w:spacing w:after="0"/>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42"/>
              <w:spacing w:after="0"/>
              <w:rPr>
                <w:sz w:val="20"/>
                <w:szCs w:val="20"/>
                <w:color w:val="auto"/>
              </w:rPr>
            </w:pPr>
            <w:r>
              <w:rPr>
                <w:rFonts w:ascii="Arial" w:cs="Arial" w:eastAsia="Arial" w:hAnsi="Arial"/>
                <w:sz w:val="16"/>
                <w:szCs w:val="16"/>
                <w:b w:val="1"/>
                <w:bCs w:val="1"/>
                <w:color w:val="auto"/>
                <w:w w:val="95"/>
              </w:rPr>
              <w:t>Amount</w:t>
            </w:r>
          </w:p>
        </w:tc>
        <w:tc>
          <w:tcPr>
            <w:tcW w:w="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342"/>
              <w:spacing w:after="0"/>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122"/>
              <w:spacing w:after="0"/>
              <w:rPr>
                <w:sz w:val="20"/>
                <w:szCs w:val="20"/>
                <w:color w:val="auto"/>
              </w:rPr>
            </w:pPr>
            <w:r>
              <w:rPr>
                <w:rFonts w:ascii="Arial" w:cs="Arial" w:eastAsia="Arial" w:hAnsi="Arial"/>
                <w:sz w:val="16"/>
                <w:szCs w:val="16"/>
                <w:b w:val="1"/>
                <w:bCs w:val="1"/>
                <w:color w:val="auto"/>
                <w:w w:val="95"/>
              </w:rPr>
              <w:t>Amount</w:t>
            </w:r>
          </w:p>
        </w:tc>
        <w:tc>
          <w:tcPr>
            <w:tcW w:w="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322"/>
              <w:spacing w:after="0"/>
              <w:rPr>
                <w:sz w:val="20"/>
                <w:szCs w:val="20"/>
                <w:color w:val="auto"/>
              </w:rPr>
            </w:pPr>
            <w:r>
              <w:rPr>
                <w:rFonts w:ascii="Arial" w:cs="Arial" w:eastAsia="Arial" w:hAnsi="Arial"/>
                <w:sz w:val="16"/>
                <w:szCs w:val="16"/>
                <w:b w:val="1"/>
                <w:bCs w:val="1"/>
                <w:color w:val="auto"/>
              </w:rPr>
              <w:t>%</w:t>
            </w:r>
          </w:p>
        </w:tc>
      </w:tr>
      <w:tr>
        <w:trPr>
          <w:trHeight w:val="208"/>
        </w:trPr>
        <w:tc>
          <w:tcPr>
            <w:tcW w:w="3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80" w:type="dxa"/>
            <w:vAlign w:val="bottom"/>
            <w:gridSpan w:val="4"/>
          </w:tcPr>
          <w:p>
            <w:pPr>
              <w:jc w:val="center"/>
              <w:ind w:right="142"/>
              <w:spacing w:after="0"/>
              <w:rPr>
                <w:sz w:val="20"/>
                <w:szCs w:val="20"/>
                <w:color w:val="auto"/>
              </w:rPr>
            </w:pPr>
            <w:r>
              <w:rPr>
                <w:rFonts w:ascii="Arial" w:cs="Arial" w:eastAsia="Arial" w:hAnsi="Arial"/>
                <w:sz w:val="16"/>
                <w:szCs w:val="16"/>
                <w:b w:val="1"/>
                <w:bCs w:val="1"/>
                <w:color w:val="auto"/>
                <w:w w:val="90"/>
              </w:rPr>
              <w:t>(Dollars in millions)</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20"/>
        </w:trPr>
        <w:tc>
          <w:tcPr>
            <w:tcW w:w="3720" w:type="dxa"/>
            <w:vAlign w:val="bottom"/>
          </w:tcPr>
          <w:p>
            <w:pPr>
              <w:spacing w:after="0"/>
              <w:rPr>
                <w:sz w:val="20"/>
                <w:szCs w:val="20"/>
                <w:color w:val="auto"/>
              </w:rPr>
            </w:pPr>
            <w:r>
              <w:rPr>
                <w:rFonts w:ascii="Arial" w:cs="Arial" w:eastAsia="Arial" w:hAnsi="Arial"/>
                <w:sz w:val="16"/>
                <w:szCs w:val="16"/>
                <w:color w:val="auto"/>
              </w:rPr>
              <w:t>Texas</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2"/>
              <w:spacing w:after="0"/>
              <w:rPr>
                <w:sz w:val="20"/>
                <w:szCs w:val="20"/>
                <w:color w:val="auto"/>
              </w:rPr>
            </w:pPr>
            <w:r>
              <w:rPr>
                <w:rFonts w:ascii="Arial" w:cs="Arial" w:eastAsia="Arial" w:hAnsi="Arial"/>
                <w:sz w:val="16"/>
                <w:szCs w:val="16"/>
                <w:color w:val="auto"/>
              </w:rPr>
              <w:t>823</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14.1 %</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2"/>
              <w:spacing w:after="0"/>
              <w:rPr>
                <w:sz w:val="20"/>
                <w:szCs w:val="20"/>
                <w:color w:val="auto"/>
              </w:rPr>
            </w:pPr>
            <w:r>
              <w:rPr>
                <w:rFonts w:ascii="Arial" w:cs="Arial" w:eastAsia="Arial" w:hAnsi="Arial"/>
                <w:sz w:val="16"/>
                <w:szCs w:val="16"/>
                <w:color w:val="auto"/>
              </w:rPr>
              <w:t>710</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13.8 %</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657</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14.3 %</w:t>
            </w:r>
          </w:p>
        </w:tc>
      </w:tr>
      <w:tr>
        <w:trPr>
          <w:trHeight w:val="220"/>
        </w:trPr>
        <w:tc>
          <w:tcPr>
            <w:tcW w:w="3720" w:type="dxa"/>
            <w:vAlign w:val="bottom"/>
          </w:tcPr>
          <w:p>
            <w:pPr>
              <w:spacing w:after="0"/>
              <w:rPr>
                <w:sz w:val="20"/>
                <w:szCs w:val="20"/>
                <w:color w:val="auto"/>
              </w:rPr>
            </w:pPr>
            <w:r>
              <w:rPr>
                <w:rFonts w:ascii="Arial" w:cs="Arial" w:eastAsia="Arial" w:hAnsi="Arial"/>
                <w:sz w:val="16"/>
                <w:szCs w:val="16"/>
                <w:color w:val="auto"/>
              </w:rPr>
              <w:t>California</w:t>
            </w:r>
          </w:p>
        </w:tc>
        <w:tc>
          <w:tcPr>
            <w:tcW w:w="180" w:type="dxa"/>
            <w:vAlign w:val="bottom"/>
          </w:tcPr>
          <w:p>
            <w:pPr>
              <w:spacing w:after="0"/>
              <w:rPr>
                <w:sz w:val="19"/>
                <w:szCs w:val="19"/>
                <w:color w:val="auto"/>
              </w:rPr>
            </w:pPr>
          </w:p>
        </w:tc>
        <w:tc>
          <w:tcPr>
            <w:tcW w:w="820" w:type="dxa"/>
            <w:vAlign w:val="bottom"/>
          </w:tcPr>
          <w:p>
            <w:pPr>
              <w:jc w:val="right"/>
              <w:ind w:right="2"/>
              <w:spacing w:after="0"/>
              <w:rPr>
                <w:sz w:val="20"/>
                <w:szCs w:val="20"/>
                <w:color w:val="auto"/>
              </w:rPr>
            </w:pPr>
            <w:r>
              <w:rPr>
                <w:rFonts w:ascii="Arial" w:cs="Arial" w:eastAsia="Arial" w:hAnsi="Arial"/>
                <w:sz w:val="16"/>
                <w:szCs w:val="16"/>
                <w:color w:val="auto"/>
              </w:rPr>
              <w:t>714</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jc w:val="right"/>
              <w:ind w:right="122"/>
              <w:spacing w:after="0"/>
              <w:rPr>
                <w:sz w:val="20"/>
                <w:szCs w:val="20"/>
                <w:color w:val="auto"/>
              </w:rPr>
            </w:pPr>
            <w:r>
              <w:rPr>
                <w:rFonts w:ascii="Arial" w:cs="Arial" w:eastAsia="Arial" w:hAnsi="Arial"/>
                <w:sz w:val="16"/>
                <w:szCs w:val="16"/>
                <w:color w:val="auto"/>
              </w:rPr>
              <w:t>12.2</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ind w:right="2"/>
              <w:spacing w:after="0"/>
              <w:rPr>
                <w:sz w:val="20"/>
                <w:szCs w:val="20"/>
                <w:color w:val="auto"/>
              </w:rPr>
            </w:pPr>
            <w:r>
              <w:rPr>
                <w:rFonts w:ascii="Arial" w:cs="Arial" w:eastAsia="Arial" w:hAnsi="Arial"/>
                <w:sz w:val="16"/>
                <w:szCs w:val="16"/>
                <w:color w:val="auto"/>
              </w:rPr>
              <w:t>668</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jc w:val="right"/>
              <w:ind w:right="122"/>
              <w:spacing w:after="0"/>
              <w:rPr>
                <w:sz w:val="20"/>
                <w:szCs w:val="20"/>
                <w:color w:val="auto"/>
              </w:rPr>
            </w:pPr>
            <w:r>
              <w:rPr>
                <w:rFonts w:ascii="Arial" w:cs="Arial" w:eastAsia="Arial" w:hAnsi="Arial"/>
                <w:sz w:val="16"/>
                <w:szCs w:val="16"/>
                <w:color w:val="auto"/>
              </w:rPr>
              <w:t>12.9</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597</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jc w:val="right"/>
              <w:ind w:right="122"/>
              <w:spacing w:after="0"/>
              <w:rPr>
                <w:sz w:val="20"/>
                <w:szCs w:val="20"/>
                <w:color w:val="auto"/>
              </w:rPr>
            </w:pPr>
            <w:r>
              <w:rPr>
                <w:rFonts w:ascii="Arial" w:cs="Arial" w:eastAsia="Arial" w:hAnsi="Arial"/>
                <w:sz w:val="16"/>
                <w:szCs w:val="16"/>
                <w:color w:val="auto"/>
              </w:rPr>
              <w:t>13.0</w:t>
            </w:r>
          </w:p>
        </w:tc>
      </w:tr>
      <w:tr>
        <w:trPr>
          <w:trHeight w:val="220"/>
        </w:trPr>
        <w:tc>
          <w:tcPr>
            <w:tcW w:w="3720" w:type="dxa"/>
            <w:vAlign w:val="bottom"/>
          </w:tcPr>
          <w:p>
            <w:pPr>
              <w:spacing w:after="0"/>
              <w:rPr>
                <w:sz w:val="20"/>
                <w:szCs w:val="20"/>
                <w:color w:val="auto"/>
              </w:rPr>
            </w:pPr>
            <w:r>
              <w:rPr>
                <w:rFonts w:ascii="Arial" w:cs="Arial" w:eastAsia="Arial" w:hAnsi="Arial"/>
                <w:sz w:val="16"/>
                <w:szCs w:val="16"/>
                <w:color w:val="auto"/>
              </w:rPr>
              <w:t>Florida</w:t>
            </w:r>
          </w:p>
        </w:tc>
        <w:tc>
          <w:tcPr>
            <w:tcW w:w="180" w:type="dxa"/>
            <w:vAlign w:val="bottom"/>
          </w:tcPr>
          <w:p>
            <w:pPr>
              <w:spacing w:after="0"/>
              <w:rPr>
                <w:sz w:val="19"/>
                <w:szCs w:val="19"/>
                <w:color w:val="auto"/>
              </w:rPr>
            </w:pPr>
          </w:p>
        </w:tc>
        <w:tc>
          <w:tcPr>
            <w:tcW w:w="820" w:type="dxa"/>
            <w:vAlign w:val="bottom"/>
          </w:tcPr>
          <w:p>
            <w:pPr>
              <w:jc w:val="right"/>
              <w:ind w:right="2"/>
              <w:spacing w:after="0"/>
              <w:rPr>
                <w:sz w:val="20"/>
                <w:szCs w:val="20"/>
                <w:color w:val="auto"/>
              </w:rPr>
            </w:pPr>
            <w:r>
              <w:rPr>
                <w:rFonts w:ascii="Arial" w:cs="Arial" w:eastAsia="Arial" w:hAnsi="Arial"/>
                <w:sz w:val="16"/>
                <w:szCs w:val="16"/>
                <w:color w:val="auto"/>
              </w:rPr>
              <w:t>548</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jc w:val="right"/>
              <w:ind w:right="122"/>
              <w:spacing w:after="0"/>
              <w:rPr>
                <w:sz w:val="20"/>
                <w:szCs w:val="20"/>
                <w:color w:val="auto"/>
              </w:rPr>
            </w:pPr>
            <w:r>
              <w:rPr>
                <w:rFonts w:ascii="Arial" w:cs="Arial" w:eastAsia="Arial" w:hAnsi="Arial"/>
                <w:sz w:val="16"/>
                <w:szCs w:val="16"/>
                <w:color w:val="auto"/>
              </w:rPr>
              <w:t>9.4</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ind w:right="2"/>
              <w:spacing w:after="0"/>
              <w:rPr>
                <w:sz w:val="20"/>
                <w:szCs w:val="20"/>
                <w:color w:val="auto"/>
              </w:rPr>
            </w:pPr>
            <w:r>
              <w:rPr>
                <w:rFonts w:ascii="Arial" w:cs="Arial" w:eastAsia="Arial" w:hAnsi="Arial"/>
                <w:sz w:val="16"/>
                <w:szCs w:val="16"/>
                <w:color w:val="auto"/>
              </w:rPr>
              <w:t>525</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jc w:val="right"/>
              <w:ind w:right="122"/>
              <w:spacing w:after="0"/>
              <w:rPr>
                <w:sz w:val="20"/>
                <w:szCs w:val="20"/>
                <w:color w:val="auto"/>
              </w:rPr>
            </w:pPr>
            <w:r>
              <w:rPr>
                <w:rFonts w:ascii="Arial" w:cs="Arial" w:eastAsia="Arial" w:hAnsi="Arial"/>
                <w:sz w:val="16"/>
                <w:szCs w:val="16"/>
                <w:color w:val="auto"/>
              </w:rPr>
              <w:t>10.2</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490</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jc w:val="right"/>
              <w:ind w:right="122"/>
              <w:spacing w:after="0"/>
              <w:rPr>
                <w:sz w:val="20"/>
                <w:szCs w:val="20"/>
                <w:color w:val="auto"/>
              </w:rPr>
            </w:pPr>
            <w:r>
              <w:rPr>
                <w:rFonts w:ascii="Arial" w:cs="Arial" w:eastAsia="Arial" w:hAnsi="Arial"/>
                <w:sz w:val="16"/>
                <w:szCs w:val="16"/>
                <w:color w:val="auto"/>
              </w:rPr>
              <w:t>10.7</w:t>
            </w:r>
          </w:p>
        </w:tc>
      </w:tr>
      <w:tr>
        <w:trPr>
          <w:trHeight w:val="220"/>
        </w:trPr>
        <w:tc>
          <w:tcPr>
            <w:tcW w:w="3720" w:type="dxa"/>
            <w:vAlign w:val="bottom"/>
          </w:tcPr>
          <w:p>
            <w:pPr>
              <w:spacing w:after="0"/>
              <w:rPr>
                <w:sz w:val="20"/>
                <w:szCs w:val="20"/>
                <w:color w:val="auto"/>
              </w:rPr>
            </w:pPr>
            <w:r>
              <w:rPr>
                <w:rFonts w:ascii="Arial" w:cs="Arial" w:eastAsia="Arial" w:hAnsi="Arial"/>
                <w:sz w:val="16"/>
                <w:szCs w:val="16"/>
                <w:color w:val="auto"/>
              </w:rPr>
              <w:t>Illinois</w:t>
            </w:r>
          </w:p>
        </w:tc>
        <w:tc>
          <w:tcPr>
            <w:tcW w:w="180" w:type="dxa"/>
            <w:vAlign w:val="bottom"/>
          </w:tcPr>
          <w:p>
            <w:pPr>
              <w:spacing w:after="0"/>
              <w:rPr>
                <w:sz w:val="19"/>
                <w:szCs w:val="19"/>
                <w:color w:val="auto"/>
              </w:rPr>
            </w:pPr>
          </w:p>
        </w:tc>
        <w:tc>
          <w:tcPr>
            <w:tcW w:w="820" w:type="dxa"/>
            <w:vAlign w:val="bottom"/>
          </w:tcPr>
          <w:p>
            <w:pPr>
              <w:jc w:val="right"/>
              <w:ind w:right="2"/>
              <w:spacing w:after="0"/>
              <w:rPr>
                <w:sz w:val="20"/>
                <w:szCs w:val="20"/>
                <w:color w:val="auto"/>
              </w:rPr>
            </w:pPr>
            <w:r>
              <w:rPr>
                <w:rFonts w:ascii="Arial" w:cs="Arial" w:eastAsia="Arial" w:hAnsi="Arial"/>
                <w:sz w:val="16"/>
                <w:szCs w:val="16"/>
                <w:color w:val="auto"/>
              </w:rPr>
              <w:t>336</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jc w:val="right"/>
              <w:ind w:right="122"/>
              <w:spacing w:after="0"/>
              <w:rPr>
                <w:sz w:val="20"/>
                <w:szCs w:val="20"/>
                <w:color w:val="auto"/>
              </w:rPr>
            </w:pPr>
            <w:r>
              <w:rPr>
                <w:rFonts w:ascii="Arial" w:cs="Arial" w:eastAsia="Arial" w:hAnsi="Arial"/>
                <w:sz w:val="16"/>
                <w:szCs w:val="16"/>
                <w:color w:val="auto"/>
              </w:rPr>
              <w:t>5.8</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ind w:right="2"/>
              <w:spacing w:after="0"/>
              <w:rPr>
                <w:sz w:val="20"/>
                <w:szCs w:val="20"/>
                <w:color w:val="auto"/>
              </w:rPr>
            </w:pPr>
            <w:r>
              <w:rPr>
                <w:rFonts w:ascii="Arial" w:cs="Arial" w:eastAsia="Arial" w:hAnsi="Arial"/>
                <w:sz w:val="16"/>
                <w:szCs w:val="16"/>
                <w:color w:val="auto"/>
              </w:rPr>
              <w:t>298</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jc w:val="right"/>
              <w:ind w:right="122"/>
              <w:spacing w:after="0"/>
              <w:rPr>
                <w:sz w:val="20"/>
                <w:szCs w:val="20"/>
                <w:color w:val="auto"/>
              </w:rPr>
            </w:pPr>
            <w:r>
              <w:rPr>
                <w:rFonts w:ascii="Arial" w:cs="Arial" w:eastAsia="Arial" w:hAnsi="Arial"/>
                <w:sz w:val="16"/>
                <w:szCs w:val="16"/>
                <w:color w:val="auto"/>
              </w:rPr>
              <w:t>5.8</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275</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jc w:val="right"/>
              <w:ind w:right="122"/>
              <w:spacing w:after="0"/>
              <w:rPr>
                <w:sz w:val="20"/>
                <w:szCs w:val="20"/>
                <w:color w:val="auto"/>
              </w:rPr>
            </w:pPr>
            <w:r>
              <w:rPr>
                <w:rFonts w:ascii="Arial" w:cs="Arial" w:eastAsia="Arial" w:hAnsi="Arial"/>
                <w:sz w:val="16"/>
                <w:szCs w:val="16"/>
                <w:color w:val="auto"/>
              </w:rPr>
              <w:t>6.0</w:t>
            </w:r>
          </w:p>
        </w:tc>
      </w:tr>
      <w:tr>
        <w:trPr>
          <w:trHeight w:val="221"/>
        </w:trPr>
        <w:tc>
          <w:tcPr>
            <w:tcW w:w="3720" w:type="dxa"/>
            <w:vAlign w:val="bottom"/>
          </w:tcPr>
          <w:p>
            <w:pPr>
              <w:spacing w:after="0"/>
              <w:rPr>
                <w:sz w:val="20"/>
                <w:szCs w:val="20"/>
                <w:color w:val="auto"/>
              </w:rPr>
            </w:pPr>
            <w:r>
              <w:rPr>
                <w:rFonts w:ascii="Arial" w:cs="Arial" w:eastAsia="Arial" w:hAnsi="Arial"/>
                <w:sz w:val="16"/>
                <w:szCs w:val="16"/>
                <w:color w:val="auto"/>
              </w:rPr>
              <w:t>Pennsylvania</w:t>
            </w:r>
          </w:p>
        </w:tc>
        <w:tc>
          <w:tcPr>
            <w:tcW w:w="180" w:type="dxa"/>
            <w:vAlign w:val="bottom"/>
          </w:tcPr>
          <w:p>
            <w:pPr>
              <w:spacing w:after="0"/>
              <w:rPr>
                <w:sz w:val="19"/>
                <w:szCs w:val="19"/>
                <w:color w:val="auto"/>
              </w:rPr>
            </w:pPr>
          </w:p>
        </w:tc>
        <w:tc>
          <w:tcPr>
            <w:tcW w:w="820" w:type="dxa"/>
            <w:vAlign w:val="bottom"/>
          </w:tcPr>
          <w:p>
            <w:pPr>
              <w:jc w:val="right"/>
              <w:ind w:right="2"/>
              <w:spacing w:after="0"/>
              <w:rPr>
                <w:sz w:val="20"/>
                <w:szCs w:val="20"/>
                <w:color w:val="auto"/>
              </w:rPr>
            </w:pPr>
            <w:r>
              <w:rPr>
                <w:rFonts w:ascii="Arial" w:cs="Arial" w:eastAsia="Arial" w:hAnsi="Arial"/>
                <w:sz w:val="16"/>
                <w:szCs w:val="16"/>
                <w:color w:val="auto"/>
              </w:rPr>
              <w:t>313</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jc w:val="right"/>
              <w:ind w:right="122"/>
              <w:spacing w:after="0"/>
              <w:rPr>
                <w:sz w:val="20"/>
                <w:szCs w:val="20"/>
                <w:color w:val="auto"/>
              </w:rPr>
            </w:pPr>
            <w:r>
              <w:rPr>
                <w:rFonts w:ascii="Arial" w:cs="Arial" w:eastAsia="Arial" w:hAnsi="Arial"/>
                <w:sz w:val="16"/>
                <w:szCs w:val="16"/>
                <w:color w:val="auto"/>
              </w:rPr>
              <w:t>5.4</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ind w:right="2"/>
              <w:spacing w:after="0"/>
              <w:rPr>
                <w:sz w:val="20"/>
                <w:szCs w:val="20"/>
                <w:color w:val="auto"/>
              </w:rPr>
            </w:pPr>
            <w:r>
              <w:rPr>
                <w:rFonts w:ascii="Arial" w:cs="Arial" w:eastAsia="Arial" w:hAnsi="Arial"/>
                <w:sz w:val="16"/>
                <w:szCs w:val="16"/>
                <w:color w:val="auto"/>
              </w:rPr>
              <w:t>269</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jc w:val="right"/>
              <w:ind w:right="122"/>
              <w:spacing w:after="0"/>
              <w:rPr>
                <w:sz w:val="20"/>
                <w:szCs w:val="20"/>
                <w:color w:val="auto"/>
              </w:rPr>
            </w:pPr>
            <w:r>
              <w:rPr>
                <w:rFonts w:ascii="Arial" w:cs="Arial" w:eastAsia="Arial" w:hAnsi="Arial"/>
                <w:sz w:val="16"/>
                <w:szCs w:val="16"/>
                <w:color w:val="auto"/>
              </w:rPr>
              <w:t>5.2</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227</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jc w:val="right"/>
              <w:ind w:right="122"/>
              <w:spacing w:after="0"/>
              <w:rPr>
                <w:sz w:val="20"/>
                <w:szCs w:val="20"/>
                <w:color w:val="auto"/>
              </w:rPr>
            </w:pPr>
            <w:r>
              <w:rPr>
                <w:rFonts w:ascii="Arial" w:cs="Arial" w:eastAsia="Arial" w:hAnsi="Arial"/>
                <w:sz w:val="16"/>
                <w:szCs w:val="16"/>
                <w:color w:val="auto"/>
              </w:rPr>
              <w:t>4.9</w:t>
            </w:r>
          </w:p>
        </w:tc>
      </w:tr>
      <w:tr>
        <w:trPr>
          <w:trHeight w:val="228"/>
        </w:trPr>
        <w:tc>
          <w:tcPr>
            <w:tcW w:w="3720" w:type="dxa"/>
            <w:vAlign w:val="bottom"/>
          </w:tcPr>
          <w:p>
            <w:pPr>
              <w:spacing w:after="0"/>
              <w:rPr>
                <w:sz w:val="20"/>
                <w:szCs w:val="20"/>
                <w:color w:val="auto"/>
              </w:rPr>
            </w:pPr>
            <w:r>
              <w:rPr>
                <w:rFonts w:ascii="Arial" w:cs="Arial" w:eastAsia="Arial" w:hAnsi="Arial"/>
                <w:sz w:val="16"/>
                <w:szCs w:val="16"/>
                <w:color w:val="auto"/>
              </w:rPr>
              <w:t>All others</w:t>
            </w: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3,095</w:t>
            </w:r>
          </w:p>
        </w:tc>
        <w:tc>
          <w:tcPr>
            <w:tcW w:w="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22"/>
              <w:spacing w:after="0"/>
              <w:rPr>
                <w:sz w:val="20"/>
                <w:szCs w:val="20"/>
                <w:color w:val="auto"/>
              </w:rPr>
            </w:pPr>
            <w:r>
              <w:rPr>
                <w:rFonts w:ascii="Arial" w:cs="Arial" w:eastAsia="Arial" w:hAnsi="Arial"/>
                <w:sz w:val="16"/>
                <w:szCs w:val="16"/>
                <w:color w:val="auto"/>
              </w:rPr>
              <w:t>53.1</w:t>
            </w:r>
          </w:p>
        </w:tc>
        <w:tc>
          <w:tcPr>
            <w:tcW w:w="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2,687</w:t>
            </w:r>
          </w:p>
        </w:tc>
        <w:tc>
          <w:tcPr>
            <w:tcW w:w="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22"/>
              <w:spacing w:after="0"/>
              <w:rPr>
                <w:sz w:val="20"/>
                <w:szCs w:val="20"/>
                <w:color w:val="auto"/>
              </w:rPr>
            </w:pPr>
            <w:r>
              <w:rPr>
                <w:rFonts w:ascii="Arial" w:cs="Arial" w:eastAsia="Arial" w:hAnsi="Arial"/>
                <w:sz w:val="16"/>
                <w:szCs w:val="16"/>
                <w:color w:val="auto"/>
              </w:rPr>
              <w:t>52.1</w:t>
            </w:r>
          </w:p>
        </w:tc>
        <w:tc>
          <w:tcPr>
            <w:tcW w:w="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2,351</w:t>
            </w:r>
          </w:p>
        </w:tc>
        <w:tc>
          <w:tcPr>
            <w:tcW w:w="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122"/>
              <w:spacing w:after="0"/>
              <w:rPr>
                <w:sz w:val="20"/>
                <w:szCs w:val="20"/>
                <w:color w:val="auto"/>
              </w:rPr>
            </w:pPr>
            <w:r>
              <w:rPr>
                <w:rFonts w:ascii="Arial" w:cs="Arial" w:eastAsia="Arial" w:hAnsi="Arial"/>
                <w:sz w:val="16"/>
                <w:szCs w:val="16"/>
                <w:color w:val="auto"/>
              </w:rPr>
              <w:t>51.1</w:t>
            </w:r>
          </w:p>
        </w:tc>
      </w:tr>
      <w:tr>
        <w:trPr>
          <w:trHeight w:val="181"/>
        </w:trPr>
        <w:tc>
          <w:tcPr>
            <w:tcW w:w="3720" w:type="dxa"/>
            <w:vAlign w:val="bottom"/>
          </w:tcPr>
          <w:p>
            <w:pPr>
              <w:ind w:left="220"/>
              <w:spacing w:after="0" w:line="181" w:lineRule="exact"/>
              <w:rPr>
                <w:sz w:val="20"/>
                <w:szCs w:val="20"/>
                <w:color w:val="auto"/>
              </w:rPr>
            </w:pPr>
            <w:r>
              <w:rPr>
                <w:rFonts w:ascii="Arial" w:cs="Arial" w:eastAsia="Arial" w:hAnsi="Arial"/>
                <w:sz w:val="16"/>
                <w:szCs w:val="16"/>
                <w:color w:val="auto"/>
              </w:rPr>
              <w:t>Totals</w:t>
            </w:r>
          </w:p>
        </w:tc>
        <w:tc>
          <w:tcPr>
            <w:tcW w:w="180" w:type="dxa"/>
            <w:vAlign w:val="bottom"/>
            <w:tcBorders>
              <w:bottom w:val="single" w:sz="8" w:color="auto"/>
            </w:tcBorders>
          </w:tcPr>
          <w:p>
            <w:pPr>
              <w:jc w:val="right"/>
              <w:spacing w:after="0" w:line="181" w:lineRule="exact"/>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ind w:right="2"/>
              <w:spacing w:after="0" w:line="181" w:lineRule="exact"/>
              <w:rPr>
                <w:sz w:val="20"/>
                <w:szCs w:val="20"/>
                <w:color w:val="auto"/>
              </w:rPr>
            </w:pPr>
            <w:r>
              <w:rPr>
                <w:rFonts w:ascii="Arial" w:cs="Arial" w:eastAsia="Arial" w:hAnsi="Arial"/>
                <w:sz w:val="16"/>
                <w:szCs w:val="16"/>
                <w:color w:val="auto"/>
              </w:rPr>
              <w:t>5,829</w:t>
            </w:r>
          </w:p>
        </w:tc>
        <w:tc>
          <w:tcPr>
            <w:tcW w:w="6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line="181" w:lineRule="exact"/>
              <w:rPr>
                <w:sz w:val="20"/>
                <w:szCs w:val="20"/>
                <w:color w:val="auto"/>
              </w:rPr>
            </w:pPr>
            <w:r>
              <w:rPr>
                <w:rFonts w:ascii="Arial" w:cs="Arial" w:eastAsia="Arial" w:hAnsi="Arial"/>
                <w:sz w:val="16"/>
                <w:szCs w:val="16"/>
                <w:color w:val="auto"/>
              </w:rPr>
              <w:t>100.0 %</w:t>
            </w:r>
          </w:p>
        </w:tc>
        <w:tc>
          <w:tcPr>
            <w:tcW w:w="60" w:type="dxa"/>
            <w:vAlign w:val="bottom"/>
          </w:tcPr>
          <w:p>
            <w:pPr>
              <w:spacing w:after="0"/>
              <w:rPr>
                <w:sz w:val="15"/>
                <w:szCs w:val="15"/>
                <w:color w:val="auto"/>
              </w:rPr>
            </w:pPr>
          </w:p>
        </w:tc>
        <w:tc>
          <w:tcPr>
            <w:tcW w:w="180" w:type="dxa"/>
            <w:vAlign w:val="bottom"/>
            <w:tcBorders>
              <w:bottom w:val="single" w:sz="8" w:color="auto"/>
            </w:tcBorders>
          </w:tcPr>
          <w:p>
            <w:pPr>
              <w:jc w:val="right"/>
              <w:spacing w:after="0" w:line="181" w:lineRule="exact"/>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ind w:right="2"/>
              <w:spacing w:after="0" w:line="181" w:lineRule="exact"/>
              <w:rPr>
                <w:sz w:val="20"/>
                <w:szCs w:val="20"/>
                <w:color w:val="auto"/>
              </w:rPr>
            </w:pPr>
            <w:r>
              <w:rPr>
                <w:rFonts w:ascii="Arial" w:cs="Arial" w:eastAsia="Arial" w:hAnsi="Arial"/>
                <w:sz w:val="16"/>
                <w:szCs w:val="16"/>
                <w:color w:val="auto"/>
              </w:rPr>
              <w:t>5,157</w:t>
            </w:r>
          </w:p>
        </w:tc>
        <w:tc>
          <w:tcPr>
            <w:tcW w:w="6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line="181" w:lineRule="exact"/>
              <w:rPr>
                <w:sz w:val="20"/>
                <w:szCs w:val="20"/>
                <w:color w:val="auto"/>
              </w:rPr>
            </w:pPr>
            <w:r>
              <w:rPr>
                <w:rFonts w:ascii="Arial" w:cs="Arial" w:eastAsia="Arial" w:hAnsi="Arial"/>
                <w:sz w:val="16"/>
                <w:szCs w:val="16"/>
                <w:color w:val="auto"/>
              </w:rPr>
              <w:t>100.0 %</w:t>
            </w:r>
          </w:p>
        </w:tc>
        <w:tc>
          <w:tcPr>
            <w:tcW w:w="60" w:type="dxa"/>
            <w:vAlign w:val="bottom"/>
          </w:tcPr>
          <w:p>
            <w:pPr>
              <w:spacing w:after="0"/>
              <w:rPr>
                <w:sz w:val="15"/>
                <w:szCs w:val="15"/>
                <w:color w:val="auto"/>
              </w:rPr>
            </w:pPr>
          </w:p>
        </w:tc>
        <w:tc>
          <w:tcPr>
            <w:tcW w:w="180" w:type="dxa"/>
            <w:vAlign w:val="bottom"/>
            <w:tcBorders>
              <w:bottom w:val="single" w:sz="8" w:color="auto"/>
            </w:tcBorders>
          </w:tcPr>
          <w:p>
            <w:pPr>
              <w:jc w:val="right"/>
              <w:spacing w:after="0" w:line="181" w:lineRule="exact"/>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spacing w:after="0" w:line="181" w:lineRule="exact"/>
              <w:rPr>
                <w:sz w:val="20"/>
                <w:szCs w:val="20"/>
                <w:color w:val="auto"/>
              </w:rPr>
            </w:pPr>
            <w:r>
              <w:rPr>
                <w:rFonts w:ascii="Arial" w:cs="Arial" w:eastAsia="Arial" w:hAnsi="Arial"/>
                <w:sz w:val="16"/>
                <w:szCs w:val="16"/>
                <w:color w:val="auto"/>
              </w:rPr>
              <w:t>4,597</w:t>
            </w:r>
          </w:p>
        </w:tc>
        <w:tc>
          <w:tcPr>
            <w:tcW w:w="8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line="181" w:lineRule="exact"/>
              <w:rPr>
                <w:sz w:val="20"/>
                <w:szCs w:val="20"/>
                <w:color w:val="auto"/>
              </w:rPr>
            </w:pPr>
            <w:r>
              <w:rPr>
                <w:rFonts w:ascii="Arial" w:cs="Arial" w:eastAsia="Arial" w:hAnsi="Arial"/>
                <w:sz w:val="16"/>
                <w:szCs w:val="16"/>
                <w:color w:val="auto"/>
              </w:rPr>
              <w:t>100.0 %</w:t>
            </w:r>
          </w:p>
        </w:tc>
      </w:tr>
      <w:tr>
        <w:trPr>
          <w:trHeight w:val="20"/>
        </w:trPr>
        <w:tc>
          <w:tcPr>
            <w:tcW w:w="37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-1010920</wp:posOffset>
            </wp:positionV>
            <wp:extent cx="6391275" cy="101790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26">
                      <a:extLst>
                        <a:ext uri="{28A0092B-C50C-407E-A947-70E740481C1C}"/>
                      </a:extLst>
                    </a:blip>
                    <a:srcRect/>
                    <a:stretch>
                      <a:fillRect/>
                    </a:stretch>
                  </pic:blipFill>
                  <pic:spPr bwMode="auto">
                    <a:xfrm>
                      <a:off x="0" y="0"/>
                      <a:ext cx="6391275" cy="1017905"/>
                    </a:xfrm>
                    <a:prstGeom prst="rect">
                      <a:avLst/>
                    </a:prstGeom>
                    <a:noFill/>
                  </pic:spPr>
                </pic:pic>
              </a:graphicData>
            </a:graphic>
          </wp:anchor>
        </w:drawing>
      </w:r>
    </w:p>
    <w:p>
      <w:pPr>
        <w:spacing w:after="0" w:line="221" w:lineRule="exact"/>
        <w:rPr>
          <w:sz w:val="20"/>
          <w:szCs w:val="20"/>
          <w:color w:val="auto"/>
        </w:rPr>
      </w:pPr>
    </w:p>
    <w:p>
      <w:pPr>
        <w:ind w:left="340"/>
        <w:spacing w:after="0"/>
        <w:rPr>
          <w:sz w:val="20"/>
          <w:szCs w:val="20"/>
          <w:color w:val="auto"/>
        </w:rPr>
      </w:pPr>
      <w:r>
        <w:rPr>
          <w:rFonts w:ascii="Arial" w:cs="Arial" w:eastAsia="Arial" w:hAnsi="Arial"/>
          <w:sz w:val="20"/>
          <w:szCs w:val="20"/>
          <w:b w:val="1"/>
          <w:bCs w:val="1"/>
          <w:i w:val="1"/>
          <w:iCs w:val="1"/>
          <w:color w:val="auto"/>
        </w:rPr>
        <w:t>F&amp;G</w:t>
      </w:r>
    </w:p>
    <w:p>
      <w:pPr>
        <w:spacing w:after="0" w:line="125" w:lineRule="exact"/>
        <w:rPr>
          <w:sz w:val="20"/>
          <w:szCs w:val="20"/>
          <w:color w:val="auto"/>
        </w:rPr>
      </w:pPr>
    </w:p>
    <w:p>
      <w:pPr>
        <w:jc w:val="both"/>
        <w:ind w:firstLine="353"/>
        <w:spacing w:after="0" w:line="258" w:lineRule="auto"/>
        <w:rPr>
          <w:sz w:val="20"/>
          <w:szCs w:val="20"/>
          <w:color w:val="auto"/>
        </w:rPr>
      </w:pPr>
      <w:r>
        <w:rPr>
          <w:rFonts w:ascii="Arial" w:cs="Arial" w:eastAsia="Arial" w:hAnsi="Arial"/>
          <w:sz w:val="20"/>
          <w:szCs w:val="20"/>
          <w:color w:val="auto"/>
        </w:rPr>
        <w:t>The following factors represent some of the key trends and uncertainties that have influenced the development of our F&amp;G segment and its historical financial performance, and we believe these key trends and uncertainties will continue to influence the business and financial performance of our F&amp;G segment in the future.</w:t>
      </w:r>
    </w:p>
    <w:p>
      <w:pPr>
        <w:spacing w:after="0" w:line="80" w:lineRule="exact"/>
        <w:rPr>
          <w:sz w:val="20"/>
          <w:szCs w:val="20"/>
          <w:color w:val="auto"/>
        </w:rPr>
      </w:pPr>
    </w:p>
    <w:p>
      <w:pPr>
        <w:jc w:val="both"/>
        <w:ind w:firstLine="353"/>
        <w:spacing w:after="0" w:line="301" w:lineRule="auto"/>
        <w:rPr>
          <w:sz w:val="20"/>
          <w:szCs w:val="20"/>
          <w:color w:val="auto"/>
        </w:rPr>
      </w:pPr>
      <w:r>
        <w:rPr>
          <w:rFonts w:ascii="Arial" w:cs="Arial" w:eastAsia="Arial" w:hAnsi="Arial"/>
          <w:sz w:val="17"/>
          <w:szCs w:val="17"/>
          <w:b w:val="1"/>
          <w:bCs w:val="1"/>
          <w:i w:val="1"/>
          <w:iCs w:val="1"/>
          <w:color w:val="auto"/>
        </w:rPr>
        <w:t xml:space="preserve">Market Conditions. </w:t>
      </w:r>
      <w:r>
        <w:rPr>
          <w:rFonts w:ascii="Arial" w:cs="Arial" w:eastAsia="Arial" w:hAnsi="Arial"/>
          <w:sz w:val="17"/>
          <w:szCs w:val="17"/>
          <w:color w:val="auto"/>
        </w:rPr>
        <w:t>Market conditions can change rapidly with significant positive or negative impacts on our results.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Volatility can pressure sales and reduce demand as consumers hesitate to make financial decisions. We anticipate various macroeconomic factors will continue to drive uncertainty and instability, which could have a significant impact on the Company during fiscal year 2026. These factors include, among others, consumer spending, business investment, government spending, government shutdown, the volatility and strength of the capital markets, investor and consumer confidence, foreign currency exchange rates, commodity prices, inflation levels, changes in trade policy, tariffs and trade sanctions on goods, trade wars, United States-China relations and supply chain disruptions.</w:t>
      </w:r>
    </w:p>
    <w:p>
      <w:pPr>
        <w:sectPr>
          <w:pgSz w:w="11880" w:h="15480" w:orient="portrait"/>
          <w:cols w:equalWidth="0" w:num="1">
            <w:col w:w="10040"/>
          </w:cols>
          <w:pgMar w:left="920" w:top="772"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59</w:t>
      </w:r>
    </w:p>
    <w:p>
      <w:pPr>
        <w:sectPr>
          <w:pgSz w:w="11880" w:h="15480" w:orient="portrait"/>
          <w:cols w:equalWidth="0" w:num="1">
            <w:col w:w="10040"/>
          </w:cols>
          <w:pgMar w:left="920" w:top="772" w:right="920" w:bottom="0" w:gutter="0" w:footer="0" w:header="0"/>
          <w:type w:val="continuous"/>
        </w:sectPr>
      </w:pPr>
    </w:p>
    <w:bookmarkStart w:id="71" w:name="page72"/>
    <w:bookmarkEnd w:id="71"/>
    <w:p>
      <w:pPr>
        <w:jc w:val="both"/>
        <w:ind w:firstLine="353"/>
        <w:spacing w:after="0" w:line="268" w:lineRule="auto"/>
        <w:rPr>
          <w:sz w:val="20"/>
          <w:szCs w:val="20"/>
          <w:color w:val="auto"/>
        </w:rPr>
      </w:pPr>
      <w:r>
        <w:rPr>
          <w:rFonts w:ascii="Arial" w:cs="Arial" w:eastAsia="Arial" w:hAnsi="Arial"/>
          <w:sz w:val="19"/>
          <w:szCs w:val="19"/>
          <w:color w:val="auto"/>
        </w:rPr>
        <w:t>In light of increasing uncertainty in the markets we serve, we are unable to predict how long the current environment will last or the significance of the financial and operational impacts to us. To enhance the attractiveness and profitability of our products and services, we continually monitor the behavior of our customers, as evidenced by annuitization rates and lapse rates, which vary in response to changes in market conditions. See “</w:t>
      </w:r>
      <w:r>
        <w:rPr>
          <w:rFonts w:ascii="Arial" w:cs="Arial" w:eastAsia="Arial" w:hAnsi="Arial"/>
          <w:sz w:val="19"/>
          <w:szCs w:val="19"/>
          <w:b w:val="1"/>
          <w:bCs w:val="1"/>
          <w:i w:val="1"/>
          <w:iCs w:val="1"/>
          <w:color w:val="auto"/>
        </w:rPr>
        <w:t>Part I. Item 1A. Risk Factors”</w:t>
      </w:r>
      <w:r>
        <w:rPr>
          <w:rFonts w:ascii="Arial" w:cs="Arial" w:eastAsia="Arial" w:hAnsi="Arial"/>
          <w:sz w:val="19"/>
          <w:szCs w:val="19"/>
          <w:color w:val="auto"/>
        </w:rPr>
        <w:t xml:space="preserve"> in this Annual Report on Form 10-K for further discussion of risk factors that could affect market conditions.</w:t>
      </w:r>
    </w:p>
    <w:p>
      <w:pPr>
        <w:spacing w:after="0" w:line="72" w:lineRule="exact"/>
        <w:rPr>
          <w:sz w:val="20"/>
          <w:szCs w:val="20"/>
          <w:color w:val="auto"/>
        </w:rPr>
      </w:pPr>
    </w:p>
    <w:p>
      <w:pPr>
        <w:jc w:val="both"/>
        <w:ind w:firstLine="353"/>
        <w:spacing w:after="0" w:line="298" w:lineRule="auto"/>
        <w:rPr>
          <w:sz w:val="20"/>
          <w:szCs w:val="20"/>
          <w:color w:val="auto"/>
        </w:rPr>
      </w:pPr>
      <w:r>
        <w:rPr>
          <w:rFonts w:ascii="Arial" w:cs="Arial" w:eastAsia="Arial" w:hAnsi="Arial"/>
          <w:sz w:val="17"/>
          <w:szCs w:val="17"/>
          <w:b w:val="1"/>
          <w:bCs w:val="1"/>
          <w:i w:val="1"/>
          <w:iCs w:val="1"/>
          <w:color w:val="auto"/>
        </w:rPr>
        <w:t xml:space="preserve">Interest Rate Environment. </w:t>
      </w:r>
      <w:r>
        <w:rPr>
          <w:rFonts w:ascii="Arial" w:cs="Arial" w:eastAsia="Arial" w:hAnsi="Arial"/>
          <w:sz w:val="17"/>
          <w:szCs w:val="17"/>
          <w:color w:val="auto"/>
        </w:rPr>
        <w:t>Some of our products include guaranteed minimum crediting rates, most notably our fixed rate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annuities. As of December 31, 2025 and December 31, 2024, our reserves, net of reinsurance, and average crediting rate on our fixed rate annuities were $6.4 billion and 4.8%, respectively, and $6.4 billion and 4.4%, respectively. We are required to pay the guaranteed minimum crediting rates even if earnings on our investment portfolio decline, which would negatively impact earnings. In addition, we expect more policyholders to hold policies with comparatively high guaranteed rates for a longer period in a low interest rate environment. Conversely, a rise in average yield on our investment portfolio would increase earnings if the average interest rate we pay on our products does not rise correspondingly. Similarly, we expect that policyholders would be less likely to hold policies with existing guarantees as interest rates rise and the relative value of other new business offerings are increased, which would negatively impact our earnings and cash flows.</w:t>
      </w:r>
    </w:p>
    <w:p>
      <w:pPr>
        <w:spacing w:after="0" w:line="50" w:lineRule="exact"/>
        <w:rPr>
          <w:sz w:val="20"/>
          <w:szCs w:val="20"/>
          <w:color w:val="auto"/>
        </w:rPr>
      </w:pPr>
    </w:p>
    <w:p>
      <w:pPr>
        <w:jc w:val="both"/>
        <w:ind w:firstLine="353"/>
        <w:spacing w:after="0" w:line="273" w:lineRule="auto"/>
        <w:rPr>
          <w:sz w:val="20"/>
          <w:szCs w:val="20"/>
          <w:color w:val="auto"/>
        </w:rPr>
      </w:pPr>
      <w:r>
        <w:rPr>
          <w:rFonts w:ascii="Arial" w:cs="Arial" w:eastAsia="Arial" w:hAnsi="Arial"/>
          <w:sz w:val="20"/>
          <w:szCs w:val="20"/>
          <w:color w:val="auto"/>
        </w:rPr>
        <w:t>See “</w:t>
      </w:r>
      <w:r>
        <w:rPr>
          <w:rFonts w:ascii="Arial" w:cs="Arial" w:eastAsia="Arial" w:hAnsi="Arial"/>
          <w:sz w:val="20"/>
          <w:szCs w:val="20"/>
          <w:b w:val="1"/>
          <w:bCs w:val="1"/>
          <w:i w:val="1"/>
          <w:iCs w:val="1"/>
          <w:color w:val="auto"/>
        </w:rPr>
        <w:t>Quantitative and Qualitative Disclosure about Market Risk</w:t>
      </w:r>
      <w:r>
        <w:rPr>
          <w:rFonts w:ascii="Arial" w:cs="Arial" w:eastAsia="Arial" w:hAnsi="Arial"/>
          <w:sz w:val="20"/>
          <w:szCs w:val="20"/>
          <w:color w:val="auto"/>
        </w:rPr>
        <w:t>” and “</w:t>
      </w:r>
      <w:r>
        <w:rPr>
          <w:rFonts w:ascii="Arial" w:cs="Arial" w:eastAsia="Arial" w:hAnsi="Arial"/>
          <w:sz w:val="20"/>
          <w:szCs w:val="20"/>
          <w:b w:val="1"/>
          <w:bCs w:val="1"/>
          <w:i w:val="1"/>
          <w:iCs w:val="1"/>
          <w:color w:val="auto"/>
        </w:rPr>
        <w:t>Part I. Item 1A. Risk Factors</w:t>
      </w:r>
      <w:r>
        <w:rPr>
          <w:rFonts w:ascii="Arial" w:cs="Arial" w:eastAsia="Arial" w:hAnsi="Arial"/>
          <w:sz w:val="20"/>
          <w:szCs w:val="20"/>
          <w:color w:val="auto"/>
        </w:rPr>
        <w:t>” in this Annual Report on Form 10-K for a more detailed discussion of interest rate risk.</w:t>
      </w:r>
    </w:p>
    <w:p>
      <w:pPr>
        <w:spacing w:after="0" w:line="182" w:lineRule="exact"/>
        <w:rPr>
          <w:sz w:val="20"/>
          <w:szCs w:val="20"/>
          <w:color w:val="auto"/>
        </w:rPr>
      </w:pPr>
    </w:p>
    <w:p>
      <w:pPr>
        <w:jc w:val="both"/>
        <w:ind w:firstLine="353"/>
        <w:spacing w:after="0" w:line="250" w:lineRule="auto"/>
        <w:rPr>
          <w:sz w:val="20"/>
          <w:szCs w:val="20"/>
          <w:color w:val="auto"/>
        </w:rPr>
      </w:pPr>
      <w:r>
        <w:rPr>
          <w:rFonts w:ascii="Arial" w:cs="Arial" w:eastAsia="Arial" w:hAnsi="Arial"/>
          <w:sz w:val="20"/>
          <w:szCs w:val="20"/>
          <w:b w:val="1"/>
          <w:bCs w:val="1"/>
          <w:i w:val="1"/>
          <w:iCs w:val="1"/>
          <w:color w:val="auto"/>
        </w:rPr>
        <w:t xml:space="preserve">Aging of the U.S. Population. </w:t>
      </w:r>
      <w:r>
        <w:rPr>
          <w:rFonts w:ascii="Arial" w:cs="Arial" w:eastAsia="Arial" w:hAnsi="Arial"/>
          <w:sz w:val="20"/>
          <w:szCs w:val="20"/>
          <w:color w:val="auto"/>
        </w:rPr>
        <w:t>We believe that the aging of the U.S. population will continue to increase demand for</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retirement savings, growth, and income solutions, including demand for our indexed annuity and indexed universal life (“IUL”) products. We serve a growing retirement population, with more than 11,000 Americans turning 65 every day and a projected 30% increase in people age 65-100 over the next 25 years according to the U.S. Census Bureau. The impact of this growth may be offset to some extent by asset outflows as an increasing percentage of the population begins withdrawing assets to convert their savings into income.</w:t>
      </w:r>
    </w:p>
    <w:p>
      <w:pPr>
        <w:spacing w:after="0" w:line="91" w:lineRule="exact"/>
        <w:rPr>
          <w:sz w:val="20"/>
          <w:szCs w:val="20"/>
          <w:color w:val="auto"/>
        </w:rPr>
      </w:pPr>
    </w:p>
    <w:p>
      <w:pPr>
        <w:jc w:val="both"/>
        <w:ind w:firstLine="353"/>
        <w:spacing w:after="0" w:line="264" w:lineRule="auto"/>
        <w:rPr>
          <w:sz w:val="20"/>
          <w:szCs w:val="20"/>
          <w:color w:val="auto"/>
        </w:rPr>
      </w:pPr>
      <w:r>
        <w:rPr>
          <w:rFonts w:ascii="Arial" w:cs="Arial" w:eastAsia="Arial" w:hAnsi="Arial"/>
          <w:sz w:val="19"/>
          <w:szCs w:val="19"/>
          <w:b w:val="1"/>
          <w:bCs w:val="1"/>
          <w:i w:val="1"/>
          <w:iCs w:val="1"/>
          <w:color w:val="auto"/>
        </w:rPr>
        <w:t xml:space="preserve">Industry Factors and Trends Affecting Our Results of Operations. </w:t>
      </w:r>
      <w:r>
        <w:rPr>
          <w:rFonts w:ascii="Arial" w:cs="Arial" w:eastAsia="Arial" w:hAnsi="Arial"/>
          <w:sz w:val="19"/>
          <w:szCs w:val="19"/>
          <w:color w:val="auto"/>
        </w:rPr>
        <w:t>We operate in the sector of the insurance industry that</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focuses on the needs of middle-income Americans. The underserved middle-income market represents a major growth opportunity for us. As a tool for addressing the unmet need for retirement planning, we believe that many middle-income Americans have grown to appreciate the financial certainty that we believe annuities such as our indexed annuity products afford. For example, the fixed index annuity market grew from nearly $12 billion of sales in 2002 to $130 billion of sales in 2024 and the registered index-linked annuities (“RILA”) market grew from $17 billion of sales in 2019 to $62 billion of sales in 2024. Additionally, this market demand has positively impacted the IUL market as it has expanded from $100 million of annual sales in 2002 to $2 billion of annual sales in 2024.</w:t>
      </w:r>
    </w:p>
    <w:p>
      <w:pPr>
        <w:sectPr>
          <w:pgSz w:w="11880" w:h="15480" w:orient="portrait"/>
          <w:cols w:equalWidth="0" w:num="1">
            <w:col w:w="10040"/>
          </w:cols>
          <w:pgMar w:left="920" w:top="772"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60</w:t>
      </w:r>
    </w:p>
    <w:p>
      <w:pPr>
        <w:sectPr>
          <w:pgSz w:w="11880" w:h="15480" w:orient="portrait"/>
          <w:cols w:equalWidth="0" w:num="1">
            <w:col w:w="10040"/>
          </w:cols>
          <w:pgMar w:left="920" w:top="772" w:right="920" w:bottom="0" w:gutter="0" w:footer="0" w:header="0"/>
          <w:type w:val="continuous"/>
        </w:sectPr>
      </w:pPr>
    </w:p>
    <w:bookmarkStart w:id="72" w:name="page73"/>
    <w:bookmarkEnd w:id="72"/>
    <w:p>
      <w:pPr>
        <w:spacing w:after="0"/>
        <w:rPr>
          <w:sz w:val="20"/>
          <w:szCs w:val="20"/>
          <w:color w:val="auto"/>
        </w:rPr>
      </w:pPr>
      <w:r>
        <w:rPr>
          <w:rFonts w:ascii="Arial" w:cs="Arial" w:eastAsia="Arial" w:hAnsi="Arial"/>
          <w:sz w:val="20"/>
          <w:szCs w:val="20"/>
          <w:b w:val="1"/>
          <w:bCs w:val="1"/>
          <w:color w:val="auto"/>
        </w:rPr>
        <w:t>Critical Accounting Policies and Estimates</w:t>
      </w:r>
    </w:p>
    <w:p>
      <w:pPr>
        <w:spacing w:after="0" w:line="189" w:lineRule="exact"/>
        <w:rPr>
          <w:sz w:val="20"/>
          <w:szCs w:val="20"/>
          <w:color w:val="auto"/>
        </w:rPr>
      </w:pPr>
    </w:p>
    <w:p>
      <w:pPr>
        <w:jc w:val="both"/>
        <w:ind w:firstLine="353"/>
        <w:spacing w:after="0" w:line="264" w:lineRule="auto"/>
        <w:rPr>
          <w:sz w:val="20"/>
          <w:szCs w:val="20"/>
          <w:color w:val="auto"/>
        </w:rPr>
      </w:pPr>
      <w:r>
        <w:rPr>
          <w:rFonts w:ascii="Arial" w:cs="Arial" w:eastAsia="Arial" w:hAnsi="Arial"/>
          <w:sz w:val="19"/>
          <w:szCs w:val="19"/>
          <w:color w:val="auto"/>
        </w:rPr>
        <w:t xml:space="preserve">The accounting estimates described below are those we consider critical in preparing our Consolidated Financial Statements. Management is required to make estimates and assumptions that can affect the reported amounts of assets and liabilities and disclosures with respect to contingent assets and liabilities at the date of the Consolidated Financial Statements and the reported amounts of revenues and expenses during the reporting period. Actual amounts could differ from those estimates. See Note A </w:t>
      </w:r>
      <w:r>
        <w:rPr>
          <w:rFonts w:ascii="Arial" w:cs="Arial" w:eastAsia="Arial" w:hAnsi="Arial"/>
          <w:sz w:val="19"/>
          <w:szCs w:val="19"/>
          <w:b w:val="1"/>
          <w:bCs w:val="1"/>
          <w:i w:val="1"/>
          <w:iCs w:val="1"/>
          <w:color w:val="auto"/>
        </w:rPr>
        <w:t>Business and Summary of Significant Accounting Policies</w:t>
      </w:r>
      <w:r>
        <w:rPr>
          <w:rFonts w:ascii="Arial" w:cs="Arial" w:eastAsia="Arial" w:hAnsi="Arial"/>
          <w:sz w:val="19"/>
          <w:szCs w:val="19"/>
          <w:color w:val="auto"/>
        </w:rPr>
        <w:t xml:space="preserve"> to our Consolidated Financial Statements included in Item 8 of Part II of this Annual Report for additional description of the significant accounting policies that have been followed in preparing our Consolidated Financial Statements.</w:t>
      </w:r>
    </w:p>
    <w:p>
      <w:pPr>
        <w:spacing w:after="0" w:line="78" w:lineRule="exact"/>
        <w:rPr>
          <w:sz w:val="20"/>
          <w:szCs w:val="20"/>
          <w:color w:val="auto"/>
        </w:rPr>
      </w:pPr>
    </w:p>
    <w:p>
      <w:pPr>
        <w:ind w:left="340"/>
        <w:spacing w:after="0"/>
        <w:rPr>
          <w:sz w:val="20"/>
          <w:szCs w:val="20"/>
          <w:color w:val="auto"/>
        </w:rPr>
      </w:pPr>
      <w:r>
        <w:rPr>
          <w:rFonts w:ascii="Arial" w:cs="Arial" w:eastAsia="Arial" w:hAnsi="Arial"/>
          <w:sz w:val="20"/>
          <w:szCs w:val="20"/>
          <w:b w:val="1"/>
          <w:bCs w:val="1"/>
          <w:i w:val="1"/>
          <w:iCs w:val="1"/>
          <w:color w:val="auto"/>
        </w:rPr>
        <w:t>Reserve for Title Claim Losses</w:t>
      </w:r>
    </w:p>
    <w:p>
      <w:pPr>
        <w:spacing w:after="0" w:line="127" w:lineRule="exact"/>
        <w:rPr>
          <w:sz w:val="20"/>
          <w:szCs w:val="20"/>
          <w:color w:val="auto"/>
        </w:rPr>
      </w:pPr>
    </w:p>
    <w:p>
      <w:pPr>
        <w:jc w:val="both"/>
        <w:ind w:firstLine="353"/>
        <w:spacing w:after="0" w:line="297" w:lineRule="auto"/>
        <w:rPr>
          <w:sz w:val="20"/>
          <w:szCs w:val="20"/>
          <w:color w:val="auto"/>
        </w:rPr>
      </w:pPr>
      <w:r>
        <w:rPr>
          <w:rFonts w:ascii="Arial" w:cs="Arial" w:eastAsia="Arial" w:hAnsi="Arial"/>
          <w:sz w:val="17"/>
          <w:szCs w:val="17"/>
          <w:color w:val="auto"/>
        </w:rPr>
        <w:t>Title companies issue two types of policies, owner's and lender's policies, since both the new owner and the lender in real estate transactions want to know that their interest in the property is insured against certain title defects outlined in the policy. An owner's policy insures the buyer against such defects for as long as he or she owns the property (as well as against warranty claims arising out of the sale of the property by such owner). A lender's policy insures the priority of the lender's security interest over the claims that other parties may have in the property. The maximum amount of liability under a title insurance policy is generally the face amount of the policy plus the cost of defending the insured's title against an adverse claim; however, occasionally we do incur losses in excess of policy limits. While most non-title forms of insurance, including property and casualty, provide for the assumption of risk of loss arising out of unforeseen future events, title insurance serves to protect the policyholder from risk of loss for events that predate the issuance of the policy.</w:t>
      </w:r>
    </w:p>
    <w:p>
      <w:pPr>
        <w:spacing w:after="0" w:line="57" w:lineRule="exact"/>
        <w:rPr>
          <w:sz w:val="20"/>
          <w:szCs w:val="20"/>
          <w:color w:val="auto"/>
        </w:rPr>
      </w:pPr>
    </w:p>
    <w:p>
      <w:pPr>
        <w:jc w:val="both"/>
        <w:ind w:firstLine="353"/>
        <w:spacing w:after="0" w:line="271" w:lineRule="auto"/>
        <w:rPr>
          <w:sz w:val="20"/>
          <w:szCs w:val="20"/>
          <w:color w:val="auto"/>
        </w:rPr>
      </w:pPr>
      <w:r>
        <w:rPr>
          <w:rFonts w:ascii="Arial" w:cs="Arial" w:eastAsia="Arial" w:hAnsi="Arial"/>
          <w:sz w:val="19"/>
          <w:szCs w:val="19"/>
          <w:color w:val="auto"/>
        </w:rPr>
        <w:t>Unlike many other forms of insurance, title insurance requires only a one-time premium for continuous coverage until another policy is warranted due to changes in property circumstances arising from refinance, resale, additional liens, or other events. Unless we issue the subsequent policy, we receive no notice that our exposure under our policy has ended and, as a result, we are unable to track the actual terminations of our exposures.</w:t>
      </w:r>
    </w:p>
    <w:p>
      <w:pPr>
        <w:spacing w:after="0" w:line="72" w:lineRule="exact"/>
        <w:rPr>
          <w:sz w:val="20"/>
          <w:szCs w:val="20"/>
          <w:color w:val="auto"/>
        </w:rPr>
      </w:pPr>
    </w:p>
    <w:p>
      <w:pPr>
        <w:jc w:val="both"/>
        <w:ind w:firstLine="353"/>
        <w:spacing w:after="0" w:line="303" w:lineRule="auto"/>
        <w:rPr>
          <w:sz w:val="20"/>
          <w:szCs w:val="20"/>
          <w:color w:val="auto"/>
        </w:rPr>
      </w:pPr>
      <w:r>
        <w:rPr>
          <w:rFonts w:ascii="Arial" w:cs="Arial" w:eastAsia="Arial" w:hAnsi="Arial"/>
          <w:sz w:val="17"/>
          <w:szCs w:val="17"/>
          <w:color w:val="auto"/>
        </w:rPr>
        <w:t>Our reserve for title claim losses includes reserves for known claims as well as for losses that have been incurred but not yet reported to us (“IBNR”), net of recoupments. We reserve for each known claim based on our review of the estimated amount of the claim and the costs required to settle the claim. Reserves for IBNR claims are estimates that are established at the time the premium revenue is recognized and are based upon historical experience and other factors, including industry trends, claim loss history, legal environment, geographic considerations, and the types of policies written. We also reserve for losses arising from closing and disbursement functions due to fraud or operational error.</w:t>
      </w:r>
    </w:p>
    <w:p>
      <w:pPr>
        <w:spacing w:after="0" w:line="4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table below summarizes our reserves for known claims and incurred but not reported claims related to title insurance:</w:t>
      </w:r>
    </w:p>
    <w:p>
      <w:pPr>
        <w:spacing w:after="0" w:line="218" w:lineRule="exact"/>
        <w:rPr>
          <w:sz w:val="20"/>
          <w:szCs w:val="20"/>
          <w:color w:val="auto"/>
        </w:rPr>
      </w:pPr>
    </w:p>
    <w:tbl>
      <w:tblPr>
        <w:tblLayout w:type="fixed"/>
        <w:tblInd w:w="60" w:type="dxa"/>
        <w:tblCellMar>
          <w:top w:w="0" w:type="dxa"/>
          <w:left w:w="0" w:type="dxa"/>
          <w:bottom w:w="0" w:type="dxa"/>
          <w:right w:w="0" w:type="dxa"/>
        </w:tblCellMar>
      </w:tblPr>
      <w:tr>
        <w:trPr>
          <w:trHeight w:val="220"/>
        </w:trPr>
        <w:tc>
          <w:tcPr>
            <w:tcW w:w="50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7"/>
              </w:rPr>
              <w:t>December 31, 2025</w:t>
            </w:r>
          </w:p>
        </w:tc>
        <w:tc>
          <w:tcPr>
            <w:tcW w:w="80" w:type="dxa"/>
            <w:vAlign w:val="bottom"/>
          </w:tcPr>
          <w:p>
            <w:pPr>
              <w:spacing w:after="0"/>
              <w:rPr>
                <w:sz w:val="19"/>
                <w:szCs w:val="19"/>
                <w:color w:val="auto"/>
              </w:rPr>
            </w:pPr>
          </w:p>
        </w:tc>
        <w:tc>
          <w:tcPr>
            <w:tcW w:w="820" w:type="dxa"/>
            <w:vAlign w:val="bottom"/>
            <w:tcBorders>
              <w:bottom w:val="single" w:sz="8" w:color="auto"/>
            </w:tcBorders>
          </w:tcPr>
          <w:p>
            <w:pPr>
              <w:jc w:val="right"/>
              <w:ind w:right="242"/>
              <w:spacing w:after="0"/>
              <w:rPr>
                <w:sz w:val="20"/>
                <w:szCs w:val="20"/>
                <w:color w:val="auto"/>
              </w:rPr>
            </w:pPr>
            <w:r>
              <w:rPr>
                <w:rFonts w:ascii="Arial" w:cs="Arial" w:eastAsia="Arial" w:hAnsi="Arial"/>
                <w:sz w:val="16"/>
                <w:szCs w:val="16"/>
                <w:b w:val="1"/>
                <w:bCs w:val="1"/>
                <w:color w:val="auto"/>
              </w:rPr>
              <w:t>%</w:t>
            </w:r>
          </w:p>
        </w:tc>
        <w:tc>
          <w:tcPr>
            <w:tcW w:w="80" w:type="dxa"/>
            <w:vAlign w:val="bottom"/>
          </w:tcPr>
          <w:p>
            <w:pPr>
              <w:spacing w:after="0"/>
              <w:rPr>
                <w:sz w:val="19"/>
                <w:szCs w:val="19"/>
                <w:color w:val="auto"/>
              </w:rPr>
            </w:pPr>
          </w:p>
        </w:tc>
        <w:tc>
          <w:tcPr>
            <w:tcW w:w="1480" w:type="dxa"/>
            <w:vAlign w:val="bottom"/>
            <w:tcBorders>
              <w:bottom w:val="single" w:sz="8" w:color="auto"/>
            </w:tcBorders>
            <w:gridSpan w:val="2"/>
          </w:tcPr>
          <w:p>
            <w:pPr>
              <w:jc w:val="right"/>
              <w:ind w:right="22"/>
              <w:spacing w:after="0"/>
              <w:rPr>
                <w:sz w:val="20"/>
                <w:szCs w:val="20"/>
                <w:color w:val="auto"/>
              </w:rPr>
            </w:pPr>
            <w:r>
              <w:rPr>
                <w:rFonts w:ascii="Arial" w:cs="Arial" w:eastAsia="Arial" w:hAnsi="Arial"/>
                <w:sz w:val="16"/>
                <w:szCs w:val="16"/>
                <w:b w:val="1"/>
                <w:bCs w:val="1"/>
                <w:color w:val="auto"/>
                <w:w w:val="94"/>
              </w:rPr>
              <w:t>December 31, 2024</w:t>
            </w:r>
          </w:p>
        </w:tc>
        <w:tc>
          <w:tcPr>
            <w:tcW w:w="120" w:type="dxa"/>
            <w:vAlign w:val="bottom"/>
          </w:tcPr>
          <w:p>
            <w:pPr>
              <w:spacing w:after="0"/>
              <w:rPr>
                <w:sz w:val="19"/>
                <w:szCs w:val="19"/>
                <w:color w:val="auto"/>
              </w:rPr>
            </w:pPr>
          </w:p>
        </w:tc>
        <w:tc>
          <w:tcPr>
            <w:tcW w:w="820" w:type="dxa"/>
            <w:vAlign w:val="bottom"/>
            <w:tcBorders>
              <w:bottom w:val="single" w:sz="8" w:color="auto"/>
            </w:tcBorders>
          </w:tcPr>
          <w:p>
            <w:pPr>
              <w:jc w:val="right"/>
              <w:ind w:right="242"/>
              <w:spacing w:after="0"/>
              <w:rPr>
                <w:sz w:val="20"/>
                <w:szCs w:val="20"/>
                <w:color w:val="auto"/>
              </w:rPr>
            </w:pPr>
            <w:r>
              <w:rPr>
                <w:rFonts w:ascii="Arial" w:cs="Arial" w:eastAsia="Arial" w:hAnsi="Arial"/>
                <w:sz w:val="16"/>
                <w:szCs w:val="16"/>
                <w:b w:val="1"/>
                <w:bCs w:val="1"/>
                <w:color w:val="auto"/>
              </w:rPr>
              <w:t>%</w:t>
            </w:r>
          </w:p>
        </w:tc>
      </w:tr>
      <w:tr>
        <w:trPr>
          <w:trHeight w:val="206"/>
        </w:trPr>
        <w:tc>
          <w:tcPr>
            <w:tcW w:w="5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(Dollars</w:t>
            </w:r>
          </w:p>
        </w:tc>
        <w:tc>
          <w:tcPr>
            <w:tcW w:w="940" w:type="dxa"/>
            <w:vAlign w:val="bottom"/>
            <w:gridSpan w:val="2"/>
          </w:tcPr>
          <w:p>
            <w:pPr>
              <w:jc w:val="right"/>
              <w:ind w:right="102"/>
              <w:spacing w:after="0"/>
              <w:rPr>
                <w:sz w:val="20"/>
                <w:szCs w:val="20"/>
                <w:color w:val="auto"/>
              </w:rPr>
            </w:pPr>
            <w:r>
              <w:rPr>
                <w:rFonts w:ascii="Arial" w:cs="Arial" w:eastAsia="Arial" w:hAnsi="Arial"/>
                <w:sz w:val="16"/>
                <w:szCs w:val="16"/>
                <w:b w:val="1"/>
                <w:bCs w:val="1"/>
                <w:color w:val="auto"/>
                <w:w w:val="87"/>
              </w:rPr>
              <w:t>in millions)</w:t>
            </w: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38"/>
        </w:trPr>
        <w:tc>
          <w:tcPr>
            <w:tcW w:w="5080" w:type="dxa"/>
            <w:vAlign w:val="bottom"/>
          </w:tcPr>
          <w:p>
            <w:pPr>
              <w:spacing w:after="0"/>
              <w:rPr>
                <w:sz w:val="20"/>
                <w:szCs w:val="20"/>
                <w:color w:val="auto"/>
              </w:rPr>
            </w:pPr>
            <w:r>
              <w:rPr>
                <w:rFonts w:ascii="Arial" w:cs="Arial" w:eastAsia="Arial" w:hAnsi="Arial"/>
                <w:sz w:val="16"/>
                <w:szCs w:val="16"/>
                <w:color w:val="auto"/>
              </w:rPr>
              <w:t>Known claims</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222</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13.1 %</w:t>
            </w:r>
          </w:p>
        </w:tc>
        <w:tc>
          <w:tcPr>
            <w:tcW w:w="940" w:type="dxa"/>
            <w:vAlign w:val="bottom"/>
            <w:gridSpan w:val="2"/>
          </w:tcPr>
          <w:p>
            <w:pPr>
              <w:jc w:val="right"/>
              <w:ind w:right="662"/>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209</w:t>
            </w: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12.2 %</w:t>
            </w:r>
          </w:p>
        </w:tc>
      </w:tr>
      <w:tr>
        <w:trPr>
          <w:trHeight w:val="257"/>
        </w:trPr>
        <w:tc>
          <w:tcPr>
            <w:tcW w:w="5080" w:type="dxa"/>
            <w:vAlign w:val="bottom"/>
          </w:tcPr>
          <w:p>
            <w:pPr>
              <w:spacing w:after="0"/>
              <w:rPr>
                <w:sz w:val="20"/>
                <w:szCs w:val="20"/>
                <w:color w:val="auto"/>
              </w:rPr>
            </w:pPr>
            <w:r>
              <w:rPr>
                <w:rFonts w:ascii="Arial" w:cs="Arial" w:eastAsia="Arial" w:hAnsi="Arial"/>
                <w:sz w:val="16"/>
                <w:szCs w:val="16"/>
                <w:color w:val="auto"/>
              </w:rPr>
              <w:t>IBNR</w:t>
            </w:r>
          </w:p>
        </w:tc>
        <w:tc>
          <w:tcPr>
            <w:tcW w:w="16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1,478</w:t>
            </w:r>
          </w:p>
        </w:tc>
        <w:tc>
          <w:tcPr>
            <w:tcW w:w="80" w:type="dxa"/>
            <w:vAlign w:val="bottom"/>
          </w:tcPr>
          <w:p>
            <w:pPr>
              <w:spacing w:after="0"/>
              <w:rPr>
                <w:sz w:val="22"/>
                <w:szCs w:val="22"/>
                <w:color w:val="auto"/>
              </w:rPr>
            </w:pPr>
          </w:p>
        </w:tc>
        <w:tc>
          <w:tcPr>
            <w:tcW w:w="820" w:type="dxa"/>
            <w:vAlign w:val="bottom"/>
            <w:tcBorders>
              <w:bottom w:val="single" w:sz="8" w:color="auto"/>
            </w:tcBorders>
          </w:tcPr>
          <w:p>
            <w:pPr>
              <w:jc w:val="right"/>
              <w:ind w:right="122"/>
              <w:spacing w:after="0"/>
              <w:rPr>
                <w:sz w:val="20"/>
                <w:szCs w:val="20"/>
                <w:color w:val="auto"/>
              </w:rPr>
            </w:pPr>
            <w:r>
              <w:rPr>
                <w:rFonts w:ascii="Arial" w:cs="Arial" w:eastAsia="Arial" w:hAnsi="Arial"/>
                <w:sz w:val="16"/>
                <w:szCs w:val="16"/>
                <w:color w:val="auto"/>
              </w:rPr>
              <w:t>86.9</w:t>
            </w:r>
          </w:p>
        </w:tc>
        <w:tc>
          <w:tcPr>
            <w:tcW w:w="80" w:type="dxa"/>
            <w:vAlign w:val="bottom"/>
          </w:tcPr>
          <w:p>
            <w:pPr>
              <w:spacing w:after="0"/>
              <w:rPr>
                <w:sz w:val="22"/>
                <w:szCs w:val="22"/>
                <w:color w:val="auto"/>
              </w:rPr>
            </w:pPr>
          </w:p>
        </w:tc>
        <w:tc>
          <w:tcPr>
            <w:tcW w:w="86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1,504</w:t>
            </w:r>
          </w:p>
        </w:tc>
        <w:tc>
          <w:tcPr>
            <w:tcW w:w="120" w:type="dxa"/>
            <w:vAlign w:val="bottom"/>
          </w:tcPr>
          <w:p>
            <w:pPr>
              <w:spacing w:after="0"/>
              <w:rPr>
                <w:sz w:val="22"/>
                <w:szCs w:val="22"/>
                <w:color w:val="auto"/>
              </w:rPr>
            </w:pPr>
          </w:p>
        </w:tc>
        <w:tc>
          <w:tcPr>
            <w:tcW w:w="820" w:type="dxa"/>
            <w:vAlign w:val="bottom"/>
            <w:tcBorders>
              <w:bottom w:val="single" w:sz="8" w:color="auto"/>
            </w:tcBorders>
          </w:tcPr>
          <w:p>
            <w:pPr>
              <w:jc w:val="right"/>
              <w:ind w:right="122"/>
              <w:spacing w:after="0"/>
              <w:rPr>
                <w:sz w:val="20"/>
                <w:szCs w:val="20"/>
                <w:color w:val="auto"/>
              </w:rPr>
            </w:pPr>
            <w:r>
              <w:rPr>
                <w:rFonts w:ascii="Arial" w:cs="Arial" w:eastAsia="Arial" w:hAnsi="Arial"/>
                <w:sz w:val="16"/>
                <w:szCs w:val="16"/>
                <w:color w:val="auto"/>
              </w:rPr>
              <w:t>87.8</w:t>
            </w:r>
          </w:p>
        </w:tc>
      </w:tr>
      <w:tr>
        <w:trPr>
          <w:trHeight w:val="240"/>
        </w:trPr>
        <w:tc>
          <w:tcPr>
            <w:tcW w:w="5080" w:type="dxa"/>
            <w:vAlign w:val="bottom"/>
          </w:tcPr>
          <w:p>
            <w:pPr>
              <w:spacing w:after="0"/>
              <w:rPr>
                <w:sz w:val="20"/>
                <w:szCs w:val="20"/>
                <w:color w:val="auto"/>
              </w:rPr>
            </w:pPr>
            <w:r>
              <w:rPr>
                <w:rFonts w:ascii="Arial" w:cs="Arial" w:eastAsia="Arial" w:hAnsi="Arial"/>
                <w:sz w:val="16"/>
                <w:szCs w:val="16"/>
                <w:color w:val="auto"/>
              </w:rPr>
              <w:t>Total Reserve for Title Claim Losses</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1,700</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100.0 %</w:t>
            </w:r>
          </w:p>
        </w:tc>
        <w:tc>
          <w:tcPr>
            <w:tcW w:w="940" w:type="dxa"/>
            <w:vAlign w:val="bottom"/>
            <w:gridSpan w:val="2"/>
          </w:tcPr>
          <w:p>
            <w:pPr>
              <w:jc w:val="right"/>
              <w:ind w:right="662"/>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1,713</w:t>
            </w: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100.0 %</w:t>
            </w:r>
          </w:p>
        </w:tc>
      </w:tr>
      <w:tr>
        <w:trPr>
          <w:trHeight w:val="20"/>
        </w:trPr>
        <w:tc>
          <w:tcPr>
            <w:tcW w:w="50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-367030</wp:posOffset>
            </wp:positionV>
            <wp:extent cx="6382385" cy="37401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27">
                      <a:extLst>
                        <a:ext uri="{28A0092B-C50C-407E-A947-70E740481C1C}"/>
                      </a:extLst>
                    </a:blip>
                    <a:srcRect/>
                    <a:stretch>
                      <a:fillRect/>
                    </a:stretch>
                  </pic:blipFill>
                  <pic:spPr bwMode="auto">
                    <a:xfrm>
                      <a:off x="0" y="0"/>
                      <a:ext cx="6382385" cy="374015"/>
                    </a:xfrm>
                    <a:prstGeom prst="rect">
                      <a:avLst/>
                    </a:prstGeom>
                    <a:noFill/>
                  </pic:spPr>
                </pic:pic>
              </a:graphicData>
            </a:graphic>
          </wp:anchor>
        </w:drawing>
      </w:r>
    </w:p>
    <w:p>
      <w:pPr>
        <w:spacing w:after="0" w:line="105" w:lineRule="exact"/>
        <w:rPr>
          <w:sz w:val="20"/>
          <w:szCs w:val="20"/>
          <w:color w:val="auto"/>
        </w:rPr>
      </w:pPr>
    </w:p>
    <w:p>
      <w:pPr>
        <w:jc w:val="both"/>
        <w:ind w:firstLine="353"/>
        <w:spacing w:after="0" w:line="266" w:lineRule="auto"/>
        <w:rPr>
          <w:sz w:val="20"/>
          <w:szCs w:val="20"/>
          <w:color w:val="auto"/>
        </w:rPr>
      </w:pPr>
      <w:r>
        <w:rPr>
          <w:rFonts w:ascii="Arial" w:cs="Arial" w:eastAsia="Arial" w:hAnsi="Arial"/>
          <w:sz w:val="19"/>
          <w:szCs w:val="19"/>
          <w:color w:val="auto"/>
        </w:rPr>
        <w:t>Although claims against title insurance policies can be reported relatively soon after the policy has been issued, claims may be reported many years later. Historically, approximately 60% of claims are paid within approximately five years of the policy being written. By their nature, claims are often complex, vary greatly in dollar amounts and are affected by economic and market conditions, as well as the legal environment existing at the time of settlement of the claims. Estimating future title loss payments is difficult because of the complex nature of title claims, the long periods of time over which claims are paid, significantly varying dollar amounts of individual claims and other factors.</w:t>
      </w:r>
    </w:p>
    <w:p>
      <w:pPr>
        <w:spacing w:after="0" w:line="76" w:lineRule="exact"/>
        <w:rPr>
          <w:sz w:val="20"/>
          <w:szCs w:val="20"/>
          <w:color w:val="auto"/>
        </w:rPr>
      </w:pPr>
    </w:p>
    <w:p>
      <w:pPr>
        <w:jc w:val="both"/>
        <w:ind w:firstLine="353"/>
        <w:spacing w:after="0" w:line="295" w:lineRule="auto"/>
        <w:rPr>
          <w:sz w:val="20"/>
          <w:szCs w:val="20"/>
          <w:color w:val="auto"/>
        </w:rPr>
      </w:pPr>
      <w:r>
        <w:rPr>
          <w:rFonts w:ascii="Arial" w:cs="Arial" w:eastAsia="Arial" w:hAnsi="Arial"/>
          <w:sz w:val="17"/>
          <w:szCs w:val="17"/>
          <w:color w:val="auto"/>
        </w:rPr>
        <w:t>Our process for recording our reserves for title claim losses begins with analysis of our loss provision rate. We forecast ultimate losses for each policy year based upon historical policy year loss emergence and development patterns and adjust these to reflect policy year and policy type differences that affect the timing, frequency and severity of claims. We also use a technique that relies on historical loss emergence and on a premium-based exposure measurement. The latter technique is particularly applicable to the most recent policy years, which have few reported claims relative to an expected ultimate claim volume. After considering historical claim losses, reporting patterns and current market information, and analyzing quantitative and qualitative data provided by our legal, claims and underwriting departments, we determine a loss provision rate, which is recorded as a percentage of current title premiums. This loss provision rate is set to provide for losses on current year policies, but due to development of prior years and our long claim duration, it periodically includes amounts of estimated adverse or positive development on prior years' policies. Any significant adjustments to strengthen or release loss reserves resulting from the comparison with our actuarial analysis are made in addition to this loss provision rate. At each quarter end, our recorded reserve for claim losses is initially the result of taking the prior recorded reserve for claim losses, adding the current provision</w:t>
      </w:r>
    </w:p>
    <w:p>
      <w:pPr>
        <w:sectPr>
          <w:pgSz w:w="11880" w:h="15480" w:orient="portrait"/>
          <w:cols w:equalWidth="0" w:num="1">
            <w:col w:w="10040"/>
          </w:cols>
          <w:pgMar w:left="920" w:top="633"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61</w:t>
      </w:r>
    </w:p>
    <w:p>
      <w:pPr>
        <w:sectPr>
          <w:pgSz w:w="11880" w:h="15480" w:orient="portrait"/>
          <w:cols w:equalWidth="0" w:num="1">
            <w:col w:w="10040"/>
          </w:cols>
          <w:pgMar w:left="920" w:top="633" w:right="920" w:bottom="0" w:gutter="0" w:footer="0" w:header="0"/>
          <w:type w:val="continuous"/>
        </w:sectPr>
      </w:pPr>
    </w:p>
    <w:bookmarkStart w:id="73" w:name="page74"/>
    <w:bookmarkEnd w:id="73"/>
    <w:p>
      <w:pPr>
        <w:jc w:val="both"/>
        <w:spacing w:after="0" w:line="271" w:lineRule="auto"/>
        <w:rPr>
          <w:sz w:val="20"/>
          <w:szCs w:val="20"/>
          <w:color w:val="auto"/>
        </w:rPr>
      </w:pPr>
      <w:r>
        <w:rPr>
          <w:rFonts w:ascii="Arial" w:cs="Arial" w:eastAsia="Arial" w:hAnsi="Arial"/>
          <w:sz w:val="20"/>
          <w:szCs w:val="20"/>
          <w:color w:val="auto"/>
        </w:rPr>
        <w:t>and subtracting actual paid claims, resulting in an amount that management then compares to the range of reasonable estimates provided by the actuarial calculation.</w:t>
      </w:r>
    </w:p>
    <w:p>
      <w:pPr>
        <w:spacing w:after="0" w:line="69" w:lineRule="exact"/>
        <w:rPr>
          <w:sz w:val="20"/>
          <w:szCs w:val="20"/>
          <w:color w:val="auto"/>
        </w:rPr>
      </w:pPr>
    </w:p>
    <w:p>
      <w:pPr>
        <w:jc w:val="both"/>
        <w:ind w:firstLine="353"/>
        <w:spacing w:after="0" w:line="268" w:lineRule="auto"/>
        <w:rPr>
          <w:sz w:val="20"/>
          <w:szCs w:val="20"/>
          <w:color w:val="auto"/>
        </w:rPr>
      </w:pPr>
      <w:r>
        <w:rPr>
          <w:rFonts w:ascii="Arial" w:cs="Arial" w:eastAsia="Arial" w:hAnsi="Arial"/>
          <w:sz w:val="19"/>
          <w:szCs w:val="19"/>
          <w:color w:val="auto"/>
        </w:rPr>
        <w:t>We recorded our loss provision rate at 4.5% for the years ended December 31, 2025, 2024, and 2023 related to policies written in those years. The provision rate in 2025, 2024, and 2023 is supported by stability in payments for prior policy years, and qualitative factors that would indicate consistency, including consistency in lender underwriting standards, extension of credit to quality borrowers, a high proportion of refinance activity, claims expense management, mechanic’s lien underwriting practices, and fraud awareness by lenders, title insurers and settlement agents.</w:t>
      </w:r>
    </w:p>
    <w:p>
      <w:pPr>
        <w:spacing w:after="0" w:line="74" w:lineRule="exact"/>
        <w:rPr>
          <w:sz w:val="20"/>
          <w:szCs w:val="20"/>
          <w:color w:val="auto"/>
        </w:rPr>
      </w:pPr>
    </w:p>
    <w:p>
      <w:pPr>
        <w:jc w:val="both"/>
        <w:ind w:firstLine="353"/>
        <w:spacing w:after="0" w:line="262" w:lineRule="auto"/>
        <w:rPr>
          <w:sz w:val="20"/>
          <w:szCs w:val="20"/>
          <w:color w:val="auto"/>
        </w:rPr>
      </w:pPr>
      <w:r>
        <w:rPr>
          <w:rFonts w:ascii="Arial" w:cs="Arial" w:eastAsia="Arial" w:hAnsi="Arial"/>
          <w:sz w:val="19"/>
          <w:szCs w:val="19"/>
          <w:color w:val="auto"/>
        </w:rPr>
        <w:t>Due to the uncertainty inherent in the process and due to the judgment used by both management and our actuary, our ultimate liability may be greater or less than our carried reserves. If the recorded amount is within the actuarial range but not at the central estimate, we assess the position within the actuarial range by analysis of other factors in order to determine that the recorded amount is our best estimate. These factors, which are both qualitative and quantitative, can change from period to period, and include items such as current trends in the real estate industry (which we can assess, but for which there is a time lag in the development of the data), any adjustments from the actuarial estimates needed for the effects of unusually large or small claims, improvements in our claims management processes and other cost saving measures. If the recorded amount is not within a reasonable range of our actuary's central estimate, we may have to record a charge or credit and reassess the loss provision rate on a go forward basis. We will continue to reassess the provision to be recorded in future periods consistent with this methodology.</w:t>
      </w:r>
    </w:p>
    <w:p>
      <w:pPr>
        <w:spacing w:after="0" w:line="84" w:lineRule="exact"/>
        <w:rPr>
          <w:sz w:val="20"/>
          <w:szCs w:val="20"/>
          <w:color w:val="auto"/>
        </w:rPr>
      </w:pPr>
    </w:p>
    <w:p>
      <w:pPr>
        <w:ind w:left="340"/>
        <w:spacing w:after="0"/>
        <w:rPr>
          <w:sz w:val="20"/>
          <w:szCs w:val="20"/>
          <w:color w:val="auto"/>
        </w:rPr>
      </w:pPr>
      <w:r>
        <w:rPr>
          <w:rFonts w:ascii="Arial" w:cs="Arial" w:eastAsia="Arial" w:hAnsi="Arial"/>
          <w:sz w:val="20"/>
          <w:szCs w:val="20"/>
          <w:color w:val="auto"/>
        </w:rPr>
        <w:t>The table below presents our title insurance loss development experience for the past three years:</w:t>
      </w:r>
    </w:p>
    <w:p>
      <w:pPr>
        <w:spacing w:after="0" w:line="196" w:lineRule="exact"/>
        <w:rPr>
          <w:sz w:val="20"/>
          <w:szCs w:val="20"/>
          <w:color w:val="auto"/>
        </w:rPr>
      </w:pPr>
    </w:p>
    <w:tbl>
      <w:tblPr>
        <w:tblLayout w:type="fixed"/>
        <w:tblInd w:w="40" w:type="dxa"/>
        <w:tblCellMar>
          <w:top w:w="0" w:type="dxa"/>
          <w:left w:w="0" w:type="dxa"/>
          <w:bottom w:w="0" w:type="dxa"/>
          <w:right w:w="0" w:type="dxa"/>
        </w:tblCellMar>
      </w:tblPr>
      <w:tr>
        <w:trPr>
          <w:trHeight w:val="213"/>
        </w:trPr>
        <w:tc>
          <w:tcPr>
            <w:tcW w:w="69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62"/>
              <w:spacing w:after="0"/>
              <w:rPr>
                <w:sz w:val="20"/>
                <w:szCs w:val="20"/>
                <w:color w:val="auto"/>
              </w:rPr>
            </w:pPr>
            <w:r>
              <w:rPr>
                <w:rFonts w:ascii="Arial" w:cs="Arial" w:eastAsia="Arial" w:hAnsi="Arial"/>
                <w:sz w:val="16"/>
                <w:szCs w:val="16"/>
                <w:b w:val="1"/>
                <w:bCs w:val="1"/>
                <w:color w:val="auto"/>
              </w:rPr>
              <w:t>2025</w:t>
            </w:r>
          </w:p>
        </w:tc>
        <w:tc>
          <w:tcPr>
            <w:tcW w:w="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62"/>
              <w:spacing w:after="0"/>
              <w:rPr>
                <w:sz w:val="20"/>
                <w:szCs w:val="20"/>
                <w:color w:val="auto"/>
              </w:rPr>
            </w:pPr>
            <w:r>
              <w:rPr>
                <w:rFonts w:ascii="Arial" w:cs="Arial" w:eastAsia="Arial" w:hAnsi="Arial"/>
                <w:sz w:val="16"/>
                <w:szCs w:val="16"/>
                <w:b w:val="1"/>
                <w:bCs w:val="1"/>
                <w:color w:val="auto"/>
              </w:rPr>
              <w:t>2024</w:t>
            </w:r>
          </w:p>
        </w:tc>
        <w:tc>
          <w:tcPr>
            <w:tcW w:w="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62"/>
              <w:spacing w:after="0"/>
              <w:rPr>
                <w:sz w:val="20"/>
                <w:szCs w:val="20"/>
                <w:color w:val="auto"/>
              </w:rPr>
            </w:pPr>
            <w:r>
              <w:rPr>
                <w:rFonts w:ascii="Arial" w:cs="Arial" w:eastAsia="Arial" w:hAnsi="Arial"/>
                <w:sz w:val="16"/>
                <w:szCs w:val="16"/>
                <w:b w:val="1"/>
                <w:bCs w:val="1"/>
                <w:color w:val="auto"/>
              </w:rPr>
              <w:t>2023</w:t>
            </w:r>
          </w:p>
        </w:tc>
      </w:tr>
      <w:tr>
        <w:trPr>
          <w:trHeight w:val="208"/>
        </w:trPr>
        <w:tc>
          <w:tcPr>
            <w:tcW w:w="6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0" w:type="dxa"/>
            <w:vAlign w:val="bottom"/>
            <w:gridSpan w:val="2"/>
          </w:tcPr>
          <w:p>
            <w:pPr>
              <w:jc w:val="right"/>
              <w:ind w:right="2"/>
              <w:spacing w:after="0"/>
              <w:rPr>
                <w:sz w:val="20"/>
                <w:szCs w:val="20"/>
                <w:color w:val="auto"/>
              </w:rPr>
            </w:pPr>
            <w:r>
              <w:rPr>
                <w:rFonts w:ascii="Arial" w:cs="Arial" w:eastAsia="Arial" w:hAnsi="Arial"/>
                <w:sz w:val="16"/>
                <w:szCs w:val="16"/>
                <w:b w:val="1"/>
                <w:bCs w:val="1"/>
                <w:color w:val="auto"/>
              </w:rPr>
              <w:t>(In millions)</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94"/>
        </w:trPr>
        <w:tc>
          <w:tcPr>
            <w:tcW w:w="6900" w:type="dxa"/>
            <w:vAlign w:val="bottom"/>
          </w:tcPr>
          <w:p>
            <w:pPr>
              <w:spacing w:after="0"/>
              <w:rPr>
                <w:sz w:val="20"/>
                <w:szCs w:val="20"/>
                <w:color w:val="auto"/>
              </w:rPr>
            </w:pPr>
            <w:r>
              <w:rPr>
                <w:rFonts w:ascii="Arial" w:cs="Arial" w:eastAsia="Arial" w:hAnsi="Arial"/>
                <w:sz w:val="16"/>
                <w:szCs w:val="16"/>
                <w:color w:val="auto"/>
              </w:rPr>
              <w:t>Beginning balance</w:t>
            </w:r>
          </w:p>
        </w:tc>
        <w:tc>
          <w:tcPr>
            <w:tcW w:w="22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2"/>
              <w:spacing w:after="0"/>
              <w:rPr>
                <w:sz w:val="20"/>
                <w:szCs w:val="20"/>
                <w:color w:val="auto"/>
              </w:rPr>
            </w:pPr>
            <w:r>
              <w:rPr>
                <w:rFonts w:ascii="Arial" w:cs="Arial" w:eastAsia="Arial" w:hAnsi="Arial"/>
                <w:sz w:val="16"/>
                <w:szCs w:val="16"/>
                <w:color w:val="auto"/>
              </w:rPr>
              <w:t>1,713</w:t>
            </w:r>
          </w:p>
        </w:tc>
        <w:tc>
          <w:tcPr>
            <w:tcW w:w="300" w:type="dxa"/>
            <w:vAlign w:val="bottom"/>
            <w:gridSpan w:val="2"/>
          </w:tcPr>
          <w:p>
            <w:pPr>
              <w:jc w:val="right"/>
              <w:ind w:right="22"/>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2"/>
              <w:spacing w:after="0"/>
              <w:rPr>
                <w:sz w:val="20"/>
                <w:szCs w:val="20"/>
                <w:color w:val="auto"/>
              </w:rPr>
            </w:pPr>
            <w:r>
              <w:rPr>
                <w:rFonts w:ascii="Arial" w:cs="Arial" w:eastAsia="Arial" w:hAnsi="Arial"/>
                <w:sz w:val="16"/>
                <w:szCs w:val="16"/>
                <w:color w:val="auto"/>
              </w:rPr>
              <w:t>1,770</w:t>
            </w:r>
          </w:p>
        </w:tc>
        <w:tc>
          <w:tcPr>
            <w:tcW w:w="300" w:type="dxa"/>
            <w:vAlign w:val="bottom"/>
            <w:gridSpan w:val="2"/>
          </w:tcPr>
          <w:p>
            <w:pPr>
              <w:jc w:val="right"/>
              <w:ind w:right="22"/>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2"/>
              <w:spacing w:after="0"/>
              <w:rPr>
                <w:sz w:val="20"/>
                <w:szCs w:val="20"/>
                <w:color w:val="auto"/>
              </w:rPr>
            </w:pPr>
            <w:r>
              <w:rPr>
                <w:rFonts w:ascii="Arial" w:cs="Arial" w:eastAsia="Arial" w:hAnsi="Arial"/>
                <w:sz w:val="16"/>
                <w:szCs w:val="16"/>
                <w:color w:val="auto"/>
              </w:rPr>
              <w:t>1,810</w:t>
            </w:r>
          </w:p>
        </w:tc>
      </w:tr>
      <w:tr>
        <w:trPr>
          <w:trHeight w:val="294"/>
        </w:trPr>
        <w:tc>
          <w:tcPr>
            <w:tcW w:w="6900" w:type="dxa"/>
            <w:vAlign w:val="bottom"/>
          </w:tcPr>
          <w:p>
            <w:pPr>
              <w:spacing w:after="0"/>
              <w:rPr>
                <w:sz w:val="20"/>
                <w:szCs w:val="20"/>
                <w:color w:val="auto"/>
              </w:rPr>
            </w:pPr>
            <w:r>
              <w:rPr>
                <w:rFonts w:ascii="Arial" w:cs="Arial" w:eastAsia="Arial" w:hAnsi="Arial"/>
                <w:sz w:val="16"/>
                <w:szCs w:val="16"/>
                <w:color w:val="auto"/>
              </w:rPr>
              <w:t>Change in reinsurance recoverable</w:t>
            </w:r>
          </w:p>
        </w:tc>
        <w:tc>
          <w:tcPr>
            <w:tcW w:w="2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(6)</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(10)</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jc w:val="right"/>
              <w:ind w:right="2"/>
              <w:spacing w:after="0"/>
              <w:rPr>
                <w:sz w:val="20"/>
                <w:szCs w:val="20"/>
                <w:color w:val="auto"/>
              </w:rPr>
            </w:pPr>
            <w:r>
              <w:rPr>
                <w:rFonts w:ascii="Arial" w:cs="Arial" w:eastAsia="Arial" w:hAnsi="Arial"/>
                <w:sz w:val="16"/>
                <w:szCs w:val="16"/>
                <w:color w:val="auto"/>
              </w:rPr>
              <w:t>15</w:t>
            </w:r>
          </w:p>
        </w:tc>
      </w:tr>
      <w:tr>
        <w:trPr>
          <w:trHeight w:val="279"/>
        </w:trPr>
        <w:tc>
          <w:tcPr>
            <w:tcW w:w="6900" w:type="dxa"/>
            <w:vAlign w:val="bottom"/>
          </w:tcPr>
          <w:p>
            <w:pPr>
              <w:spacing w:after="0"/>
              <w:rPr>
                <w:sz w:val="20"/>
                <w:szCs w:val="20"/>
                <w:color w:val="auto"/>
              </w:rPr>
            </w:pPr>
            <w:r>
              <w:rPr>
                <w:rFonts w:ascii="Arial" w:cs="Arial" w:eastAsia="Arial" w:hAnsi="Arial"/>
                <w:sz w:val="16"/>
                <w:szCs w:val="16"/>
                <w:color w:val="auto"/>
              </w:rPr>
              <w:t>Claims loss provision related to:</w:t>
            </w: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279"/>
        </w:trPr>
        <w:tc>
          <w:tcPr>
            <w:tcW w:w="6900" w:type="dxa"/>
            <w:vAlign w:val="bottom"/>
          </w:tcPr>
          <w:p>
            <w:pPr>
              <w:ind w:left="220"/>
              <w:spacing w:after="0"/>
              <w:rPr>
                <w:sz w:val="20"/>
                <w:szCs w:val="20"/>
                <w:color w:val="auto"/>
              </w:rPr>
            </w:pPr>
            <w:r>
              <w:rPr>
                <w:rFonts w:ascii="Arial" w:cs="Arial" w:eastAsia="Arial" w:hAnsi="Arial"/>
                <w:sz w:val="16"/>
                <w:szCs w:val="16"/>
                <w:color w:val="auto"/>
              </w:rPr>
              <w:t>Current year</w:t>
            </w:r>
          </w:p>
        </w:tc>
        <w:tc>
          <w:tcPr>
            <w:tcW w:w="220" w:type="dxa"/>
            <w:vAlign w:val="bottom"/>
          </w:tcPr>
          <w:p>
            <w:pPr>
              <w:spacing w:after="0"/>
              <w:rPr>
                <w:sz w:val="24"/>
                <w:szCs w:val="24"/>
                <w:color w:val="auto"/>
              </w:rPr>
            </w:pPr>
          </w:p>
        </w:tc>
        <w:tc>
          <w:tcPr>
            <w:tcW w:w="760" w:type="dxa"/>
            <w:vAlign w:val="bottom"/>
          </w:tcPr>
          <w:p>
            <w:pPr>
              <w:jc w:val="right"/>
              <w:ind w:right="2"/>
              <w:spacing w:after="0"/>
              <w:rPr>
                <w:sz w:val="20"/>
                <w:szCs w:val="20"/>
                <w:color w:val="auto"/>
              </w:rPr>
            </w:pPr>
            <w:r>
              <w:rPr>
                <w:rFonts w:ascii="Arial" w:cs="Arial" w:eastAsia="Arial" w:hAnsi="Arial"/>
                <w:sz w:val="16"/>
                <w:szCs w:val="16"/>
                <w:color w:val="auto"/>
              </w:rPr>
              <w:t>262</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jc w:val="right"/>
              <w:ind w:right="2"/>
              <w:spacing w:after="0"/>
              <w:rPr>
                <w:sz w:val="20"/>
                <w:szCs w:val="20"/>
                <w:color w:val="auto"/>
              </w:rPr>
            </w:pPr>
            <w:r>
              <w:rPr>
                <w:rFonts w:ascii="Arial" w:cs="Arial" w:eastAsia="Arial" w:hAnsi="Arial"/>
                <w:sz w:val="16"/>
                <w:szCs w:val="16"/>
                <w:color w:val="auto"/>
              </w:rPr>
              <w:t>232</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jc w:val="right"/>
              <w:ind w:right="2"/>
              <w:spacing w:after="0"/>
              <w:rPr>
                <w:sz w:val="20"/>
                <w:szCs w:val="20"/>
                <w:color w:val="auto"/>
              </w:rPr>
            </w:pPr>
            <w:r>
              <w:rPr>
                <w:rFonts w:ascii="Arial" w:cs="Arial" w:eastAsia="Arial" w:hAnsi="Arial"/>
                <w:sz w:val="16"/>
                <w:szCs w:val="16"/>
                <w:color w:val="auto"/>
              </w:rPr>
              <w:t>207</w:t>
            </w:r>
          </w:p>
        </w:tc>
      </w:tr>
      <w:tr>
        <w:trPr>
          <w:trHeight w:val="286"/>
        </w:trPr>
        <w:tc>
          <w:tcPr>
            <w:tcW w:w="6900" w:type="dxa"/>
            <w:vAlign w:val="bottom"/>
          </w:tcPr>
          <w:p>
            <w:pPr>
              <w:ind w:left="220"/>
              <w:spacing w:after="0"/>
              <w:rPr>
                <w:sz w:val="20"/>
                <w:szCs w:val="20"/>
                <w:color w:val="auto"/>
              </w:rPr>
            </w:pPr>
            <w:r>
              <w:rPr>
                <w:rFonts w:ascii="Arial" w:cs="Arial" w:eastAsia="Arial" w:hAnsi="Arial"/>
                <w:sz w:val="16"/>
                <w:szCs w:val="16"/>
                <w:color w:val="auto"/>
              </w:rPr>
              <w:t>Prior years</w:t>
            </w:r>
          </w:p>
        </w:tc>
        <w:tc>
          <w:tcPr>
            <w:tcW w:w="2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w:t>
            </w:r>
          </w:p>
        </w:tc>
      </w:tr>
      <w:tr>
        <w:trPr>
          <w:trHeight w:val="259"/>
        </w:trPr>
        <w:tc>
          <w:tcPr>
            <w:tcW w:w="6900" w:type="dxa"/>
            <w:vAlign w:val="bottom"/>
          </w:tcPr>
          <w:p>
            <w:pPr>
              <w:ind w:left="480"/>
              <w:spacing w:after="0"/>
              <w:rPr>
                <w:sz w:val="20"/>
                <w:szCs w:val="20"/>
                <w:color w:val="auto"/>
              </w:rPr>
            </w:pPr>
            <w:r>
              <w:rPr>
                <w:rFonts w:ascii="Arial" w:cs="Arial" w:eastAsia="Arial" w:hAnsi="Arial"/>
                <w:sz w:val="16"/>
                <w:szCs w:val="16"/>
                <w:color w:val="auto"/>
              </w:rPr>
              <w:t>Total title claim loss provision</w:t>
            </w:r>
          </w:p>
        </w:tc>
        <w:tc>
          <w:tcPr>
            <w:tcW w:w="22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262</w:t>
            </w:r>
          </w:p>
        </w:tc>
        <w:tc>
          <w:tcPr>
            <w:tcW w:w="6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232</w:t>
            </w:r>
          </w:p>
        </w:tc>
        <w:tc>
          <w:tcPr>
            <w:tcW w:w="6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207</w:t>
            </w:r>
          </w:p>
        </w:tc>
      </w:tr>
      <w:tr>
        <w:trPr>
          <w:trHeight w:val="252"/>
        </w:trPr>
        <w:tc>
          <w:tcPr>
            <w:tcW w:w="6900" w:type="dxa"/>
            <w:vAlign w:val="bottom"/>
          </w:tcPr>
          <w:p>
            <w:pPr>
              <w:spacing w:after="0"/>
              <w:rPr>
                <w:sz w:val="20"/>
                <w:szCs w:val="20"/>
                <w:color w:val="auto"/>
              </w:rPr>
            </w:pPr>
            <w:r>
              <w:rPr>
                <w:rFonts w:ascii="Arial" w:cs="Arial" w:eastAsia="Arial" w:hAnsi="Arial"/>
                <w:sz w:val="16"/>
                <w:szCs w:val="16"/>
                <w:color w:val="auto"/>
              </w:rPr>
              <w:t>Claims paid, net of recoupments related to:</w:t>
            </w:r>
          </w:p>
        </w:tc>
        <w:tc>
          <w:tcPr>
            <w:tcW w:w="2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60" w:type="dxa"/>
            <w:vAlign w:val="bottom"/>
          </w:tcPr>
          <w:p>
            <w:pPr>
              <w:spacing w:after="0"/>
              <w:rPr>
                <w:sz w:val="21"/>
                <w:szCs w:val="21"/>
                <w:color w:val="auto"/>
              </w:rPr>
            </w:pPr>
          </w:p>
        </w:tc>
      </w:tr>
      <w:tr>
        <w:trPr>
          <w:trHeight w:val="279"/>
        </w:trPr>
        <w:tc>
          <w:tcPr>
            <w:tcW w:w="6900" w:type="dxa"/>
            <w:vAlign w:val="bottom"/>
          </w:tcPr>
          <w:p>
            <w:pPr>
              <w:ind w:left="220"/>
              <w:spacing w:after="0"/>
              <w:rPr>
                <w:sz w:val="20"/>
                <w:szCs w:val="20"/>
                <w:color w:val="auto"/>
              </w:rPr>
            </w:pPr>
            <w:r>
              <w:rPr>
                <w:rFonts w:ascii="Arial" w:cs="Arial" w:eastAsia="Arial" w:hAnsi="Arial"/>
                <w:sz w:val="16"/>
                <w:szCs w:val="16"/>
                <w:color w:val="auto"/>
              </w:rPr>
              <w:t>Current year</w:t>
            </w:r>
          </w:p>
        </w:tc>
        <w:tc>
          <w:tcPr>
            <w:tcW w:w="2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(21)</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(25)</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(22)</w:t>
            </w:r>
          </w:p>
        </w:tc>
      </w:tr>
      <w:tr>
        <w:trPr>
          <w:trHeight w:val="301"/>
        </w:trPr>
        <w:tc>
          <w:tcPr>
            <w:tcW w:w="6900" w:type="dxa"/>
            <w:vAlign w:val="bottom"/>
          </w:tcPr>
          <w:p>
            <w:pPr>
              <w:ind w:left="220"/>
              <w:spacing w:after="0"/>
              <w:rPr>
                <w:sz w:val="20"/>
                <w:szCs w:val="20"/>
                <w:color w:val="auto"/>
              </w:rPr>
            </w:pPr>
            <w:r>
              <w:rPr>
                <w:rFonts w:ascii="Arial" w:cs="Arial" w:eastAsia="Arial" w:hAnsi="Arial"/>
                <w:sz w:val="16"/>
                <w:szCs w:val="16"/>
                <w:color w:val="auto"/>
              </w:rPr>
              <w:t>Prior years</w:t>
            </w:r>
          </w:p>
        </w:tc>
        <w:tc>
          <w:tcPr>
            <w:tcW w:w="2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(248)</w:t>
            </w:r>
          </w:p>
        </w:tc>
        <w:tc>
          <w:tcPr>
            <w:tcW w:w="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(254)</w:t>
            </w:r>
          </w:p>
        </w:tc>
        <w:tc>
          <w:tcPr>
            <w:tcW w:w="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(240)</w:t>
            </w:r>
          </w:p>
        </w:tc>
      </w:tr>
      <w:tr>
        <w:trPr>
          <w:trHeight w:val="274"/>
        </w:trPr>
        <w:tc>
          <w:tcPr>
            <w:tcW w:w="6900" w:type="dxa"/>
            <w:vAlign w:val="bottom"/>
          </w:tcPr>
          <w:p>
            <w:pPr>
              <w:ind w:left="480"/>
              <w:spacing w:after="0"/>
              <w:rPr>
                <w:sz w:val="20"/>
                <w:szCs w:val="20"/>
                <w:color w:val="auto"/>
              </w:rPr>
            </w:pPr>
            <w:r>
              <w:rPr>
                <w:rFonts w:ascii="Arial" w:cs="Arial" w:eastAsia="Arial" w:hAnsi="Arial"/>
                <w:sz w:val="16"/>
                <w:szCs w:val="16"/>
                <w:color w:val="auto"/>
              </w:rPr>
              <w:t>Total title claims paid, net of recoupments</w:t>
            </w:r>
          </w:p>
        </w:tc>
        <w:tc>
          <w:tcPr>
            <w:tcW w:w="22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(269)</w:t>
            </w:r>
          </w:p>
        </w:tc>
        <w:tc>
          <w:tcPr>
            <w:tcW w:w="6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(279)</w:t>
            </w:r>
          </w:p>
        </w:tc>
        <w:tc>
          <w:tcPr>
            <w:tcW w:w="6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(262)</w:t>
            </w:r>
          </w:p>
        </w:tc>
      </w:tr>
      <w:tr>
        <w:trPr>
          <w:trHeight w:val="254"/>
        </w:trPr>
        <w:tc>
          <w:tcPr>
            <w:tcW w:w="6900" w:type="dxa"/>
            <w:vAlign w:val="bottom"/>
          </w:tcPr>
          <w:p>
            <w:pPr>
              <w:spacing w:after="0"/>
              <w:rPr>
                <w:sz w:val="20"/>
                <w:szCs w:val="20"/>
                <w:color w:val="auto"/>
              </w:rPr>
            </w:pPr>
            <w:r>
              <w:rPr>
                <w:rFonts w:ascii="Arial" w:cs="Arial" w:eastAsia="Arial" w:hAnsi="Arial"/>
                <w:sz w:val="16"/>
                <w:szCs w:val="16"/>
                <w:color w:val="auto"/>
              </w:rPr>
              <w:t>Ending balance of claim loss reserve for title insurance</w:t>
            </w:r>
          </w:p>
        </w:tc>
        <w:tc>
          <w:tcPr>
            <w:tcW w:w="22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1,700</w:t>
            </w:r>
          </w:p>
        </w:tc>
        <w:tc>
          <w:tcPr>
            <w:tcW w:w="60" w:type="dxa"/>
            <w:vAlign w:val="bottom"/>
          </w:tcPr>
          <w:p>
            <w:pPr>
              <w:spacing w:after="0"/>
              <w:rPr>
                <w:sz w:val="22"/>
                <w:szCs w:val="22"/>
                <w:color w:val="auto"/>
              </w:rPr>
            </w:pPr>
          </w:p>
        </w:tc>
        <w:tc>
          <w:tcPr>
            <w:tcW w:w="24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1,713</w:t>
            </w:r>
          </w:p>
        </w:tc>
        <w:tc>
          <w:tcPr>
            <w:tcW w:w="60" w:type="dxa"/>
            <w:vAlign w:val="bottom"/>
          </w:tcPr>
          <w:p>
            <w:pPr>
              <w:spacing w:after="0"/>
              <w:rPr>
                <w:sz w:val="22"/>
                <w:szCs w:val="22"/>
                <w:color w:val="auto"/>
              </w:rPr>
            </w:pPr>
          </w:p>
        </w:tc>
        <w:tc>
          <w:tcPr>
            <w:tcW w:w="24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1,770</w:t>
            </w:r>
          </w:p>
        </w:tc>
      </w:tr>
      <w:tr>
        <w:trPr>
          <w:trHeight w:val="20"/>
        </w:trPr>
        <w:tc>
          <w:tcPr>
            <w:tcW w:w="69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246"/>
        </w:trPr>
        <w:tc>
          <w:tcPr>
            <w:tcW w:w="6900" w:type="dxa"/>
            <w:vAlign w:val="bottom"/>
          </w:tcPr>
          <w:p>
            <w:pPr>
              <w:spacing w:after="0"/>
              <w:rPr>
                <w:sz w:val="20"/>
                <w:szCs w:val="20"/>
                <w:color w:val="auto"/>
              </w:rPr>
            </w:pPr>
            <w:r>
              <w:rPr>
                <w:rFonts w:ascii="Arial" w:cs="Arial" w:eastAsia="Arial" w:hAnsi="Arial"/>
                <w:sz w:val="16"/>
                <w:szCs w:val="16"/>
                <w:color w:val="auto"/>
              </w:rPr>
              <w:t>Title premiums</w:t>
            </w:r>
          </w:p>
        </w:tc>
        <w:tc>
          <w:tcPr>
            <w:tcW w:w="22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2"/>
              <w:spacing w:after="0"/>
              <w:rPr>
                <w:sz w:val="20"/>
                <w:szCs w:val="20"/>
                <w:color w:val="auto"/>
              </w:rPr>
            </w:pPr>
            <w:r>
              <w:rPr>
                <w:rFonts w:ascii="Arial" w:cs="Arial" w:eastAsia="Arial" w:hAnsi="Arial"/>
                <w:sz w:val="16"/>
                <w:szCs w:val="16"/>
                <w:color w:val="auto"/>
              </w:rPr>
              <w:t>5,824</w:t>
            </w:r>
          </w:p>
        </w:tc>
        <w:tc>
          <w:tcPr>
            <w:tcW w:w="300" w:type="dxa"/>
            <w:vAlign w:val="bottom"/>
            <w:gridSpan w:val="2"/>
          </w:tcPr>
          <w:p>
            <w:pPr>
              <w:jc w:val="right"/>
              <w:ind w:right="22"/>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2"/>
              <w:spacing w:after="0"/>
              <w:rPr>
                <w:sz w:val="20"/>
                <w:szCs w:val="20"/>
                <w:color w:val="auto"/>
              </w:rPr>
            </w:pPr>
            <w:r>
              <w:rPr>
                <w:rFonts w:ascii="Arial" w:cs="Arial" w:eastAsia="Arial" w:hAnsi="Arial"/>
                <w:sz w:val="16"/>
                <w:szCs w:val="16"/>
                <w:color w:val="auto"/>
              </w:rPr>
              <w:t>5,153</w:t>
            </w:r>
          </w:p>
        </w:tc>
        <w:tc>
          <w:tcPr>
            <w:tcW w:w="300" w:type="dxa"/>
            <w:vAlign w:val="bottom"/>
            <w:gridSpan w:val="2"/>
          </w:tcPr>
          <w:p>
            <w:pPr>
              <w:jc w:val="right"/>
              <w:ind w:right="22"/>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2"/>
              <w:spacing w:after="0"/>
              <w:rPr>
                <w:sz w:val="20"/>
                <w:szCs w:val="20"/>
                <w:color w:val="auto"/>
              </w:rPr>
            </w:pPr>
            <w:r>
              <w:rPr>
                <w:rFonts w:ascii="Arial" w:cs="Arial" w:eastAsia="Arial" w:hAnsi="Arial"/>
                <w:sz w:val="16"/>
                <w:szCs w:val="16"/>
                <w:color w:val="auto"/>
              </w:rPr>
              <w:t>4,592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-2185670</wp:posOffset>
            </wp:positionV>
            <wp:extent cx="6400800" cy="22098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28">
                      <a:extLst>
                        <a:ext uri="{28A0092B-C50C-407E-A947-70E740481C1C}"/>
                      </a:extLst>
                    </a:blip>
                    <a:srcRect/>
                    <a:stretch>
                      <a:fillRect/>
                    </a:stretch>
                  </pic:blipFill>
                  <pic:spPr bwMode="auto">
                    <a:xfrm>
                      <a:off x="0" y="0"/>
                      <a:ext cx="6400800" cy="2209800"/>
                    </a:xfrm>
                    <a:prstGeom prst="rect">
                      <a:avLst/>
                    </a:prstGeom>
                    <a:noFill/>
                  </pic:spPr>
                </pic:pic>
              </a:graphicData>
            </a:graphic>
          </wp:anchor>
        </w:drawing>
      </w:r>
    </w:p>
    <w:p>
      <w:pPr>
        <w:spacing w:after="0" w:line="259" w:lineRule="exact"/>
        <w:rPr>
          <w:sz w:val="20"/>
          <w:szCs w:val="20"/>
          <w:color w:val="auto"/>
        </w:rPr>
      </w:pPr>
    </w:p>
    <w:tbl>
      <w:tblPr>
        <w:tblLayout w:type="fixed"/>
        <w:tblInd w:w="40" w:type="dxa"/>
        <w:tblCellMar>
          <w:top w:w="0" w:type="dxa"/>
          <w:left w:w="0" w:type="dxa"/>
          <w:bottom w:w="0" w:type="dxa"/>
          <w:right w:w="0" w:type="dxa"/>
        </w:tblCellMar>
      </w:tblPr>
      <w:tr>
        <w:trPr>
          <w:trHeight w:val="213"/>
        </w:trPr>
        <w:tc>
          <w:tcPr>
            <w:tcW w:w="6900" w:type="dxa"/>
            <w:vAlign w:val="bottom"/>
          </w:tcPr>
          <w:p>
            <w:pPr>
              <w:spacing w:after="0"/>
              <w:rPr>
                <w:sz w:val="18"/>
                <w:szCs w:val="18"/>
                <w:color w:val="auto"/>
              </w:rPr>
            </w:pPr>
          </w:p>
        </w:tc>
        <w:tc>
          <w:tcPr>
            <w:tcW w:w="980" w:type="dxa"/>
            <w:vAlign w:val="bottom"/>
          </w:tcPr>
          <w:p>
            <w:pPr>
              <w:jc w:val="right"/>
              <w:ind w:right="262"/>
              <w:spacing w:after="0"/>
              <w:rPr>
                <w:sz w:val="20"/>
                <w:szCs w:val="20"/>
                <w:color w:val="auto"/>
              </w:rPr>
            </w:pPr>
            <w:r>
              <w:rPr>
                <w:rFonts w:ascii="Arial" w:cs="Arial" w:eastAsia="Arial" w:hAnsi="Arial"/>
                <w:sz w:val="16"/>
                <w:szCs w:val="16"/>
                <w:b w:val="1"/>
                <w:bCs w:val="1"/>
                <w:color w:val="auto"/>
              </w:rPr>
              <w:t>2025</w:t>
            </w:r>
          </w:p>
        </w:tc>
        <w:tc>
          <w:tcPr>
            <w:tcW w:w="1060" w:type="dxa"/>
            <w:vAlign w:val="bottom"/>
            <w:gridSpan w:val="2"/>
          </w:tcPr>
          <w:p>
            <w:pPr>
              <w:jc w:val="right"/>
              <w:ind w:right="262"/>
              <w:spacing w:after="0"/>
              <w:rPr>
                <w:sz w:val="20"/>
                <w:szCs w:val="20"/>
                <w:color w:val="auto"/>
              </w:rPr>
            </w:pPr>
            <w:r>
              <w:rPr>
                <w:rFonts w:ascii="Arial" w:cs="Arial" w:eastAsia="Arial" w:hAnsi="Arial"/>
                <w:sz w:val="16"/>
                <w:szCs w:val="16"/>
                <w:b w:val="1"/>
                <w:bCs w:val="1"/>
                <w:color w:val="auto"/>
              </w:rPr>
              <w:t>2024</w:t>
            </w:r>
          </w:p>
        </w:tc>
        <w:tc>
          <w:tcPr>
            <w:tcW w:w="1060" w:type="dxa"/>
            <w:vAlign w:val="bottom"/>
            <w:gridSpan w:val="2"/>
          </w:tcPr>
          <w:p>
            <w:pPr>
              <w:jc w:val="right"/>
              <w:ind w:right="262"/>
              <w:spacing w:after="0"/>
              <w:rPr>
                <w:sz w:val="20"/>
                <w:szCs w:val="20"/>
                <w:color w:val="auto"/>
              </w:rPr>
            </w:pPr>
            <w:r>
              <w:rPr>
                <w:rFonts w:ascii="Arial" w:cs="Arial" w:eastAsia="Arial" w:hAnsi="Arial"/>
                <w:sz w:val="16"/>
                <w:szCs w:val="16"/>
                <w:b w:val="1"/>
                <w:bCs w:val="1"/>
                <w:color w:val="auto"/>
              </w:rPr>
              <w:t>2023</w:t>
            </w:r>
          </w:p>
        </w:tc>
      </w:tr>
      <w:tr>
        <w:trPr>
          <w:trHeight w:val="267"/>
        </w:trPr>
        <w:tc>
          <w:tcPr>
            <w:tcW w:w="6900" w:type="dxa"/>
            <w:vAlign w:val="bottom"/>
          </w:tcPr>
          <w:p>
            <w:pPr>
              <w:spacing w:after="0"/>
              <w:rPr>
                <w:sz w:val="20"/>
                <w:szCs w:val="20"/>
                <w:color w:val="auto"/>
              </w:rPr>
            </w:pPr>
            <w:r>
              <w:rPr>
                <w:rFonts w:ascii="Arial" w:cs="Arial" w:eastAsia="Arial" w:hAnsi="Arial"/>
                <w:sz w:val="16"/>
                <w:szCs w:val="16"/>
                <w:color w:val="auto"/>
              </w:rPr>
              <w:t>Provision for title insurance claim losses as a percentage of title insurance premiums:</w:t>
            </w:r>
          </w:p>
        </w:tc>
        <w:tc>
          <w:tcPr>
            <w:tcW w:w="980" w:type="dxa"/>
            <w:vAlign w:val="bottom"/>
            <w:tcBorders>
              <w:top w:val="single" w:sz="8" w:color="auto"/>
            </w:tcBorders>
          </w:tcPr>
          <w:p>
            <w:pPr>
              <w:spacing w:after="0"/>
              <w:rPr>
                <w:sz w:val="23"/>
                <w:szCs w:val="23"/>
                <w:color w:val="auto"/>
              </w:rPr>
            </w:pPr>
          </w:p>
        </w:tc>
        <w:tc>
          <w:tcPr>
            <w:tcW w:w="60" w:type="dxa"/>
            <w:vAlign w:val="bottom"/>
          </w:tcPr>
          <w:p>
            <w:pPr>
              <w:spacing w:after="0"/>
              <w:rPr>
                <w:sz w:val="23"/>
                <w:szCs w:val="23"/>
                <w:color w:val="auto"/>
              </w:rPr>
            </w:pPr>
          </w:p>
        </w:tc>
        <w:tc>
          <w:tcPr>
            <w:tcW w:w="1000" w:type="dxa"/>
            <w:vAlign w:val="bottom"/>
            <w:tcBorders>
              <w:top w:val="single" w:sz="8" w:color="auto"/>
            </w:tcBorders>
          </w:tcPr>
          <w:p>
            <w:pPr>
              <w:spacing w:after="0"/>
              <w:rPr>
                <w:sz w:val="23"/>
                <w:szCs w:val="23"/>
                <w:color w:val="auto"/>
              </w:rPr>
            </w:pPr>
          </w:p>
        </w:tc>
        <w:tc>
          <w:tcPr>
            <w:tcW w:w="60" w:type="dxa"/>
            <w:vAlign w:val="bottom"/>
          </w:tcPr>
          <w:p>
            <w:pPr>
              <w:spacing w:after="0"/>
              <w:rPr>
                <w:sz w:val="23"/>
                <w:szCs w:val="23"/>
                <w:color w:val="auto"/>
              </w:rPr>
            </w:pPr>
          </w:p>
        </w:tc>
        <w:tc>
          <w:tcPr>
            <w:tcW w:w="1000" w:type="dxa"/>
            <w:vAlign w:val="bottom"/>
            <w:tcBorders>
              <w:top w:val="single" w:sz="8" w:color="auto"/>
            </w:tcBorders>
          </w:tcPr>
          <w:p>
            <w:pPr>
              <w:spacing w:after="0"/>
              <w:rPr>
                <w:sz w:val="23"/>
                <w:szCs w:val="23"/>
                <w:color w:val="auto"/>
              </w:rPr>
            </w:pPr>
          </w:p>
        </w:tc>
      </w:tr>
      <w:tr>
        <w:trPr>
          <w:trHeight w:val="294"/>
        </w:trPr>
        <w:tc>
          <w:tcPr>
            <w:tcW w:w="6900" w:type="dxa"/>
            <w:vAlign w:val="bottom"/>
          </w:tcPr>
          <w:p>
            <w:pPr>
              <w:ind w:left="220"/>
              <w:spacing w:after="0"/>
              <w:rPr>
                <w:sz w:val="20"/>
                <w:szCs w:val="20"/>
                <w:color w:val="auto"/>
              </w:rPr>
            </w:pPr>
            <w:r>
              <w:rPr>
                <w:rFonts w:ascii="Arial" w:cs="Arial" w:eastAsia="Arial" w:hAnsi="Arial"/>
                <w:sz w:val="16"/>
                <w:szCs w:val="16"/>
                <w:color w:val="auto"/>
              </w:rPr>
              <w:t>Current year</w:t>
            </w:r>
          </w:p>
        </w:tc>
        <w:tc>
          <w:tcPr>
            <w:tcW w:w="980" w:type="dxa"/>
            <w:vAlign w:val="bottom"/>
          </w:tcPr>
          <w:p>
            <w:pPr>
              <w:jc w:val="right"/>
              <w:spacing w:after="0"/>
              <w:rPr>
                <w:sz w:val="20"/>
                <w:szCs w:val="20"/>
                <w:color w:val="auto"/>
              </w:rPr>
            </w:pPr>
            <w:r>
              <w:rPr>
                <w:rFonts w:ascii="Arial" w:cs="Arial" w:eastAsia="Arial" w:hAnsi="Arial"/>
                <w:sz w:val="16"/>
                <w:szCs w:val="16"/>
                <w:color w:val="auto"/>
              </w:rPr>
              <w:t>4.5 %</w:t>
            </w: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4.5 %</w:t>
            </w: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4.5 %</w:t>
            </w:r>
          </w:p>
        </w:tc>
      </w:tr>
      <w:tr>
        <w:trPr>
          <w:trHeight w:val="301"/>
        </w:trPr>
        <w:tc>
          <w:tcPr>
            <w:tcW w:w="6900" w:type="dxa"/>
            <w:vAlign w:val="bottom"/>
          </w:tcPr>
          <w:p>
            <w:pPr>
              <w:ind w:left="220"/>
              <w:spacing w:after="0"/>
              <w:rPr>
                <w:sz w:val="20"/>
                <w:szCs w:val="20"/>
                <w:color w:val="auto"/>
              </w:rPr>
            </w:pPr>
            <w:r>
              <w:rPr>
                <w:rFonts w:ascii="Arial" w:cs="Arial" w:eastAsia="Arial" w:hAnsi="Arial"/>
                <w:sz w:val="16"/>
                <w:szCs w:val="16"/>
                <w:color w:val="auto"/>
              </w:rPr>
              <w:t>Prior years</w:t>
            </w:r>
          </w:p>
        </w:tc>
        <w:tc>
          <w:tcPr>
            <w:tcW w:w="980" w:type="dxa"/>
            <w:vAlign w:val="bottom"/>
            <w:tcBorders>
              <w:bottom w:val="single" w:sz="8" w:color="auto"/>
            </w:tcBorders>
          </w:tcPr>
          <w:p>
            <w:pPr>
              <w:jc w:val="right"/>
              <w:ind w:right="122"/>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4"/>
                <w:szCs w:val="24"/>
                <w:color w:val="auto"/>
              </w:rPr>
            </w:pPr>
          </w:p>
        </w:tc>
        <w:tc>
          <w:tcPr>
            <w:tcW w:w="1000" w:type="dxa"/>
            <w:vAlign w:val="bottom"/>
            <w:tcBorders>
              <w:bottom w:val="single" w:sz="8" w:color="auto"/>
            </w:tcBorders>
          </w:tcPr>
          <w:p>
            <w:pPr>
              <w:jc w:val="right"/>
              <w:ind w:right="122"/>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4"/>
                <w:szCs w:val="24"/>
                <w:color w:val="auto"/>
              </w:rPr>
            </w:pPr>
          </w:p>
        </w:tc>
        <w:tc>
          <w:tcPr>
            <w:tcW w:w="1000" w:type="dxa"/>
            <w:vAlign w:val="bottom"/>
            <w:tcBorders>
              <w:bottom w:val="single" w:sz="8" w:color="auto"/>
            </w:tcBorders>
          </w:tcPr>
          <w:p>
            <w:pPr>
              <w:jc w:val="right"/>
              <w:ind w:right="122"/>
              <w:spacing w:after="0"/>
              <w:rPr>
                <w:sz w:val="20"/>
                <w:szCs w:val="20"/>
                <w:color w:val="auto"/>
              </w:rPr>
            </w:pPr>
            <w:r>
              <w:rPr>
                <w:rFonts w:ascii="Arial" w:cs="Arial" w:eastAsia="Arial" w:hAnsi="Arial"/>
                <w:sz w:val="16"/>
                <w:szCs w:val="16"/>
                <w:color w:val="auto"/>
              </w:rPr>
              <w:t>—</w:t>
            </w:r>
          </w:p>
        </w:tc>
      </w:tr>
      <w:tr>
        <w:trPr>
          <w:trHeight w:val="254"/>
        </w:trPr>
        <w:tc>
          <w:tcPr>
            <w:tcW w:w="6900" w:type="dxa"/>
            <w:vAlign w:val="bottom"/>
          </w:tcPr>
          <w:p>
            <w:pPr>
              <w:ind w:left="480"/>
              <w:spacing w:after="0"/>
              <w:rPr>
                <w:sz w:val="20"/>
                <w:szCs w:val="20"/>
                <w:color w:val="auto"/>
              </w:rPr>
            </w:pPr>
            <w:r>
              <w:rPr>
                <w:rFonts w:ascii="Arial" w:cs="Arial" w:eastAsia="Arial" w:hAnsi="Arial"/>
                <w:sz w:val="16"/>
                <w:szCs w:val="16"/>
                <w:color w:val="auto"/>
              </w:rPr>
              <w:t>Total provision</w:t>
            </w:r>
          </w:p>
        </w:tc>
        <w:tc>
          <w:tcPr>
            <w:tcW w:w="980" w:type="dxa"/>
            <w:vAlign w:val="bottom"/>
          </w:tcPr>
          <w:p>
            <w:pPr>
              <w:jc w:val="right"/>
              <w:spacing w:after="0"/>
              <w:rPr>
                <w:sz w:val="20"/>
                <w:szCs w:val="20"/>
                <w:color w:val="auto"/>
              </w:rPr>
            </w:pPr>
            <w:r>
              <w:rPr>
                <w:rFonts w:ascii="Arial" w:cs="Arial" w:eastAsia="Arial" w:hAnsi="Arial"/>
                <w:sz w:val="16"/>
                <w:szCs w:val="16"/>
                <w:color w:val="auto"/>
              </w:rPr>
              <w:t>4.5 %</w:t>
            </w: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4.5 %</w:t>
            </w: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4.5 %</w:t>
            </w:r>
          </w:p>
        </w:tc>
      </w:tr>
      <w:tr>
        <w:trPr>
          <w:trHeight w:val="20"/>
        </w:trPr>
        <w:tc>
          <w:tcPr>
            <w:tcW w:w="690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-777875</wp:posOffset>
            </wp:positionV>
            <wp:extent cx="6400800" cy="78486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29">
                      <a:extLst>
                        <a:ext uri="{28A0092B-C50C-407E-A947-70E740481C1C}"/>
                      </a:extLst>
                    </a:blip>
                    <a:srcRect/>
                    <a:stretch>
                      <a:fillRect/>
                    </a:stretch>
                  </pic:blipFill>
                  <pic:spPr bwMode="auto">
                    <a:xfrm>
                      <a:off x="0" y="0"/>
                      <a:ext cx="6400800" cy="784860"/>
                    </a:xfrm>
                    <a:prstGeom prst="rect">
                      <a:avLst/>
                    </a:prstGeom>
                    <a:noFill/>
                  </pic:spPr>
                </pic:pic>
              </a:graphicData>
            </a:graphic>
          </wp:anchor>
        </w:drawing>
      </w:r>
    </w:p>
    <w:p>
      <w:pPr>
        <w:spacing w:after="0" w:line="27" w:lineRule="exact"/>
        <w:rPr>
          <w:sz w:val="20"/>
          <w:szCs w:val="20"/>
          <w:color w:val="auto"/>
        </w:rPr>
      </w:pPr>
    </w:p>
    <w:p>
      <w:pPr>
        <w:jc w:val="both"/>
        <w:ind w:firstLine="353"/>
        <w:spacing w:after="0" w:line="271" w:lineRule="auto"/>
        <w:rPr>
          <w:sz w:val="20"/>
          <w:szCs w:val="20"/>
          <w:color w:val="auto"/>
        </w:rPr>
      </w:pPr>
      <w:r>
        <w:rPr>
          <w:rFonts w:ascii="Arial" w:cs="Arial" w:eastAsia="Arial" w:hAnsi="Arial"/>
          <w:sz w:val="20"/>
          <w:szCs w:val="20"/>
          <w:color w:val="auto"/>
        </w:rPr>
        <w:t>Actual claims payments consist of loss payments and claims management expenses offset by recoupments and were as follows:</w:t>
      </w:r>
    </w:p>
    <w:p>
      <w:pPr>
        <w:spacing w:after="0" w:line="39"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5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vMerge w:val="restart"/>
          </w:tcPr>
          <w:p>
            <w:pPr>
              <w:jc w:val="right"/>
              <w:ind w:right="262"/>
              <w:spacing w:after="0"/>
              <w:rPr>
                <w:sz w:val="20"/>
                <w:szCs w:val="20"/>
                <w:color w:val="auto"/>
              </w:rPr>
            </w:pPr>
            <w:r>
              <w:rPr>
                <w:rFonts w:ascii="Arial" w:cs="Arial" w:eastAsia="Arial" w:hAnsi="Arial"/>
                <w:sz w:val="16"/>
                <w:szCs w:val="16"/>
                <w:b w:val="1"/>
                <w:bCs w:val="1"/>
                <w:color w:val="auto"/>
              </w:rPr>
              <w:t>Loss</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jc w:val="right"/>
              <w:ind w:right="182"/>
              <w:spacing w:after="0"/>
              <w:rPr>
                <w:sz w:val="20"/>
                <w:szCs w:val="20"/>
                <w:color w:val="auto"/>
              </w:rPr>
            </w:pPr>
            <w:r>
              <w:rPr>
                <w:rFonts w:ascii="Arial" w:cs="Arial" w:eastAsia="Arial" w:hAnsi="Arial"/>
                <w:sz w:val="16"/>
                <w:szCs w:val="16"/>
                <w:b w:val="1"/>
                <w:bCs w:val="1"/>
                <w:color w:val="auto"/>
              </w:rPr>
              <w:t>Claims</w:t>
            </w: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vMerge w:val="restart"/>
          </w:tcPr>
          <w:p>
            <w:pPr>
              <w:jc w:val="right"/>
              <w:ind w:right="122"/>
              <w:spacing w:after="0"/>
              <w:rPr>
                <w:sz w:val="20"/>
                <w:szCs w:val="20"/>
                <w:color w:val="auto"/>
              </w:rPr>
            </w:pPr>
            <w:r>
              <w:rPr>
                <w:rFonts w:ascii="Arial" w:cs="Arial" w:eastAsia="Arial" w:hAnsi="Arial"/>
                <w:sz w:val="16"/>
                <w:szCs w:val="16"/>
                <w:b w:val="1"/>
                <w:bCs w:val="1"/>
                <w:color w:val="auto"/>
                <w:w w:val="91"/>
              </w:rPr>
              <w:t>Net Loss</w:t>
            </w:r>
          </w:p>
        </w:tc>
        <w:tc>
          <w:tcPr>
            <w:tcW w:w="0" w:type="dxa"/>
            <w:vAlign w:val="bottom"/>
          </w:tcPr>
          <w:p>
            <w:pPr>
              <w:spacing w:after="0"/>
              <w:rPr>
                <w:sz w:val="1"/>
                <w:szCs w:val="1"/>
                <w:color w:val="auto"/>
              </w:rPr>
            </w:pPr>
          </w:p>
        </w:tc>
      </w:tr>
      <w:tr>
        <w:trPr>
          <w:trHeight w:val="157"/>
        </w:trPr>
        <w:tc>
          <w:tcPr>
            <w:tcW w:w="5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1020" w:type="dxa"/>
            <w:vAlign w:val="bottom"/>
            <w:gridSpan w:val="2"/>
          </w:tcPr>
          <w:p>
            <w:pPr>
              <w:jc w:val="right"/>
              <w:spacing w:after="0" w:line="157" w:lineRule="exact"/>
              <w:rPr>
                <w:sz w:val="20"/>
                <w:szCs w:val="20"/>
                <w:color w:val="auto"/>
              </w:rPr>
            </w:pPr>
            <w:r>
              <w:rPr>
                <w:rFonts w:ascii="Arial" w:cs="Arial" w:eastAsia="Arial" w:hAnsi="Arial"/>
                <w:sz w:val="16"/>
                <w:szCs w:val="16"/>
                <w:b w:val="1"/>
                <w:bCs w:val="1"/>
                <w:color w:val="auto"/>
                <w:w w:val="96"/>
              </w:rPr>
              <w:t>Management</w:t>
            </w:r>
          </w:p>
        </w:tc>
        <w:tc>
          <w:tcPr>
            <w:tcW w:w="80" w:type="dxa"/>
            <w:vAlign w:val="bottom"/>
          </w:tcPr>
          <w:p>
            <w:pPr>
              <w:spacing w:after="0"/>
              <w:rPr>
                <w:sz w:val="13"/>
                <w:szCs w:val="13"/>
                <w:color w:val="auto"/>
              </w:rPr>
            </w:pPr>
          </w:p>
        </w:tc>
        <w:tc>
          <w:tcPr>
            <w:tcW w:w="1040" w:type="dxa"/>
            <w:vAlign w:val="bottom"/>
            <w:gridSpan w:val="2"/>
            <w:vMerge w:val="restart"/>
          </w:tcPr>
          <w:p>
            <w:pPr>
              <w:ind w:left="60"/>
              <w:spacing w:after="0"/>
              <w:rPr>
                <w:sz w:val="20"/>
                <w:szCs w:val="20"/>
                <w:color w:val="auto"/>
              </w:rPr>
            </w:pPr>
            <w:r>
              <w:rPr>
                <w:rFonts w:ascii="Arial" w:cs="Arial" w:eastAsia="Arial" w:hAnsi="Arial"/>
                <w:sz w:val="16"/>
                <w:szCs w:val="16"/>
                <w:b w:val="1"/>
                <w:bCs w:val="1"/>
                <w:color w:val="auto"/>
                <w:w w:val="90"/>
              </w:rPr>
              <w:t>Recoupments</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57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02"/>
              <w:spacing w:after="0"/>
              <w:rPr>
                <w:sz w:val="20"/>
                <w:szCs w:val="20"/>
                <w:color w:val="auto"/>
              </w:rPr>
            </w:pPr>
            <w:r>
              <w:rPr>
                <w:rFonts w:ascii="Arial" w:cs="Arial" w:eastAsia="Arial" w:hAnsi="Arial"/>
                <w:sz w:val="16"/>
                <w:szCs w:val="16"/>
                <w:b w:val="1"/>
                <w:bCs w:val="1"/>
                <w:color w:val="auto"/>
                <w:w w:val="84"/>
              </w:rPr>
              <w:t>Payments</w:t>
            </w:r>
          </w:p>
        </w:tc>
        <w:tc>
          <w:tcPr>
            <w:tcW w:w="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22"/>
              <w:spacing w:after="0"/>
              <w:rPr>
                <w:sz w:val="20"/>
                <w:szCs w:val="20"/>
                <w:color w:val="auto"/>
              </w:rPr>
            </w:pPr>
            <w:r>
              <w:rPr>
                <w:rFonts w:ascii="Arial" w:cs="Arial" w:eastAsia="Arial" w:hAnsi="Arial"/>
                <w:sz w:val="16"/>
                <w:szCs w:val="16"/>
                <w:b w:val="1"/>
                <w:bCs w:val="1"/>
                <w:color w:val="auto"/>
                <w:w w:val="82"/>
              </w:rPr>
              <w:t>Expenses</w:t>
            </w:r>
          </w:p>
        </w:tc>
        <w:tc>
          <w:tcPr>
            <w:tcW w:w="80" w:type="dxa"/>
            <w:vAlign w:val="bottom"/>
          </w:tcPr>
          <w:p>
            <w:pPr>
              <w:spacing w:after="0"/>
              <w:rPr>
                <w:sz w:val="18"/>
                <w:szCs w:val="18"/>
                <w:color w:val="auto"/>
              </w:rPr>
            </w:pPr>
          </w:p>
        </w:tc>
        <w:tc>
          <w:tcPr>
            <w:tcW w:w="1040" w:type="dxa"/>
            <w:vAlign w:val="bottom"/>
            <w:tcBorders>
              <w:bottom w:val="single" w:sz="8" w:color="auto"/>
            </w:tcBorders>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82"/>
              <w:spacing w:after="0"/>
              <w:rPr>
                <w:sz w:val="20"/>
                <w:szCs w:val="20"/>
                <w:color w:val="auto"/>
              </w:rPr>
            </w:pPr>
            <w:r>
              <w:rPr>
                <w:rFonts w:ascii="Arial" w:cs="Arial" w:eastAsia="Arial" w:hAnsi="Arial"/>
                <w:sz w:val="16"/>
                <w:szCs w:val="16"/>
                <w:b w:val="1"/>
                <w:bCs w:val="1"/>
                <w:color w:val="auto"/>
                <w:w w:val="87"/>
              </w:rPr>
              <w:t>Payments</w:t>
            </w:r>
          </w:p>
        </w:tc>
        <w:tc>
          <w:tcPr>
            <w:tcW w:w="0" w:type="dxa"/>
            <w:vAlign w:val="bottom"/>
          </w:tcPr>
          <w:p>
            <w:pPr>
              <w:spacing w:after="0"/>
              <w:rPr>
                <w:sz w:val="1"/>
                <w:szCs w:val="1"/>
                <w:color w:val="auto"/>
              </w:rPr>
            </w:pPr>
          </w:p>
        </w:tc>
      </w:tr>
      <w:tr>
        <w:trPr>
          <w:trHeight w:val="252"/>
        </w:trPr>
        <w:tc>
          <w:tcPr>
            <w:tcW w:w="57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00" w:type="dxa"/>
            <w:vAlign w:val="bottom"/>
            <w:gridSpan w:val="3"/>
          </w:tcPr>
          <w:p>
            <w:pPr>
              <w:ind w:left="500"/>
              <w:spacing w:after="0"/>
              <w:rPr>
                <w:sz w:val="20"/>
                <w:szCs w:val="20"/>
                <w:color w:val="auto"/>
              </w:rPr>
            </w:pPr>
            <w:r>
              <w:rPr>
                <w:rFonts w:ascii="Arial" w:cs="Arial" w:eastAsia="Arial" w:hAnsi="Arial"/>
                <w:sz w:val="16"/>
                <w:szCs w:val="16"/>
                <w:b w:val="1"/>
                <w:bCs w:val="1"/>
                <w:color w:val="auto"/>
              </w:rPr>
              <w:t>(In millions)</w:t>
            </w:r>
          </w:p>
        </w:tc>
        <w:tc>
          <w:tcPr>
            <w:tcW w:w="4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4"/>
        </w:trPr>
        <w:tc>
          <w:tcPr>
            <w:tcW w:w="5720" w:type="dxa"/>
            <w:vAlign w:val="bottom"/>
          </w:tcPr>
          <w:p>
            <w:pPr>
              <w:spacing w:after="0"/>
              <w:rPr>
                <w:sz w:val="20"/>
                <w:szCs w:val="20"/>
                <w:color w:val="auto"/>
              </w:rPr>
            </w:pPr>
            <w:r>
              <w:rPr>
                <w:rFonts w:ascii="Arial" w:cs="Arial" w:eastAsia="Arial" w:hAnsi="Arial"/>
                <w:sz w:val="16"/>
                <w:szCs w:val="16"/>
                <w:color w:val="auto"/>
              </w:rPr>
              <w:t>Year ended December 31, 2025</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2"/>
              <w:spacing w:after="0"/>
              <w:rPr>
                <w:sz w:val="20"/>
                <w:szCs w:val="20"/>
                <w:color w:val="auto"/>
              </w:rPr>
            </w:pPr>
            <w:r>
              <w:rPr>
                <w:rFonts w:ascii="Arial" w:cs="Arial" w:eastAsia="Arial" w:hAnsi="Arial"/>
                <w:sz w:val="16"/>
                <w:szCs w:val="16"/>
                <w:color w:val="auto"/>
              </w:rPr>
              <w:t>207</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117</w:t>
            </w:r>
          </w:p>
        </w:tc>
        <w:tc>
          <w:tcPr>
            <w:tcW w:w="660" w:type="dxa"/>
            <w:vAlign w:val="bottom"/>
            <w:gridSpan w:val="2"/>
          </w:tcPr>
          <w:p>
            <w:pPr>
              <w:ind w:left="120"/>
              <w:spacing w:after="0"/>
              <w:rPr>
                <w:sz w:val="20"/>
                <w:szCs w:val="20"/>
                <w:color w:val="auto"/>
              </w:rPr>
            </w:pPr>
            <w:r>
              <w:rPr>
                <w:rFonts w:ascii="Arial" w:cs="Arial" w:eastAsia="Arial" w:hAnsi="Arial"/>
                <w:sz w:val="16"/>
                <w:szCs w:val="16"/>
                <w:color w:val="auto"/>
              </w:rPr>
              <w:t>$</w:t>
            </w:r>
          </w:p>
        </w:tc>
        <w:tc>
          <w:tcPr>
            <w:tcW w:w="460" w:type="dxa"/>
            <w:vAlign w:val="bottom"/>
          </w:tcPr>
          <w:p>
            <w:pPr>
              <w:jc w:val="right"/>
              <w:spacing w:after="0"/>
              <w:rPr>
                <w:sz w:val="20"/>
                <w:szCs w:val="20"/>
                <w:color w:val="auto"/>
              </w:rPr>
            </w:pPr>
            <w:r>
              <w:rPr>
                <w:rFonts w:ascii="Arial" w:cs="Arial" w:eastAsia="Arial" w:hAnsi="Arial"/>
                <w:sz w:val="16"/>
                <w:szCs w:val="16"/>
                <w:color w:val="auto"/>
              </w:rPr>
              <w:t>(55)</w:t>
            </w:r>
          </w:p>
        </w:tc>
        <w:tc>
          <w:tcPr>
            <w:tcW w:w="22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269</w:t>
            </w:r>
          </w:p>
        </w:tc>
        <w:tc>
          <w:tcPr>
            <w:tcW w:w="0" w:type="dxa"/>
            <w:vAlign w:val="bottom"/>
          </w:tcPr>
          <w:p>
            <w:pPr>
              <w:spacing w:after="0"/>
              <w:rPr>
                <w:sz w:val="1"/>
                <w:szCs w:val="1"/>
                <w:color w:val="auto"/>
              </w:rPr>
            </w:pPr>
          </w:p>
        </w:tc>
      </w:tr>
      <w:tr>
        <w:trPr>
          <w:trHeight w:val="294"/>
        </w:trPr>
        <w:tc>
          <w:tcPr>
            <w:tcW w:w="5720" w:type="dxa"/>
            <w:vAlign w:val="bottom"/>
          </w:tcPr>
          <w:p>
            <w:pPr>
              <w:spacing w:after="0"/>
              <w:rPr>
                <w:sz w:val="20"/>
                <w:szCs w:val="20"/>
                <w:color w:val="auto"/>
              </w:rPr>
            </w:pPr>
            <w:r>
              <w:rPr>
                <w:rFonts w:ascii="Arial" w:cs="Arial" w:eastAsia="Arial" w:hAnsi="Arial"/>
                <w:sz w:val="16"/>
                <w:szCs w:val="16"/>
                <w:color w:val="auto"/>
              </w:rPr>
              <w:t>Year ended December 31, 2024</w:t>
            </w:r>
          </w:p>
        </w:tc>
        <w:tc>
          <w:tcPr>
            <w:tcW w:w="160" w:type="dxa"/>
            <w:vAlign w:val="bottom"/>
          </w:tcPr>
          <w:p>
            <w:pPr>
              <w:spacing w:after="0"/>
              <w:rPr>
                <w:sz w:val="24"/>
                <w:szCs w:val="24"/>
                <w:color w:val="auto"/>
              </w:rPr>
            </w:pPr>
          </w:p>
        </w:tc>
        <w:tc>
          <w:tcPr>
            <w:tcW w:w="840" w:type="dxa"/>
            <w:vAlign w:val="bottom"/>
          </w:tcPr>
          <w:p>
            <w:pPr>
              <w:jc w:val="right"/>
              <w:ind w:right="2"/>
              <w:spacing w:after="0"/>
              <w:rPr>
                <w:sz w:val="20"/>
                <w:szCs w:val="20"/>
                <w:color w:val="auto"/>
              </w:rPr>
            </w:pPr>
            <w:r>
              <w:rPr>
                <w:rFonts w:ascii="Arial" w:cs="Arial" w:eastAsia="Arial" w:hAnsi="Arial"/>
                <w:sz w:val="16"/>
                <w:szCs w:val="16"/>
                <w:color w:val="auto"/>
              </w:rPr>
              <w:t>204</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123</w:t>
            </w: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(48)</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279</w:t>
            </w:r>
          </w:p>
        </w:tc>
        <w:tc>
          <w:tcPr>
            <w:tcW w:w="0" w:type="dxa"/>
            <w:vAlign w:val="bottom"/>
          </w:tcPr>
          <w:p>
            <w:pPr>
              <w:spacing w:after="0"/>
              <w:rPr>
                <w:sz w:val="1"/>
                <w:szCs w:val="1"/>
                <w:color w:val="auto"/>
              </w:rPr>
            </w:pPr>
          </w:p>
        </w:tc>
      </w:tr>
      <w:tr>
        <w:trPr>
          <w:trHeight w:val="294"/>
        </w:trPr>
        <w:tc>
          <w:tcPr>
            <w:tcW w:w="5720" w:type="dxa"/>
            <w:vAlign w:val="bottom"/>
          </w:tcPr>
          <w:p>
            <w:pPr>
              <w:spacing w:after="0"/>
              <w:rPr>
                <w:sz w:val="20"/>
                <w:szCs w:val="20"/>
                <w:color w:val="auto"/>
              </w:rPr>
            </w:pPr>
            <w:r>
              <w:rPr>
                <w:rFonts w:ascii="Arial" w:cs="Arial" w:eastAsia="Arial" w:hAnsi="Arial"/>
                <w:sz w:val="16"/>
                <w:szCs w:val="16"/>
                <w:color w:val="auto"/>
              </w:rPr>
              <w:t>Year ended December 31, 2023</w:t>
            </w:r>
          </w:p>
        </w:tc>
        <w:tc>
          <w:tcPr>
            <w:tcW w:w="160" w:type="dxa"/>
            <w:vAlign w:val="bottom"/>
          </w:tcPr>
          <w:p>
            <w:pPr>
              <w:spacing w:after="0"/>
              <w:rPr>
                <w:sz w:val="24"/>
                <w:szCs w:val="24"/>
                <w:color w:val="auto"/>
              </w:rPr>
            </w:pPr>
          </w:p>
        </w:tc>
        <w:tc>
          <w:tcPr>
            <w:tcW w:w="840" w:type="dxa"/>
            <w:vAlign w:val="bottom"/>
          </w:tcPr>
          <w:p>
            <w:pPr>
              <w:jc w:val="right"/>
              <w:ind w:right="2"/>
              <w:spacing w:after="0"/>
              <w:rPr>
                <w:sz w:val="20"/>
                <w:szCs w:val="20"/>
                <w:color w:val="auto"/>
              </w:rPr>
            </w:pPr>
            <w:r>
              <w:rPr>
                <w:rFonts w:ascii="Arial" w:cs="Arial" w:eastAsia="Arial" w:hAnsi="Arial"/>
                <w:sz w:val="16"/>
                <w:szCs w:val="16"/>
                <w:color w:val="auto"/>
              </w:rPr>
              <w:t>169</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128</w:t>
            </w: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(35)</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262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-738505</wp:posOffset>
            </wp:positionV>
            <wp:extent cx="6391275" cy="7626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30">
                      <a:extLst>
                        <a:ext uri="{28A0092B-C50C-407E-A947-70E740481C1C}"/>
                      </a:extLst>
                    </a:blip>
                    <a:srcRect/>
                    <a:stretch>
                      <a:fillRect/>
                    </a:stretch>
                  </pic:blipFill>
                  <pic:spPr bwMode="auto">
                    <a:xfrm>
                      <a:off x="0" y="0"/>
                      <a:ext cx="6391275" cy="762635"/>
                    </a:xfrm>
                    <a:prstGeom prst="rect">
                      <a:avLst/>
                    </a:prstGeom>
                    <a:noFill/>
                  </pic:spPr>
                </pic:pic>
              </a:graphicData>
            </a:graphic>
          </wp:anchor>
        </w:drawing>
      </w:r>
    </w:p>
    <w:p>
      <w:pPr>
        <w:spacing w:after="0" w:line="152" w:lineRule="exact"/>
        <w:rPr>
          <w:sz w:val="20"/>
          <w:szCs w:val="20"/>
          <w:color w:val="auto"/>
        </w:rPr>
      </w:pPr>
    </w:p>
    <w:p>
      <w:pPr>
        <w:jc w:val="both"/>
        <w:ind w:firstLine="353"/>
        <w:spacing w:after="0" w:line="325" w:lineRule="auto"/>
        <w:rPr>
          <w:sz w:val="20"/>
          <w:szCs w:val="20"/>
          <w:color w:val="auto"/>
        </w:rPr>
      </w:pPr>
      <w:r>
        <w:rPr>
          <w:rFonts w:ascii="Arial" w:cs="Arial" w:eastAsia="Arial" w:hAnsi="Arial"/>
          <w:sz w:val="17"/>
          <w:szCs w:val="17"/>
          <w:color w:val="auto"/>
        </w:rPr>
        <w:t>As of December 31, 2025 and 2024, our recorded reserves were $1,700 million and $1,713 million, respectively, which we determined were reasonable and represented our best estimate and these recorded amounts were within a reasonable range of the central estimates provided by our actuaries. Our recorded reserves were $34 million above the mid-point of the provided</w:t>
      </w:r>
    </w:p>
    <w:p>
      <w:pPr>
        <w:sectPr>
          <w:pgSz w:w="11880" w:h="15480" w:orient="portrait"/>
          <w:cols w:equalWidth="0" w:num="1">
            <w:col w:w="10040"/>
          </w:cols>
          <w:pgMar w:left="920" w:top="640"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62</w:t>
      </w:r>
    </w:p>
    <w:p>
      <w:pPr>
        <w:sectPr>
          <w:pgSz w:w="11880" w:h="15480" w:orient="portrait"/>
          <w:cols w:equalWidth="0" w:num="1">
            <w:col w:w="10040"/>
          </w:cols>
          <w:pgMar w:left="920" w:top="640" w:right="920" w:bottom="0" w:gutter="0" w:footer="0" w:header="0"/>
          <w:type w:val="continuous"/>
        </w:sectPr>
      </w:pPr>
    </w:p>
    <w:bookmarkStart w:id="74" w:name="page75"/>
    <w:bookmarkEnd w:id="74"/>
    <w:p>
      <w:pPr>
        <w:jc w:val="both"/>
        <w:spacing w:after="0" w:line="360" w:lineRule="auto"/>
        <w:rPr>
          <w:sz w:val="20"/>
          <w:szCs w:val="20"/>
          <w:color w:val="auto"/>
        </w:rPr>
      </w:pPr>
      <w:r>
        <w:rPr>
          <w:rFonts w:ascii="Arial" w:cs="Arial" w:eastAsia="Arial" w:hAnsi="Arial"/>
          <w:sz w:val="17"/>
          <w:szCs w:val="17"/>
          <w:color w:val="auto"/>
        </w:rPr>
        <w:t>range of $1.5 billion to $1.9 billion of our actuarial estimates as of December 31, 2025. Our recorded reserves were $61 million above the mid-point of the provided range of our actuarial estimates of $1.5 billion to $1.9 billion as of December 31, 2024.</w:t>
      </w:r>
    </w:p>
    <w:p>
      <w:pPr>
        <w:spacing w:after="0" w:line="2" w:lineRule="exact"/>
        <w:rPr>
          <w:sz w:val="20"/>
          <w:szCs w:val="20"/>
          <w:color w:val="auto"/>
        </w:rPr>
      </w:pPr>
    </w:p>
    <w:p>
      <w:pPr>
        <w:jc w:val="both"/>
        <w:ind w:firstLine="353"/>
        <w:spacing w:after="0" w:line="294" w:lineRule="auto"/>
        <w:rPr>
          <w:sz w:val="20"/>
          <w:szCs w:val="20"/>
          <w:color w:val="auto"/>
        </w:rPr>
      </w:pPr>
      <w:r>
        <w:rPr>
          <w:rFonts w:ascii="Arial" w:cs="Arial" w:eastAsia="Arial" w:hAnsi="Arial"/>
          <w:sz w:val="17"/>
          <w:szCs w:val="17"/>
          <w:color w:val="auto"/>
        </w:rPr>
        <w:t>During 2025, 2024, and 2023, payment patterns were consistent with our actuaries' and management's expectations. Also, compared to prior years we have seen a leveling off of the ultimate loss ratios in more mature policy years, particularly 2006-2009. While we still see claims opened on these policy years, the proportion of our claims inventory represented by these policy years has continued to decrease. Additionally, we continued to see stable development relating to the 2012 through 2022 policy years, which we believe is indicative of more stringent underwriting standards by us and the lending industry. Policy years 2024 and 2023 have seen some increased levels of early reported and paid claims. Many early reported and paid claims relate to fraudulent activity, such as wire fraud and other types of real estate fraud. Fraud claims are typically reported and paid quickly and are not the type of claims to develop over time in the same manner of other claim types due to a shorter reporting tail. Additionally, the early negative development in 2024 and 2023 is offset by the positive development of policy years 2022 and prior. We continue to watch the development of the more recent years, in addition to historical averages and economic factors when analyzing the current provision rates. Our ending open claim inventory increased from approximately 8,300 claims as of December 31, 2024, to approximately 8,500 claims as of December 31, 2025. If actual claims loss development varies from what is currently expected and is not offset by other factors, it is possible that our recorded reserves may fall outside a reasonable range of our actuaries' central estimate, which may require additional reserve adjustments in future periods.</w:t>
      </w:r>
    </w:p>
    <w:p>
      <w:pPr>
        <w:spacing w:after="0" w:line="58" w:lineRule="exact"/>
        <w:rPr>
          <w:sz w:val="20"/>
          <w:szCs w:val="20"/>
          <w:color w:val="auto"/>
        </w:rPr>
      </w:pPr>
    </w:p>
    <w:p>
      <w:pPr>
        <w:jc w:val="both"/>
        <w:ind w:firstLine="353"/>
        <w:spacing w:after="0" w:line="254" w:lineRule="auto"/>
        <w:rPr>
          <w:sz w:val="20"/>
          <w:szCs w:val="20"/>
          <w:color w:val="auto"/>
        </w:rPr>
      </w:pPr>
      <w:r>
        <w:rPr>
          <w:rFonts w:ascii="Arial" w:cs="Arial" w:eastAsia="Arial" w:hAnsi="Arial"/>
          <w:sz w:val="20"/>
          <w:szCs w:val="20"/>
          <w:color w:val="auto"/>
        </w:rPr>
        <w:t>An approximate $58 million increase (decrease) in our annualized provision for title claim losses would occur if our loss provision rate were 1% higher (lower), based on 2025 title premiums of $5.8 billion. A 10% increase (decrease) in our reserve for title claim losses, as of December 31, 2025, would result in an increase (decrease) in our provision for title claim losses of approximately $170 million.</w:t>
      </w:r>
    </w:p>
    <w:p>
      <w:pPr>
        <w:spacing w:after="0" w:line="78" w:lineRule="exact"/>
        <w:rPr>
          <w:sz w:val="20"/>
          <w:szCs w:val="20"/>
          <w:color w:val="auto"/>
        </w:rPr>
      </w:pPr>
    </w:p>
    <w:p>
      <w:pPr>
        <w:ind w:left="340"/>
        <w:spacing w:after="0"/>
        <w:rPr>
          <w:sz w:val="20"/>
          <w:szCs w:val="20"/>
          <w:color w:val="auto"/>
        </w:rPr>
      </w:pPr>
      <w:r>
        <w:rPr>
          <w:rFonts w:ascii="Arial" w:cs="Arial" w:eastAsia="Arial" w:hAnsi="Arial"/>
          <w:sz w:val="20"/>
          <w:szCs w:val="20"/>
          <w:b w:val="1"/>
          <w:bCs w:val="1"/>
          <w:i w:val="1"/>
          <w:iCs w:val="1"/>
          <w:color w:val="auto"/>
        </w:rPr>
        <w:t>Reserves for Future Policy Benefits and Certain Information on Contractholder Funds</w:t>
      </w:r>
    </w:p>
    <w:p>
      <w:pPr>
        <w:spacing w:after="0" w:line="130" w:lineRule="exact"/>
        <w:rPr>
          <w:sz w:val="20"/>
          <w:szCs w:val="20"/>
          <w:color w:val="auto"/>
        </w:rPr>
      </w:pPr>
    </w:p>
    <w:p>
      <w:pPr>
        <w:jc w:val="both"/>
        <w:ind w:firstLine="353"/>
        <w:spacing w:after="0" w:line="300" w:lineRule="auto"/>
        <w:rPr>
          <w:sz w:val="20"/>
          <w:szCs w:val="20"/>
          <w:color w:val="auto"/>
        </w:rPr>
      </w:pPr>
      <w:r>
        <w:rPr>
          <w:rFonts w:ascii="Arial" w:cs="Arial" w:eastAsia="Arial" w:hAnsi="Arial"/>
          <w:sz w:val="17"/>
          <w:szCs w:val="17"/>
          <w:color w:val="auto"/>
        </w:rPr>
        <w:t>The determination of FPB reserves is dependent on actuarial assumptions. The principal assumptions used to establish liabilities for FPBs are established at issue of the contract and include discount rates, mortality and cash surrender or policy lapse for our traditional life insurance products. The assumptions used require considerable judgment. We review policyholder behavior experience at least annually and update these assumptions when deemed necessary based on additional information that becomes available. Discount rate assumptions are updated at each reporting period and also incorporate changes in risk free rates and option market values. Changes in, or deviations from, the assumptions previously used can significantly affect our reserve levels and related results of operations in a positive or negative direction.</w:t>
      </w:r>
    </w:p>
    <w:p>
      <w:pPr>
        <w:spacing w:after="0" w:line="54" w:lineRule="exact"/>
        <w:rPr>
          <w:sz w:val="20"/>
          <w:szCs w:val="20"/>
          <w:color w:val="auto"/>
        </w:rPr>
      </w:pPr>
    </w:p>
    <w:p>
      <w:pPr>
        <w:jc w:val="both"/>
        <w:ind w:firstLine="353"/>
        <w:spacing w:after="0" w:line="249" w:lineRule="auto"/>
        <w:rPr>
          <w:sz w:val="20"/>
          <w:szCs w:val="20"/>
          <w:color w:val="auto"/>
        </w:rPr>
      </w:pPr>
      <w:r>
        <w:rPr>
          <w:rFonts w:ascii="Arial" w:cs="Arial" w:eastAsia="Arial" w:hAnsi="Arial"/>
          <w:sz w:val="20"/>
          <w:szCs w:val="20"/>
          <w:color w:val="auto"/>
        </w:rPr>
        <w:t>Mortality refers to the incidence of death on covered lives, which triggers contractual death benefit provisions. On our deferred annuities and life insurance products, these provisions may allow for lump sum payments, payments over a period of time, or spousal continuation of the contract. On our life-contingent immediate annuities (which includes life-contingent PRT annuities), the death of a named annuitant or certificate holder may trigger the cessation or reduction of future life-contingent payments due, depending on the presence of a joint annuitant/certificate holder and any remaining guaranteed non-life contingent payment periods. We utilize a combination of internal and industry experience when setting our mortality assumptions.</w:t>
      </w:r>
    </w:p>
    <w:p>
      <w:pPr>
        <w:spacing w:after="0" w:line="94" w:lineRule="exact"/>
        <w:rPr>
          <w:sz w:val="20"/>
          <w:szCs w:val="20"/>
          <w:color w:val="auto"/>
        </w:rPr>
      </w:pPr>
    </w:p>
    <w:p>
      <w:pPr>
        <w:jc w:val="both"/>
        <w:ind w:firstLine="353"/>
        <w:spacing w:after="0" w:line="300" w:lineRule="auto"/>
        <w:rPr>
          <w:sz w:val="20"/>
          <w:szCs w:val="20"/>
          <w:color w:val="auto"/>
        </w:rPr>
      </w:pPr>
      <w:r>
        <w:rPr>
          <w:rFonts w:ascii="Arial" w:cs="Arial" w:eastAsia="Arial" w:hAnsi="Arial"/>
          <w:sz w:val="17"/>
          <w:szCs w:val="17"/>
          <w:color w:val="auto"/>
        </w:rPr>
        <w:t>A surrender rate is the percentage of account value surrendered by the policyholder in exchange for receipt of a cash surrender value. A lapse rate is the percentage of account value canceled by us due to nonpayment of premiums required to maintain coverage on our life insurance products. We make estimates of expected full and partial surrenders of our deferred annuity products based on a combination of internal and industry experience. Management’s best estimate of surrender behavior generally represents a medium-to-long term perspective, as we expect to experience a range of policyholder behavior and market conditions period to period. If actual surrender rates are significantly different from those estimated, such differences could have a significant effect on our reserve levels and related results of operations.</w:t>
      </w:r>
    </w:p>
    <w:p>
      <w:pPr>
        <w:spacing w:after="0" w:line="54" w:lineRule="exact"/>
        <w:rPr>
          <w:sz w:val="20"/>
          <w:szCs w:val="20"/>
          <w:color w:val="auto"/>
        </w:rPr>
      </w:pPr>
    </w:p>
    <w:p>
      <w:pPr>
        <w:jc w:val="both"/>
        <w:ind w:firstLine="353"/>
        <w:spacing w:after="0" w:line="325" w:lineRule="auto"/>
        <w:rPr>
          <w:sz w:val="20"/>
          <w:szCs w:val="20"/>
          <w:color w:val="auto"/>
        </w:rPr>
      </w:pPr>
      <w:r>
        <w:rPr>
          <w:rFonts w:ascii="Arial" w:cs="Arial" w:eastAsia="Arial" w:hAnsi="Arial"/>
          <w:sz w:val="17"/>
          <w:szCs w:val="17"/>
          <w:color w:val="auto"/>
        </w:rPr>
        <w:t>Discount rates refer to the interest rates used to discount future cash flows to the current period to determine a present value. For liability for FPB reserves, the discount rate used is based on the yield curve for A-rated corporate bonds as of the valuation date. Changes in the discount rates from the at-issue or at-purchase discount rates flow through OCI.</w:t>
      </w:r>
    </w:p>
    <w:p>
      <w:pPr>
        <w:sectPr>
          <w:pgSz w:w="11880" w:h="15480" w:orient="portrait"/>
          <w:cols w:equalWidth="0" w:num="1">
            <w:col w:w="10040"/>
          </w:cols>
          <w:pgMar w:left="920" w:top="640"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63</w:t>
      </w:r>
    </w:p>
    <w:p>
      <w:pPr>
        <w:sectPr>
          <w:pgSz w:w="11880" w:h="15480" w:orient="portrait"/>
          <w:cols w:equalWidth="0" w:num="1">
            <w:col w:w="10040"/>
          </w:cols>
          <w:pgMar w:left="920" w:top="640" w:right="920" w:bottom="0" w:gutter="0" w:footer="0" w:header="0"/>
          <w:type w:val="continuous"/>
        </w:sectPr>
      </w:pPr>
    </w:p>
    <w:bookmarkStart w:id="75" w:name="page76"/>
    <w:bookmarkEnd w:id="75"/>
    <w:p>
      <w:pPr>
        <w:jc w:val="both"/>
        <w:ind w:firstLine="353"/>
        <w:spacing w:after="0" w:line="271" w:lineRule="auto"/>
        <w:rPr>
          <w:sz w:val="20"/>
          <w:szCs w:val="20"/>
          <w:color w:val="auto"/>
        </w:rPr>
      </w:pPr>
      <w:r>
        <w:rPr>
          <w:rFonts w:ascii="Arial" w:cs="Arial" w:eastAsia="Arial" w:hAnsi="Arial"/>
          <w:sz w:val="20"/>
          <w:szCs w:val="20"/>
          <w:color w:val="auto"/>
        </w:rPr>
        <w:t>Our aggregate reserves for contractholder funds, FPBs and MRBs on a direct and net basis as of December 31, 2025 and 2024, are summarized as follows:</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13"/>
        </w:trPr>
        <w:tc>
          <w:tcPr>
            <w:tcW w:w="5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900" w:type="dxa"/>
            <w:vAlign w:val="bottom"/>
            <w:tcBorders>
              <w:bottom w:val="single" w:sz="8" w:color="auto"/>
            </w:tcBorders>
            <w:gridSpan w:val="10"/>
          </w:tcPr>
          <w:p>
            <w:pPr>
              <w:jc w:val="center"/>
              <w:ind w:left="662"/>
              <w:spacing w:after="0"/>
              <w:rPr>
                <w:sz w:val="20"/>
                <w:szCs w:val="20"/>
                <w:color w:val="auto"/>
              </w:rPr>
            </w:pPr>
            <w:r>
              <w:rPr>
                <w:rFonts w:ascii="Arial" w:cs="Arial" w:eastAsia="Arial" w:hAnsi="Arial"/>
                <w:sz w:val="16"/>
                <w:szCs w:val="16"/>
                <w:b w:val="1"/>
                <w:bCs w:val="1"/>
                <w:color w:val="auto"/>
                <w:w w:val="86"/>
              </w:rPr>
              <w:t>As of December 31, 2025</w:t>
            </w:r>
          </w:p>
        </w:tc>
        <w:tc>
          <w:tcPr>
            <w:tcW w:w="10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7"/>
        </w:trPr>
        <w:tc>
          <w:tcPr>
            <w:tcW w:w="5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gridSpan w:val="2"/>
          </w:tcPr>
          <w:p>
            <w:pPr>
              <w:jc w:val="center"/>
              <w:ind w:right="160"/>
              <w:spacing w:after="0" w:line="158" w:lineRule="exact"/>
              <w:rPr>
                <w:sz w:val="20"/>
                <w:szCs w:val="20"/>
                <w:color w:val="auto"/>
              </w:rPr>
            </w:pPr>
            <w:r>
              <w:rPr>
                <w:rFonts w:ascii="Arial" w:cs="Arial" w:eastAsia="Arial" w:hAnsi="Arial"/>
                <w:sz w:val="16"/>
                <w:szCs w:val="16"/>
                <w:b w:val="1"/>
                <w:bCs w:val="1"/>
                <w:color w:val="auto"/>
                <w:w w:val="86"/>
              </w:rPr>
              <w:t>Deposit Asset/</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5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80" w:type="dxa"/>
            <w:vAlign w:val="bottom"/>
            <w:gridSpan w:val="2"/>
            <w:vMerge w:val="restart"/>
          </w:tcPr>
          <w:p>
            <w:pPr>
              <w:ind w:left="180"/>
              <w:spacing w:after="0"/>
              <w:rPr>
                <w:sz w:val="20"/>
                <w:szCs w:val="20"/>
                <w:color w:val="auto"/>
              </w:rPr>
            </w:pPr>
            <w:r>
              <w:rPr>
                <w:rFonts w:ascii="Arial" w:cs="Arial" w:eastAsia="Arial" w:hAnsi="Arial"/>
                <w:sz w:val="16"/>
                <w:szCs w:val="16"/>
                <w:b w:val="1"/>
                <w:bCs w:val="1"/>
                <w:color w:val="auto"/>
              </w:rPr>
              <w:t>Direct</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gridSpan w:val="2"/>
          </w:tcPr>
          <w:p>
            <w:pPr>
              <w:jc w:val="center"/>
              <w:ind w:right="160"/>
              <w:spacing w:after="0" w:line="157" w:lineRule="exact"/>
              <w:rPr>
                <w:sz w:val="20"/>
                <w:szCs w:val="20"/>
                <w:color w:val="auto"/>
              </w:rPr>
            </w:pPr>
            <w:r>
              <w:rPr>
                <w:rFonts w:ascii="Arial" w:cs="Arial" w:eastAsia="Arial" w:hAnsi="Arial"/>
                <w:sz w:val="16"/>
                <w:szCs w:val="16"/>
                <w:b w:val="1"/>
                <w:bCs w:val="1"/>
                <w:color w:val="auto"/>
                <w:w w:val="87"/>
              </w:rPr>
              <w:t>Reinsurance</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20" w:type="dxa"/>
            <w:vAlign w:val="bottom"/>
            <w:gridSpan w:val="2"/>
            <w:vMerge w:val="restart"/>
          </w:tcPr>
          <w:p>
            <w:pPr>
              <w:ind w:left="220"/>
              <w:spacing w:after="0"/>
              <w:rPr>
                <w:sz w:val="20"/>
                <w:szCs w:val="20"/>
                <w:color w:val="auto"/>
              </w:rPr>
            </w:pPr>
            <w:r>
              <w:rPr>
                <w:rFonts w:ascii="Arial" w:cs="Arial" w:eastAsia="Arial" w:hAnsi="Arial"/>
                <w:sz w:val="16"/>
                <w:szCs w:val="16"/>
                <w:b w:val="1"/>
                <w:bCs w:val="1"/>
                <w:color w:val="auto"/>
              </w:rPr>
              <w:t>Net</w:t>
            </w:r>
          </w:p>
        </w:tc>
        <w:tc>
          <w:tcPr>
            <w:tcW w:w="0" w:type="dxa"/>
            <w:vAlign w:val="bottom"/>
          </w:tcPr>
          <w:p>
            <w:pPr>
              <w:spacing w:after="0"/>
              <w:rPr>
                <w:sz w:val="1"/>
                <w:szCs w:val="1"/>
                <w:color w:val="auto"/>
              </w:rPr>
            </w:pPr>
          </w:p>
        </w:tc>
      </w:tr>
      <w:tr>
        <w:trPr>
          <w:trHeight w:val="210"/>
        </w:trPr>
        <w:tc>
          <w:tcPr>
            <w:tcW w:w="5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gridSpan w:val="2"/>
          </w:tcPr>
          <w:p>
            <w:pPr>
              <w:jc w:val="center"/>
              <w:ind w:right="160"/>
              <w:spacing w:after="0"/>
              <w:rPr>
                <w:sz w:val="20"/>
                <w:szCs w:val="20"/>
                <w:color w:val="auto"/>
              </w:rPr>
            </w:pPr>
            <w:r>
              <w:rPr>
                <w:rFonts w:ascii="Arial" w:cs="Arial" w:eastAsia="Arial" w:hAnsi="Arial"/>
                <w:sz w:val="16"/>
                <w:szCs w:val="16"/>
                <w:b w:val="1"/>
                <w:bCs w:val="1"/>
                <w:color w:val="auto"/>
                <w:w w:val="88"/>
              </w:rPr>
              <w:t>Recoverable</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5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1"/>
              </w:rPr>
              <w:t>(In millions)</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5780" w:type="dxa"/>
            <w:vAlign w:val="bottom"/>
            <w:gridSpan w:val="2"/>
          </w:tcPr>
          <w:p>
            <w:pPr>
              <w:spacing w:after="0"/>
              <w:rPr>
                <w:sz w:val="20"/>
                <w:szCs w:val="20"/>
                <w:color w:val="auto"/>
              </w:rPr>
            </w:pPr>
            <w:r>
              <w:rPr>
                <w:rFonts w:ascii="Arial" w:cs="Arial" w:eastAsia="Arial" w:hAnsi="Arial"/>
                <w:sz w:val="16"/>
                <w:szCs w:val="16"/>
                <w:color w:val="auto"/>
              </w:rPr>
              <w:t>Indexed annuities</w:t>
            </w:r>
          </w:p>
        </w:tc>
        <w:tc>
          <w:tcPr>
            <w:tcW w:w="300" w:type="dxa"/>
            <w:vAlign w:val="bottom"/>
          </w:tcPr>
          <w:p>
            <w:pPr>
              <w:jc w:val="right"/>
              <w:ind w:right="82"/>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34,449</w:t>
            </w:r>
          </w:p>
        </w:tc>
        <w:tc>
          <w:tcPr>
            <w:tcW w:w="40" w:type="dxa"/>
            <w:vAlign w:val="bottom"/>
          </w:tcPr>
          <w:p>
            <w:pPr>
              <w:spacing w:after="0"/>
              <w:rPr>
                <w:sz w:val="20"/>
                <w:szCs w:val="20"/>
                <w:color w:val="auto"/>
              </w:rPr>
            </w:pPr>
          </w:p>
        </w:tc>
        <w:tc>
          <w:tcPr>
            <w:tcW w:w="22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1200" w:type="dxa"/>
            <w:vAlign w:val="bottom"/>
            <w:gridSpan w:val="2"/>
          </w:tcPr>
          <w:p>
            <w:pPr>
              <w:jc w:val="right"/>
              <w:ind w:right="20"/>
              <w:spacing w:after="0"/>
              <w:rPr>
                <w:sz w:val="20"/>
                <w:szCs w:val="20"/>
                <w:color w:val="auto"/>
              </w:rPr>
            </w:pPr>
            <w:r>
              <w:rPr>
                <w:rFonts w:ascii="Arial" w:cs="Arial" w:eastAsia="Arial" w:hAnsi="Arial"/>
                <w:sz w:val="16"/>
                <w:szCs w:val="16"/>
                <w:color w:val="auto"/>
              </w:rPr>
              <w:t>(3,198)</w:t>
            </w:r>
          </w:p>
        </w:tc>
        <w:tc>
          <w:tcPr>
            <w:tcW w:w="400" w:type="dxa"/>
            <w:vAlign w:val="bottom"/>
            <w:gridSpan w:val="3"/>
          </w:tcPr>
          <w:p>
            <w:pPr>
              <w:jc w:val="right"/>
              <w:ind w:right="122"/>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31,251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5780" w:type="dxa"/>
            <w:vAlign w:val="bottom"/>
            <w:gridSpan w:val="2"/>
          </w:tcPr>
          <w:p>
            <w:pPr>
              <w:spacing w:after="0"/>
              <w:rPr>
                <w:sz w:val="20"/>
                <w:szCs w:val="20"/>
                <w:color w:val="auto"/>
              </w:rPr>
            </w:pPr>
            <w:r>
              <w:rPr>
                <w:rFonts w:ascii="Arial" w:cs="Arial" w:eastAsia="Arial" w:hAnsi="Arial"/>
                <w:sz w:val="16"/>
                <w:szCs w:val="16"/>
                <w:color w:val="auto"/>
              </w:rPr>
              <w:t>Fixed rate annuities</w:t>
            </w: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19,267</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6"/>
                <w:szCs w:val="16"/>
                <w:color w:val="auto"/>
              </w:rPr>
              <w:t>(12,863)</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6,404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5780" w:type="dxa"/>
            <w:vAlign w:val="bottom"/>
            <w:gridSpan w:val="2"/>
          </w:tcPr>
          <w:p>
            <w:pPr>
              <w:spacing w:after="0"/>
              <w:rPr>
                <w:sz w:val="20"/>
                <w:szCs w:val="20"/>
                <w:color w:val="auto"/>
              </w:rPr>
            </w:pPr>
            <w:r>
              <w:rPr>
                <w:rFonts w:ascii="Arial" w:cs="Arial" w:eastAsia="Arial" w:hAnsi="Arial"/>
                <w:sz w:val="16"/>
                <w:szCs w:val="16"/>
                <w:color w:val="auto"/>
              </w:rPr>
              <w:t>SPIA and other</w:t>
            </w: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1,628</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6"/>
                <w:szCs w:val="16"/>
                <w:color w:val="auto"/>
              </w:rPr>
              <w:t>(107)</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1,521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5780" w:type="dxa"/>
            <w:vAlign w:val="bottom"/>
            <w:gridSpan w:val="2"/>
          </w:tcPr>
          <w:p>
            <w:pPr>
              <w:spacing w:after="0"/>
              <w:rPr>
                <w:sz w:val="20"/>
                <w:szCs w:val="20"/>
                <w:color w:val="auto"/>
              </w:rPr>
            </w:pPr>
            <w:r>
              <w:rPr>
                <w:rFonts w:ascii="Arial" w:cs="Arial" w:eastAsia="Arial" w:hAnsi="Arial"/>
                <w:sz w:val="16"/>
                <w:szCs w:val="16"/>
                <w:color w:val="auto"/>
              </w:rPr>
              <w:t>IUL and other life</w:t>
            </w: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4,681</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6"/>
                <w:szCs w:val="16"/>
                <w:color w:val="auto"/>
              </w:rPr>
              <w:t>(1,377)</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3,304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5780" w:type="dxa"/>
            <w:vAlign w:val="bottom"/>
            <w:gridSpan w:val="2"/>
          </w:tcPr>
          <w:p>
            <w:pPr>
              <w:spacing w:after="0"/>
              <w:rPr>
                <w:sz w:val="20"/>
                <w:szCs w:val="20"/>
                <w:color w:val="auto"/>
              </w:rPr>
            </w:pPr>
            <w:r>
              <w:rPr>
                <w:rFonts w:ascii="Arial" w:cs="Arial" w:eastAsia="Arial" w:hAnsi="Arial"/>
                <w:sz w:val="16"/>
                <w:szCs w:val="16"/>
                <w:color w:val="auto"/>
              </w:rPr>
              <w:t>Funding agreements</w:t>
            </w: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6,234</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6,234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5780" w:type="dxa"/>
            <w:vAlign w:val="bottom"/>
            <w:gridSpan w:val="2"/>
          </w:tcPr>
          <w:p>
            <w:pPr>
              <w:spacing w:after="0"/>
              <w:rPr>
                <w:sz w:val="20"/>
                <w:szCs w:val="20"/>
                <w:color w:val="auto"/>
              </w:rPr>
            </w:pPr>
            <w:r>
              <w:rPr>
                <w:rFonts w:ascii="Arial" w:cs="Arial" w:eastAsia="Arial" w:hAnsi="Arial"/>
                <w:sz w:val="16"/>
                <w:szCs w:val="16"/>
                <w:color w:val="auto"/>
              </w:rPr>
              <w:t>PRT</w:t>
            </w: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8,125</w:t>
            </w:r>
          </w:p>
        </w:tc>
        <w:tc>
          <w:tcPr>
            <w:tcW w:w="4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8,125</w:t>
            </w:r>
          </w:p>
        </w:tc>
        <w:tc>
          <w:tcPr>
            <w:tcW w:w="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5780" w:type="dxa"/>
            <w:vAlign w:val="bottom"/>
            <w:gridSpan w:val="2"/>
          </w:tcPr>
          <w:p>
            <w:pPr>
              <w:ind w:left="240"/>
              <w:spacing w:after="0"/>
              <w:rPr>
                <w:sz w:val="20"/>
                <w:szCs w:val="20"/>
                <w:color w:val="auto"/>
              </w:rPr>
            </w:pPr>
            <w:r>
              <w:rPr>
                <w:rFonts w:ascii="Arial" w:cs="Arial" w:eastAsia="Arial" w:hAnsi="Arial"/>
                <w:sz w:val="16"/>
                <w:szCs w:val="16"/>
                <w:b w:val="1"/>
                <w:bCs w:val="1"/>
                <w:color w:val="auto"/>
              </w:rPr>
              <w:t>Total</w:t>
            </w:r>
          </w:p>
        </w:tc>
        <w:tc>
          <w:tcPr>
            <w:tcW w:w="300" w:type="dxa"/>
            <w:vAlign w:val="bottom"/>
            <w:tcBorders>
              <w:bottom w:val="single" w:sz="8" w:color="auto"/>
            </w:tcBorders>
          </w:tcPr>
          <w:p>
            <w:pPr>
              <w:jc w:val="right"/>
              <w:ind w:right="82"/>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74,384</w:t>
            </w:r>
          </w:p>
        </w:tc>
        <w:tc>
          <w:tcPr>
            <w:tcW w:w="40" w:type="dxa"/>
            <w:vAlign w:val="bottom"/>
            <w:tcBorders>
              <w:bottom w:val="single" w:sz="8" w:color="auto"/>
            </w:tcBorders>
          </w:tcPr>
          <w:p>
            <w:pPr>
              <w:spacing w:after="0"/>
              <w:rPr>
                <w:sz w:val="17"/>
                <w:szCs w:val="17"/>
                <w:color w:val="auto"/>
              </w:rPr>
            </w:pPr>
          </w:p>
        </w:tc>
        <w:tc>
          <w:tcPr>
            <w:tcW w:w="60" w:type="dxa"/>
            <w:vAlign w:val="bottom"/>
            <w:gridSpan w:val="2"/>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6"/>
                <w:szCs w:val="16"/>
                <w:color w:val="auto"/>
              </w:rPr>
              <w:t>(17,545)</w:t>
            </w:r>
          </w:p>
        </w:tc>
        <w:tc>
          <w:tcPr>
            <w:tcW w:w="60" w:type="dxa"/>
            <w:vAlign w:val="bottom"/>
            <w:gridSpan w:val="2"/>
          </w:tcPr>
          <w:p>
            <w:pPr>
              <w:spacing w:after="0"/>
              <w:rPr>
                <w:sz w:val="17"/>
                <w:szCs w:val="17"/>
                <w:color w:val="auto"/>
              </w:rPr>
            </w:pPr>
          </w:p>
        </w:tc>
        <w:tc>
          <w:tcPr>
            <w:tcW w:w="340" w:type="dxa"/>
            <w:vAlign w:val="bottom"/>
            <w:tcBorders>
              <w:bottom w:val="single" w:sz="8" w:color="auto"/>
            </w:tcBorders>
          </w:tcPr>
          <w:p>
            <w:pPr>
              <w:jc w:val="right"/>
              <w:ind w:right="122"/>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56,839</w:t>
            </w:r>
          </w:p>
        </w:tc>
        <w:tc>
          <w:tcPr>
            <w:tcW w:w="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4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3"/>
        </w:trPr>
        <w:tc>
          <w:tcPr>
            <w:tcW w:w="576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900" w:type="dxa"/>
            <w:vAlign w:val="bottom"/>
            <w:tcBorders>
              <w:bottom w:val="single" w:sz="8" w:color="auto"/>
            </w:tcBorders>
            <w:gridSpan w:val="10"/>
          </w:tcPr>
          <w:p>
            <w:pPr>
              <w:jc w:val="center"/>
              <w:ind w:left="602"/>
              <w:spacing w:after="0"/>
              <w:rPr>
                <w:sz w:val="20"/>
                <w:szCs w:val="20"/>
                <w:color w:val="auto"/>
              </w:rPr>
            </w:pPr>
            <w:r>
              <w:rPr>
                <w:rFonts w:ascii="Arial" w:cs="Arial" w:eastAsia="Arial" w:hAnsi="Arial"/>
                <w:sz w:val="16"/>
                <w:szCs w:val="16"/>
                <w:b w:val="1"/>
                <w:bCs w:val="1"/>
                <w:color w:val="auto"/>
                <w:w w:val="88"/>
              </w:rPr>
              <w:t>As of December 31, 2024</w:t>
            </w:r>
          </w:p>
        </w:tc>
        <w:tc>
          <w:tcPr>
            <w:tcW w:w="10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7"/>
        </w:trPr>
        <w:tc>
          <w:tcPr>
            <w:tcW w:w="5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gridSpan w:val="2"/>
          </w:tcPr>
          <w:p>
            <w:pPr>
              <w:jc w:val="center"/>
              <w:ind w:right="220"/>
              <w:spacing w:after="0" w:line="158" w:lineRule="exact"/>
              <w:rPr>
                <w:sz w:val="20"/>
                <w:szCs w:val="20"/>
                <w:color w:val="auto"/>
              </w:rPr>
            </w:pPr>
            <w:r>
              <w:rPr>
                <w:rFonts w:ascii="Arial" w:cs="Arial" w:eastAsia="Arial" w:hAnsi="Arial"/>
                <w:sz w:val="16"/>
                <w:szCs w:val="16"/>
                <w:b w:val="1"/>
                <w:bCs w:val="1"/>
                <w:color w:val="auto"/>
                <w:w w:val="84"/>
              </w:rPr>
              <w:t>Deposit Asset/</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5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40" w:type="dxa"/>
            <w:vAlign w:val="bottom"/>
            <w:vMerge w:val="restart"/>
          </w:tcPr>
          <w:p>
            <w:pPr>
              <w:jc w:val="right"/>
              <w:ind w:right="382"/>
              <w:spacing w:after="0"/>
              <w:rPr>
                <w:sz w:val="20"/>
                <w:szCs w:val="20"/>
                <w:color w:val="auto"/>
              </w:rPr>
            </w:pPr>
            <w:r>
              <w:rPr>
                <w:rFonts w:ascii="Arial" w:cs="Arial" w:eastAsia="Arial" w:hAnsi="Arial"/>
                <w:sz w:val="16"/>
                <w:szCs w:val="16"/>
                <w:b w:val="1"/>
                <w:bCs w:val="1"/>
                <w:color w:val="auto"/>
              </w:rPr>
              <w:t>Direct</w:t>
            </w:r>
          </w:p>
        </w:tc>
        <w:tc>
          <w:tcPr>
            <w:tcW w:w="40" w:type="dxa"/>
            <w:vAlign w:val="bottom"/>
            <w:vMerge w:val="restart"/>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gridSpan w:val="2"/>
          </w:tcPr>
          <w:p>
            <w:pPr>
              <w:jc w:val="center"/>
              <w:ind w:right="220"/>
              <w:spacing w:after="0" w:line="157" w:lineRule="exact"/>
              <w:rPr>
                <w:sz w:val="20"/>
                <w:szCs w:val="20"/>
                <w:color w:val="auto"/>
              </w:rPr>
            </w:pPr>
            <w:r>
              <w:rPr>
                <w:rFonts w:ascii="Arial" w:cs="Arial" w:eastAsia="Arial" w:hAnsi="Arial"/>
                <w:sz w:val="16"/>
                <w:szCs w:val="16"/>
                <w:b w:val="1"/>
                <w:bCs w:val="1"/>
                <w:color w:val="auto"/>
                <w:w w:val="85"/>
              </w:rPr>
              <w:t>Reinsurance</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0" w:type="dxa"/>
            <w:vAlign w:val="bottom"/>
            <w:vMerge w:val="restart"/>
          </w:tcPr>
          <w:p>
            <w:pPr>
              <w:jc w:val="right"/>
              <w:ind w:right="482"/>
              <w:spacing w:after="0"/>
              <w:rPr>
                <w:sz w:val="20"/>
                <w:szCs w:val="20"/>
                <w:color w:val="auto"/>
              </w:rPr>
            </w:pPr>
            <w:r>
              <w:rPr>
                <w:rFonts w:ascii="Arial" w:cs="Arial" w:eastAsia="Arial" w:hAnsi="Arial"/>
                <w:sz w:val="16"/>
                <w:szCs w:val="16"/>
                <w:b w:val="1"/>
                <w:bCs w:val="1"/>
                <w:color w:val="auto"/>
              </w:rPr>
              <w:t>Net</w:t>
            </w:r>
          </w:p>
        </w:tc>
        <w:tc>
          <w:tcPr>
            <w:tcW w:w="20" w:type="dxa"/>
            <w:vAlign w:val="bottom"/>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57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vMerge w:val="continue"/>
          </w:tcPr>
          <w:p>
            <w:pPr>
              <w:spacing w:after="0"/>
              <w:rPr>
                <w:sz w:val="18"/>
                <w:szCs w:val="18"/>
                <w:color w:val="auto"/>
              </w:rPr>
            </w:pPr>
          </w:p>
        </w:tc>
        <w:tc>
          <w:tcPr>
            <w:tcW w:w="4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center"/>
              <w:ind w:right="122"/>
              <w:spacing w:after="0"/>
              <w:rPr>
                <w:sz w:val="20"/>
                <w:szCs w:val="20"/>
                <w:color w:val="auto"/>
              </w:rPr>
            </w:pPr>
            <w:r>
              <w:rPr>
                <w:rFonts w:ascii="Arial" w:cs="Arial" w:eastAsia="Arial" w:hAnsi="Arial"/>
                <w:sz w:val="16"/>
                <w:szCs w:val="16"/>
                <w:b w:val="1"/>
                <w:bCs w:val="1"/>
                <w:color w:val="auto"/>
                <w:w w:val="86"/>
              </w:rPr>
              <w:t>Recoverable</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vMerge w:val="continue"/>
          </w:tcPr>
          <w:p>
            <w:pPr>
              <w:spacing w:after="0"/>
              <w:rPr>
                <w:sz w:val="18"/>
                <w:szCs w:val="18"/>
                <w:color w:val="auto"/>
              </w:rPr>
            </w:pP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5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91"/>
              </w:rPr>
              <w:t>(In millions)</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5780" w:type="dxa"/>
            <w:vAlign w:val="bottom"/>
            <w:gridSpan w:val="2"/>
          </w:tcPr>
          <w:p>
            <w:pPr>
              <w:ind w:left="40"/>
              <w:spacing w:after="0"/>
              <w:rPr>
                <w:sz w:val="20"/>
                <w:szCs w:val="20"/>
                <w:color w:val="auto"/>
              </w:rPr>
            </w:pPr>
            <w:r>
              <w:rPr>
                <w:rFonts w:ascii="Arial" w:cs="Arial" w:eastAsia="Arial" w:hAnsi="Arial"/>
                <w:sz w:val="16"/>
                <w:szCs w:val="16"/>
                <w:color w:val="auto"/>
              </w:rPr>
              <w:t>Indexed annuities</w:t>
            </w:r>
          </w:p>
        </w:tc>
        <w:tc>
          <w:tcPr>
            <w:tcW w:w="300" w:type="dxa"/>
            <w:vAlign w:val="bottom"/>
          </w:tcPr>
          <w:p>
            <w:pPr>
              <w:jc w:val="right"/>
              <w:ind w:right="122"/>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31,002</w:t>
            </w:r>
          </w:p>
        </w:tc>
        <w:tc>
          <w:tcPr>
            <w:tcW w:w="40" w:type="dxa"/>
            <w:vAlign w:val="bottom"/>
          </w:tcPr>
          <w:p>
            <w:pPr>
              <w:spacing w:after="0"/>
              <w:rPr>
                <w:sz w:val="20"/>
                <w:szCs w:val="20"/>
                <w:color w:val="auto"/>
              </w:rPr>
            </w:pPr>
          </w:p>
        </w:tc>
        <w:tc>
          <w:tcPr>
            <w:tcW w:w="22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(861)</w:t>
            </w:r>
          </w:p>
        </w:tc>
        <w:tc>
          <w:tcPr>
            <w:tcW w:w="20" w:type="dxa"/>
            <w:vAlign w:val="bottom"/>
          </w:tcPr>
          <w:p>
            <w:pPr>
              <w:spacing w:after="0"/>
              <w:rPr>
                <w:sz w:val="20"/>
                <w:szCs w:val="20"/>
                <w:color w:val="auto"/>
              </w:rPr>
            </w:pPr>
          </w:p>
        </w:tc>
        <w:tc>
          <w:tcPr>
            <w:tcW w:w="400" w:type="dxa"/>
            <w:vAlign w:val="bottom"/>
            <w:gridSpan w:val="3"/>
          </w:tcPr>
          <w:p>
            <w:pPr>
              <w:jc w:val="right"/>
              <w:ind w:right="162"/>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30,141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5780" w:type="dxa"/>
            <w:vAlign w:val="bottom"/>
            <w:gridSpan w:val="2"/>
          </w:tcPr>
          <w:p>
            <w:pPr>
              <w:ind w:left="40"/>
              <w:spacing w:after="0"/>
              <w:rPr>
                <w:sz w:val="20"/>
                <w:szCs w:val="20"/>
                <w:color w:val="auto"/>
              </w:rPr>
            </w:pPr>
            <w:r>
              <w:rPr>
                <w:rFonts w:ascii="Arial" w:cs="Arial" w:eastAsia="Arial" w:hAnsi="Arial"/>
                <w:sz w:val="16"/>
                <w:szCs w:val="16"/>
                <w:color w:val="auto"/>
              </w:rPr>
              <w:t>Fixed rate annuities</w:t>
            </w: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17,443</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(11,009)</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6,434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5780" w:type="dxa"/>
            <w:vAlign w:val="bottom"/>
            <w:gridSpan w:val="2"/>
          </w:tcPr>
          <w:p>
            <w:pPr>
              <w:ind w:left="40"/>
              <w:spacing w:after="0"/>
              <w:rPr>
                <w:sz w:val="20"/>
                <w:szCs w:val="20"/>
                <w:color w:val="auto"/>
              </w:rPr>
            </w:pPr>
            <w:r>
              <w:rPr>
                <w:rFonts w:ascii="Arial" w:cs="Arial" w:eastAsia="Arial" w:hAnsi="Arial"/>
                <w:sz w:val="16"/>
                <w:szCs w:val="16"/>
                <w:color w:val="auto"/>
              </w:rPr>
              <w:t>SPIA and other</w:t>
            </w: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1,673</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(109)</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1,564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5780" w:type="dxa"/>
            <w:vAlign w:val="bottom"/>
            <w:gridSpan w:val="2"/>
          </w:tcPr>
          <w:p>
            <w:pPr>
              <w:ind w:left="40"/>
              <w:spacing w:after="0"/>
              <w:rPr>
                <w:sz w:val="20"/>
                <w:szCs w:val="20"/>
                <w:color w:val="auto"/>
              </w:rPr>
            </w:pPr>
            <w:r>
              <w:rPr>
                <w:rFonts w:ascii="Arial" w:cs="Arial" w:eastAsia="Arial" w:hAnsi="Arial"/>
                <w:sz w:val="16"/>
                <w:szCs w:val="16"/>
                <w:color w:val="auto"/>
              </w:rPr>
              <w:t>IUL and other life</w:t>
            </w: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4,203</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(1,390)</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2,813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5780" w:type="dxa"/>
            <w:vAlign w:val="bottom"/>
            <w:gridSpan w:val="2"/>
          </w:tcPr>
          <w:p>
            <w:pPr>
              <w:ind w:left="40"/>
              <w:spacing w:after="0"/>
              <w:rPr>
                <w:sz w:val="20"/>
                <w:szCs w:val="20"/>
                <w:color w:val="auto"/>
              </w:rPr>
            </w:pPr>
            <w:r>
              <w:rPr>
                <w:rFonts w:ascii="Arial" w:cs="Arial" w:eastAsia="Arial" w:hAnsi="Arial"/>
                <w:sz w:val="16"/>
                <w:szCs w:val="16"/>
                <w:color w:val="auto"/>
              </w:rPr>
              <w:t>Funding agreements</w:t>
            </w: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5,315</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5,315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5760" w:type="dxa"/>
            <w:vAlign w:val="bottom"/>
          </w:tcPr>
          <w:p>
            <w:pPr>
              <w:ind w:left="40"/>
              <w:spacing w:after="0"/>
              <w:rPr>
                <w:sz w:val="20"/>
                <w:szCs w:val="20"/>
                <w:color w:val="auto"/>
              </w:rPr>
            </w:pPr>
            <w:r>
              <w:rPr>
                <w:rFonts w:ascii="Arial" w:cs="Arial" w:eastAsia="Arial" w:hAnsi="Arial"/>
                <w:sz w:val="16"/>
                <w:szCs w:val="16"/>
                <w:color w:val="auto"/>
              </w:rPr>
              <w:t>PRT</w:t>
            </w:r>
          </w:p>
        </w:tc>
        <w:tc>
          <w:tcPr>
            <w:tcW w:w="2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6,066</w:t>
            </w: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6,066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5780" w:type="dxa"/>
            <w:vAlign w:val="bottom"/>
            <w:gridSpan w:val="2"/>
          </w:tcPr>
          <w:p>
            <w:pPr>
              <w:ind w:left="260"/>
              <w:spacing w:after="0"/>
              <w:rPr>
                <w:sz w:val="20"/>
                <w:szCs w:val="20"/>
                <w:color w:val="auto"/>
              </w:rPr>
            </w:pPr>
            <w:r>
              <w:rPr>
                <w:rFonts w:ascii="Arial" w:cs="Arial" w:eastAsia="Arial" w:hAnsi="Arial"/>
                <w:sz w:val="16"/>
                <w:szCs w:val="16"/>
                <w:b w:val="1"/>
                <w:bCs w:val="1"/>
                <w:color w:val="auto"/>
              </w:rPr>
              <w:t>Total</w:t>
            </w:r>
          </w:p>
        </w:tc>
        <w:tc>
          <w:tcPr>
            <w:tcW w:w="300" w:type="dxa"/>
            <w:vAlign w:val="bottom"/>
          </w:tcPr>
          <w:p>
            <w:pPr>
              <w:jc w:val="right"/>
              <w:ind w:right="122"/>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65,702</w:t>
            </w:r>
          </w:p>
        </w:tc>
        <w:tc>
          <w:tcPr>
            <w:tcW w:w="40" w:type="dxa"/>
            <w:vAlign w:val="bottom"/>
          </w:tcPr>
          <w:p>
            <w:pPr>
              <w:spacing w:after="0"/>
              <w:rPr>
                <w:sz w:val="17"/>
                <w:szCs w:val="17"/>
                <w:color w:val="auto"/>
              </w:rPr>
            </w:pPr>
          </w:p>
        </w:tc>
        <w:tc>
          <w:tcPr>
            <w:tcW w:w="22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(13,369)</w:t>
            </w:r>
          </w:p>
        </w:tc>
        <w:tc>
          <w:tcPr>
            <w:tcW w:w="20" w:type="dxa"/>
            <w:vAlign w:val="bottom"/>
          </w:tcPr>
          <w:p>
            <w:pPr>
              <w:spacing w:after="0"/>
              <w:rPr>
                <w:sz w:val="17"/>
                <w:szCs w:val="17"/>
                <w:color w:val="auto"/>
              </w:rPr>
            </w:pPr>
          </w:p>
        </w:tc>
        <w:tc>
          <w:tcPr>
            <w:tcW w:w="400" w:type="dxa"/>
            <w:vAlign w:val="bottom"/>
            <w:gridSpan w:val="3"/>
          </w:tcPr>
          <w:p>
            <w:pPr>
              <w:jc w:val="right"/>
              <w:ind w:right="162"/>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52,333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7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-2828290</wp:posOffset>
            </wp:positionV>
            <wp:extent cx="6410325" cy="10833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31">
                      <a:extLst>
                        <a:ext uri="{28A0092B-C50C-407E-A947-70E740481C1C}"/>
                      </a:extLst>
                    </a:blip>
                    <a:srcRect/>
                    <a:stretch>
                      <a:fillRect/>
                    </a:stretch>
                  </pic:blipFill>
                  <pic:spPr bwMode="auto">
                    <a:xfrm>
                      <a:off x="0" y="0"/>
                      <a:ext cx="6410325" cy="108331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-1076325</wp:posOffset>
            </wp:positionV>
            <wp:extent cx="6372860" cy="10833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32">
                      <a:extLst>
                        <a:ext uri="{28A0092B-C50C-407E-A947-70E740481C1C}"/>
                      </a:extLst>
                    </a:blip>
                    <a:srcRect/>
                    <a:stretch>
                      <a:fillRect/>
                    </a:stretch>
                  </pic:blipFill>
                  <pic:spPr bwMode="auto">
                    <a:xfrm>
                      <a:off x="0" y="0"/>
                      <a:ext cx="6372860" cy="1083310"/>
                    </a:xfrm>
                    <a:prstGeom prst="rect">
                      <a:avLst/>
                    </a:prstGeom>
                    <a:noFill/>
                  </pic:spPr>
                </pic:pic>
              </a:graphicData>
            </a:graphic>
          </wp:anchor>
        </w:drawing>
      </w:r>
    </w:p>
    <w:p>
      <w:pPr>
        <w:spacing w:after="0" w:line="105" w:lineRule="exact"/>
        <w:rPr>
          <w:sz w:val="20"/>
          <w:szCs w:val="20"/>
          <w:color w:val="auto"/>
        </w:rPr>
      </w:pPr>
    </w:p>
    <w:p>
      <w:pPr>
        <w:jc w:val="both"/>
        <w:ind w:firstLine="353"/>
        <w:spacing w:after="0" w:line="264" w:lineRule="auto"/>
        <w:rPr>
          <w:sz w:val="20"/>
          <w:szCs w:val="20"/>
          <w:color w:val="auto"/>
        </w:rPr>
      </w:pPr>
      <w:r>
        <w:rPr>
          <w:rFonts w:ascii="Arial" w:cs="Arial" w:eastAsia="Arial" w:hAnsi="Arial"/>
          <w:sz w:val="19"/>
          <w:szCs w:val="19"/>
          <w:color w:val="auto"/>
        </w:rPr>
        <w:t>We have indexed annuities and IUL contracts that permit the holder to elect an interest rate return or an equity index linked component, where interest credited to the contracts is linked to the performance of various equity indices, such as the S&amp;P 500 Index. This feature represents an embedded derivative under GAAP. The indexed annuities/IUL embedded derivatives are valued at fair value and included in the liability for Contractholder funds in the Consolidated Balance Sheets with the ceded portion of the reinsured indexed crediting feature embedded derivatives recorded as a component of the Reinsurance recoverable in the Consolidated Balance Sheets. Changes in fair value are included as a component of Benefits and other changes in policy reserves in the Consolidated Statements of Operations.</w:t>
      </w:r>
    </w:p>
    <w:p>
      <w:pPr>
        <w:spacing w:after="0" w:line="82" w:lineRule="exact"/>
        <w:rPr>
          <w:sz w:val="20"/>
          <w:szCs w:val="20"/>
          <w:color w:val="auto"/>
        </w:rPr>
      </w:pPr>
    </w:p>
    <w:p>
      <w:pPr>
        <w:jc w:val="both"/>
        <w:ind w:firstLine="353"/>
        <w:spacing w:after="0" w:line="258" w:lineRule="auto"/>
        <w:rPr>
          <w:sz w:val="20"/>
          <w:szCs w:val="20"/>
          <w:color w:val="auto"/>
        </w:rPr>
      </w:pPr>
      <w:r>
        <w:rPr>
          <w:rFonts w:ascii="Arial" w:cs="Arial" w:eastAsia="Arial" w:hAnsi="Arial"/>
          <w:sz w:val="20"/>
          <w:szCs w:val="20"/>
          <w:color w:val="auto"/>
        </w:rPr>
        <w:t>For life-contingent immediate annuity policies, gross premiums received in excess of net premiums are deferred at initial recognition as a deferred profit liability (“DPL”). Gross premiums are measured using assumptions consistent with those used in the measurement of the related liability for FPBs.</w:t>
      </w:r>
    </w:p>
    <w:p>
      <w:pPr>
        <w:spacing w:after="0" w:line="74" w:lineRule="exact"/>
        <w:rPr>
          <w:sz w:val="20"/>
          <w:szCs w:val="20"/>
          <w:color w:val="auto"/>
        </w:rPr>
      </w:pPr>
    </w:p>
    <w:p>
      <w:pPr>
        <w:ind w:left="340"/>
        <w:spacing w:after="0"/>
        <w:rPr>
          <w:sz w:val="20"/>
          <w:szCs w:val="20"/>
          <w:color w:val="auto"/>
        </w:rPr>
      </w:pPr>
      <w:r>
        <w:rPr>
          <w:rFonts w:ascii="Arial" w:cs="Arial" w:eastAsia="Arial" w:hAnsi="Arial"/>
          <w:sz w:val="20"/>
          <w:szCs w:val="20"/>
          <w:b w:val="1"/>
          <w:bCs w:val="1"/>
          <w:i w:val="1"/>
          <w:iCs w:val="1"/>
          <w:color w:val="auto"/>
        </w:rPr>
        <w:t>Valuation of Fixed Maturity, Preferred and Equity Securities and Derivatives</w:t>
      </w:r>
    </w:p>
    <w:p>
      <w:pPr>
        <w:spacing w:after="0" w:line="110" w:lineRule="exact"/>
        <w:rPr>
          <w:sz w:val="20"/>
          <w:szCs w:val="20"/>
          <w:color w:val="auto"/>
        </w:rPr>
      </w:pPr>
    </w:p>
    <w:p>
      <w:pPr>
        <w:jc w:val="both"/>
        <w:ind w:firstLine="353"/>
        <w:spacing w:after="0" w:line="251" w:lineRule="auto"/>
        <w:rPr>
          <w:sz w:val="20"/>
          <w:szCs w:val="20"/>
          <w:color w:val="auto"/>
        </w:rPr>
      </w:pPr>
      <w:r>
        <w:rPr>
          <w:rFonts w:ascii="Arial" w:cs="Arial" w:eastAsia="Arial" w:hAnsi="Arial"/>
          <w:sz w:val="19"/>
          <w:szCs w:val="19"/>
          <w:color w:val="auto"/>
        </w:rPr>
        <w:t>Our investments in fixed maturity securities have been designated as available-for-sale (“AFS”) and are carried at fair value, net of allowance for expected credit losses, with unrealized gains and losses included within accumulated other comprehensive earnings (loss) (“AOCI”), net of deferred income taxes. Our equity securities are carried at fair value with unrealized gains and losses included in net earnings. Realized gains and losses on the sale of investments are determined on the basis of specific identification and are credited or charged to income on a trade date basis.</w:t>
      </w:r>
    </w:p>
    <w:p>
      <w:pPr>
        <w:spacing w:after="0" w:line="175" w:lineRule="exact"/>
        <w:rPr>
          <w:sz w:val="20"/>
          <w:szCs w:val="20"/>
          <w:color w:val="auto"/>
        </w:rPr>
      </w:pPr>
    </w:p>
    <w:p>
      <w:pPr>
        <w:jc w:val="both"/>
        <w:ind w:firstLine="353"/>
        <w:spacing w:after="0" w:line="296" w:lineRule="auto"/>
        <w:rPr>
          <w:sz w:val="20"/>
          <w:szCs w:val="20"/>
          <w:color w:val="auto"/>
        </w:rPr>
      </w:pPr>
      <w:r>
        <w:rPr>
          <w:rFonts w:ascii="Arial" w:cs="Arial" w:eastAsia="Arial" w:hAnsi="Arial"/>
          <w:sz w:val="17"/>
          <w:szCs w:val="17"/>
          <w:color w:val="auto"/>
        </w:rPr>
        <w:t>Management’s assessment of all available data when determining fair value of the AFS securities is necessary to appropriately apply fair value accounting. Management utilizes information from independent pricing services, who take into account perceived market movements and sector news, as well as a security’s terms and conditions, including any features specific to that issue that may influence risk and marketability. Depending on the security, the priority of the use of observable market inputs may change as some observable market inputs may not be relevant or additional inputs may be necessary. We generally obtain one value from our primary external pricing service. In situations where a price is not available from the independent pricing service, we may obtain broker quotes or prices from additional parties recognized to be market participants. We believe the broker quotes are prices at which trades could be executed based on historical trades executed at broker-quoted or slightly higher prices. When quoted prices in active markets are not available, the determination of estimated fair value is based on market standard valuation methodologies, including discounted cash flows, matrix pricing or other similar techniques.</w:t>
      </w:r>
    </w:p>
    <w:p>
      <w:pPr>
        <w:spacing w:after="0" w:line="59" w:lineRule="exact"/>
        <w:rPr>
          <w:sz w:val="20"/>
          <w:szCs w:val="20"/>
          <w:color w:val="auto"/>
        </w:rPr>
      </w:pPr>
    </w:p>
    <w:p>
      <w:pPr>
        <w:jc w:val="both"/>
        <w:ind w:firstLine="353"/>
        <w:spacing w:after="0" w:line="325" w:lineRule="auto"/>
        <w:rPr>
          <w:sz w:val="20"/>
          <w:szCs w:val="20"/>
          <w:color w:val="auto"/>
        </w:rPr>
      </w:pPr>
      <w:r>
        <w:rPr>
          <w:rFonts w:ascii="Arial" w:cs="Arial" w:eastAsia="Arial" w:hAnsi="Arial"/>
          <w:sz w:val="17"/>
          <w:szCs w:val="17"/>
          <w:color w:val="auto"/>
        </w:rPr>
        <w:t xml:space="preserve">We validate external valuations at least quarterly through a combination of procedures that include the evaluation of methodologies used by the pricing services, comparisons to valuations from other independent pricing services, analytical reviews and performance analysis of the prices against trends, and maintenance of a securities watch list. See Note C </w:t>
      </w:r>
      <w:r>
        <w:rPr>
          <w:rFonts w:ascii="Arial" w:cs="Arial" w:eastAsia="Arial" w:hAnsi="Arial"/>
          <w:sz w:val="17"/>
          <w:szCs w:val="17"/>
          <w:b w:val="1"/>
          <w:bCs w:val="1"/>
          <w:i w:val="1"/>
          <w:iCs w:val="1"/>
          <w:color w:val="auto"/>
        </w:rPr>
        <w:t>Fair</w:t>
      </w:r>
    </w:p>
    <w:p>
      <w:pPr>
        <w:sectPr>
          <w:pgSz w:w="11880" w:h="15480" w:orient="portrait"/>
          <w:cols w:equalWidth="0" w:num="1">
            <w:col w:w="10040"/>
          </w:cols>
          <w:pgMar w:left="920" w:top="640"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64</w:t>
      </w:r>
    </w:p>
    <w:p>
      <w:pPr>
        <w:sectPr>
          <w:pgSz w:w="11880" w:h="15480" w:orient="portrait"/>
          <w:cols w:equalWidth="0" w:num="1">
            <w:col w:w="10040"/>
          </w:cols>
          <w:pgMar w:left="920" w:top="640" w:right="920" w:bottom="0" w:gutter="0" w:footer="0" w:header="0"/>
          <w:type w:val="continuous"/>
        </w:sectPr>
      </w:pPr>
    </w:p>
    <w:bookmarkStart w:id="76" w:name="page77"/>
    <w:bookmarkEnd w:id="76"/>
    <w:p>
      <w:pPr>
        <w:jc w:val="both"/>
        <w:spacing w:after="0" w:line="273" w:lineRule="auto"/>
        <w:rPr>
          <w:sz w:val="20"/>
          <w:szCs w:val="20"/>
          <w:color w:val="auto"/>
        </w:rPr>
      </w:pPr>
      <w:r>
        <w:rPr>
          <w:rFonts w:ascii="Arial" w:cs="Arial" w:eastAsia="Arial" w:hAnsi="Arial"/>
          <w:sz w:val="20"/>
          <w:szCs w:val="20"/>
          <w:b w:val="1"/>
          <w:bCs w:val="1"/>
          <w:i w:val="1"/>
          <w:iCs w:val="1"/>
          <w:color w:val="auto"/>
        </w:rPr>
        <w:t xml:space="preserve">Value of Financial Instruments </w:t>
      </w:r>
      <w:r>
        <w:rPr>
          <w:rFonts w:ascii="Arial" w:cs="Arial" w:eastAsia="Arial" w:hAnsi="Arial"/>
          <w:sz w:val="20"/>
          <w:szCs w:val="20"/>
          <w:color w:val="auto"/>
        </w:rPr>
        <w:t>and Note D</w:t>
      </w:r>
      <w:r>
        <w:rPr>
          <w:rFonts w:ascii="Arial" w:cs="Arial" w:eastAsia="Arial" w:hAnsi="Arial"/>
          <w:sz w:val="20"/>
          <w:szCs w:val="20"/>
          <w:b w:val="1"/>
          <w:bCs w:val="1"/>
          <w:i w:val="1"/>
          <w:iCs w:val="1"/>
          <w:color w:val="auto"/>
        </w:rPr>
        <w:t xml:space="preserve"> Investments </w:t>
      </w:r>
      <w:r>
        <w:rPr>
          <w:rFonts w:ascii="Arial" w:cs="Arial" w:eastAsia="Arial" w:hAnsi="Arial"/>
          <w:sz w:val="20"/>
          <w:szCs w:val="20"/>
          <w:color w:val="auto"/>
        </w:rPr>
        <w:t>to our Consolidated Financial Statements included in Item 8 of Part II</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of this Annual Report on Form 10-K.</w:t>
      </w:r>
    </w:p>
    <w:p>
      <w:pPr>
        <w:spacing w:after="0" w:line="67" w:lineRule="exact"/>
        <w:rPr>
          <w:sz w:val="20"/>
          <w:szCs w:val="20"/>
          <w:color w:val="auto"/>
        </w:rPr>
      </w:pPr>
    </w:p>
    <w:p>
      <w:pPr>
        <w:jc w:val="both"/>
        <w:ind w:firstLine="353"/>
        <w:spacing w:after="0" w:line="293" w:lineRule="auto"/>
        <w:rPr>
          <w:sz w:val="20"/>
          <w:szCs w:val="20"/>
          <w:color w:val="auto"/>
        </w:rPr>
      </w:pPr>
      <w:r>
        <w:rPr>
          <w:rFonts w:ascii="Arial" w:cs="Arial" w:eastAsia="Arial" w:hAnsi="Arial"/>
          <w:sz w:val="17"/>
          <w:szCs w:val="17"/>
          <w:color w:val="auto"/>
        </w:rPr>
        <w:t xml:space="preserve">The fair value of derivative assets and liabilities is based upon valuation pricing models or independent broker quotes and represents what we would expect to receive or pay at the balance sheet date if we canceled or exercised the derivative or entered into offsetting positions. Fair values for instruments utilizing valuation pricing models are determined internally using a conventional model and market observable inputs, including interest rates, yield curve volatilities and other factors. Credit risk related to the counterparty is considered when estimating the fair values of these derivatives. However, we are largely protected by collateral arrangements with counterparties when individual counterparty exposures exceed certain thresholds. The fair value of futures contracts (specifically for indexed annuities contracts) at the balance sheet date represents the cumulative unsettled variation margin (open trade equity net of cash settlements). The fair value of an interest rate swap represents the change in projected interest rates between the reporting date and the date the interest rate swap was executed. The fair values of the embedded derivatives in our indexed annuities and IUL contracts are derived using market value of options, use of current and budgeted option cost, swap rates, mortality rates, surrender rates, partial withdrawals and non-performance spread. The discount rate used to determine the fair value of our indexed annuities/IUL embedded derivative liabilities includes an adjustment to reflect the risk that these obligations will not be fulfilled (“non-performance risk”). For the years ended December 31, 2025 and 2024, our non-performance risk adjustment was based on the expected loss due to default in debt obligations for similarly rated financial companies. See Note C </w:t>
      </w:r>
      <w:r>
        <w:rPr>
          <w:rFonts w:ascii="Arial" w:cs="Arial" w:eastAsia="Arial" w:hAnsi="Arial"/>
          <w:sz w:val="17"/>
          <w:szCs w:val="17"/>
          <w:b w:val="1"/>
          <w:bCs w:val="1"/>
          <w:i w:val="1"/>
          <w:iCs w:val="1"/>
          <w:color w:val="auto"/>
        </w:rPr>
        <w:t>Fair Value of Financial Instruments</w:t>
      </w:r>
      <w:r>
        <w:rPr>
          <w:rFonts w:ascii="Arial" w:cs="Arial" w:eastAsia="Arial" w:hAnsi="Arial"/>
          <w:sz w:val="17"/>
          <w:szCs w:val="17"/>
          <w:color w:val="auto"/>
        </w:rPr>
        <w:t xml:space="preserve"> and Note E </w:t>
      </w:r>
      <w:r>
        <w:rPr>
          <w:rFonts w:ascii="Arial" w:cs="Arial" w:eastAsia="Arial" w:hAnsi="Arial"/>
          <w:sz w:val="17"/>
          <w:szCs w:val="17"/>
          <w:b w:val="1"/>
          <w:bCs w:val="1"/>
          <w:i w:val="1"/>
          <w:iCs w:val="1"/>
          <w:color w:val="auto"/>
        </w:rPr>
        <w:t>Derivative Financial Instruments</w:t>
      </w:r>
      <w:r>
        <w:rPr>
          <w:rFonts w:ascii="Arial" w:cs="Arial" w:eastAsia="Arial" w:hAnsi="Arial"/>
          <w:sz w:val="17"/>
          <w:szCs w:val="17"/>
          <w:color w:val="auto"/>
        </w:rPr>
        <w:t xml:space="preserve"> to our Consolidated Financial Statements included in Item 8 of Part II of this Annual Report on Form 10-K.</w:t>
      </w:r>
    </w:p>
    <w:p>
      <w:pPr>
        <w:spacing w:after="0" w:line="63" w:lineRule="exact"/>
        <w:rPr>
          <w:sz w:val="20"/>
          <w:szCs w:val="20"/>
          <w:color w:val="auto"/>
        </w:rPr>
      </w:pPr>
    </w:p>
    <w:p>
      <w:pPr>
        <w:jc w:val="both"/>
        <w:ind w:firstLine="441"/>
        <w:spacing w:after="0" w:line="293" w:lineRule="auto"/>
        <w:rPr>
          <w:sz w:val="20"/>
          <w:szCs w:val="20"/>
          <w:color w:val="auto"/>
        </w:rPr>
      </w:pPr>
      <w:r>
        <w:rPr>
          <w:rFonts w:ascii="Arial" w:cs="Arial" w:eastAsia="Arial" w:hAnsi="Arial"/>
          <w:sz w:val="17"/>
          <w:szCs w:val="17"/>
          <w:color w:val="auto"/>
        </w:rPr>
        <w:t xml:space="preserve">F&amp;G cedes certain business on a coinsurance funds withheld basis. Assets supporting the arrangements are reported within Funds withheld for reinsurance liabilities on our Consolidated Balance Sheets. All assets within the Funds withheld for reinsurance liabilities are recorded in a manner consistent with each respective item of our accounting policies discussed in Note A </w:t>
      </w:r>
      <w:r>
        <w:rPr>
          <w:rFonts w:ascii="Arial" w:cs="Arial" w:eastAsia="Arial" w:hAnsi="Arial"/>
          <w:sz w:val="17"/>
          <w:szCs w:val="17"/>
          <w:b w:val="1"/>
          <w:bCs w:val="1"/>
          <w:i w:val="1"/>
          <w:iCs w:val="1"/>
          <w:color w:val="auto"/>
        </w:rPr>
        <w:t>Business and Summary of Significant Accounting Policies</w:t>
      </w:r>
      <w:r>
        <w:rPr>
          <w:rFonts w:ascii="Arial" w:cs="Arial" w:eastAsia="Arial" w:hAnsi="Arial"/>
          <w:sz w:val="17"/>
          <w:szCs w:val="17"/>
          <w:color w:val="auto"/>
        </w:rPr>
        <w:t xml:space="preserve"> to our Consolidated Financial Statements included in Part II - Item 8 of this Annual Report on Form 10-K. Investment results for the assets that support the coinsurance that are segregated within the funds withheld account are passed directly to the reinsurer pursuant to the contractual terms of the reinsurance arrangement, which creates embedded derivatives considered to be total return swaps. These embedded derivatives are not clearly and closely related to the underlying reinsurance agreement and thus require bifurcation. For arrangements reinsuring indexed annuities products, the funds withheld account additionally contains an embedded derivative representing the index credit obligation due the reinsurer, resulting in a compound embedded derivative. Beginning in 2025, these embedded derivatives are reported in Funds withheld for reinsurance liabilities, irrespective if in a net asset position or a net liability position, on the Consolidated Balance Sheets and prior periods have been reclassified from Prepaid expenses and other assets to conform with the current presentation. The related gains or losses are reported in Recognized gains and (losses), net on the Consolidated Statements of Earnings. Refer to Note C </w:t>
      </w:r>
      <w:r>
        <w:rPr>
          <w:rFonts w:ascii="Arial" w:cs="Arial" w:eastAsia="Arial" w:hAnsi="Arial"/>
          <w:sz w:val="17"/>
          <w:szCs w:val="17"/>
          <w:b w:val="1"/>
          <w:bCs w:val="1"/>
          <w:i w:val="1"/>
          <w:iCs w:val="1"/>
          <w:color w:val="auto"/>
        </w:rPr>
        <w:t>Fair Value of Financial Instruments</w:t>
      </w:r>
      <w:r>
        <w:rPr>
          <w:rFonts w:ascii="Arial" w:cs="Arial" w:eastAsia="Arial" w:hAnsi="Arial"/>
          <w:sz w:val="17"/>
          <w:szCs w:val="17"/>
          <w:color w:val="auto"/>
        </w:rPr>
        <w:t xml:space="preserve"> for descriptions of the fair value methodologies used for these and other derivative financial instruments and Note E </w:t>
      </w:r>
      <w:r>
        <w:rPr>
          <w:rFonts w:ascii="Arial" w:cs="Arial" w:eastAsia="Arial" w:hAnsi="Arial"/>
          <w:sz w:val="17"/>
          <w:szCs w:val="17"/>
          <w:b w:val="1"/>
          <w:bCs w:val="1"/>
          <w:i w:val="1"/>
          <w:iCs w:val="1"/>
          <w:color w:val="auto"/>
        </w:rPr>
        <w:t>Derivative Financial Instruments</w:t>
      </w:r>
      <w:r>
        <w:rPr>
          <w:rFonts w:ascii="Arial" w:cs="Arial" w:eastAsia="Arial" w:hAnsi="Arial"/>
          <w:sz w:val="17"/>
          <w:szCs w:val="17"/>
          <w:color w:val="auto"/>
        </w:rPr>
        <w:t xml:space="preserve"> and Note N </w:t>
      </w:r>
      <w:r>
        <w:rPr>
          <w:rFonts w:ascii="Arial" w:cs="Arial" w:eastAsia="Arial" w:hAnsi="Arial"/>
          <w:sz w:val="17"/>
          <w:szCs w:val="17"/>
          <w:b w:val="1"/>
          <w:bCs w:val="1"/>
          <w:i w:val="1"/>
          <w:iCs w:val="1"/>
          <w:color w:val="auto"/>
        </w:rPr>
        <w:t>F&amp;G Reinsurance</w:t>
      </w:r>
      <w:r>
        <w:rPr>
          <w:rFonts w:ascii="Arial" w:cs="Arial" w:eastAsia="Arial" w:hAnsi="Arial"/>
          <w:sz w:val="17"/>
          <w:szCs w:val="17"/>
          <w:color w:val="auto"/>
        </w:rPr>
        <w:t xml:space="preserve"> to our Consolidated Financial Statements included in Part II - Item 8 of this Annual Report on Form 10-K for additional information.</w:t>
      </w:r>
    </w:p>
    <w:p>
      <w:pPr>
        <w:spacing w:after="0" w:line="298" w:lineRule="exact"/>
        <w:rPr>
          <w:sz w:val="20"/>
          <w:szCs w:val="20"/>
          <w:color w:val="auto"/>
        </w:rPr>
      </w:pPr>
    </w:p>
    <w:p>
      <w:pPr>
        <w:jc w:val="both"/>
        <w:ind w:firstLine="353"/>
        <w:spacing w:after="0" w:line="249" w:lineRule="auto"/>
        <w:rPr>
          <w:sz w:val="20"/>
          <w:szCs w:val="20"/>
          <w:color w:val="auto"/>
        </w:rPr>
      </w:pPr>
      <w:r>
        <w:rPr>
          <w:rFonts w:ascii="Arial" w:cs="Arial" w:eastAsia="Arial" w:hAnsi="Arial"/>
          <w:sz w:val="20"/>
          <w:szCs w:val="20"/>
          <w:color w:val="auto"/>
        </w:rPr>
        <w:t>We categorize our fixed maturity securities, preferred securities, equity securities and derivatives into a three-level hierarchy based on the priority of the inputs to the valuation technique. The fair value hierarchy gives the highest priority to quoted prices in active markets for identical assets (Level 1) and the lowest priority to unobservable inputs (Level 3). If the inputs used to measure fair value fall within different levels of the hierarchy, the category level is based on the lowest priority level input that is significant to the fair value measurement of the instrument. The following table presents the fair value of fixed maturity securities and equity securities by pricing source, hierarchy level and net asset value (“NAV”) as of December 31, 2025 and 2024.</w:t>
      </w:r>
    </w:p>
    <w:p>
      <w:pPr>
        <w:sectPr>
          <w:pgSz w:w="11880" w:h="15480" w:orient="portrait"/>
          <w:cols w:equalWidth="0" w:num="1">
            <w:col w:w="10040"/>
          </w:cols>
          <w:pgMar w:left="920" w:top="638"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65</w:t>
      </w:r>
    </w:p>
    <w:p>
      <w:pPr>
        <w:sectPr>
          <w:pgSz w:w="11880" w:h="15480" w:orient="portrait"/>
          <w:cols w:equalWidth="0" w:num="1">
            <w:col w:w="10040"/>
          </w:cols>
          <w:pgMar w:left="920" w:top="638" w:right="920" w:bottom="0" w:gutter="0" w:footer="0" w:header="0"/>
          <w:type w:val="continuous"/>
        </w:sectPr>
      </w:pPr>
    </w:p>
    <w:bookmarkStart w:id="77" w:name="page78"/>
    <w:bookmarkEnd w:id="77"/>
    <w:tbl>
      <w:tblPr>
        <w:tblLayout w:type="fixed"/>
        <w:tblInd w:w="40" w:type="dxa"/>
        <w:tblCellMar>
          <w:top w:w="0" w:type="dxa"/>
          <w:left w:w="0" w:type="dxa"/>
          <w:bottom w:w="0" w:type="dxa"/>
          <w:right w:w="0" w:type="dxa"/>
        </w:tblCellMar>
      </w:tblPr>
      <w:tr>
        <w:trPr>
          <w:trHeight w:val="213"/>
        </w:trPr>
        <w:tc>
          <w:tcPr>
            <w:tcW w:w="30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740" w:type="dxa"/>
            <w:vAlign w:val="bottom"/>
            <w:tcBorders>
              <w:bottom w:val="single" w:sz="8" w:color="auto"/>
            </w:tcBorders>
            <w:gridSpan w:val="4"/>
          </w:tcPr>
          <w:p>
            <w:pPr>
              <w:jc w:val="center"/>
              <w:ind w:left="522"/>
              <w:spacing w:after="0"/>
              <w:rPr>
                <w:sz w:val="20"/>
                <w:szCs w:val="20"/>
                <w:color w:val="auto"/>
              </w:rPr>
            </w:pPr>
            <w:r>
              <w:rPr>
                <w:rFonts w:ascii="Arial" w:cs="Arial" w:eastAsia="Arial" w:hAnsi="Arial"/>
                <w:sz w:val="16"/>
                <w:szCs w:val="16"/>
                <w:b w:val="1"/>
                <w:bCs w:val="1"/>
                <w:color w:val="auto"/>
                <w:w w:val="88"/>
              </w:rPr>
              <w:t>As of December 31, 2025</w:t>
            </w:r>
          </w:p>
        </w:tc>
        <w:tc>
          <w:tcPr>
            <w:tcW w:w="6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77"/>
        </w:trPr>
        <w:tc>
          <w:tcPr>
            <w:tcW w:w="30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00" w:type="dxa"/>
            <w:vAlign w:val="bottom"/>
          </w:tcPr>
          <w:p>
            <w:pPr>
              <w:jc w:val="center"/>
              <w:ind w:right="82"/>
              <w:spacing w:after="0" w:line="177" w:lineRule="exact"/>
              <w:rPr>
                <w:sz w:val="20"/>
                <w:szCs w:val="20"/>
                <w:color w:val="auto"/>
              </w:rPr>
            </w:pPr>
            <w:r>
              <w:rPr>
                <w:rFonts w:ascii="Arial" w:cs="Arial" w:eastAsia="Arial" w:hAnsi="Arial"/>
                <w:sz w:val="16"/>
                <w:szCs w:val="16"/>
                <w:b w:val="1"/>
                <w:bCs w:val="1"/>
                <w:color w:val="auto"/>
                <w:w w:val="86"/>
              </w:rPr>
              <w:t>Quoted Prices in</w:t>
            </w: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0" w:type="dxa"/>
            <w:vAlign w:val="bottom"/>
            <w:vMerge w:val="restart"/>
          </w:tcPr>
          <w:p>
            <w:pPr>
              <w:jc w:val="center"/>
              <w:ind w:right="162"/>
              <w:spacing w:after="0"/>
              <w:rPr>
                <w:sz w:val="20"/>
                <w:szCs w:val="20"/>
                <w:color w:val="auto"/>
              </w:rPr>
            </w:pPr>
            <w:r>
              <w:rPr>
                <w:rFonts w:ascii="Arial" w:cs="Arial" w:eastAsia="Arial" w:hAnsi="Arial"/>
                <w:sz w:val="16"/>
                <w:szCs w:val="16"/>
                <w:b w:val="1"/>
                <w:bCs w:val="1"/>
                <w:color w:val="auto"/>
                <w:w w:val="87"/>
              </w:rPr>
              <w:t>Significant</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60" w:type="dxa"/>
            <w:vAlign w:val="bottom"/>
          </w:tcPr>
          <w:p>
            <w:pPr>
              <w:jc w:val="right"/>
              <w:ind w:right="302"/>
              <w:spacing w:after="0" w:line="177" w:lineRule="exact"/>
              <w:rPr>
                <w:sz w:val="20"/>
                <w:szCs w:val="20"/>
                <w:color w:val="auto"/>
              </w:rPr>
            </w:pPr>
            <w:r>
              <w:rPr>
                <w:rFonts w:ascii="Arial" w:cs="Arial" w:eastAsia="Arial" w:hAnsi="Arial"/>
                <w:sz w:val="16"/>
                <w:szCs w:val="16"/>
                <w:b w:val="1"/>
                <w:bCs w:val="1"/>
                <w:color w:val="auto"/>
              </w:rPr>
              <w:t>Significant</w:t>
            </w: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7"/>
        </w:trPr>
        <w:tc>
          <w:tcPr>
            <w:tcW w:w="3040" w:type="dxa"/>
            <w:vAlign w:val="bottom"/>
          </w:tcPr>
          <w:p>
            <w:pPr>
              <w:spacing w:after="0"/>
              <w:rPr>
                <w:sz w:val="13"/>
                <w:szCs w:val="13"/>
                <w:color w:val="auto"/>
              </w:rPr>
            </w:pPr>
          </w:p>
        </w:tc>
        <w:tc>
          <w:tcPr>
            <w:tcW w:w="1460" w:type="dxa"/>
            <w:vAlign w:val="bottom"/>
            <w:gridSpan w:val="2"/>
          </w:tcPr>
          <w:p>
            <w:pPr>
              <w:jc w:val="center"/>
              <w:spacing w:after="0" w:line="157" w:lineRule="exact"/>
              <w:rPr>
                <w:sz w:val="20"/>
                <w:szCs w:val="20"/>
                <w:color w:val="auto"/>
              </w:rPr>
            </w:pPr>
            <w:r>
              <w:rPr>
                <w:rFonts w:ascii="Arial" w:cs="Arial" w:eastAsia="Arial" w:hAnsi="Arial"/>
                <w:sz w:val="16"/>
                <w:szCs w:val="16"/>
                <w:b w:val="1"/>
                <w:bCs w:val="1"/>
                <w:color w:val="auto"/>
                <w:w w:val="90"/>
              </w:rPr>
              <w:t>Active Markets for</w:t>
            </w: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60" w:type="dxa"/>
            <w:vAlign w:val="bottom"/>
          </w:tcPr>
          <w:p>
            <w:pPr>
              <w:jc w:val="center"/>
              <w:ind w:right="142"/>
              <w:spacing w:after="0" w:line="157" w:lineRule="exact"/>
              <w:rPr>
                <w:sz w:val="20"/>
                <w:szCs w:val="20"/>
                <w:color w:val="auto"/>
              </w:rPr>
            </w:pPr>
            <w:r>
              <w:rPr>
                <w:rFonts w:ascii="Arial" w:cs="Arial" w:eastAsia="Arial" w:hAnsi="Arial"/>
                <w:sz w:val="16"/>
                <w:szCs w:val="16"/>
                <w:b w:val="1"/>
                <w:bCs w:val="1"/>
                <w:color w:val="auto"/>
                <w:w w:val="86"/>
              </w:rPr>
              <w:t>Unobservable</w:t>
            </w: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30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00" w:type="dxa"/>
            <w:vAlign w:val="bottom"/>
          </w:tcPr>
          <w:p>
            <w:pPr>
              <w:jc w:val="center"/>
              <w:ind w:right="82"/>
              <w:spacing w:after="0" w:line="157" w:lineRule="exact"/>
              <w:rPr>
                <w:sz w:val="20"/>
                <w:szCs w:val="20"/>
                <w:color w:val="auto"/>
              </w:rPr>
            </w:pPr>
            <w:r>
              <w:rPr>
                <w:rFonts w:ascii="Arial" w:cs="Arial" w:eastAsia="Arial" w:hAnsi="Arial"/>
                <w:sz w:val="16"/>
                <w:szCs w:val="16"/>
                <w:b w:val="1"/>
                <w:bCs w:val="1"/>
                <w:color w:val="auto"/>
                <w:w w:val="86"/>
              </w:rPr>
              <w:t>Identical Assets</w:t>
            </w:r>
          </w:p>
        </w:tc>
        <w:tc>
          <w:tcPr>
            <w:tcW w:w="60" w:type="dxa"/>
            <w:vAlign w:val="bottom"/>
          </w:tcPr>
          <w:p>
            <w:pPr>
              <w:spacing w:after="0"/>
              <w:rPr>
                <w:sz w:val="13"/>
                <w:szCs w:val="13"/>
                <w:color w:val="auto"/>
              </w:rPr>
            </w:pPr>
          </w:p>
        </w:tc>
        <w:tc>
          <w:tcPr>
            <w:tcW w:w="1460" w:type="dxa"/>
            <w:vAlign w:val="bottom"/>
            <w:gridSpan w:val="2"/>
          </w:tcPr>
          <w:p>
            <w:pPr>
              <w:jc w:val="center"/>
              <w:spacing w:after="0" w:line="157" w:lineRule="exact"/>
              <w:rPr>
                <w:sz w:val="20"/>
                <w:szCs w:val="20"/>
                <w:color w:val="auto"/>
              </w:rPr>
            </w:pPr>
            <w:r>
              <w:rPr>
                <w:rFonts w:ascii="Arial" w:cs="Arial" w:eastAsia="Arial" w:hAnsi="Arial"/>
                <w:sz w:val="16"/>
                <w:szCs w:val="16"/>
                <w:b w:val="1"/>
                <w:bCs w:val="1"/>
                <w:color w:val="auto"/>
                <w:w w:val="88"/>
              </w:rPr>
              <w:t>Observable Inputs</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60" w:type="dxa"/>
            <w:vAlign w:val="bottom"/>
          </w:tcPr>
          <w:p>
            <w:pPr>
              <w:jc w:val="center"/>
              <w:ind w:right="142"/>
              <w:spacing w:after="0" w:line="157" w:lineRule="exact"/>
              <w:rPr>
                <w:sz w:val="20"/>
                <w:szCs w:val="20"/>
                <w:color w:val="auto"/>
              </w:rPr>
            </w:pPr>
            <w:r>
              <w:rPr>
                <w:rFonts w:ascii="Arial" w:cs="Arial" w:eastAsia="Arial" w:hAnsi="Arial"/>
                <w:sz w:val="16"/>
                <w:szCs w:val="16"/>
                <w:b w:val="1"/>
                <w:bCs w:val="1"/>
                <w:color w:val="auto"/>
                <w:w w:val="91"/>
              </w:rPr>
              <w:t>Inputs</w:t>
            </w: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60" w:type="dxa"/>
            <w:vAlign w:val="bottom"/>
            <w:vMerge w:val="restart"/>
          </w:tcPr>
          <w:p>
            <w:pPr>
              <w:ind w:left="80"/>
              <w:spacing w:after="0"/>
              <w:rPr>
                <w:sz w:val="20"/>
                <w:szCs w:val="20"/>
                <w:color w:val="auto"/>
              </w:rPr>
            </w:pPr>
            <w:r>
              <w:rPr>
                <w:rFonts w:ascii="Arial" w:cs="Arial" w:eastAsia="Arial" w:hAnsi="Arial"/>
                <w:sz w:val="16"/>
                <w:szCs w:val="16"/>
                <w:b w:val="1"/>
                <w:bCs w:val="1"/>
                <w:color w:val="auto"/>
              </w:rPr>
              <w:t>NAV</w:t>
            </w:r>
          </w:p>
        </w:tc>
        <w:tc>
          <w:tcPr>
            <w:tcW w:w="40" w:type="dxa"/>
            <w:vAlign w:val="bottom"/>
            <w:gridSpan w:val="2"/>
            <w:vMerge w:val="restart"/>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gridSpan w:val="2"/>
            <w:vMerge w:val="restart"/>
          </w:tcPr>
          <w:p>
            <w:pPr>
              <w:jc w:val="right"/>
              <w:ind w:right="460"/>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0"/>
        </w:trPr>
        <w:tc>
          <w:tcPr>
            <w:tcW w:w="30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382"/>
              <w:spacing w:after="0"/>
              <w:rPr>
                <w:sz w:val="20"/>
                <w:szCs w:val="20"/>
                <w:color w:val="auto"/>
              </w:rPr>
            </w:pPr>
            <w:r>
              <w:rPr>
                <w:rFonts w:ascii="Arial" w:cs="Arial" w:eastAsia="Arial" w:hAnsi="Arial"/>
                <w:sz w:val="16"/>
                <w:szCs w:val="16"/>
                <w:b w:val="1"/>
                <w:bCs w:val="1"/>
                <w:color w:val="auto"/>
              </w:rPr>
              <w:t>(Level 1)</w:t>
            </w:r>
          </w:p>
        </w:tc>
        <w:tc>
          <w:tcPr>
            <w:tcW w:w="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center"/>
              <w:ind w:right="162"/>
              <w:spacing w:after="0"/>
              <w:rPr>
                <w:sz w:val="20"/>
                <w:szCs w:val="20"/>
                <w:color w:val="auto"/>
              </w:rPr>
            </w:pPr>
            <w:r>
              <w:rPr>
                <w:rFonts w:ascii="Arial" w:cs="Arial" w:eastAsia="Arial" w:hAnsi="Arial"/>
                <w:sz w:val="16"/>
                <w:szCs w:val="16"/>
                <w:b w:val="1"/>
                <w:bCs w:val="1"/>
                <w:color w:val="auto"/>
                <w:w w:val="92"/>
              </w:rPr>
              <w:t>(Level 2)</w:t>
            </w:r>
          </w:p>
        </w:tc>
        <w:tc>
          <w:tcPr>
            <w:tcW w:w="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center"/>
              <w:ind w:right="162"/>
              <w:spacing w:after="0"/>
              <w:rPr>
                <w:sz w:val="20"/>
                <w:szCs w:val="20"/>
                <w:color w:val="auto"/>
              </w:rPr>
            </w:pPr>
            <w:r>
              <w:rPr>
                <w:rFonts w:ascii="Arial" w:cs="Arial" w:eastAsia="Arial" w:hAnsi="Arial"/>
                <w:sz w:val="16"/>
                <w:szCs w:val="16"/>
                <w:b w:val="1"/>
                <w:bCs w:val="1"/>
                <w:color w:val="auto"/>
                <w:w w:val="89"/>
              </w:rPr>
              <w:t>(Level 3)</w:t>
            </w:r>
          </w:p>
        </w:tc>
        <w:tc>
          <w:tcPr>
            <w:tcW w:w="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vMerge w:val="continue"/>
          </w:tcPr>
          <w:p>
            <w:pPr>
              <w:spacing w:after="0"/>
              <w:rPr>
                <w:sz w:val="18"/>
                <w:szCs w:val="18"/>
                <w:color w:val="auto"/>
              </w:rPr>
            </w:pPr>
          </w:p>
        </w:tc>
        <w:tc>
          <w:tcPr>
            <w:tcW w:w="40" w:type="dxa"/>
            <w:vAlign w:val="bottom"/>
            <w:gridSpan w:val="2"/>
            <w:vMerge w:val="continue"/>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3040" w:type="dxa"/>
            <w:vAlign w:val="bottom"/>
          </w:tcPr>
          <w:p>
            <w:pPr>
              <w:spacing w:after="0" w:line="182" w:lineRule="exact"/>
              <w:rPr>
                <w:sz w:val="20"/>
                <w:szCs w:val="20"/>
                <w:color w:val="auto"/>
              </w:rPr>
            </w:pPr>
            <w:r>
              <w:rPr>
                <w:rFonts w:ascii="Arial" w:cs="Arial" w:eastAsia="Arial" w:hAnsi="Arial"/>
                <w:sz w:val="16"/>
                <w:szCs w:val="16"/>
                <w:b w:val="1"/>
                <w:bCs w:val="1"/>
                <w:color w:val="auto"/>
                <w:w w:val="93"/>
              </w:rPr>
              <w:t>Fixed maturity securities available-for-sale</w:t>
            </w:r>
          </w:p>
        </w:tc>
        <w:tc>
          <w:tcPr>
            <w:tcW w:w="1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740" w:type="dxa"/>
            <w:vAlign w:val="bottom"/>
            <w:gridSpan w:val="4"/>
            <w:vMerge w:val="restart"/>
          </w:tcPr>
          <w:p>
            <w:pPr>
              <w:jc w:val="center"/>
              <w:ind w:left="522"/>
              <w:spacing w:after="0"/>
              <w:rPr>
                <w:sz w:val="20"/>
                <w:szCs w:val="20"/>
                <w:color w:val="auto"/>
              </w:rPr>
            </w:pPr>
            <w:r>
              <w:rPr>
                <w:rFonts w:ascii="Arial" w:cs="Arial" w:eastAsia="Arial" w:hAnsi="Arial"/>
                <w:sz w:val="16"/>
                <w:szCs w:val="16"/>
                <w:b w:val="1"/>
                <w:bCs w:val="1"/>
                <w:color w:val="auto"/>
                <w:w w:val="90"/>
              </w:rPr>
              <w:t>(Dollars in millions)</w:t>
            </w: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3040" w:type="dxa"/>
            <w:vAlign w:val="bottom"/>
          </w:tcPr>
          <w:p>
            <w:pPr>
              <w:spacing w:after="0"/>
              <w:rPr>
                <w:sz w:val="20"/>
                <w:szCs w:val="20"/>
                <w:color w:val="auto"/>
              </w:rPr>
            </w:pPr>
            <w:r>
              <w:rPr>
                <w:rFonts w:ascii="Arial" w:cs="Arial" w:eastAsia="Arial" w:hAnsi="Arial"/>
                <w:sz w:val="16"/>
                <w:szCs w:val="16"/>
                <w:b w:val="1"/>
                <w:bCs w:val="1"/>
                <w:color w:val="auto"/>
              </w:rPr>
              <w:t>and equity securities:</w:t>
            </w: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740" w:type="dxa"/>
            <w:vAlign w:val="bottom"/>
            <w:gridSpan w:val="4"/>
            <w:vMerge w:val="continue"/>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6"/>
        </w:trPr>
        <w:tc>
          <w:tcPr>
            <w:tcW w:w="3040" w:type="dxa"/>
            <w:vAlign w:val="bottom"/>
          </w:tcPr>
          <w:p>
            <w:pPr>
              <w:ind w:left="140"/>
              <w:spacing w:after="0"/>
              <w:rPr>
                <w:sz w:val="20"/>
                <w:szCs w:val="20"/>
                <w:color w:val="auto"/>
              </w:rPr>
            </w:pPr>
            <w:r>
              <w:rPr>
                <w:rFonts w:ascii="Arial" w:cs="Arial" w:eastAsia="Arial" w:hAnsi="Arial"/>
                <w:sz w:val="16"/>
                <w:szCs w:val="16"/>
                <w:color w:val="auto"/>
              </w:rPr>
              <w:t>Prices via third-party pricing services</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122"/>
              <w:spacing w:after="0"/>
              <w:rPr>
                <w:sz w:val="20"/>
                <w:szCs w:val="20"/>
                <w:color w:val="auto"/>
              </w:rPr>
            </w:pPr>
            <w:r>
              <w:rPr>
                <w:rFonts w:ascii="Arial" w:cs="Arial" w:eastAsia="Arial" w:hAnsi="Arial"/>
                <w:sz w:val="16"/>
                <w:szCs w:val="16"/>
                <w:color w:val="auto"/>
              </w:rPr>
              <w:t>1,752</w:t>
            </w:r>
          </w:p>
        </w:tc>
        <w:tc>
          <w:tcPr>
            <w:tcW w:w="320" w:type="dxa"/>
            <w:vAlign w:val="bottom"/>
            <w:gridSpan w:val="2"/>
          </w:tcPr>
          <w:p>
            <w:pPr>
              <w:jc w:val="right"/>
              <w:ind w:right="42"/>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122"/>
              <w:spacing w:after="0"/>
              <w:rPr>
                <w:sz w:val="20"/>
                <w:szCs w:val="20"/>
                <w:color w:val="auto"/>
              </w:rPr>
            </w:pPr>
            <w:r>
              <w:rPr>
                <w:rFonts w:ascii="Arial" w:cs="Arial" w:eastAsia="Arial" w:hAnsi="Arial"/>
                <w:sz w:val="16"/>
                <w:szCs w:val="16"/>
                <w:color w:val="auto"/>
              </w:rPr>
              <w:t>40,408</w:t>
            </w:r>
          </w:p>
        </w:tc>
        <w:tc>
          <w:tcPr>
            <w:tcW w:w="28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122"/>
              <w:spacing w:after="0"/>
              <w:rPr>
                <w:sz w:val="20"/>
                <w:szCs w:val="20"/>
                <w:color w:val="auto"/>
              </w:rPr>
            </w:pPr>
            <w:r>
              <w:rPr>
                <w:rFonts w:ascii="Arial" w:cs="Arial" w:eastAsia="Arial" w:hAnsi="Arial"/>
                <w:sz w:val="16"/>
                <w:szCs w:val="16"/>
                <w:color w:val="auto"/>
              </w:rPr>
              <w:t>764</w:t>
            </w:r>
          </w:p>
        </w:tc>
        <w:tc>
          <w:tcPr>
            <w:tcW w:w="3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800" w:type="dxa"/>
            <w:vAlign w:val="bottom"/>
            <w:gridSpan w:val="3"/>
          </w:tcPr>
          <w:p>
            <w:pPr>
              <w:ind w:left="400"/>
              <w:spacing w:after="0"/>
              <w:rPr>
                <w:sz w:val="20"/>
                <w:szCs w:val="20"/>
                <w:color w:val="auto"/>
              </w:rPr>
            </w:pPr>
            <w:r>
              <w:rPr>
                <w:rFonts w:ascii="Arial" w:cs="Arial" w:eastAsia="Arial" w:hAnsi="Arial"/>
                <w:sz w:val="16"/>
                <w:szCs w:val="16"/>
                <w:color w:val="auto"/>
              </w:rPr>
              <w:t>—</w:t>
            </w:r>
          </w:p>
        </w:tc>
        <w:tc>
          <w:tcPr>
            <w:tcW w:w="3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82"/>
              <w:spacing w:after="0"/>
              <w:rPr>
                <w:sz w:val="20"/>
                <w:szCs w:val="20"/>
                <w:color w:val="auto"/>
              </w:rPr>
            </w:pPr>
            <w:r>
              <w:rPr>
                <w:rFonts w:ascii="Arial" w:cs="Arial" w:eastAsia="Arial" w:hAnsi="Arial"/>
                <w:sz w:val="16"/>
                <w:szCs w:val="16"/>
                <w:color w:val="auto"/>
              </w:rPr>
              <w:t>42,924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3040" w:type="dxa"/>
            <w:vAlign w:val="bottom"/>
          </w:tcPr>
          <w:p>
            <w:pPr>
              <w:ind w:left="140"/>
              <w:spacing w:after="0"/>
              <w:rPr>
                <w:sz w:val="20"/>
                <w:szCs w:val="20"/>
                <w:color w:val="auto"/>
              </w:rPr>
            </w:pPr>
            <w:r>
              <w:rPr>
                <w:rFonts w:ascii="Arial" w:cs="Arial" w:eastAsia="Arial" w:hAnsi="Arial"/>
                <w:sz w:val="16"/>
                <w:szCs w:val="16"/>
                <w:color w:val="auto"/>
                <w:w w:val="99"/>
              </w:rPr>
              <w:t>Priced via independent broker quotations</w:t>
            </w:r>
          </w:p>
        </w:tc>
        <w:tc>
          <w:tcPr>
            <w:tcW w:w="160" w:type="dxa"/>
            <w:vAlign w:val="bottom"/>
          </w:tcPr>
          <w:p>
            <w:pPr>
              <w:spacing w:after="0"/>
              <w:rPr>
                <w:sz w:val="24"/>
                <w:szCs w:val="24"/>
                <w:color w:val="auto"/>
              </w:rPr>
            </w:pPr>
          </w:p>
        </w:tc>
        <w:tc>
          <w:tcPr>
            <w:tcW w:w="1300" w:type="dxa"/>
            <w:vAlign w:val="bottom"/>
          </w:tcPr>
          <w:p>
            <w:pPr>
              <w:jc w:val="right"/>
              <w:ind w:right="122"/>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jc w:val="right"/>
              <w:ind w:right="122"/>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jc w:val="right"/>
              <w:ind w:right="122"/>
              <w:spacing w:after="0"/>
              <w:rPr>
                <w:sz w:val="20"/>
                <w:szCs w:val="20"/>
                <w:color w:val="auto"/>
              </w:rPr>
            </w:pPr>
            <w:r>
              <w:rPr>
                <w:rFonts w:ascii="Arial" w:cs="Arial" w:eastAsia="Arial" w:hAnsi="Arial"/>
                <w:sz w:val="16"/>
                <w:szCs w:val="16"/>
                <w:color w:val="auto"/>
              </w:rPr>
              <w:t>12,522</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gridSpan w:val="3"/>
          </w:tcPr>
          <w:p>
            <w:pPr>
              <w:ind w:left="40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jc w:val="right"/>
              <w:ind w:right="82"/>
              <w:spacing w:after="0"/>
              <w:rPr>
                <w:sz w:val="20"/>
                <w:szCs w:val="20"/>
                <w:color w:val="auto"/>
              </w:rPr>
            </w:pPr>
            <w:r>
              <w:rPr>
                <w:rFonts w:ascii="Arial" w:cs="Arial" w:eastAsia="Arial" w:hAnsi="Arial"/>
                <w:sz w:val="16"/>
                <w:szCs w:val="16"/>
                <w:color w:val="auto"/>
              </w:rPr>
              <w:t>12,522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3040" w:type="dxa"/>
            <w:vAlign w:val="bottom"/>
          </w:tcPr>
          <w:p>
            <w:pPr>
              <w:ind w:left="140"/>
              <w:spacing w:after="0"/>
              <w:rPr>
                <w:sz w:val="20"/>
                <w:szCs w:val="20"/>
                <w:color w:val="auto"/>
              </w:rPr>
            </w:pPr>
            <w:r>
              <w:rPr>
                <w:rFonts w:ascii="Arial" w:cs="Arial" w:eastAsia="Arial" w:hAnsi="Arial"/>
                <w:sz w:val="16"/>
                <w:szCs w:val="16"/>
                <w:color w:val="auto"/>
              </w:rPr>
              <w:t>Priced via other methods</w:t>
            </w:r>
          </w:p>
        </w:tc>
        <w:tc>
          <w:tcPr>
            <w:tcW w:w="1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ind w:right="122"/>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122"/>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ind w:right="122"/>
              <w:spacing w:after="0"/>
              <w:rPr>
                <w:sz w:val="20"/>
                <w:szCs w:val="20"/>
                <w:color w:val="auto"/>
              </w:rPr>
            </w:pPr>
            <w:r>
              <w:rPr>
                <w:rFonts w:ascii="Arial" w:cs="Arial" w:eastAsia="Arial" w:hAnsi="Arial"/>
                <w:sz w:val="16"/>
                <w:szCs w:val="16"/>
                <w:color w:val="auto"/>
              </w:rPr>
              <w:t>23</w:t>
            </w:r>
          </w:p>
        </w:tc>
        <w:tc>
          <w:tcPr>
            <w:tcW w:w="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ind w:left="400"/>
              <w:spacing w:after="0"/>
              <w:rPr>
                <w:sz w:val="20"/>
                <w:szCs w:val="20"/>
                <w:color w:val="auto"/>
              </w:rPr>
            </w:pPr>
            <w:r>
              <w:rPr>
                <w:rFonts w:ascii="Arial" w:cs="Arial" w:eastAsia="Arial" w:hAnsi="Arial"/>
                <w:sz w:val="16"/>
                <w:szCs w:val="16"/>
                <w:color w:val="auto"/>
              </w:rPr>
              <w:t>35</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82"/>
              <w:spacing w:after="0"/>
              <w:rPr>
                <w:sz w:val="20"/>
                <w:szCs w:val="20"/>
                <w:color w:val="auto"/>
              </w:rPr>
            </w:pPr>
            <w:r>
              <w:rPr>
                <w:rFonts w:ascii="Arial" w:cs="Arial" w:eastAsia="Arial" w:hAnsi="Arial"/>
                <w:sz w:val="16"/>
                <w:szCs w:val="16"/>
                <w:color w:val="auto"/>
              </w:rPr>
              <w:t>58</w:t>
            </w: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3040" w:type="dxa"/>
            <w:vAlign w:val="bottom"/>
          </w:tcPr>
          <w:p>
            <w:pPr>
              <w:spacing w:after="0"/>
              <w:rPr>
                <w:sz w:val="20"/>
                <w:szCs w:val="20"/>
                <w:color w:val="auto"/>
              </w:rPr>
            </w:pPr>
            <w:r>
              <w:rPr>
                <w:rFonts w:ascii="Arial" w:cs="Arial" w:eastAsia="Arial" w:hAnsi="Arial"/>
                <w:sz w:val="16"/>
                <w:szCs w:val="16"/>
                <w:color w:val="auto"/>
              </w:rPr>
              <w:t>Total</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122"/>
              <w:spacing w:after="0"/>
              <w:rPr>
                <w:sz w:val="20"/>
                <w:szCs w:val="20"/>
                <w:color w:val="auto"/>
              </w:rPr>
            </w:pPr>
            <w:r>
              <w:rPr>
                <w:rFonts w:ascii="Arial" w:cs="Arial" w:eastAsia="Arial" w:hAnsi="Arial"/>
                <w:sz w:val="16"/>
                <w:szCs w:val="16"/>
                <w:color w:val="auto"/>
              </w:rPr>
              <w:t>1,752</w:t>
            </w:r>
          </w:p>
        </w:tc>
        <w:tc>
          <w:tcPr>
            <w:tcW w:w="320" w:type="dxa"/>
            <w:vAlign w:val="bottom"/>
            <w:gridSpan w:val="2"/>
          </w:tcPr>
          <w:p>
            <w:pPr>
              <w:jc w:val="right"/>
              <w:ind w:right="42"/>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122"/>
              <w:spacing w:after="0"/>
              <w:rPr>
                <w:sz w:val="20"/>
                <w:szCs w:val="20"/>
                <w:color w:val="auto"/>
              </w:rPr>
            </w:pPr>
            <w:r>
              <w:rPr>
                <w:rFonts w:ascii="Arial" w:cs="Arial" w:eastAsia="Arial" w:hAnsi="Arial"/>
                <w:sz w:val="16"/>
                <w:szCs w:val="16"/>
                <w:color w:val="auto"/>
              </w:rPr>
              <w:t>40,408</w:t>
            </w:r>
          </w:p>
        </w:tc>
        <w:tc>
          <w:tcPr>
            <w:tcW w:w="28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122"/>
              <w:spacing w:after="0"/>
              <w:rPr>
                <w:sz w:val="20"/>
                <w:szCs w:val="20"/>
                <w:color w:val="auto"/>
              </w:rPr>
            </w:pPr>
            <w:r>
              <w:rPr>
                <w:rFonts w:ascii="Arial" w:cs="Arial" w:eastAsia="Arial" w:hAnsi="Arial"/>
                <w:sz w:val="16"/>
                <w:szCs w:val="16"/>
                <w:color w:val="auto"/>
              </w:rPr>
              <w:t>13,309</w:t>
            </w:r>
          </w:p>
        </w:tc>
        <w:tc>
          <w:tcPr>
            <w:tcW w:w="3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760" w:type="dxa"/>
            <w:vAlign w:val="bottom"/>
          </w:tcPr>
          <w:p>
            <w:pPr>
              <w:ind w:left="400"/>
              <w:spacing w:after="0"/>
              <w:rPr>
                <w:sz w:val="20"/>
                <w:szCs w:val="20"/>
                <w:color w:val="auto"/>
              </w:rPr>
            </w:pPr>
            <w:r>
              <w:rPr>
                <w:rFonts w:ascii="Arial" w:cs="Arial" w:eastAsia="Arial" w:hAnsi="Arial"/>
                <w:sz w:val="16"/>
                <w:szCs w:val="16"/>
                <w:color w:val="auto"/>
              </w:rPr>
              <w:t>35</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82"/>
              <w:spacing w:after="0"/>
              <w:rPr>
                <w:sz w:val="20"/>
                <w:szCs w:val="20"/>
                <w:color w:val="auto"/>
              </w:rPr>
            </w:pPr>
            <w:r>
              <w:rPr>
                <w:rFonts w:ascii="Arial" w:cs="Arial" w:eastAsia="Arial" w:hAnsi="Arial"/>
                <w:sz w:val="16"/>
                <w:szCs w:val="16"/>
                <w:color w:val="auto"/>
              </w:rPr>
              <w:t>55,504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9"/>
        </w:trPr>
        <w:tc>
          <w:tcPr>
            <w:tcW w:w="3040" w:type="dxa"/>
            <w:vAlign w:val="bottom"/>
          </w:tcPr>
          <w:p>
            <w:pPr>
              <w:spacing w:after="0"/>
              <w:rPr>
                <w:sz w:val="20"/>
                <w:szCs w:val="20"/>
                <w:color w:val="auto"/>
              </w:rPr>
            </w:pPr>
            <w:r>
              <w:rPr>
                <w:rFonts w:ascii="Arial" w:cs="Arial" w:eastAsia="Arial" w:hAnsi="Arial"/>
                <w:sz w:val="16"/>
                <w:szCs w:val="16"/>
                <w:color w:val="auto"/>
              </w:rPr>
              <w:t>% of Total</w:t>
            </w:r>
          </w:p>
        </w:tc>
        <w:tc>
          <w:tcPr>
            <w:tcW w:w="16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3 %</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73 %</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24 %</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gridSpan w:val="3"/>
          </w:tcPr>
          <w:p>
            <w:pPr>
              <w:ind w:left="400"/>
              <w:spacing w:after="0"/>
              <w:rPr>
                <w:sz w:val="20"/>
                <w:szCs w:val="20"/>
                <w:color w:val="auto"/>
              </w:rPr>
            </w:pPr>
            <w:r>
              <w:rPr>
                <w:rFonts w:ascii="Arial" w:cs="Arial" w:eastAsia="Arial" w:hAnsi="Arial"/>
                <w:sz w:val="16"/>
                <w:szCs w:val="16"/>
                <w:color w:val="auto"/>
              </w:rPr>
              <w:t>— %</w:t>
            </w: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355"/>
        </w:trPr>
        <w:tc>
          <w:tcPr>
            <w:tcW w:w="30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gridSpan w:val="4"/>
          </w:tcPr>
          <w:p>
            <w:pPr>
              <w:jc w:val="center"/>
              <w:ind w:left="502"/>
              <w:spacing w:after="0"/>
              <w:rPr>
                <w:sz w:val="20"/>
                <w:szCs w:val="20"/>
                <w:color w:val="auto"/>
              </w:rPr>
            </w:pPr>
            <w:r>
              <w:rPr>
                <w:rFonts w:ascii="Arial" w:cs="Arial" w:eastAsia="Arial" w:hAnsi="Arial"/>
                <w:sz w:val="16"/>
                <w:szCs w:val="16"/>
                <w:b w:val="1"/>
                <w:bCs w:val="1"/>
                <w:color w:val="auto"/>
                <w:w w:val="86"/>
              </w:rPr>
              <w:t>As of December 31, 2024</w:t>
            </w:r>
          </w:p>
        </w:tc>
        <w:tc>
          <w:tcPr>
            <w:tcW w:w="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7"/>
        </w:trPr>
        <w:tc>
          <w:tcPr>
            <w:tcW w:w="30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00" w:type="dxa"/>
            <w:vAlign w:val="bottom"/>
          </w:tcPr>
          <w:p>
            <w:pPr>
              <w:jc w:val="center"/>
              <w:ind w:right="82"/>
              <w:spacing w:after="0" w:line="177" w:lineRule="exact"/>
              <w:rPr>
                <w:sz w:val="20"/>
                <w:szCs w:val="20"/>
                <w:color w:val="auto"/>
              </w:rPr>
            </w:pPr>
            <w:r>
              <w:rPr>
                <w:rFonts w:ascii="Arial" w:cs="Arial" w:eastAsia="Arial" w:hAnsi="Arial"/>
                <w:sz w:val="16"/>
                <w:szCs w:val="16"/>
                <w:b w:val="1"/>
                <w:bCs w:val="1"/>
                <w:color w:val="auto"/>
                <w:w w:val="86"/>
              </w:rPr>
              <w:t>Quoted Prices in</w:t>
            </w: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0" w:type="dxa"/>
            <w:vAlign w:val="bottom"/>
            <w:vMerge w:val="restart"/>
          </w:tcPr>
          <w:p>
            <w:pPr>
              <w:jc w:val="center"/>
              <w:ind w:right="162"/>
              <w:spacing w:after="0"/>
              <w:rPr>
                <w:sz w:val="20"/>
                <w:szCs w:val="20"/>
                <w:color w:val="auto"/>
              </w:rPr>
            </w:pPr>
            <w:r>
              <w:rPr>
                <w:rFonts w:ascii="Arial" w:cs="Arial" w:eastAsia="Arial" w:hAnsi="Arial"/>
                <w:sz w:val="16"/>
                <w:szCs w:val="16"/>
                <w:b w:val="1"/>
                <w:bCs w:val="1"/>
                <w:color w:val="auto"/>
                <w:w w:val="87"/>
              </w:rPr>
              <w:t>Significant</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60" w:type="dxa"/>
            <w:vAlign w:val="bottom"/>
          </w:tcPr>
          <w:p>
            <w:pPr>
              <w:jc w:val="center"/>
              <w:ind w:right="142"/>
              <w:spacing w:after="0" w:line="177" w:lineRule="exact"/>
              <w:rPr>
                <w:sz w:val="20"/>
                <w:szCs w:val="20"/>
                <w:color w:val="auto"/>
              </w:rPr>
            </w:pPr>
            <w:r>
              <w:rPr>
                <w:rFonts w:ascii="Arial" w:cs="Arial" w:eastAsia="Arial" w:hAnsi="Arial"/>
                <w:sz w:val="16"/>
                <w:szCs w:val="16"/>
                <w:b w:val="1"/>
                <w:bCs w:val="1"/>
                <w:color w:val="auto"/>
                <w:w w:val="87"/>
              </w:rPr>
              <w:t>Significant</w:t>
            </w: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7"/>
        </w:trPr>
        <w:tc>
          <w:tcPr>
            <w:tcW w:w="3040" w:type="dxa"/>
            <w:vAlign w:val="bottom"/>
          </w:tcPr>
          <w:p>
            <w:pPr>
              <w:spacing w:after="0"/>
              <w:rPr>
                <w:sz w:val="13"/>
                <w:szCs w:val="13"/>
                <w:color w:val="auto"/>
              </w:rPr>
            </w:pPr>
          </w:p>
        </w:tc>
        <w:tc>
          <w:tcPr>
            <w:tcW w:w="1460" w:type="dxa"/>
            <w:vAlign w:val="bottom"/>
            <w:gridSpan w:val="2"/>
          </w:tcPr>
          <w:p>
            <w:pPr>
              <w:jc w:val="center"/>
              <w:spacing w:after="0" w:line="157" w:lineRule="exact"/>
              <w:rPr>
                <w:sz w:val="20"/>
                <w:szCs w:val="20"/>
                <w:color w:val="auto"/>
              </w:rPr>
            </w:pPr>
            <w:r>
              <w:rPr>
                <w:rFonts w:ascii="Arial" w:cs="Arial" w:eastAsia="Arial" w:hAnsi="Arial"/>
                <w:sz w:val="16"/>
                <w:szCs w:val="16"/>
                <w:b w:val="1"/>
                <w:bCs w:val="1"/>
                <w:color w:val="auto"/>
                <w:w w:val="90"/>
              </w:rPr>
              <w:t>Active Markets for</w:t>
            </w: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60" w:type="dxa"/>
            <w:vAlign w:val="bottom"/>
          </w:tcPr>
          <w:p>
            <w:pPr>
              <w:jc w:val="center"/>
              <w:ind w:right="142"/>
              <w:spacing w:after="0" w:line="157" w:lineRule="exact"/>
              <w:rPr>
                <w:sz w:val="20"/>
                <w:szCs w:val="20"/>
                <w:color w:val="auto"/>
              </w:rPr>
            </w:pPr>
            <w:r>
              <w:rPr>
                <w:rFonts w:ascii="Arial" w:cs="Arial" w:eastAsia="Arial" w:hAnsi="Arial"/>
                <w:sz w:val="16"/>
                <w:szCs w:val="16"/>
                <w:b w:val="1"/>
                <w:bCs w:val="1"/>
                <w:color w:val="auto"/>
                <w:w w:val="86"/>
              </w:rPr>
              <w:t>Unobservable</w:t>
            </w: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30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00" w:type="dxa"/>
            <w:vAlign w:val="bottom"/>
          </w:tcPr>
          <w:p>
            <w:pPr>
              <w:jc w:val="center"/>
              <w:ind w:right="82"/>
              <w:spacing w:after="0" w:line="157" w:lineRule="exact"/>
              <w:rPr>
                <w:sz w:val="20"/>
                <w:szCs w:val="20"/>
                <w:color w:val="auto"/>
              </w:rPr>
            </w:pPr>
            <w:r>
              <w:rPr>
                <w:rFonts w:ascii="Arial" w:cs="Arial" w:eastAsia="Arial" w:hAnsi="Arial"/>
                <w:sz w:val="16"/>
                <w:szCs w:val="16"/>
                <w:b w:val="1"/>
                <w:bCs w:val="1"/>
                <w:color w:val="auto"/>
                <w:w w:val="86"/>
              </w:rPr>
              <w:t>Identical Assets</w:t>
            </w:r>
          </w:p>
        </w:tc>
        <w:tc>
          <w:tcPr>
            <w:tcW w:w="60" w:type="dxa"/>
            <w:vAlign w:val="bottom"/>
          </w:tcPr>
          <w:p>
            <w:pPr>
              <w:spacing w:after="0"/>
              <w:rPr>
                <w:sz w:val="13"/>
                <w:szCs w:val="13"/>
                <w:color w:val="auto"/>
              </w:rPr>
            </w:pPr>
          </w:p>
        </w:tc>
        <w:tc>
          <w:tcPr>
            <w:tcW w:w="1460" w:type="dxa"/>
            <w:vAlign w:val="bottom"/>
            <w:gridSpan w:val="2"/>
          </w:tcPr>
          <w:p>
            <w:pPr>
              <w:jc w:val="center"/>
              <w:spacing w:after="0" w:line="157" w:lineRule="exact"/>
              <w:rPr>
                <w:sz w:val="20"/>
                <w:szCs w:val="20"/>
                <w:color w:val="auto"/>
              </w:rPr>
            </w:pPr>
            <w:r>
              <w:rPr>
                <w:rFonts w:ascii="Arial" w:cs="Arial" w:eastAsia="Arial" w:hAnsi="Arial"/>
                <w:sz w:val="16"/>
                <w:szCs w:val="16"/>
                <w:b w:val="1"/>
                <w:bCs w:val="1"/>
                <w:color w:val="auto"/>
                <w:w w:val="88"/>
              </w:rPr>
              <w:t>Observable Inputs</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60" w:type="dxa"/>
            <w:vAlign w:val="bottom"/>
          </w:tcPr>
          <w:p>
            <w:pPr>
              <w:jc w:val="center"/>
              <w:ind w:right="142"/>
              <w:spacing w:after="0" w:line="157" w:lineRule="exact"/>
              <w:rPr>
                <w:sz w:val="20"/>
                <w:szCs w:val="20"/>
                <w:color w:val="auto"/>
              </w:rPr>
            </w:pPr>
            <w:r>
              <w:rPr>
                <w:rFonts w:ascii="Arial" w:cs="Arial" w:eastAsia="Arial" w:hAnsi="Arial"/>
                <w:sz w:val="16"/>
                <w:szCs w:val="16"/>
                <w:b w:val="1"/>
                <w:bCs w:val="1"/>
                <w:color w:val="auto"/>
                <w:w w:val="91"/>
              </w:rPr>
              <w:t>Inputs</w:t>
            </w: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gridSpan w:val="2"/>
            <w:vMerge w:val="restart"/>
          </w:tcPr>
          <w:p>
            <w:pPr>
              <w:ind w:left="100"/>
              <w:spacing w:after="0"/>
              <w:rPr>
                <w:sz w:val="20"/>
                <w:szCs w:val="20"/>
                <w:color w:val="auto"/>
              </w:rPr>
            </w:pPr>
            <w:r>
              <w:rPr>
                <w:rFonts w:ascii="Arial" w:cs="Arial" w:eastAsia="Arial" w:hAnsi="Arial"/>
                <w:sz w:val="16"/>
                <w:szCs w:val="16"/>
                <w:b w:val="1"/>
                <w:bCs w:val="1"/>
                <w:color w:val="auto"/>
              </w:rPr>
              <w:t>NAV</w:t>
            </w:r>
          </w:p>
        </w:tc>
        <w:tc>
          <w:tcPr>
            <w:tcW w:w="20" w:type="dxa"/>
            <w:vAlign w:val="bottom"/>
            <w:vMerge w:val="restart"/>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40" w:type="dxa"/>
            <w:vAlign w:val="bottom"/>
            <w:vMerge w:val="restart"/>
          </w:tcPr>
          <w:p>
            <w:pPr>
              <w:jc w:val="right"/>
              <w:ind w:right="362"/>
              <w:spacing w:after="0"/>
              <w:rPr>
                <w:sz w:val="20"/>
                <w:szCs w:val="20"/>
                <w:color w:val="auto"/>
              </w:rPr>
            </w:pPr>
            <w:r>
              <w:rPr>
                <w:rFonts w:ascii="Arial" w:cs="Arial" w:eastAsia="Arial" w:hAnsi="Arial"/>
                <w:sz w:val="16"/>
                <w:szCs w:val="16"/>
                <w:b w:val="1"/>
                <w:bCs w:val="1"/>
                <w:color w:val="auto"/>
              </w:rPr>
              <w:t>Total</w:t>
            </w:r>
          </w:p>
        </w:tc>
        <w:tc>
          <w:tcPr>
            <w:tcW w:w="20" w:type="dxa"/>
            <w:vAlign w:val="bottom"/>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30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382"/>
              <w:spacing w:after="0"/>
              <w:rPr>
                <w:sz w:val="20"/>
                <w:szCs w:val="20"/>
                <w:color w:val="auto"/>
              </w:rPr>
            </w:pPr>
            <w:r>
              <w:rPr>
                <w:rFonts w:ascii="Arial" w:cs="Arial" w:eastAsia="Arial" w:hAnsi="Arial"/>
                <w:sz w:val="16"/>
                <w:szCs w:val="16"/>
                <w:b w:val="1"/>
                <w:bCs w:val="1"/>
                <w:color w:val="auto"/>
              </w:rPr>
              <w:t>(Level 1)</w:t>
            </w:r>
          </w:p>
        </w:tc>
        <w:tc>
          <w:tcPr>
            <w:tcW w:w="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center"/>
              <w:ind w:right="162"/>
              <w:spacing w:after="0"/>
              <w:rPr>
                <w:sz w:val="20"/>
                <w:szCs w:val="20"/>
                <w:color w:val="auto"/>
              </w:rPr>
            </w:pPr>
            <w:r>
              <w:rPr>
                <w:rFonts w:ascii="Arial" w:cs="Arial" w:eastAsia="Arial" w:hAnsi="Arial"/>
                <w:sz w:val="16"/>
                <w:szCs w:val="16"/>
                <w:b w:val="1"/>
                <w:bCs w:val="1"/>
                <w:color w:val="auto"/>
                <w:w w:val="92"/>
              </w:rPr>
              <w:t>(Level 2)</w:t>
            </w:r>
          </w:p>
        </w:tc>
        <w:tc>
          <w:tcPr>
            <w:tcW w:w="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center"/>
              <w:ind w:right="162"/>
              <w:spacing w:after="0"/>
              <w:rPr>
                <w:sz w:val="20"/>
                <w:szCs w:val="20"/>
                <w:color w:val="auto"/>
              </w:rPr>
            </w:pPr>
            <w:r>
              <w:rPr>
                <w:rFonts w:ascii="Arial" w:cs="Arial" w:eastAsia="Arial" w:hAnsi="Arial"/>
                <w:sz w:val="16"/>
                <w:szCs w:val="16"/>
                <w:b w:val="1"/>
                <w:bCs w:val="1"/>
                <w:color w:val="auto"/>
                <w:w w:val="89"/>
              </w:rPr>
              <w:t>(Level 3)</w:t>
            </w:r>
          </w:p>
        </w:tc>
        <w:tc>
          <w:tcPr>
            <w:tcW w:w="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gridSpan w:val="2"/>
            <w:vMerge w:val="continue"/>
          </w:tcPr>
          <w:p>
            <w:pPr>
              <w:spacing w:after="0"/>
              <w:rPr>
                <w:sz w:val="18"/>
                <w:szCs w:val="18"/>
                <w:color w:val="auto"/>
              </w:rPr>
            </w:pPr>
          </w:p>
        </w:tc>
        <w:tc>
          <w:tcPr>
            <w:tcW w:w="20" w:type="dxa"/>
            <w:vAlign w:val="bottom"/>
            <w:vMerge w:val="continue"/>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vMerge w:val="continue"/>
          </w:tcPr>
          <w:p>
            <w:pPr>
              <w:spacing w:after="0"/>
              <w:rPr>
                <w:sz w:val="18"/>
                <w:szCs w:val="18"/>
                <w:color w:val="auto"/>
              </w:rPr>
            </w:pP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3040" w:type="dxa"/>
            <w:vAlign w:val="bottom"/>
          </w:tcPr>
          <w:p>
            <w:pPr>
              <w:spacing w:after="0" w:line="182" w:lineRule="exact"/>
              <w:rPr>
                <w:sz w:val="20"/>
                <w:szCs w:val="20"/>
                <w:color w:val="auto"/>
              </w:rPr>
            </w:pPr>
            <w:r>
              <w:rPr>
                <w:rFonts w:ascii="Arial" w:cs="Arial" w:eastAsia="Arial" w:hAnsi="Arial"/>
                <w:sz w:val="16"/>
                <w:szCs w:val="16"/>
                <w:b w:val="1"/>
                <w:bCs w:val="1"/>
                <w:color w:val="auto"/>
                <w:w w:val="93"/>
              </w:rPr>
              <w:t>Fixed maturity securities available-for-sale</w:t>
            </w:r>
          </w:p>
        </w:tc>
        <w:tc>
          <w:tcPr>
            <w:tcW w:w="1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740" w:type="dxa"/>
            <w:vAlign w:val="bottom"/>
            <w:gridSpan w:val="4"/>
            <w:vMerge w:val="restart"/>
          </w:tcPr>
          <w:p>
            <w:pPr>
              <w:jc w:val="center"/>
              <w:ind w:left="502"/>
              <w:spacing w:after="0"/>
              <w:rPr>
                <w:sz w:val="20"/>
                <w:szCs w:val="20"/>
                <w:color w:val="auto"/>
              </w:rPr>
            </w:pPr>
            <w:r>
              <w:rPr>
                <w:rFonts w:ascii="Arial" w:cs="Arial" w:eastAsia="Arial" w:hAnsi="Arial"/>
                <w:sz w:val="16"/>
                <w:szCs w:val="16"/>
                <w:b w:val="1"/>
                <w:bCs w:val="1"/>
                <w:color w:val="auto"/>
                <w:w w:val="88"/>
              </w:rPr>
              <w:t>(Dollars in millions)</w:t>
            </w: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3040" w:type="dxa"/>
            <w:vAlign w:val="bottom"/>
          </w:tcPr>
          <w:p>
            <w:pPr>
              <w:spacing w:after="0"/>
              <w:rPr>
                <w:sz w:val="20"/>
                <w:szCs w:val="20"/>
                <w:color w:val="auto"/>
              </w:rPr>
            </w:pPr>
            <w:r>
              <w:rPr>
                <w:rFonts w:ascii="Arial" w:cs="Arial" w:eastAsia="Arial" w:hAnsi="Arial"/>
                <w:sz w:val="16"/>
                <w:szCs w:val="16"/>
                <w:b w:val="1"/>
                <w:bCs w:val="1"/>
                <w:color w:val="auto"/>
              </w:rPr>
              <w:t>and equity securities:</w:t>
            </w: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740" w:type="dxa"/>
            <w:vAlign w:val="bottom"/>
            <w:gridSpan w:val="4"/>
            <w:vMerge w:val="continue"/>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6"/>
        </w:trPr>
        <w:tc>
          <w:tcPr>
            <w:tcW w:w="3040" w:type="dxa"/>
            <w:vAlign w:val="bottom"/>
          </w:tcPr>
          <w:p>
            <w:pPr>
              <w:ind w:left="140"/>
              <w:spacing w:after="0"/>
              <w:rPr>
                <w:sz w:val="20"/>
                <w:szCs w:val="20"/>
                <w:color w:val="auto"/>
              </w:rPr>
            </w:pPr>
            <w:r>
              <w:rPr>
                <w:rFonts w:ascii="Arial" w:cs="Arial" w:eastAsia="Arial" w:hAnsi="Arial"/>
                <w:sz w:val="16"/>
                <w:szCs w:val="16"/>
                <w:color w:val="auto"/>
              </w:rPr>
              <w:t>Prices via third-party pricing services</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122"/>
              <w:spacing w:after="0"/>
              <w:rPr>
                <w:sz w:val="20"/>
                <w:szCs w:val="20"/>
                <w:color w:val="auto"/>
              </w:rPr>
            </w:pPr>
            <w:r>
              <w:rPr>
                <w:rFonts w:ascii="Arial" w:cs="Arial" w:eastAsia="Arial" w:hAnsi="Arial"/>
                <w:sz w:val="16"/>
                <w:szCs w:val="16"/>
                <w:color w:val="auto"/>
              </w:rPr>
              <w:t>1,483</w:t>
            </w:r>
          </w:p>
        </w:tc>
        <w:tc>
          <w:tcPr>
            <w:tcW w:w="320" w:type="dxa"/>
            <w:vAlign w:val="bottom"/>
            <w:gridSpan w:val="2"/>
          </w:tcPr>
          <w:p>
            <w:pPr>
              <w:jc w:val="right"/>
              <w:ind w:right="42"/>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122"/>
              <w:spacing w:after="0"/>
              <w:rPr>
                <w:sz w:val="20"/>
                <w:szCs w:val="20"/>
                <w:color w:val="auto"/>
              </w:rPr>
            </w:pPr>
            <w:r>
              <w:rPr>
                <w:rFonts w:ascii="Arial" w:cs="Arial" w:eastAsia="Arial" w:hAnsi="Arial"/>
                <w:sz w:val="16"/>
                <w:szCs w:val="16"/>
                <w:color w:val="auto"/>
              </w:rPr>
              <w:t>36,650</w:t>
            </w:r>
          </w:p>
        </w:tc>
        <w:tc>
          <w:tcPr>
            <w:tcW w:w="28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122"/>
              <w:spacing w:after="0"/>
              <w:rPr>
                <w:sz w:val="20"/>
                <w:szCs w:val="20"/>
                <w:color w:val="auto"/>
              </w:rPr>
            </w:pPr>
            <w:r>
              <w:rPr>
                <w:rFonts w:ascii="Arial" w:cs="Arial" w:eastAsia="Arial" w:hAnsi="Arial"/>
                <w:sz w:val="16"/>
                <w:szCs w:val="16"/>
                <w:color w:val="auto"/>
              </w:rPr>
              <w:t>856</w:t>
            </w:r>
          </w:p>
        </w:tc>
        <w:tc>
          <w:tcPr>
            <w:tcW w:w="3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800" w:type="dxa"/>
            <w:vAlign w:val="bottom"/>
            <w:gridSpan w:val="3"/>
          </w:tcPr>
          <w:p>
            <w:pPr>
              <w:ind w:left="420"/>
              <w:spacing w:after="0"/>
              <w:rPr>
                <w:sz w:val="20"/>
                <w:szCs w:val="20"/>
                <w:color w:val="auto"/>
              </w:rPr>
            </w:pPr>
            <w:r>
              <w:rPr>
                <w:rFonts w:ascii="Arial" w:cs="Arial" w:eastAsia="Arial" w:hAnsi="Arial"/>
                <w:sz w:val="16"/>
                <w:szCs w:val="16"/>
                <w:color w:val="auto"/>
              </w:rPr>
              <w:t>—</w:t>
            </w:r>
          </w:p>
        </w:tc>
        <w:tc>
          <w:tcPr>
            <w:tcW w:w="3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22"/>
              <w:spacing w:after="0"/>
              <w:rPr>
                <w:sz w:val="20"/>
                <w:szCs w:val="20"/>
                <w:color w:val="auto"/>
              </w:rPr>
            </w:pPr>
            <w:r>
              <w:rPr>
                <w:rFonts w:ascii="Arial" w:cs="Arial" w:eastAsia="Arial" w:hAnsi="Arial"/>
                <w:sz w:val="16"/>
                <w:szCs w:val="16"/>
                <w:color w:val="auto"/>
              </w:rPr>
              <w:t>38,989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3040" w:type="dxa"/>
            <w:vAlign w:val="bottom"/>
          </w:tcPr>
          <w:p>
            <w:pPr>
              <w:ind w:left="140"/>
              <w:spacing w:after="0"/>
              <w:rPr>
                <w:sz w:val="20"/>
                <w:szCs w:val="20"/>
                <w:color w:val="auto"/>
              </w:rPr>
            </w:pPr>
            <w:r>
              <w:rPr>
                <w:rFonts w:ascii="Arial" w:cs="Arial" w:eastAsia="Arial" w:hAnsi="Arial"/>
                <w:sz w:val="16"/>
                <w:szCs w:val="16"/>
                <w:color w:val="auto"/>
                <w:w w:val="99"/>
              </w:rPr>
              <w:t>Priced via independent broker quotations</w:t>
            </w:r>
          </w:p>
        </w:tc>
        <w:tc>
          <w:tcPr>
            <w:tcW w:w="160" w:type="dxa"/>
            <w:vAlign w:val="bottom"/>
          </w:tcPr>
          <w:p>
            <w:pPr>
              <w:spacing w:after="0"/>
              <w:rPr>
                <w:sz w:val="24"/>
                <w:szCs w:val="24"/>
                <w:color w:val="auto"/>
              </w:rPr>
            </w:pPr>
          </w:p>
        </w:tc>
        <w:tc>
          <w:tcPr>
            <w:tcW w:w="1300" w:type="dxa"/>
            <w:vAlign w:val="bottom"/>
          </w:tcPr>
          <w:p>
            <w:pPr>
              <w:jc w:val="right"/>
              <w:ind w:right="122"/>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jc w:val="right"/>
              <w:ind w:right="122"/>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jc w:val="right"/>
              <w:ind w:right="122"/>
              <w:spacing w:after="0"/>
              <w:rPr>
                <w:sz w:val="20"/>
                <w:szCs w:val="20"/>
                <w:color w:val="auto"/>
              </w:rPr>
            </w:pPr>
            <w:r>
              <w:rPr>
                <w:rFonts w:ascii="Arial" w:cs="Arial" w:eastAsia="Arial" w:hAnsi="Arial"/>
                <w:sz w:val="16"/>
                <w:szCs w:val="16"/>
                <w:color w:val="auto"/>
              </w:rPr>
              <w:t>10,256</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gridSpan w:val="3"/>
          </w:tcPr>
          <w:p>
            <w:pPr>
              <w:ind w:left="42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jc w:val="right"/>
              <w:ind w:right="122"/>
              <w:spacing w:after="0"/>
              <w:rPr>
                <w:sz w:val="20"/>
                <w:szCs w:val="20"/>
                <w:color w:val="auto"/>
              </w:rPr>
            </w:pPr>
            <w:r>
              <w:rPr>
                <w:rFonts w:ascii="Arial" w:cs="Arial" w:eastAsia="Arial" w:hAnsi="Arial"/>
                <w:sz w:val="16"/>
                <w:szCs w:val="16"/>
                <w:color w:val="auto"/>
              </w:rPr>
              <w:t>10,256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3040" w:type="dxa"/>
            <w:vAlign w:val="bottom"/>
          </w:tcPr>
          <w:p>
            <w:pPr>
              <w:ind w:left="140"/>
              <w:spacing w:after="0"/>
              <w:rPr>
                <w:sz w:val="20"/>
                <w:szCs w:val="20"/>
                <w:color w:val="auto"/>
              </w:rPr>
            </w:pPr>
            <w:r>
              <w:rPr>
                <w:rFonts w:ascii="Arial" w:cs="Arial" w:eastAsia="Arial" w:hAnsi="Arial"/>
                <w:sz w:val="16"/>
                <w:szCs w:val="16"/>
                <w:color w:val="auto"/>
              </w:rPr>
              <w:t>Priced via other methods</w:t>
            </w:r>
          </w:p>
        </w:tc>
        <w:tc>
          <w:tcPr>
            <w:tcW w:w="1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ind w:right="122"/>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122"/>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ind w:right="122"/>
              <w:spacing w:after="0"/>
              <w:rPr>
                <w:sz w:val="20"/>
                <w:szCs w:val="20"/>
                <w:color w:val="auto"/>
              </w:rPr>
            </w:pPr>
            <w:r>
              <w:rPr>
                <w:rFonts w:ascii="Arial" w:cs="Arial" w:eastAsia="Arial" w:hAnsi="Arial"/>
                <w:sz w:val="16"/>
                <w:szCs w:val="16"/>
                <w:color w:val="auto"/>
              </w:rPr>
              <w:t>9</w:t>
            </w:r>
          </w:p>
        </w:tc>
        <w:tc>
          <w:tcPr>
            <w:tcW w:w="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ind w:left="420"/>
              <w:spacing w:after="0"/>
              <w:rPr>
                <w:sz w:val="20"/>
                <w:szCs w:val="20"/>
                <w:color w:val="auto"/>
              </w:rPr>
            </w:pPr>
            <w:r>
              <w:rPr>
                <w:rFonts w:ascii="Arial" w:cs="Arial" w:eastAsia="Arial" w:hAnsi="Arial"/>
                <w:sz w:val="16"/>
                <w:szCs w:val="16"/>
                <w:color w:val="auto"/>
              </w:rPr>
              <w:t>57</w:t>
            </w:r>
          </w:p>
        </w:tc>
        <w:tc>
          <w:tcPr>
            <w:tcW w:w="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122"/>
              <w:spacing w:after="0"/>
              <w:rPr>
                <w:sz w:val="20"/>
                <w:szCs w:val="20"/>
                <w:color w:val="auto"/>
              </w:rPr>
            </w:pPr>
            <w:r>
              <w:rPr>
                <w:rFonts w:ascii="Arial" w:cs="Arial" w:eastAsia="Arial" w:hAnsi="Arial"/>
                <w:sz w:val="16"/>
                <w:szCs w:val="16"/>
                <w:color w:val="auto"/>
              </w:rPr>
              <w:t>66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3040" w:type="dxa"/>
            <w:vAlign w:val="bottom"/>
          </w:tcPr>
          <w:p>
            <w:pPr>
              <w:spacing w:after="0"/>
              <w:rPr>
                <w:sz w:val="20"/>
                <w:szCs w:val="20"/>
                <w:color w:val="auto"/>
              </w:rPr>
            </w:pPr>
            <w:r>
              <w:rPr>
                <w:rFonts w:ascii="Arial" w:cs="Arial" w:eastAsia="Arial" w:hAnsi="Arial"/>
                <w:sz w:val="16"/>
                <w:szCs w:val="16"/>
                <w:color w:val="auto"/>
              </w:rPr>
              <w:t>Total</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122"/>
              <w:spacing w:after="0"/>
              <w:rPr>
                <w:sz w:val="20"/>
                <w:szCs w:val="20"/>
                <w:color w:val="auto"/>
              </w:rPr>
            </w:pPr>
            <w:r>
              <w:rPr>
                <w:rFonts w:ascii="Arial" w:cs="Arial" w:eastAsia="Arial" w:hAnsi="Arial"/>
                <w:sz w:val="16"/>
                <w:szCs w:val="16"/>
                <w:color w:val="auto"/>
              </w:rPr>
              <w:t>1,483</w:t>
            </w:r>
          </w:p>
        </w:tc>
        <w:tc>
          <w:tcPr>
            <w:tcW w:w="320" w:type="dxa"/>
            <w:vAlign w:val="bottom"/>
            <w:gridSpan w:val="2"/>
          </w:tcPr>
          <w:p>
            <w:pPr>
              <w:jc w:val="right"/>
              <w:ind w:right="42"/>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122"/>
              <w:spacing w:after="0"/>
              <w:rPr>
                <w:sz w:val="20"/>
                <w:szCs w:val="20"/>
                <w:color w:val="auto"/>
              </w:rPr>
            </w:pPr>
            <w:r>
              <w:rPr>
                <w:rFonts w:ascii="Arial" w:cs="Arial" w:eastAsia="Arial" w:hAnsi="Arial"/>
                <w:sz w:val="16"/>
                <w:szCs w:val="16"/>
                <w:color w:val="auto"/>
              </w:rPr>
              <w:t>36,650</w:t>
            </w:r>
          </w:p>
        </w:tc>
        <w:tc>
          <w:tcPr>
            <w:tcW w:w="28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122"/>
              <w:spacing w:after="0"/>
              <w:rPr>
                <w:sz w:val="20"/>
                <w:szCs w:val="20"/>
                <w:color w:val="auto"/>
              </w:rPr>
            </w:pPr>
            <w:r>
              <w:rPr>
                <w:rFonts w:ascii="Arial" w:cs="Arial" w:eastAsia="Arial" w:hAnsi="Arial"/>
                <w:sz w:val="16"/>
                <w:szCs w:val="16"/>
                <w:color w:val="auto"/>
              </w:rPr>
              <w:t>11,121</w:t>
            </w:r>
          </w:p>
        </w:tc>
        <w:tc>
          <w:tcPr>
            <w:tcW w:w="3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760" w:type="dxa"/>
            <w:vAlign w:val="bottom"/>
          </w:tcPr>
          <w:p>
            <w:pPr>
              <w:ind w:left="420"/>
              <w:spacing w:after="0"/>
              <w:rPr>
                <w:sz w:val="20"/>
                <w:szCs w:val="20"/>
                <w:color w:val="auto"/>
              </w:rPr>
            </w:pPr>
            <w:r>
              <w:rPr>
                <w:rFonts w:ascii="Arial" w:cs="Arial" w:eastAsia="Arial" w:hAnsi="Arial"/>
                <w:sz w:val="16"/>
                <w:szCs w:val="16"/>
                <w:color w:val="auto"/>
              </w:rPr>
              <w:t>57</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22"/>
              <w:spacing w:after="0"/>
              <w:rPr>
                <w:sz w:val="20"/>
                <w:szCs w:val="20"/>
                <w:color w:val="auto"/>
              </w:rPr>
            </w:pPr>
            <w:r>
              <w:rPr>
                <w:rFonts w:ascii="Arial" w:cs="Arial" w:eastAsia="Arial" w:hAnsi="Arial"/>
                <w:sz w:val="16"/>
                <w:szCs w:val="16"/>
                <w:color w:val="auto"/>
              </w:rPr>
              <w:t>49,311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9"/>
        </w:trPr>
        <w:tc>
          <w:tcPr>
            <w:tcW w:w="3040" w:type="dxa"/>
            <w:vAlign w:val="bottom"/>
          </w:tcPr>
          <w:p>
            <w:pPr>
              <w:spacing w:after="0"/>
              <w:rPr>
                <w:sz w:val="20"/>
                <w:szCs w:val="20"/>
                <w:color w:val="auto"/>
              </w:rPr>
            </w:pPr>
            <w:r>
              <w:rPr>
                <w:rFonts w:ascii="Arial" w:cs="Arial" w:eastAsia="Arial" w:hAnsi="Arial"/>
                <w:sz w:val="16"/>
                <w:szCs w:val="16"/>
                <w:color w:val="auto"/>
              </w:rPr>
              <w:t>% of Total</w:t>
            </w:r>
          </w:p>
        </w:tc>
        <w:tc>
          <w:tcPr>
            <w:tcW w:w="16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3 %</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74 %</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23 %</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gridSpan w:val="3"/>
          </w:tcPr>
          <w:p>
            <w:pPr>
              <w:ind w:left="420"/>
              <w:spacing w:after="0"/>
              <w:rPr>
                <w:sz w:val="20"/>
                <w:szCs w:val="20"/>
                <w:color w:val="auto"/>
              </w:rPr>
            </w:pPr>
            <w:r>
              <w:rPr>
                <w:rFonts w:ascii="Arial" w:cs="Arial" w:eastAsia="Arial" w:hAnsi="Arial"/>
                <w:sz w:val="16"/>
                <w:szCs w:val="16"/>
                <w:color w:val="auto"/>
              </w:rPr>
              <w:t>— %</w:t>
            </w: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100 %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-2714625</wp:posOffset>
            </wp:positionV>
            <wp:extent cx="6372860" cy="91249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33">
                      <a:extLst>
                        <a:ext uri="{28A0092B-C50C-407E-A947-70E740481C1C}"/>
                      </a:extLst>
                    </a:blip>
                    <a:srcRect/>
                    <a:stretch>
                      <a:fillRect/>
                    </a:stretch>
                  </pic:blipFill>
                  <pic:spPr bwMode="auto">
                    <a:xfrm>
                      <a:off x="0" y="0"/>
                      <a:ext cx="6372860" cy="912495"/>
                    </a:xfrm>
                    <a:prstGeom prst="rect">
                      <a:avLst/>
                    </a:prstGeom>
                    <a:noFill/>
                  </pic:spPr>
                </pic:pic>
              </a:graphicData>
            </a:graphic>
          </wp:anchor>
        </w:drawing>
        <w:drawing>
          <wp:anchor simplePos="0" relativeHeight="251657728" behindDoc="1" locked="0" layoutInCell="0" allowOverlap="1">
            <wp:simplePos x="0" y="0"/>
            <wp:positionH relativeFrom="column">
              <wp:posOffset>-16510</wp:posOffset>
            </wp:positionH>
            <wp:positionV relativeFrom="paragraph">
              <wp:posOffset>-887730</wp:posOffset>
            </wp:positionV>
            <wp:extent cx="6354445" cy="91249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34">
                      <a:extLst>
                        <a:ext uri="{28A0092B-C50C-407E-A947-70E740481C1C}"/>
                      </a:extLst>
                    </a:blip>
                    <a:srcRect/>
                    <a:stretch>
                      <a:fillRect/>
                    </a:stretch>
                  </pic:blipFill>
                  <pic:spPr bwMode="auto">
                    <a:xfrm>
                      <a:off x="0" y="0"/>
                      <a:ext cx="6354445" cy="912495"/>
                    </a:xfrm>
                    <a:prstGeom prst="rect">
                      <a:avLst/>
                    </a:prstGeom>
                    <a:noFill/>
                  </pic:spPr>
                </pic:pic>
              </a:graphicData>
            </a:graphic>
          </wp:anchor>
        </w:drawing>
      </w:r>
    </w:p>
    <w:p>
      <w:pPr>
        <w:spacing w:after="0" w:line="145" w:lineRule="exact"/>
        <w:rPr>
          <w:sz w:val="20"/>
          <w:szCs w:val="20"/>
          <w:color w:val="auto"/>
        </w:rPr>
      </w:pPr>
    </w:p>
    <w:p>
      <w:pPr>
        <w:ind w:left="340"/>
        <w:spacing w:after="0"/>
        <w:rPr>
          <w:sz w:val="20"/>
          <w:szCs w:val="20"/>
          <w:color w:val="auto"/>
        </w:rPr>
      </w:pPr>
      <w:r>
        <w:rPr>
          <w:rFonts w:ascii="Arial" w:cs="Arial" w:eastAsia="Arial" w:hAnsi="Arial"/>
          <w:sz w:val="20"/>
          <w:szCs w:val="20"/>
          <w:b w:val="1"/>
          <w:bCs w:val="1"/>
          <w:i w:val="1"/>
          <w:iCs w:val="1"/>
          <w:color w:val="auto"/>
        </w:rPr>
        <w:t>Goodwill</w:t>
      </w:r>
    </w:p>
    <w:p>
      <w:pPr>
        <w:spacing w:after="0" w:line="130" w:lineRule="exact"/>
        <w:rPr>
          <w:sz w:val="20"/>
          <w:szCs w:val="20"/>
          <w:color w:val="auto"/>
        </w:rPr>
      </w:pPr>
    </w:p>
    <w:p>
      <w:pPr>
        <w:jc w:val="both"/>
        <w:ind w:firstLine="353"/>
        <w:spacing w:after="0" w:line="306" w:lineRule="auto"/>
        <w:rPr>
          <w:sz w:val="20"/>
          <w:szCs w:val="20"/>
          <w:color w:val="auto"/>
        </w:rPr>
      </w:pPr>
      <w:r>
        <w:rPr>
          <w:rFonts w:ascii="Arial" w:cs="Arial" w:eastAsia="Arial" w:hAnsi="Arial"/>
          <w:sz w:val="17"/>
          <w:szCs w:val="17"/>
          <w:color w:val="auto"/>
        </w:rPr>
        <w:t xml:space="preserve">We have made acquisitions that have resulted in a significant amount of goodwill. As of December 31, 2025 and 2024, goodwill was $5,272 million and $5,271 million, respectively. The majority of our goodwill as of December 31, 2025 relates to goodwill recorded in connection with the Chicago Title merger in 2000, our initial acquisition of an ownership interest in ServiceLink in 2014 and our acquisition of F&amp;G in 2020. Refer to Note M </w:t>
      </w:r>
      <w:r>
        <w:rPr>
          <w:rFonts w:ascii="Arial" w:cs="Arial" w:eastAsia="Arial" w:hAnsi="Arial"/>
          <w:sz w:val="17"/>
          <w:szCs w:val="17"/>
          <w:b w:val="1"/>
          <w:bCs w:val="1"/>
          <w:i w:val="1"/>
          <w:iCs w:val="1"/>
          <w:color w:val="auto"/>
        </w:rPr>
        <w:t>Goodwill</w:t>
      </w:r>
      <w:r>
        <w:rPr>
          <w:rFonts w:ascii="Arial" w:cs="Arial" w:eastAsia="Arial" w:hAnsi="Arial"/>
          <w:sz w:val="17"/>
          <w:szCs w:val="17"/>
          <w:color w:val="auto"/>
        </w:rPr>
        <w:t xml:space="preserve"> to our Consolidated Financial Statements included in Item 8 of Part II of this Annual Report for a summary of recent changes in our Goodwill balance.</w:t>
      </w:r>
    </w:p>
    <w:p>
      <w:pPr>
        <w:spacing w:after="0" w:line="47" w:lineRule="exact"/>
        <w:rPr>
          <w:sz w:val="20"/>
          <w:szCs w:val="20"/>
          <w:color w:val="auto"/>
        </w:rPr>
      </w:pPr>
    </w:p>
    <w:p>
      <w:pPr>
        <w:jc w:val="both"/>
        <w:ind w:firstLine="353"/>
        <w:spacing w:after="0" w:line="294" w:lineRule="auto"/>
        <w:rPr>
          <w:sz w:val="20"/>
          <w:szCs w:val="20"/>
          <w:color w:val="auto"/>
        </w:rPr>
      </w:pPr>
      <w:r>
        <w:rPr>
          <w:rFonts w:ascii="Arial" w:cs="Arial" w:eastAsia="Arial" w:hAnsi="Arial"/>
          <w:sz w:val="17"/>
          <w:szCs w:val="17"/>
          <w:color w:val="auto"/>
        </w:rPr>
        <w:t>In evaluating the recoverability of goodwill, we perform a qualitative analysis at the reporting unit level to determine whether it is more likely than not that the fair value of our recorded goodwill exceeds its carrying value. Based on the results of this analysis, an annual goodwill impairment test may be completed based on an analysis of the discounted future cash flows generated by the underlying assets. The process of determining whether or not goodwill is impaired or recoverable relies on projections of future cash flows, operating results and market conditions. Future cash flow estimates are based partly on projections of market conditions such as the volume and mix of refinance and purchase transactions and interest rates, which are beyond our control and are likely to fluctuate. While we believe that our estimates of future cash flows are reasonable, these estimates are not guarantees of future performance and are subject to risks and uncertainties that may cause actual results to differ from what is assumed in our impairment tests. Such analyses are particularly sensitive to changes in estimates of future cash flows and discount rates. Changes to these estimates might result in material changes in fair value and determination of the recoverability of goodwill, which may result in charges against earnings and a reduction in the carrying value of our goodwill in the future. We completed annual goodwill impairment analyses in the fourth quarter of each period presented using a September 30 measurement date. For the years ended December 31, 2025, 2024, and 2023, we determined there were no events or circumstances that indicated that the carrying value exceeded the fair value.</w:t>
      </w:r>
    </w:p>
    <w:p>
      <w:pPr>
        <w:spacing w:after="0" w:line="51" w:lineRule="exact"/>
        <w:rPr>
          <w:sz w:val="20"/>
          <w:szCs w:val="20"/>
          <w:color w:val="auto"/>
        </w:rPr>
      </w:pPr>
    </w:p>
    <w:p>
      <w:pPr>
        <w:ind w:left="340"/>
        <w:spacing w:after="0"/>
        <w:rPr>
          <w:sz w:val="20"/>
          <w:szCs w:val="20"/>
          <w:color w:val="auto"/>
        </w:rPr>
      </w:pPr>
      <w:r>
        <w:rPr>
          <w:rFonts w:ascii="Arial" w:cs="Arial" w:eastAsia="Arial" w:hAnsi="Arial"/>
          <w:sz w:val="20"/>
          <w:szCs w:val="20"/>
          <w:b w:val="1"/>
          <w:bCs w:val="1"/>
          <w:i w:val="1"/>
          <w:iCs w:val="1"/>
          <w:color w:val="auto"/>
        </w:rPr>
        <w:t>Market Risk Benefits</w:t>
      </w:r>
    </w:p>
    <w:p>
      <w:pPr>
        <w:spacing w:after="0" w:line="130" w:lineRule="exact"/>
        <w:rPr>
          <w:sz w:val="20"/>
          <w:szCs w:val="20"/>
          <w:color w:val="auto"/>
        </w:rPr>
      </w:pPr>
    </w:p>
    <w:p>
      <w:pPr>
        <w:jc w:val="both"/>
        <w:ind w:firstLine="353"/>
        <w:spacing w:after="0" w:line="300" w:lineRule="auto"/>
        <w:rPr>
          <w:sz w:val="20"/>
          <w:szCs w:val="20"/>
          <w:color w:val="auto"/>
        </w:rPr>
      </w:pPr>
      <w:r>
        <w:rPr>
          <w:rFonts w:ascii="Arial" w:cs="Arial" w:eastAsia="Arial" w:hAnsi="Arial"/>
          <w:sz w:val="17"/>
          <w:szCs w:val="17"/>
          <w:color w:val="auto"/>
        </w:rPr>
        <w:t>MRBs are contracts or contract features that both provide protection to the contract holder from other-than-nominal capital market risk (equity, interest and foreign exchange risk) and expose the Company to other-than-nominal capital market risk. MRBs include certain contract features primarily on FIA contracts that provide minimum guarantees to policyholders, such as Guaranteed Minimum Death Benefit (“GMDBs”) and Guaranteed Minimum Withdrawal Benefits (“GMWBs”) and Guaranteed Minimum Accumulation Benefits (“GMAB”) riders. In certain reinsurance transactions, the underlying risks ceded to a reinsurer contain MRBs. MRBs, inclusive of reinsured MRBs, are measured at fair value using a risk neutral valuation method, which is based on current net amounts at risk, market data, internal and industry experience, and other factors.</w:t>
      </w:r>
    </w:p>
    <w:p>
      <w:pPr>
        <w:spacing w:after="0" w:line="54" w:lineRule="exact"/>
        <w:rPr>
          <w:sz w:val="20"/>
          <w:szCs w:val="20"/>
          <w:color w:val="auto"/>
        </w:rPr>
      </w:pPr>
    </w:p>
    <w:p>
      <w:pPr>
        <w:jc w:val="both"/>
        <w:ind w:firstLine="353"/>
        <w:spacing w:after="0" w:line="325" w:lineRule="auto"/>
        <w:rPr>
          <w:sz w:val="20"/>
          <w:szCs w:val="20"/>
          <w:color w:val="auto"/>
        </w:rPr>
      </w:pPr>
      <w:r>
        <w:rPr>
          <w:rFonts w:ascii="Arial" w:cs="Arial" w:eastAsia="Arial" w:hAnsi="Arial"/>
          <w:sz w:val="17"/>
          <w:szCs w:val="17"/>
          <w:color w:val="auto"/>
        </w:rPr>
        <w:t>The principal policyholder behavior assumptions used to calculate MRBs are established at issue of the contract and include mortality, contract full and partial surrenders, and utilization of the GMWB rider benefits. The assumptions used reflect a combination of internal experience, industry experience and judgment. We review overall policyholder behavior experience at</w:t>
      </w:r>
    </w:p>
    <w:p>
      <w:pPr>
        <w:sectPr>
          <w:pgSz w:w="11880" w:h="15480" w:orient="portrait"/>
          <w:cols w:equalWidth="0" w:num="1">
            <w:col w:w="10040"/>
          </w:cols>
          <w:pgMar w:left="920" w:top="728" w:right="920" w:bottom="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66</w:t>
      </w:r>
    </w:p>
    <w:p>
      <w:pPr>
        <w:sectPr>
          <w:pgSz w:w="11880" w:h="15480" w:orient="portrait"/>
          <w:cols w:equalWidth="0" w:num="1">
            <w:col w:w="10040"/>
          </w:cols>
          <w:pgMar w:left="920" w:top="728" w:right="920" w:bottom="0" w:gutter="0" w:footer="0" w:header="0"/>
          <w:type w:val="continuous"/>
        </w:sectPr>
      </w:pPr>
    </w:p>
    <w:bookmarkStart w:id="78" w:name="page79"/>
    <w:bookmarkEnd w:id="78"/>
    <w:p>
      <w:pPr>
        <w:jc w:val="both"/>
        <w:spacing w:after="0" w:line="258" w:lineRule="auto"/>
        <w:rPr>
          <w:sz w:val="20"/>
          <w:szCs w:val="20"/>
          <w:color w:val="auto"/>
        </w:rPr>
      </w:pPr>
      <w:r>
        <w:rPr>
          <w:rFonts w:ascii="Arial" w:cs="Arial" w:eastAsia="Arial" w:hAnsi="Arial"/>
          <w:sz w:val="20"/>
          <w:szCs w:val="20"/>
          <w:color w:val="auto"/>
        </w:rPr>
        <w:t>least annually and update these assumptions when deemed necessary based on additional information that becomes available. Changes in, or deviations from, the assumptions previously used can significantly affect our MRBs and related results of operations in a positive or negative direction.</w:t>
      </w:r>
    </w:p>
    <w:p>
      <w:pPr>
        <w:spacing w:after="0" w:line="80" w:lineRule="exact"/>
        <w:rPr>
          <w:sz w:val="20"/>
          <w:szCs w:val="20"/>
          <w:color w:val="auto"/>
        </w:rPr>
      </w:pPr>
    </w:p>
    <w:p>
      <w:pPr>
        <w:jc w:val="both"/>
        <w:ind w:firstLine="353"/>
        <w:spacing w:after="0" w:line="273" w:lineRule="auto"/>
        <w:rPr>
          <w:sz w:val="20"/>
          <w:szCs w:val="20"/>
          <w:color w:val="auto"/>
        </w:rPr>
      </w:pPr>
      <w:r>
        <w:rPr>
          <w:rFonts w:ascii="Arial" w:cs="Arial" w:eastAsia="Arial" w:hAnsi="Arial"/>
          <w:sz w:val="20"/>
          <w:szCs w:val="20"/>
          <w:color w:val="auto"/>
        </w:rPr>
        <w:t xml:space="preserve">See Note W </w:t>
      </w:r>
      <w:r>
        <w:rPr>
          <w:rFonts w:ascii="Arial" w:cs="Arial" w:eastAsia="Arial" w:hAnsi="Arial"/>
          <w:sz w:val="20"/>
          <w:szCs w:val="20"/>
          <w:b w:val="1"/>
          <w:bCs w:val="1"/>
          <w:i w:val="1"/>
          <w:iCs w:val="1"/>
          <w:color w:val="auto"/>
        </w:rPr>
        <w:t>Market Risk Benefits</w:t>
      </w:r>
      <w:r>
        <w:rPr>
          <w:rFonts w:ascii="Arial" w:cs="Arial" w:eastAsia="Arial" w:hAnsi="Arial"/>
          <w:sz w:val="20"/>
          <w:szCs w:val="20"/>
          <w:color w:val="auto"/>
        </w:rPr>
        <w:t xml:space="preserve"> to our Consolidated Financial Statements included in Item 8 of Part II of this Annual Report on Form 10-K.</w:t>
      </w:r>
    </w:p>
    <w:p>
      <w:pPr>
        <w:spacing w:after="0" w:line="67" w:lineRule="exact"/>
        <w:rPr>
          <w:sz w:val="20"/>
          <w:szCs w:val="20"/>
          <w:color w:val="auto"/>
        </w:rPr>
      </w:pPr>
    </w:p>
    <w:p>
      <w:pPr>
        <w:jc w:val="both"/>
        <w:ind w:firstLine="353"/>
        <w:spacing w:after="0" w:line="325" w:lineRule="auto"/>
        <w:rPr>
          <w:sz w:val="20"/>
          <w:szCs w:val="20"/>
          <w:color w:val="auto"/>
        </w:rPr>
      </w:pPr>
      <w:r>
        <w:rPr>
          <w:rFonts w:ascii="Arial" w:cs="Arial" w:eastAsia="Arial" w:hAnsi="Arial"/>
          <w:sz w:val="17"/>
          <w:szCs w:val="17"/>
          <w:color w:val="auto"/>
        </w:rPr>
        <w:t>Mortality refers to the incidence of death amongst policyholders on covered lives, which triggers contractual death benefit provisions. These provisions may allow for lump sum payments, payments over a period of time or spousal continuation of the contract. We utilize a combination of actual internal and industry experience when setting our mortality assumptions.</w:t>
      </w:r>
    </w:p>
    <w:p>
      <w:pPr>
        <w:spacing w:after="0" w:line="29" w:lineRule="exact"/>
        <w:rPr>
          <w:sz w:val="20"/>
          <w:szCs w:val="20"/>
          <w:color w:val="auto"/>
        </w:rPr>
      </w:pPr>
    </w:p>
    <w:p>
      <w:pPr>
        <w:jc w:val="both"/>
        <w:ind w:firstLine="353"/>
        <w:spacing w:after="0" w:line="250" w:lineRule="auto"/>
        <w:rPr>
          <w:sz w:val="20"/>
          <w:szCs w:val="20"/>
          <w:color w:val="auto"/>
        </w:rPr>
      </w:pPr>
      <w:r>
        <w:rPr>
          <w:rFonts w:ascii="Arial" w:cs="Arial" w:eastAsia="Arial" w:hAnsi="Arial"/>
          <w:sz w:val="20"/>
          <w:szCs w:val="20"/>
          <w:color w:val="auto"/>
        </w:rPr>
        <w:t>A surrender rate is the percentage of account value surrendered by the policyholder in exchange for receipt of a cash surrender value. We make estimates of expected full and partial surrenders of our deferred annuity products based on a combination of internal and industry experience. Management’s best estimate of surrender generally represents a medium-to-long term perspective, as we expect to experience a range of policyholder behavior and market conditions period to period. If actual surrender rates are significantly different from those estimated, such differences could have a significant effect on our MRBs and related results of operations.</w:t>
      </w:r>
    </w:p>
    <w:p>
      <w:pPr>
        <w:spacing w:after="0" w:line="91" w:lineRule="exact"/>
        <w:rPr>
          <w:sz w:val="20"/>
          <w:szCs w:val="20"/>
          <w:color w:val="auto"/>
        </w:rPr>
      </w:pPr>
    </w:p>
    <w:p>
      <w:pPr>
        <w:jc w:val="both"/>
        <w:ind w:firstLine="353"/>
        <w:spacing w:after="0" w:line="271" w:lineRule="auto"/>
        <w:rPr>
          <w:sz w:val="20"/>
          <w:szCs w:val="20"/>
          <w:color w:val="auto"/>
        </w:rPr>
      </w:pPr>
      <w:r>
        <w:rPr>
          <w:rFonts w:ascii="Arial" w:cs="Arial" w:eastAsia="Arial" w:hAnsi="Arial"/>
          <w:sz w:val="19"/>
          <w:szCs w:val="19"/>
          <w:color w:val="auto"/>
        </w:rPr>
        <w:t>We have been issuing GMWB products since 2008. We make assumptions for policyholder behavior as it relates to GMWB utilization using a higher degree of industry experience and judgment than our other behavioral assumptions because internal experience, which we review annually, is still emerging. If emerging experience deviates from our assumptions on GMWB utilization, it could have a significant effect on MRBs and related results of operations.</w:t>
      </w:r>
    </w:p>
    <w:p>
      <w:pPr>
        <w:spacing w:after="0" w:line="68" w:lineRule="exact"/>
        <w:rPr>
          <w:sz w:val="20"/>
          <w:szCs w:val="20"/>
          <w:color w:val="auto"/>
        </w:rPr>
      </w:pPr>
    </w:p>
    <w:p>
      <w:pPr>
        <w:ind w:left="340"/>
        <w:spacing w:after="0"/>
        <w:rPr>
          <w:sz w:val="20"/>
          <w:szCs w:val="20"/>
          <w:color w:val="auto"/>
        </w:rPr>
      </w:pPr>
      <w:r>
        <w:rPr>
          <w:rFonts w:ascii="Arial" w:cs="Arial" w:eastAsia="Arial" w:hAnsi="Arial"/>
          <w:sz w:val="20"/>
          <w:szCs w:val="20"/>
          <w:b w:val="1"/>
          <w:bCs w:val="1"/>
          <w:i w:val="1"/>
          <w:iCs w:val="1"/>
          <w:color w:val="auto"/>
        </w:rPr>
        <w:t>Accounting for Income Taxes</w:t>
      </w:r>
    </w:p>
    <w:p>
      <w:pPr>
        <w:spacing w:after="0" w:line="127" w:lineRule="exact"/>
        <w:rPr>
          <w:sz w:val="20"/>
          <w:szCs w:val="20"/>
          <w:color w:val="auto"/>
        </w:rPr>
      </w:pPr>
    </w:p>
    <w:p>
      <w:pPr>
        <w:jc w:val="both"/>
        <w:ind w:firstLine="353"/>
        <w:spacing w:after="0" w:line="294" w:lineRule="auto"/>
        <w:rPr>
          <w:sz w:val="20"/>
          <w:szCs w:val="20"/>
          <w:color w:val="auto"/>
        </w:rPr>
      </w:pPr>
      <w:r>
        <w:rPr>
          <w:rFonts w:ascii="Arial" w:cs="Arial" w:eastAsia="Arial" w:hAnsi="Arial"/>
          <w:sz w:val="17"/>
          <w:szCs w:val="17"/>
          <w:color w:val="auto"/>
        </w:rPr>
        <w:t>As part of the process of preparing the consolidated financial statements, we are required to determine income taxes in each of the jurisdictions in which we operate. This process involves estimating actual current tax expense together with assessing temporary differences resulting from differing recognition of items for income tax and accounting purposes. These differences result in deferred income tax assets and liabilities, which are included within the Consolidated Balance Sheets. We must then assess the likelihood that deferred income tax assets will be realized and, to the extent we believe that realizability is not likely, establish a valuation allowance. Determination of income tax expense requires estimates and can involve complex issues that may require an extended period to resolve. Further, the estimated level of annual pre-tax income can cause the overall effective income tax rate to vary from period to period. We believe that our tax positions comply with applicable tax law and that we adequately provide for any known tax contingencies. We believe the estimates and assumptions used to support our evaluation of tax benefit realization are reasonable. Final determination of prior-year tax liabilities, either by settlement with tax authorities or expiration of statutes of limitations, could be materially different than estimates reflected in assets and liabilities and historical income tax provisions. The outcome of these final determinations could have a material effect on our income tax provision, net income or cash flows in the period that determination is made.</w:t>
      </w:r>
    </w:p>
    <w:p>
      <w:pPr>
        <w:spacing w:after="0" w:line="62" w:lineRule="exact"/>
        <w:rPr>
          <w:sz w:val="20"/>
          <w:szCs w:val="20"/>
          <w:color w:val="auto"/>
        </w:rPr>
      </w:pPr>
    </w:p>
    <w:p>
      <w:pPr>
        <w:jc w:val="both"/>
        <w:ind w:firstLine="353"/>
        <w:spacing w:after="0" w:line="296" w:lineRule="auto"/>
        <w:rPr>
          <w:sz w:val="20"/>
          <w:szCs w:val="20"/>
          <w:color w:val="auto"/>
        </w:rPr>
      </w:pPr>
      <w:r>
        <w:rPr>
          <w:rFonts w:ascii="Arial" w:cs="Arial" w:eastAsia="Arial" w:hAnsi="Arial"/>
          <w:sz w:val="17"/>
          <w:szCs w:val="17"/>
          <w:color w:val="auto"/>
        </w:rPr>
        <w:t>For the year ended December 31, 2025, market conditions resulted in deferred tax assets related to the net unrealized capital losses in the Company’s investment portfolio. U.S. GAAP requires the evaluation of the recoverability of deferred tax assets and the establishment of a valuation allowance, if necessary, to reduce the deferred tax asset to an amount that is more likely than not to be realized. When assessing the need for valuation allowance on the unrealized capital loss deferred tax assets, we assert a tax planning strategy to hold the vast majority of underlying securities to recovery or maturity. Our ability to assert such a tax planning strategy is dependent upon factors such as the Company’s asset/liability matching process, overall investment strategy, projected future annuity product sales, and expected liquidity needs. In the event these estimates differ from our prior estimates due to the receipt of new information, we may be required to significantly change the income tax expense recorded in the Consolidated Financial Statements. This includes a further significant decline in value of assets incorporated into our tax planning strategies, which could lead to an increase of our valuation allowance on deferred tax assets having an adverse effect on current and future results.</w:t>
      </w:r>
    </w:p>
    <w:p>
      <w:pPr>
        <w:spacing w:after="0" w:line="292" w:lineRule="exact"/>
        <w:rPr>
          <w:sz w:val="20"/>
          <w:szCs w:val="20"/>
          <w:color w:val="auto"/>
        </w:rPr>
      </w:pPr>
    </w:p>
    <w:p>
      <w:pPr>
        <w:jc w:val="both"/>
        <w:ind w:firstLine="353"/>
        <w:spacing w:after="0" w:line="273" w:lineRule="auto"/>
        <w:rPr>
          <w:sz w:val="20"/>
          <w:szCs w:val="20"/>
          <w:color w:val="auto"/>
        </w:rPr>
      </w:pPr>
      <w:r>
        <w:rPr>
          <w:rFonts w:ascii="Arial" w:cs="Arial" w:eastAsia="Arial" w:hAnsi="Arial"/>
          <w:sz w:val="20"/>
          <w:szCs w:val="20"/>
          <w:color w:val="auto"/>
        </w:rPr>
        <w:t xml:space="preserve">Refer to Note S </w:t>
      </w:r>
      <w:r>
        <w:rPr>
          <w:rFonts w:ascii="Arial" w:cs="Arial" w:eastAsia="Arial" w:hAnsi="Arial"/>
          <w:sz w:val="20"/>
          <w:szCs w:val="20"/>
          <w:b w:val="1"/>
          <w:bCs w:val="1"/>
          <w:i w:val="1"/>
          <w:iCs w:val="1"/>
          <w:color w:val="auto"/>
        </w:rPr>
        <w:t>Income Taxes</w:t>
      </w:r>
      <w:r>
        <w:rPr>
          <w:rFonts w:ascii="Arial" w:cs="Arial" w:eastAsia="Arial" w:hAnsi="Arial"/>
          <w:sz w:val="20"/>
          <w:szCs w:val="20"/>
          <w:color w:val="auto"/>
        </w:rPr>
        <w:t xml:space="preserve"> to our Consolidated Financial Statements in Item 8 of Part II of this Annual Report for details.</w:t>
      </w:r>
    </w:p>
    <w:p>
      <w:pPr>
        <w:sectPr>
          <w:pgSz w:w="11880" w:h="15480" w:orient="portrait"/>
          <w:cols w:equalWidth="0" w:num="1">
            <w:col w:w="10040"/>
          </w:cols>
          <w:pgMar w:left="920" w:top="640"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67</w:t>
      </w:r>
    </w:p>
    <w:p>
      <w:pPr>
        <w:sectPr>
          <w:pgSz w:w="11880" w:h="15480" w:orient="portrait"/>
          <w:cols w:equalWidth="0" w:num="1">
            <w:col w:w="10040"/>
          </w:cols>
          <w:pgMar w:left="920" w:top="640" w:right="920" w:bottom="0" w:gutter="0" w:footer="0" w:header="0"/>
          <w:type w:val="continuous"/>
        </w:sectPr>
      </w:pPr>
    </w:p>
    <w:bookmarkStart w:id="79" w:name="page80"/>
    <w:bookmarkEnd w:id="79"/>
    <w:p>
      <w:pPr>
        <w:spacing w:after="0"/>
        <w:rPr>
          <w:sz w:val="20"/>
          <w:szCs w:val="20"/>
          <w:color w:val="auto"/>
        </w:rPr>
      </w:pPr>
      <w:r>
        <w:rPr>
          <w:rFonts w:ascii="Arial" w:cs="Arial" w:eastAsia="Arial" w:hAnsi="Arial"/>
          <w:sz w:val="20"/>
          <w:szCs w:val="20"/>
          <w:b w:val="1"/>
          <w:bCs w:val="1"/>
          <w:color w:val="auto"/>
        </w:rPr>
        <w:t>Results of Operations</w:t>
      </w:r>
    </w:p>
    <w:p>
      <w:pPr>
        <w:spacing w:after="0" w:line="24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Consolidated Results of Operations</w:t>
      </w:r>
    </w:p>
    <w:p>
      <w:pPr>
        <w:spacing w:after="0" w:line="128" w:lineRule="exact"/>
        <w:rPr>
          <w:sz w:val="20"/>
          <w:szCs w:val="20"/>
          <w:color w:val="auto"/>
        </w:rPr>
      </w:pPr>
    </w:p>
    <w:p>
      <w:pPr>
        <w:ind w:left="700"/>
        <w:spacing w:after="0"/>
        <w:rPr>
          <w:sz w:val="20"/>
          <w:szCs w:val="20"/>
          <w:color w:val="auto"/>
        </w:rPr>
      </w:pPr>
      <w:r>
        <w:rPr>
          <w:rFonts w:ascii="Arial" w:cs="Arial" w:eastAsia="Arial" w:hAnsi="Arial"/>
          <w:sz w:val="20"/>
          <w:szCs w:val="20"/>
          <w:b w:val="1"/>
          <w:bCs w:val="1"/>
          <w:i w:val="1"/>
          <w:iCs w:val="1"/>
          <w:color w:val="auto"/>
        </w:rPr>
        <w:t xml:space="preserve">Net Earnings. </w:t>
      </w:r>
      <w:r>
        <w:rPr>
          <w:rFonts w:ascii="Arial" w:cs="Arial" w:eastAsia="Arial" w:hAnsi="Arial"/>
          <w:sz w:val="20"/>
          <w:szCs w:val="20"/>
          <w:color w:val="auto"/>
        </w:rPr>
        <w:t>The following table presents certain financial data for the years indicated:</w:t>
      </w:r>
    </w:p>
    <w:p>
      <w:pPr>
        <w:spacing w:after="0" w:line="374" w:lineRule="exact"/>
        <w:rPr>
          <w:sz w:val="20"/>
          <w:szCs w:val="20"/>
          <w:color w:val="auto"/>
        </w:rPr>
      </w:pPr>
    </w:p>
    <w:tbl>
      <w:tblPr>
        <w:tblLayout w:type="fixed"/>
        <w:tblInd w:w="40" w:type="dxa"/>
        <w:tblCellMar>
          <w:top w:w="0" w:type="dxa"/>
          <w:left w:w="0" w:type="dxa"/>
          <w:bottom w:w="0" w:type="dxa"/>
          <w:right w:w="0" w:type="dxa"/>
        </w:tblCellMar>
      </w:tblPr>
      <w:tr>
        <w:trPr>
          <w:trHeight w:val="213"/>
        </w:trPr>
        <w:tc>
          <w:tcPr>
            <w:tcW w:w="67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300" w:type="dxa"/>
            <w:vAlign w:val="bottom"/>
            <w:tcBorders>
              <w:bottom w:val="single" w:sz="8" w:color="auto"/>
            </w:tcBorders>
            <w:gridSpan w:val="6"/>
          </w:tcPr>
          <w:p>
            <w:pPr>
              <w:jc w:val="right"/>
              <w:ind w:right="20"/>
              <w:spacing w:after="0"/>
              <w:rPr>
                <w:sz w:val="20"/>
                <w:szCs w:val="20"/>
                <w:color w:val="auto"/>
              </w:rPr>
            </w:pPr>
            <w:r>
              <w:rPr>
                <w:rFonts w:ascii="Arial" w:cs="Arial" w:eastAsia="Arial" w:hAnsi="Arial"/>
                <w:sz w:val="16"/>
                <w:szCs w:val="16"/>
                <w:b w:val="1"/>
                <w:bCs w:val="1"/>
                <w:color w:val="auto"/>
              </w:rPr>
              <w:t>Year Ended December 31,</w:t>
            </w:r>
          </w:p>
        </w:tc>
        <w:tc>
          <w:tcPr>
            <w:tcW w:w="700" w:type="dxa"/>
            <w:vAlign w:val="bottom"/>
            <w:tcBorders>
              <w:bottom w:val="single" w:sz="8" w:color="auto"/>
            </w:tcBorders>
          </w:tcPr>
          <w:p>
            <w:pPr>
              <w:spacing w:after="0"/>
              <w:rPr>
                <w:sz w:val="18"/>
                <w:szCs w:val="18"/>
                <w:color w:val="auto"/>
              </w:rPr>
            </w:pPr>
          </w:p>
        </w:tc>
      </w:tr>
      <w:tr>
        <w:trPr>
          <w:trHeight w:val="230"/>
        </w:trPr>
        <w:tc>
          <w:tcPr>
            <w:tcW w:w="67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262"/>
              <w:spacing w:after="0"/>
              <w:rPr>
                <w:sz w:val="20"/>
                <w:szCs w:val="20"/>
                <w:color w:val="auto"/>
              </w:rPr>
            </w:pPr>
            <w:r>
              <w:rPr>
                <w:rFonts w:ascii="Arial" w:cs="Arial" w:eastAsia="Arial" w:hAnsi="Arial"/>
                <w:sz w:val="16"/>
                <w:szCs w:val="16"/>
                <w:b w:val="1"/>
                <w:bCs w:val="1"/>
                <w:color w:val="auto"/>
              </w:rPr>
              <w:t>2025</w:t>
            </w:r>
          </w:p>
        </w:tc>
        <w:tc>
          <w:tcPr>
            <w:tcW w:w="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02"/>
              <w:spacing w:after="0"/>
              <w:rPr>
                <w:sz w:val="20"/>
                <w:szCs w:val="20"/>
                <w:color w:val="auto"/>
              </w:rPr>
            </w:pPr>
            <w:r>
              <w:rPr>
                <w:rFonts w:ascii="Arial" w:cs="Arial" w:eastAsia="Arial" w:hAnsi="Arial"/>
                <w:sz w:val="16"/>
                <w:szCs w:val="16"/>
                <w:b w:val="1"/>
                <w:bCs w:val="1"/>
                <w:color w:val="auto"/>
              </w:rPr>
              <w:t>2024</w:t>
            </w:r>
          </w:p>
        </w:tc>
        <w:tc>
          <w:tcPr>
            <w:tcW w:w="4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282"/>
              <w:spacing w:after="0"/>
              <w:rPr>
                <w:sz w:val="20"/>
                <w:szCs w:val="20"/>
                <w:color w:val="auto"/>
              </w:rPr>
            </w:pPr>
            <w:r>
              <w:rPr>
                <w:rFonts w:ascii="Arial" w:cs="Arial" w:eastAsia="Arial" w:hAnsi="Arial"/>
                <w:sz w:val="16"/>
                <w:szCs w:val="16"/>
                <w:b w:val="1"/>
                <w:bCs w:val="1"/>
                <w:color w:val="auto"/>
                <w:w w:val="89"/>
              </w:rPr>
              <w:t>2023</w:t>
            </w:r>
          </w:p>
        </w:tc>
      </w:tr>
      <w:tr>
        <w:trPr>
          <w:trHeight w:val="223"/>
        </w:trPr>
        <w:tc>
          <w:tcPr>
            <w:tcW w:w="6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ind w:right="22"/>
              <w:spacing w:after="0"/>
              <w:rPr>
                <w:sz w:val="20"/>
                <w:szCs w:val="20"/>
                <w:color w:val="auto"/>
              </w:rPr>
            </w:pPr>
            <w:r>
              <w:rPr>
                <w:rFonts w:ascii="Arial" w:cs="Arial" w:eastAsia="Arial" w:hAnsi="Arial"/>
                <w:sz w:val="16"/>
                <w:szCs w:val="16"/>
                <w:b w:val="1"/>
                <w:bCs w:val="1"/>
                <w:color w:val="auto"/>
                <w:w w:val="89"/>
              </w:rPr>
              <w:t>(In millions)</w:t>
            </w:r>
          </w:p>
        </w:tc>
        <w:tc>
          <w:tcPr>
            <w:tcW w:w="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294"/>
        </w:trPr>
        <w:tc>
          <w:tcPr>
            <w:tcW w:w="6780" w:type="dxa"/>
            <w:vAlign w:val="bottom"/>
          </w:tcPr>
          <w:p>
            <w:pPr>
              <w:spacing w:after="0"/>
              <w:rPr>
                <w:sz w:val="20"/>
                <w:szCs w:val="20"/>
                <w:color w:val="auto"/>
              </w:rPr>
            </w:pPr>
            <w:r>
              <w:rPr>
                <w:rFonts w:ascii="Arial" w:cs="Arial" w:eastAsia="Arial" w:hAnsi="Arial"/>
                <w:sz w:val="16"/>
                <w:szCs w:val="16"/>
                <w:color w:val="auto"/>
              </w:rPr>
              <w:t>Revenues:</w:t>
            </w: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294"/>
        </w:trPr>
        <w:tc>
          <w:tcPr>
            <w:tcW w:w="6780" w:type="dxa"/>
            <w:vAlign w:val="bottom"/>
          </w:tcPr>
          <w:p>
            <w:pPr>
              <w:ind w:left="220"/>
              <w:spacing w:after="0"/>
              <w:rPr>
                <w:sz w:val="20"/>
                <w:szCs w:val="20"/>
                <w:color w:val="auto"/>
              </w:rPr>
            </w:pPr>
            <w:r>
              <w:rPr>
                <w:rFonts w:ascii="Arial" w:cs="Arial" w:eastAsia="Arial" w:hAnsi="Arial"/>
                <w:sz w:val="16"/>
                <w:szCs w:val="16"/>
                <w:color w:val="auto"/>
              </w:rPr>
              <w:t>Direct title insurance premiums</w:t>
            </w:r>
          </w:p>
        </w:tc>
        <w:tc>
          <w:tcPr>
            <w:tcW w:w="22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2,574</w:t>
            </w:r>
          </w:p>
        </w:tc>
        <w:tc>
          <w:tcPr>
            <w:tcW w:w="22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2"/>
              <w:spacing w:after="0"/>
              <w:rPr>
                <w:sz w:val="20"/>
                <w:szCs w:val="20"/>
                <w:color w:val="auto"/>
              </w:rPr>
            </w:pPr>
            <w:r>
              <w:rPr>
                <w:rFonts w:ascii="Arial" w:cs="Arial" w:eastAsia="Arial" w:hAnsi="Arial"/>
                <w:sz w:val="16"/>
                <w:szCs w:val="16"/>
                <w:color w:val="auto"/>
              </w:rPr>
              <w:t>2,200</w:t>
            </w:r>
          </w:p>
        </w:tc>
        <w:tc>
          <w:tcPr>
            <w:tcW w:w="4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1,982</w:t>
            </w:r>
          </w:p>
        </w:tc>
      </w:tr>
      <w:tr>
        <w:trPr>
          <w:trHeight w:val="294"/>
        </w:trPr>
        <w:tc>
          <w:tcPr>
            <w:tcW w:w="6780" w:type="dxa"/>
            <w:vAlign w:val="bottom"/>
          </w:tcPr>
          <w:p>
            <w:pPr>
              <w:ind w:left="220"/>
              <w:spacing w:after="0"/>
              <w:rPr>
                <w:sz w:val="20"/>
                <w:szCs w:val="20"/>
                <w:color w:val="auto"/>
              </w:rPr>
            </w:pPr>
            <w:r>
              <w:rPr>
                <w:rFonts w:ascii="Arial" w:cs="Arial" w:eastAsia="Arial" w:hAnsi="Arial"/>
                <w:sz w:val="16"/>
                <w:szCs w:val="16"/>
                <w:color w:val="auto"/>
              </w:rPr>
              <w:t>Agency title insurance premiums</w:t>
            </w:r>
          </w:p>
        </w:tc>
        <w:tc>
          <w:tcPr>
            <w:tcW w:w="2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3,250</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jc w:val="right"/>
              <w:ind w:right="2"/>
              <w:spacing w:after="0"/>
              <w:rPr>
                <w:sz w:val="20"/>
                <w:szCs w:val="20"/>
                <w:color w:val="auto"/>
              </w:rPr>
            </w:pPr>
            <w:r>
              <w:rPr>
                <w:rFonts w:ascii="Arial" w:cs="Arial" w:eastAsia="Arial" w:hAnsi="Arial"/>
                <w:sz w:val="16"/>
                <w:szCs w:val="16"/>
                <w:color w:val="auto"/>
              </w:rPr>
              <w:t>2,953</w:t>
            </w: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2,610</w:t>
            </w:r>
          </w:p>
        </w:tc>
      </w:tr>
      <w:tr>
        <w:trPr>
          <w:trHeight w:val="294"/>
        </w:trPr>
        <w:tc>
          <w:tcPr>
            <w:tcW w:w="6780" w:type="dxa"/>
            <w:vAlign w:val="bottom"/>
          </w:tcPr>
          <w:p>
            <w:pPr>
              <w:ind w:left="220"/>
              <w:spacing w:after="0"/>
              <w:rPr>
                <w:sz w:val="20"/>
                <w:szCs w:val="20"/>
                <w:color w:val="auto"/>
              </w:rPr>
            </w:pPr>
            <w:r>
              <w:rPr>
                <w:rFonts w:ascii="Arial" w:cs="Arial" w:eastAsia="Arial" w:hAnsi="Arial"/>
                <w:sz w:val="16"/>
                <w:szCs w:val="16"/>
                <w:color w:val="auto"/>
              </w:rPr>
              <w:t>Escrow, title-related and other fees</w:t>
            </w:r>
          </w:p>
        </w:tc>
        <w:tc>
          <w:tcPr>
            <w:tcW w:w="2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5,444</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jc w:val="right"/>
              <w:ind w:right="2"/>
              <w:spacing w:after="0"/>
              <w:rPr>
                <w:sz w:val="20"/>
                <w:szCs w:val="20"/>
                <w:color w:val="auto"/>
              </w:rPr>
            </w:pPr>
            <w:r>
              <w:rPr>
                <w:rFonts w:ascii="Arial" w:cs="Arial" w:eastAsia="Arial" w:hAnsi="Arial"/>
                <w:sz w:val="16"/>
                <w:szCs w:val="16"/>
                <w:color w:val="auto"/>
              </w:rPr>
              <w:t>5,321</w:t>
            </w: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4,717</w:t>
            </w:r>
          </w:p>
        </w:tc>
      </w:tr>
      <w:tr>
        <w:trPr>
          <w:trHeight w:val="294"/>
        </w:trPr>
        <w:tc>
          <w:tcPr>
            <w:tcW w:w="6780" w:type="dxa"/>
            <w:vAlign w:val="bottom"/>
          </w:tcPr>
          <w:p>
            <w:pPr>
              <w:ind w:left="220"/>
              <w:spacing w:after="0"/>
              <w:rPr>
                <w:sz w:val="20"/>
                <w:szCs w:val="20"/>
                <w:color w:val="auto"/>
              </w:rPr>
            </w:pPr>
            <w:r>
              <w:rPr>
                <w:rFonts w:ascii="Arial" w:cs="Arial" w:eastAsia="Arial" w:hAnsi="Arial"/>
                <w:sz w:val="16"/>
                <w:szCs w:val="16"/>
                <w:color w:val="auto"/>
              </w:rPr>
              <w:t>Interest and investment income</w:t>
            </w:r>
          </w:p>
        </w:tc>
        <w:tc>
          <w:tcPr>
            <w:tcW w:w="2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3,237</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jc w:val="right"/>
              <w:ind w:right="2"/>
              <w:spacing w:after="0"/>
              <w:rPr>
                <w:sz w:val="20"/>
                <w:szCs w:val="20"/>
                <w:color w:val="auto"/>
              </w:rPr>
            </w:pPr>
            <w:r>
              <w:rPr>
                <w:rFonts w:ascii="Arial" w:cs="Arial" w:eastAsia="Arial" w:hAnsi="Arial"/>
                <w:sz w:val="16"/>
                <w:szCs w:val="16"/>
                <w:color w:val="auto"/>
              </w:rPr>
              <w:t>3,124</w:t>
            </w: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2,607</w:t>
            </w:r>
          </w:p>
        </w:tc>
      </w:tr>
      <w:tr>
        <w:trPr>
          <w:trHeight w:val="301"/>
        </w:trPr>
        <w:tc>
          <w:tcPr>
            <w:tcW w:w="6780" w:type="dxa"/>
            <w:vAlign w:val="bottom"/>
          </w:tcPr>
          <w:p>
            <w:pPr>
              <w:ind w:left="220"/>
              <w:spacing w:after="0"/>
              <w:rPr>
                <w:sz w:val="20"/>
                <w:szCs w:val="20"/>
                <w:color w:val="auto"/>
              </w:rPr>
            </w:pPr>
            <w:r>
              <w:rPr>
                <w:rFonts w:ascii="Arial" w:cs="Arial" w:eastAsia="Arial" w:hAnsi="Arial"/>
                <w:sz w:val="16"/>
                <w:szCs w:val="16"/>
                <w:color w:val="auto"/>
              </w:rPr>
              <w:t>Recognized gains and losses, net</w:t>
            </w:r>
          </w:p>
        </w:tc>
        <w:tc>
          <w:tcPr>
            <w:tcW w:w="2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w:t>
            </w:r>
          </w:p>
        </w:tc>
        <w:tc>
          <w:tcPr>
            <w:tcW w:w="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83</w:t>
            </w:r>
          </w:p>
        </w:tc>
        <w:tc>
          <w:tcPr>
            <w:tcW w:w="4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(164)</w:t>
            </w:r>
          </w:p>
        </w:tc>
      </w:tr>
      <w:tr>
        <w:trPr>
          <w:trHeight w:val="274"/>
        </w:trPr>
        <w:tc>
          <w:tcPr>
            <w:tcW w:w="6780" w:type="dxa"/>
            <w:vAlign w:val="bottom"/>
          </w:tcPr>
          <w:p>
            <w:pPr>
              <w:ind w:left="540"/>
              <w:spacing w:after="0"/>
              <w:rPr>
                <w:sz w:val="20"/>
                <w:szCs w:val="20"/>
                <w:color w:val="auto"/>
              </w:rPr>
            </w:pPr>
            <w:r>
              <w:rPr>
                <w:rFonts w:ascii="Arial" w:cs="Arial" w:eastAsia="Arial" w:hAnsi="Arial"/>
                <w:sz w:val="16"/>
                <w:szCs w:val="16"/>
                <w:color w:val="auto"/>
              </w:rPr>
              <w:t>Total revenues</w:t>
            </w:r>
          </w:p>
        </w:tc>
        <w:tc>
          <w:tcPr>
            <w:tcW w:w="22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14,445</w:t>
            </w:r>
          </w:p>
        </w:tc>
        <w:tc>
          <w:tcPr>
            <w:tcW w:w="8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13,681</w:t>
            </w:r>
          </w:p>
        </w:tc>
        <w:tc>
          <w:tcPr>
            <w:tcW w:w="40" w:type="dxa"/>
            <w:vAlign w:val="bottom"/>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11,752</w:t>
            </w:r>
          </w:p>
        </w:tc>
      </w:tr>
      <w:tr>
        <w:trPr>
          <w:trHeight w:val="267"/>
        </w:trPr>
        <w:tc>
          <w:tcPr>
            <w:tcW w:w="6780" w:type="dxa"/>
            <w:vAlign w:val="bottom"/>
          </w:tcPr>
          <w:p>
            <w:pPr>
              <w:spacing w:after="0"/>
              <w:rPr>
                <w:sz w:val="20"/>
                <w:szCs w:val="20"/>
                <w:color w:val="auto"/>
              </w:rPr>
            </w:pPr>
            <w:r>
              <w:rPr>
                <w:rFonts w:ascii="Arial" w:cs="Arial" w:eastAsia="Arial" w:hAnsi="Arial"/>
                <w:sz w:val="16"/>
                <w:szCs w:val="16"/>
                <w:color w:val="auto"/>
              </w:rPr>
              <w:t>Expenses:</w:t>
            </w:r>
          </w:p>
        </w:tc>
        <w:tc>
          <w:tcPr>
            <w:tcW w:w="2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00" w:type="dxa"/>
            <w:vAlign w:val="bottom"/>
          </w:tcPr>
          <w:p>
            <w:pPr>
              <w:spacing w:after="0"/>
              <w:rPr>
                <w:sz w:val="23"/>
                <w:szCs w:val="23"/>
                <w:color w:val="auto"/>
              </w:rPr>
            </w:pPr>
          </w:p>
        </w:tc>
      </w:tr>
      <w:tr>
        <w:trPr>
          <w:trHeight w:val="294"/>
        </w:trPr>
        <w:tc>
          <w:tcPr>
            <w:tcW w:w="6780" w:type="dxa"/>
            <w:vAlign w:val="bottom"/>
          </w:tcPr>
          <w:p>
            <w:pPr>
              <w:ind w:left="220"/>
              <w:spacing w:after="0"/>
              <w:rPr>
                <w:sz w:val="20"/>
                <w:szCs w:val="20"/>
                <w:color w:val="auto"/>
              </w:rPr>
            </w:pPr>
            <w:r>
              <w:rPr>
                <w:rFonts w:ascii="Arial" w:cs="Arial" w:eastAsia="Arial" w:hAnsi="Arial"/>
                <w:sz w:val="16"/>
                <w:szCs w:val="16"/>
                <w:color w:val="auto"/>
              </w:rPr>
              <w:t>Personnel costs</w:t>
            </w:r>
          </w:p>
        </w:tc>
        <w:tc>
          <w:tcPr>
            <w:tcW w:w="2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3,437</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jc w:val="right"/>
              <w:ind w:right="2"/>
              <w:spacing w:after="0"/>
              <w:rPr>
                <w:sz w:val="20"/>
                <w:szCs w:val="20"/>
                <w:color w:val="auto"/>
              </w:rPr>
            </w:pPr>
            <w:r>
              <w:rPr>
                <w:rFonts w:ascii="Arial" w:cs="Arial" w:eastAsia="Arial" w:hAnsi="Arial"/>
                <w:sz w:val="16"/>
                <w:szCs w:val="16"/>
                <w:color w:val="auto"/>
              </w:rPr>
              <w:t>3,148</w:t>
            </w: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2,908</w:t>
            </w:r>
          </w:p>
        </w:tc>
      </w:tr>
      <w:tr>
        <w:trPr>
          <w:trHeight w:val="294"/>
        </w:trPr>
        <w:tc>
          <w:tcPr>
            <w:tcW w:w="6780" w:type="dxa"/>
            <w:vAlign w:val="bottom"/>
          </w:tcPr>
          <w:p>
            <w:pPr>
              <w:ind w:left="220"/>
              <w:spacing w:after="0"/>
              <w:rPr>
                <w:sz w:val="20"/>
                <w:szCs w:val="20"/>
                <w:color w:val="auto"/>
              </w:rPr>
            </w:pPr>
            <w:r>
              <w:rPr>
                <w:rFonts w:ascii="Arial" w:cs="Arial" w:eastAsia="Arial" w:hAnsi="Arial"/>
                <w:sz w:val="16"/>
                <w:szCs w:val="16"/>
                <w:color w:val="auto"/>
              </w:rPr>
              <w:t>Agent commissions</w:t>
            </w:r>
          </w:p>
        </w:tc>
        <w:tc>
          <w:tcPr>
            <w:tcW w:w="2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2,518</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jc w:val="right"/>
              <w:ind w:right="2"/>
              <w:spacing w:after="0"/>
              <w:rPr>
                <w:sz w:val="20"/>
                <w:szCs w:val="20"/>
                <w:color w:val="auto"/>
              </w:rPr>
            </w:pPr>
            <w:r>
              <w:rPr>
                <w:rFonts w:ascii="Arial" w:cs="Arial" w:eastAsia="Arial" w:hAnsi="Arial"/>
                <w:sz w:val="16"/>
                <w:szCs w:val="16"/>
                <w:color w:val="auto"/>
              </w:rPr>
              <w:t>2,287</w:t>
            </w: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2,008</w:t>
            </w:r>
          </w:p>
        </w:tc>
      </w:tr>
      <w:tr>
        <w:trPr>
          <w:trHeight w:val="294"/>
        </w:trPr>
        <w:tc>
          <w:tcPr>
            <w:tcW w:w="6780" w:type="dxa"/>
            <w:vAlign w:val="bottom"/>
          </w:tcPr>
          <w:p>
            <w:pPr>
              <w:ind w:left="220"/>
              <w:spacing w:after="0"/>
              <w:rPr>
                <w:sz w:val="20"/>
                <w:szCs w:val="20"/>
                <w:color w:val="auto"/>
              </w:rPr>
            </w:pPr>
            <w:r>
              <w:rPr>
                <w:rFonts w:ascii="Arial" w:cs="Arial" w:eastAsia="Arial" w:hAnsi="Arial"/>
                <w:sz w:val="16"/>
                <w:szCs w:val="16"/>
                <w:color w:val="auto"/>
              </w:rPr>
              <w:t>Other operating expenses</w:t>
            </w:r>
          </w:p>
        </w:tc>
        <w:tc>
          <w:tcPr>
            <w:tcW w:w="2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1,615</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jc w:val="right"/>
              <w:ind w:right="2"/>
              <w:spacing w:after="0"/>
              <w:rPr>
                <w:sz w:val="20"/>
                <w:szCs w:val="20"/>
                <w:color w:val="auto"/>
              </w:rPr>
            </w:pPr>
            <w:r>
              <w:rPr>
                <w:rFonts w:ascii="Arial" w:cs="Arial" w:eastAsia="Arial" w:hAnsi="Arial"/>
                <w:sz w:val="16"/>
                <w:szCs w:val="16"/>
                <w:color w:val="auto"/>
              </w:rPr>
              <w:t>1,558</w:t>
            </w: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1,521</w:t>
            </w:r>
          </w:p>
        </w:tc>
      </w:tr>
      <w:tr>
        <w:trPr>
          <w:trHeight w:val="250"/>
        </w:trPr>
        <w:tc>
          <w:tcPr>
            <w:tcW w:w="6780" w:type="dxa"/>
            <w:vAlign w:val="bottom"/>
          </w:tcPr>
          <w:p>
            <w:pPr>
              <w:ind w:left="220"/>
              <w:spacing w:after="0"/>
              <w:rPr>
                <w:sz w:val="20"/>
                <w:szCs w:val="20"/>
                <w:color w:val="auto"/>
              </w:rPr>
            </w:pPr>
            <w:r>
              <w:rPr>
                <w:rFonts w:ascii="Arial" w:cs="Arial" w:eastAsia="Arial" w:hAnsi="Arial"/>
                <w:sz w:val="16"/>
                <w:szCs w:val="16"/>
                <w:color w:val="auto"/>
              </w:rPr>
              <w:t>Benefits and other changes in policy reserves</w:t>
            </w:r>
          </w:p>
        </w:tc>
        <w:tc>
          <w:tcPr>
            <w:tcW w:w="2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3,963</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tcPr>
          <w:p>
            <w:pPr>
              <w:jc w:val="right"/>
              <w:ind w:right="2"/>
              <w:spacing w:after="0"/>
              <w:rPr>
                <w:sz w:val="20"/>
                <w:szCs w:val="20"/>
                <w:color w:val="auto"/>
              </w:rPr>
            </w:pPr>
            <w:r>
              <w:rPr>
                <w:rFonts w:ascii="Arial" w:cs="Arial" w:eastAsia="Arial" w:hAnsi="Arial"/>
                <w:sz w:val="16"/>
                <w:szCs w:val="16"/>
                <w:color w:val="auto"/>
              </w:rPr>
              <w:t>3,791</w:t>
            </w:r>
          </w:p>
        </w:tc>
        <w:tc>
          <w:tcPr>
            <w:tcW w:w="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3,553</w:t>
            </w:r>
          </w:p>
        </w:tc>
      </w:tr>
      <w:tr>
        <w:trPr>
          <w:trHeight w:val="294"/>
        </w:trPr>
        <w:tc>
          <w:tcPr>
            <w:tcW w:w="6780" w:type="dxa"/>
            <w:vAlign w:val="bottom"/>
          </w:tcPr>
          <w:p>
            <w:pPr>
              <w:ind w:left="220"/>
              <w:spacing w:after="0"/>
              <w:rPr>
                <w:sz w:val="20"/>
                <w:szCs w:val="20"/>
                <w:color w:val="auto"/>
              </w:rPr>
            </w:pPr>
            <w:r>
              <w:rPr>
                <w:rFonts w:ascii="Arial" w:cs="Arial" w:eastAsia="Arial" w:hAnsi="Arial"/>
                <w:sz w:val="16"/>
                <w:szCs w:val="16"/>
                <w:color w:val="auto"/>
              </w:rPr>
              <w:t>Market risk benefit losses (gains)</w:t>
            </w:r>
          </w:p>
        </w:tc>
        <w:tc>
          <w:tcPr>
            <w:tcW w:w="2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167</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(25)</w:t>
            </w: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95</w:t>
            </w:r>
          </w:p>
        </w:tc>
      </w:tr>
      <w:tr>
        <w:trPr>
          <w:trHeight w:val="294"/>
        </w:trPr>
        <w:tc>
          <w:tcPr>
            <w:tcW w:w="6780" w:type="dxa"/>
            <w:vAlign w:val="bottom"/>
          </w:tcPr>
          <w:p>
            <w:pPr>
              <w:ind w:left="220"/>
              <w:spacing w:after="0"/>
              <w:rPr>
                <w:sz w:val="20"/>
                <w:szCs w:val="20"/>
                <w:color w:val="auto"/>
              </w:rPr>
            </w:pPr>
            <w:r>
              <w:rPr>
                <w:rFonts w:ascii="Arial" w:cs="Arial" w:eastAsia="Arial" w:hAnsi="Arial"/>
                <w:sz w:val="16"/>
                <w:szCs w:val="16"/>
                <w:color w:val="auto"/>
              </w:rPr>
              <w:t>Depreciation and amortization</w:t>
            </w:r>
          </w:p>
        </w:tc>
        <w:tc>
          <w:tcPr>
            <w:tcW w:w="2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844</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jc w:val="right"/>
              <w:ind w:right="2"/>
              <w:spacing w:after="0"/>
              <w:rPr>
                <w:sz w:val="20"/>
                <w:szCs w:val="20"/>
                <w:color w:val="auto"/>
              </w:rPr>
            </w:pPr>
            <w:r>
              <w:rPr>
                <w:rFonts w:ascii="Arial" w:cs="Arial" w:eastAsia="Arial" w:hAnsi="Arial"/>
                <w:sz w:val="16"/>
                <w:szCs w:val="16"/>
                <w:color w:val="auto"/>
              </w:rPr>
              <w:t>739</w:t>
            </w: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593</w:t>
            </w:r>
          </w:p>
        </w:tc>
      </w:tr>
      <w:tr>
        <w:trPr>
          <w:trHeight w:val="294"/>
        </w:trPr>
        <w:tc>
          <w:tcPr>
            <w:tcW w:w="6780" w:type="dxa"/>
            <w:vAlign w:val="bottom"/>
          </w:tcPr>
          <w:p>
            <w:pPr>
              <w:ind w:left="220"/>
              <w:spacing w:after="0"/>
              <w:rPr>
                <w:sz w:val="20"/>
                <w:szCs w:val="20"/>
                <w:color w:val="auto"/>
              </w:rPr>
            </w:pPr>
            <w:r>
              <w:rPr>
                <w:rFonts w:ascii="Arial" w:cs="Arial" w:eastAsia="Arial" w:hAnsi="Arial"/>
                <w:sz w:val="16"/>
                <w:szCs w:val="16"/>
                <w:color w:val="auto"/>
              </w:rPr>
              <w:t>Provision for title claim losses</w:t>
            </w:r>
          </w:p>
        </w:tc>
        <w:tc>
          <w:tcPr>
            <w:tcW w:w="2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262</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jc w:val="right"/>
              <w:ind w:right="2"/>
              <w:spacing w:after="0"/>
              <w:rPr>
                <w:sz w:val="20"/>
                <w:szCs w:val="20"/>
                <w:color w:val="auto"/>
              </w:rPr>
            </w:pPr>
            <w:r>
              <w:rPr>
                <w:rFonts w:ascii="Arial" w:cs="Arial" w:eastAsia="Arial" w:hAnsi="Arial"/>
                <w:sz w:val="16"/>
                <w:szCs w:val="16"/>
                <w:color w:val="auto"/>
              </w:rPr>
              <w:t>232</w:t>
            </w: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207</w:t>
            </w:r>
          </w:p>
        </w:tc>
      </w:tr>
      <w:tr>
        <w:trPr>
          <w:trHeight w:val="301"/>
        </w:trPr>
        <w:tc>
          <w:tcPr>
            <w:tcW w:w="6780" w:type="dxa"/>
            <w:vAlign w:val="bottom"/>
          </w:tcPr>
          <w:p>
            <w:pPr>
              <w:ind w:left="220"/>
              <w:spacing w:after="0"/>
              <w:rPr>
                <w:sz w:val="20"/>
                <w:szCs w:val="20"/>
                <w:color w:val="auto"/>
              </w:rPr>
            </w:pPr>
            <w:r>
              <w:rPr>
                <w:rFonts w:ascii="Arial" w:cs="Arial" w:eastAsia="Arial" w:hAnsi="Arial"/>
                <w:sz w:val="16"/>
                <w:szCs w:val="16"/>
                <w:color w:val="auto"/>
              </w:rPr>
              <w:t>Interest expense</w:t>
            </w:r>
          </w:p>
        </w:tc>
        <w:tc>
          <w:tcPr>
            <w:tcW w:w="2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242</w:t>
            </w:r>
          </w:p>
        </w:tc>
        <w:tc>
          <w:tcPr>
            <w:tcW w:w="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209</w:t>
            </w:r>
          </w:p>
        </w:tc>
        <w:tc>
          <w:tcPr>
            <w:tcW w:w="4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174</w:t>
            </w:r>
          </w:p>
        </w:tc>
      </w:tr>
      <w:tr>
        <w:trPr>
          <w:trHeight w:val="274"/>
        </w:trPr>
        <w:tc>
          <w:tcPr>
            <w:tcW w:w="6780" w:type="dxa"/>
            <w:vAlign w:val="bottom"/>
          </w:tcPr>
          <w:p>
            <w:pPr>
              <w:ind w:left="540"/>
              <w:spacing w:after="0"/>
              <w:rPr>
                <w:sz w:val="20"/>
                <w:szCs w:val="20"/>
                <w:color w:val="auto"/>
              </w:rPr>
            </w:pPr>
            <w:r>
              <w:rPr>
                <w:rFonts w:ascii="Arial" w:cs="Arial" w:eastAsia="Arial" w:hAnsi="Arial"/>
                <w:sz w:val="16"/>
                <w:szCs w:val="16"/>
                <w:color w:val="auto"/>
              </w:rPr>
              <w:t>Total expenses</w:t>
            </w:r>
          </w:p>
        </w:tc>
        <w:tc>
          <w:tcPr>
            <w:tcW w:w="22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13,048</w:t>
            </w:r>
          </w:p>
        </w:tc>
        <w:tc>
          <w:tcPr>
            <w:tcW w:w="8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11,939</w:t>
            </w:r>
          </w:p>
        </w:tc>
        <w:tc>
          <w:tcPr>
            <w:tcW w:w="40" w:type="dxa"/>
            <w:vAlign w:val="bottom"/>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11,059</w:t>
            </w:r>
          </w:p>
        </w:tc>
      </w:tr>
      <w:tr>
        <w:trPr>
          <w:trHeight w:val="267"/>
        </w:trPr>
        <w:tc>
          <w:tcPr>
            <w:tcW w:w="6780" w:type="dxa"/>
            <w:vAlign w:val="bottom"/>
          </w:tcPr>
          <w:p>
            <w:pPr>
              <w:spacing w:after="0"/>
              <w:rPr>
                <w:sz w:val="20"/>
                <w:szCs w:val="20"/>
                <w:color w:val="auto"/>
              </w:rPr>
            </w:pPr>
            <w:r>
              <w:rPr>
                <w:rFonts w:ascii="Arial" w:cs="Arial" w:eastAsia="Arial" w:hAnsi="Arial"/>
                <w:sz w:val="16"/>
                <w:szCs w:val="16"/>
                <w:color w:val="auto"/>
              </w:rPr>
              <w:t>Earnings before income taxes and equity in earnings of unconsolidated affiliates</w:t>
            </w:r>
          </w:p>
        </w:tc>
        <w:tc>
          <w:tcPr>
            <w:tcW w:w="22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1,397</w:t>
            </w: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20" w:type="dxa"/>
            <w:vAlign w:val="bottom"/>
          </w:tcPr>
          <w:p>
            <w:pPr>
              <w:jc w:val="right"/>
              <w:ind w:right="2"/>
              <w:spacing w:after="0"/>
              <w:rPr>
                <w:sz w:val="20"/>
                <w:szCs w:val="20"/>
                <w:color w:val="auto"/>
              </w:rPr>
            </w:pPr>
            <w:r>
              <w:rPr>
                <w:rFonts w:ascii="Arial" w:cs="Arial" w:eastAsia="Arial" w:hAnsi="Arial"/>
                <w:sz w:val="16"/>
                <w:szCs w:val="16"/>
                <w:color w:val="auto"/>
              </w:rPr>
              <w:t>1,742</w:t>
            </w:r>
          </w:p>
        </w:tc>
        <w:tc>
          <w:tcPr>
            <w:tcW w:w="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693</w:t>
            </w:r>
          </w:p>
        </w:tc>
      </w:tr>
      <w:tr>
        <w:trPr>
          <w:trHeight w:val="294"/>
        </w:trPr>
        <w:tc>
          <w:tcPr>
            <w:tcW w:w="6780" w:type="dxa"/>
            <w:vAlign w:val="bottom"/>
          </w:tcPr>
          <w:p>
            <w:pPr>
              <w:spacing w:after="0"/>
              <w:rPr>
                <w:sz w:val="20"/>
                <w:szCs w:val="20"/>
                <w:color w:val="auto"/>
              </w:rPr>
            </w:pPr>
            <w:r>
              <w:rPr>
                <w:rFonts w:ascii="Arial" w:cs="Arial" w:eastAsia="Arial" w:hAnsi="Arial"/>
                <w:sz w:val="16"/>
                <w:szCs w:val="16"/>
                <w:color w:val="auto"/>
              </w:rPr>
              <w:t>Income tax expense</w:t>
            </w:r>
          </w:p>
        </w:tc>
        <w:tc>
          <w:tcPr>
            <w:tcW w:w="2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753</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jc w:val="right"/>
              <w:ind w:right="2"/>
              <w:spacing w:after="0"/>
              <w:rPr>
                <w:sz w:val="20"/>
                <w:szCs w:val="20"/>
                <w:color w:val="auto"/>
              </w:rPr>
            </w:pPr>
            <w:r>
              <w:rPr>
                <w:rFonts w:ascii="Arial" w:cs="Arial" w:eastAsia="Arial" w:hAnsi="Arial"/>
                <w:sz w:val="16"/>
                <w:szCs w:val="16"/>
                <w:color w:val="auto"/>
              </w:rPr>
              <w:t>367</w:t>
            </w: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192</w:t>
            </w:r>
          </w:p>
        </w:tc>
      </w:tr>
      <w:tr>
        <w:trPr>
          <w:trHeight w:val="301"/>
        </w:trPr>
        <w:tc>
          <w:tcPr>
            <w:tcW w:w="6780" w:type="dxa"/>
            <w:vAlign w:val="bottom"/>
          </w:tcPr>
          <w:p>
            <w:pPr>
              <w:spacing w:after="0"/>
              <w:rPr>
                <w:sz w:val="20"/>
                <w:szCs w:val="20"/>
                <w:color w:val="auto"/>
              </w:rPr>
            </w:pPr>
            <w:r>
              <w:rPr>
                <w:rFonts w:ascii="Arial" w:cs="Arial" w:eastAsia="Arial" w:hAnsi="Arial"/>
                <w:sz w:val="16"/>
                <w:szCs w:val="16"/>
                <w:color w:val="auto"/>
              </w:rPr>
              <w:t>Equity in earnings of unconsolidated affiliates</w:t>
            </w:r>
          </w:p>
        </w:tc>
        <w:tc>
          <w:tcPr>
            <w:tcW w:w="2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w:t>
            </w:r>
          </w:p>
        </w:tc>
        <w:tc>
          <w:tcPr>
            <w:tcW w:w="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16</w:t>
            </w:r>
          </w:p>
        </w:tc>
        <w:tc>
          <w:tcPr>
            <w:tcW w:w="4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w:t>
            </w:r>
          </w:p>
        </w:tc>
      </w:tr>
      <w:tr>
        <w:trPr>
          <w:trHeight w:val="254"/>
        </w:trPr>
        <w:tc>
          <w:tcPr>
            <w:tcW w:w="6780" w:type="dxa"/>
            <w:vAlign w:val="bottom"/>
          </w:tcPr>
          <w:p>
            <w:pPr>
              <w:spacing w:after="0"/>
              <w:rPr>
                <w:sz w:val="20"/>
                <w:szCs w:val="20"/>
                <w:color w:val="auto"/>
              </w:rPr>
            </w:pPr>
            <w:r>
              <w:rPr>
                <w:rFonts w:ascii="Arial" w:cs="Arial" w:eastAsia="Arial" w:hAnsi="Arial"/>
                <w:sz w:val="16"/>
                <w:szCs w:val="16"/>
                <w:color w:val="auto"/>
              </w:rPr>
              <w:t>Net earnings from continuing operations</w:t>
            </w:r>
          </w:p>
        </w:tc>
        <w:tc>
          <w:tcPr>
            <w:tcW w:w="22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679</w:t>
            </w:r>
          </w:p>
        </w:tc>
        <w:tc>
          <w:tcPr>
            <w:tcW w:w="22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2"/>
              <w:spacing w:after="0"/>
              <w:rPr>
                <w:sz w:val="20"/>
                <w:szCs w:val="20"/>
                <w:color w:val="auto"/>
              </w:rPr>
            </w:pPr>
            <w:r>
              <w:rPr>
                <w:rFonts w:ascii="Arial" w:cs="Arial" w:eastAsia="Arial" w:hAnsi="Arial"/>
                <w:sz w:val="16"/>
                <w:szCs w:val="16"/>
                <w:color w:val="auto"/>
              </w:rPr>
              <w:t>1,391</w:t>
            </w:r>
          </w:p>
        </w:tc>
        <w:tc>
          <w:tcPr>
            <w:tcW w:w="4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518</w:t>
            </w:r>
          </w:p>
        </w:tc>
      </w:tr>
      <w:tr>
        <w:trPr>
          <w:trHeight w:val="20"/>
        </w:trPr>
        <w:tc>
          <w:tcPr>
            <w:tcW w:w="67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-3923665</wp:posOffset>
            </wp:positionV>
            <wp:extent cx="6410325" cy="393065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35">
                      <a:extLst>
                        <a:ext uri="{28A0092B-C50C-407E-A947-70E740481C1C}"/>
                      </a:extLst>
                    </a:blip>
                    <a:srcRect/>
                    <a:stretch>
                      <a:fillRect/>
                    </a:stretch>
                  </pic:blipFill>
                  <pic:spPr bwMode="auto">
                    <a:xfrm>
                      <a:off x="0" y="0"/>
                      <a:ext cx="6410325" cy="3930650"/>
                    </a:xfrm>
                    <a:prstGeom prst="rect">
                      <a:avLst/>
                    </a:prstGeom>
                    <a:noFill/>
                  </pic:spPr>
                </pic:pic>
              </a:graphicData>
            </a:graphic>
          </wp:anchor>
        </w:drawing>
      </w:r>
    </w:p>
    <w:p>
      <w:pPr>
        <w:spacing w:after="0" w:line="103" w:lineRule="exact"/>
        <w:rPr>
          <w:sz w:val="20"/>
          <w:szCs w:val="20"/>
          <w:color w:val="auto"/>
        </w:rPr>
      </w:pPr>
    </w:p>
    <w:p>
      <w:pPr>
        <w:ind w:left="40"/>
        <w:spacing w:after="0"/>
        <w:rPr>
          <w:sz w:val="20"/>
          <w:szCs w:val="20"/>
          <w:color w:val="auto"/>
        </w:rPr>
      </w:pPr>
      <w:r>
        <w:rPr>
          <w:rFonts w:ascii="Arial" w:cs="Arial" w:eastAsia="Arial" w:hAnsi="Arial"/>
          <w:sz w:val="20"/>
          <w:szCs w:val="20"/>
          <w:b w:val="1"/>
          <w:bCs w:val="1"/>
          <w:i w:val="1"/>
          <w:iCs w:val="1"/>
          <w:color w:val="auto"/>
        </w:rPr>
        <w:t>Revenues.</w:t>
      </w:r>
    </w:p>
    <w:p>
      <w:pPr>
        <w:spacing w:after="0" w:line="125" w:lineRule="exact"/>
        <w:rPr>
          <w:sz w:val="20"/>
          <w:szCs w:val="20"/>
          <w:color w:val="auto"/>
        </w:rPr>
      </w:pPr>
    </w:p>
    <w:p>
      <w:pPr>
        <w:jc w:val="both"/>
        <w:ind w:firstLine="353"/>
        <w:spacing w:after="0" w:line="266" w:lineRule="auto"/>
        <w:rPr>
          <w:sz w:val="20"/>
          <w:szCs w:val="20"/>
          <w:color w:val="auto"/>
        </w:rPr>
      </w:pPr>
      <w:r>
        <w:rPr>
          <w:rFonts w:ascii="Arial" w:cs="Arial" w:eastAsia="Arial" w:hAnsi="Arial"/>
          <w:sz w:val="19"/>
          <w:szCs w:val="19"/>
          <w:color w:val="auto"/>
        </w:rPr>
        <w:t>Total revenues increased by $764 million in 2025 as compared to 2024. The increase was attributable to increases in direct title insurance premiums, agency title insurance premiums, escrow, title-related and other fees, and interest and investment income, partially offset by net recognized losses in 2025 as compared to net recognized gains in 2024. Total revenues increased by $1,929 million in 2024 as compared to 2023, primarily attributable to increases in direct title insurance premiums, agency title insurance premiums, escrow, title-related and other fees, interest and investment income and net recognized gains in 2024 as compared to net recognized losses in 2023.</w:t>
      </w:r>
    </w:p>
    <w:p>
      <w:pPr>
        <w:spacing w:after="0" w:line="74" w:lineRule="exact"/>
        <w:rPr>
          <w:sz w:val="20"/>
          <w:szCs w:val="20"/>
          <w:color w:val="auto"/>
        </w:rPr>
      </w:pPr>
    </w:p>
    <w:p>
      <w:pPr>
        <w:jc w:val="both"/>
        <w:ind w:firstLine="353"/>
        <w:spacing w:after="0" w:line="273" w:lineRule="auto"/>
        <w:rPr>
          <w:sz w:val="20"/>
          <w:szCs w:val="20"/>
          <w:color w:val="auto"/>
        </w:rPr>
      </w:pPr>
      <w:r>
        <w:rPr>
          <w:rFonts w:ascii="Arial" w:cs="Arial" w:eastAsia="Arial" w:hAnsi="Arial"/>
          <w:sz w:val="20"/>
          <w:szCs w:val="20"/>
          <w:color w:val="auto"/>
        </w:rPr>
        <w:t xml:space="preserve">See Note K </w:t>
      </w:r>
      <w:r>
        <w:rPr>
          <w:rFonts w:ascii="Arial" w:cs="Arial" w:eastAsia="Arial" w:hAnsi="Arial"/>
          <w:sz w:val="20"/>
          <w:szCs w:val="20"/>
          <w:b w:val="1"/>
          <w:bCs w:val="1"/>
          <w:i w:val="1"/>
          <w:iCs w:val="1"/>
          <w:color w:val="auto"/>
        </w:rPr>
        <w:t>Revenue Recognition</w:t>
      </w:r>
      <w:r>
        <w:rPr>
          <w:rFonts w:ascii="Arial" w:cs="Arial" w:eastAsia="Arial" w:hAnsi="Arial"/>
          <w:sz w:val="20"/>
          <w:szCs w:val="20"/>
          <w:color w:val="auto"/>
        </w:rPr>
        <w:t xml:space="preserve"> to our Consolidated Financial Statements included in Item 8 of Part II of this Annual Report for a breakout of our consolidated revenues.</w:t>
      </w:r>
    </w:p>
    <w:p>
      <w:pPr>
        <w:spacing w:after="0" w:line="67" w:lineRule="exact"/>
        <w:rPr>
          <w:sz w:val="20"/>
          <w:szCs w:val="20"/>
          <w:color w:val="auto"/>
        </w:rPr>
      </w:pPr>
    </w:p>
    <w:p>
      <w:pPr>
        <w:jc w:val="both"/>
        <w:ind w:firstLine="353"/>
        <w:spacing w:after="0" w:line="271" w:lineRule="auto"/>
        <w:rPr>
          <w:sz w:val="20"/>
          <w:szCs w:val="20"/>
          <w:color w:val="auto"/>
        </w:rPr>
      </w:pPr>
      <w:r>
        <w:rPr>
          <w:rFonts w:ascii="Arial" w:cs="Arial" w:eastAsia="Arial" w:hAnsi="Arial"/>
          <w:sz w:val="20"/>
          <w:szCs w:val="20"/>
          <w:color w:val="auto"/>
        </w:rPr>
        <w:t>Total net earnings from continuing operations decreased by $712 million in 2025 as compared to 2024, and increased by $873 million in 2024 as compared to 2023.</w:t>
      </w:r>
    </w:p>
    <w:p>
      <w:pPr>
        <w:spacing w:after="0" w:line="69" w:lineRule="exact"/>
        <w:rPr>
          <w:sz w:val="20"/>
          <w:szCs w:val="20"/>
          <w:color w:val="auto"/>
        </w:rPr>
      </w:pPr>
    </w:p>
    <w:p>
      <w:pPr>
        <w:jc w:val="both"/>
        <w:ind w:firstLine="353"/>
        <w:spacing w:after="0" w:line="271" w:lineRule="auto"/>
        <w:rPr>
          <w:sz w:val="20"/>
          <w:szCs w:val="20"/>
          <w:color w:val="auto"/>
        </w:rPr>
      </w:pPr>
      <w:r>
        <w:rPr>
          <w:rFonts w:ascii="Arial" w:cs="Arial" w:eastAsia="Arial" w:hAnsi="Arial"/>
          <w:sz w:val="20"/>
          <w:szCs w:val="20"/>
          <w:color w:val="auto"/>
        </w:rPr>
        <w:t>The change in revenue and net earnings from our reportable segments is discussed in further detail at the segment level below.</w:t>
      </w:r>
    </w:p>
    <w:p>
      <w:pPr>
        <w:spacing w:after="0" w:line="69" w:lineRule="exact"/>
        <w:rPr>
          <w:sz w:val="20"/>
          <w:szCs w:val="20"/>
          <w:color w:val="auto"/>
        </w:rPr>
      </w:pPr>
    </w:p>
    <w:p>
      <w:pPr>
        <w:jc w:val="both"/>
        <w:ind w:firstLine="353"/>
        <w:spacing w:after="0" w:line="258" w:lineRule="auto"/>
        <w:rPr>
          <w:sz w:val="20"/>
          <w:szCs w:val="20"/>
          <w:color w:val="auto"/>
        </w:rPr>
      </w:pPr>
      <w:r>
        <w:rPr>
          <w:rFonts w:ascii="Arial" w:cs="Arial" w:eastAsia="Arial" w:hAnsi="Arial"/>
          <w:sz w:val="20"/>
          <w:szCs w:val="20"/>
          <w:color w:val="auto"/>
        </w:rPr>
        <w:t>Interest and investment income levels are primarily a function of securities markets, interest rates and the amount of cash available for investment. Interest and investment income was $3,237 million, $3,124 million and $2,607 million for the years ended December 31, 2025, 2024 and 2023, respectively.</w:t>
      </w:r>
    </w:p>
    <w:p>
      <w:pPr>
        <w:spacing w:after="0" w:line="82" w:lineRule="exact"/>
        <w:rPr>
          <w:sz w:val="20"/>
          <w:szCs w:val="20"/>
          <w:color w:val="auto"/>
        </w:rPr>
      </w:pPr>
    </w:p>
    <w:p>
      <w:pPr>
        <w:jc w:val="both"/>
        <w:ind w:firstLine="353"/>
        <w:spacing w:after="0" w:line="325" w:lineRule="auto"/>
        <w:rPr>
          <w:sz w:val="20"/>
          <w:szCs w:val="20"/>
          <w:color w:val="auto"/>
        </w:rPr>
      </w:pPr>
      <w:r>
        <w:rPr>
          <w:rFonts w:ascii="Arial" w:cs="Arial" w:eastAsia="Arial" w:hAnsi="Arial"/>
          <w:sz w:val="17"/>
          <w:szCs w:val="17"/>
          <w:color w:val="auto"/>
        </w:rPr>
        <w:t>Recognized gains and losses, net totaled $(60) million, $83 million and $(164) million for the years ended December 31, 2025, 2024, and 2023, respectively. Recognized gains and losses, net for the year ended December 31, 2025 are primarily attributable to losses on sales of equity securities of $159 million, partially offset by gains on sales of other assets of $63</w:t>
      </w:r>
    </w:p>
    <w:p>
      <w:pPr>
        <w:sectPr>
          <w:pgSz w:w="11880" w:h="15480" w:orient="portrait"/>
          <w:cols w:equalWidth="0" w:num="1">
            <w:col w:w="10040"/>
          </w:cols>
          <w:pgMar w:left="920" w:top="765" w:right="920" w:bottom="0" w:gutter="0" w:footer="0" w:header="0"/>
        </w:sect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68</w:t>
      </w:r>
    </w:p>
    <w:p>
      <w:pPr>
        <w:sectPr>
          <w:pgSz w:w="11880" w:h="15480" w:orient="portrait"/>
          <w:cols w:equalWidth="0" w:num="1">
            <w:col w:w="10040"/>
          </w:cols>
          <w:pgMar w:left="920" w:top="765" w:right="920" w:bottom="0" w:gutter="0" w:footer="0" w:header="0"/>
          <w:type w:val="continuous"/>
        </w:sectPr>
      </w:pPr>
    </w:p>
    <w:bookmarkStart w:id="80" w:name="page81"/>
    <w:bookmarkEnd w:id="80"/>
    <w:p>
      <w:pPr>
        <w:jc w:val="both"/>
        <w:spacing w:after="0" w:line="264" w:lineRule="auto"/>
        <w:rPr>
          <w:sz w:val="20"/>
          <w:szCs w:val="20"/>
          <w:color w:val="auto"/>
        </w:rPr>
      </w:pPr>
      <w:r>
        <w:rPr>
          <w:rFonts w:ascii="Arial" w:cs="Arial" w:eastAsia="Arial" w:hAnsi="Arial"/>
          <w:sz w:val="19"/>
          <w:szCs w:val="19"/>
          <w:color w:val="auto"/>
        </w:rPr>
        <w:t>million and non-cash valuation losses on equity and preferred security holdings of $9 million. Recognized gains and losses, net for the year ended December 31, 2024 are primarily attributable to gains on sales of equity securities and other assets of $193 million and realized gains on derivatives of $50 million, partially offset by recognized losses on sales of fixed maturity securities of $38 million and non-cash valuation losses on equity and preferred security holdings of $117 million. Recognized gains and losses, net for the year ended December 31, 2023 are primarily attributable to losses on sales of fixed maturity securities of $166 million, losses on sales of equity and preferred securities of $104 million and losses on sales of mortgages and other assets of $75 million, partially offset by non-cash valuation gains on equity and preferred security holdings and other invested assets of $181 million.</w:t>
      </w:r>
    </w:p>
    <w:p>
      <w:pPr>
        <w:spacing w:after="0" w:line="75" w:lineRule="exact"/>
        <w:rPr>
          <w:sz w:val="20"/>
          <w:szCs w:val="20"/>
          <w:color w:val="auto"/>
        </w:rPr>
      </w:pPr>
    </w:p>
    <w:p>
      <w:pPr>
        <w:jc w:val="both"/>
        <w:ind w:firstLine="353"/>
        <w:spacing w:after="0" w:line="273" w:lineRule="auto"/>
        <w:rPr>
          <w:sz w:val="20"/>
          <w:szCs w:val="20"/>
          <w:color w:val="auto"/>
        </w:rPr>
      </w:pPr>
      <w:r>
        <w:rPr>
          <w:rFonts w:ascii="Arial" w:cs="Arial" w:eastAsia="Arial" w:hAnsi="Arial"/>
          <w:sz w:val="20"/>
          <w:szCs w:val="20"/>
          <w:color w:val="auto"/>
        </w:rPr>
        <w:t xml:space="preserve">See Note D </w:t>
      </w:r>
      <w:r>
        <w:rPr>
          <w:rFonts w:ascii="Arial" w:cs="Arial" w:eastAsia="Arial" w:hAnsi="Arial"/>
          <w:sz w:val="20"/>
          <w:szCs w:val="20"/>
          <w:b w:val="1"/>
          <w:bCs w:val="1"/>
          <w:i w:val="1"/>
          <w:iCs w:val="1"/>
          <w:color w:val="auto"/>
        </w:rPr>
        <w:t>Investments</w:t>
      </w:r>
      <w:r>
        <w:rPr>
          <w:rFonts w:ascii="Arial" w:cs="Arial" w:eastAsia="Arial" w:hAnsi="Arial"/>
          <w:sz w:val="20"/>
          <w:szCs w:val="20"/>
          <w:color w:val="auto"/>
        </w:rPr>
        <w:t xml:space="preserve"> to our Consolidated Financial Statements included in Item 8 of Part II of this Annual Report for a breakout of our consolidated interest and investment income and realized gains and losses.</w:t>
      </w:r>
    </w:p>
    <w:p>
      <w:pPr>
        <w:spacing w:after="0" w:line="6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Expenses.</w:t>
      </w:r>
    </w:p>
    <w:p>
      <w:pPr>
        <w:spacing w:after="0" w:line="125" w:lineRule="exact"/>
        <w:rPr>
          <w:sz w:val="20"/>
          <w:szCs w:val="20"/>
          <w:color w:val="auto"/>
        </w:rPr>
      </w:pPr>
    </w:p>
    <w:p>
      <w:pPr>
        <w:jc w:val="both"/>
        <w:ind w:firstLine="353"/>
        <w:spacing w:after="0" w:line="296" w:lineRule="auto"/>
        <w:rPr>
          <w:sz w:val="20"/>
          <w:szCs w:val="20"/>
          <w:color w:val="auto"/>
        </w:rPr>
      </w:pPr>
      <w:r>
        <w:rPr>
          <w:rFonts w:ascii="Arial" w:cs="Arial" w:eastAsia="Arial" w:hAnsi="Arial"/>
          <w:sz w:val="17"/>
          <w:szCs w:val="17"/>
          <w:color w:val="auto"/>
        </w:rPr>
        <w:t>Our operating expenses consist primarily of Personnel costs; Other operating expenses, which in our Title segment are incurred as orders are received and processed; Agent commissions, which are incurred as title agency revenue is recognized; and Benefits and other changes in policy reserves, which in our F&amp;G segment are charged to earnings in the period they are earned by the policyholder based on their selected strategy. For traditional life and immediate annuities, policy benefit claims are charged to expense in the period that the claims are incurred, net of reinsurance recoveries. Title insurance premiums, escrow fees and title-related fees are generally recognized as income at the time the underlying transaction closes or other service is provided. Direct title operations revenue often lags approximately 45-60 days behind expenses, therefore; gross margins may fluctuate. The changes in the market environment, mix of business between direct and agency operations and the contributions from our various business units have historically impacted margins and net earnings. We have implemented programs and have taken necessary actions to maintain expense levels consistent with revenue streams. However, a short-term lag exists in reducing controllable fixed costs and certain fixed costs are incurred regardless of revenue levels.</w:t>
      </w:r>
    </w:p>
    <w:p>
      <w:pPr>
        <w:spacing w:after="0" w:line="53" w:lineRule="exact"/>
        <w:rPr>
          <w:sz w:val="20"/>
          <w:szCs w:val="20"/>
          <w:color w:val="auto"/>
        </w:rPr>
      </w:pPr>
    </w:p>
    <w:p>
      <w:pPr>
        <w:jc w:val="both"/>
        <w:ind w:firstLine="353"/>
        <w:spacing w:after="0" w:line="271" w:lineRule="auto"/>
        <w:rPr>
          <w:sz w:val="20"/>
          <w:szCs w:val="20"/>
          <w:color w:val="auto"/>
        </w:rPr>
      </w:pPr>
      <w:r>
        <w:rPr>
          <w:rFonts w:ascii="Arial" w:cs="Arial" w:eastAsia="Arial" w:hAnsi="Arial"/>
          <w:sz w:val="20"/>
          <w:szCs w:val="20"/>
          <w:color w:val="auto"/>
        </w:rPr>
        <w:t>Personnel costs include base salaries, commissions, benefits, stock-based compensation, and bonuses paid to employees, and are one of our most significant operating expenses.</w:t>
      </w:r>
    </w:p>
    <w:p>
      <w:pPr>
        <w:spacing w:after="0" w:line="69" w:lineRule="exact"/>
        <w:rPr>
          <w:sz w:val="20"/>
          <w:szCs w:val="20"/>
          <w:color w:val="auto"/>
        </w:rPr>
      </w:pPr>
    </w:p>
    <w:p>
      <w:pPr>
        <w:jc w:val="both"/>
        <w:ind w:firstLine="353"/>
        <w:spacing w:after="0" w:line="271" w:lineRule="auto"/>
        <w:rPr>
          <w:sz w:val="20"/>
          <w:szCs w:val="20"/>
          <w:color w:val="auto"/>
        </w:rPr>
      </w:pPr>
      <w:r>
        <w:rPr>
          <w:rFonts w:ascii="Arial" w:cs="Arial" w:eastAsia="Arial" w:hAnsi="Arial"/>
          <w:sz w:val="20"/>
          <w:szCs w:val="20"/>
          <w:color w:val="auto"/>
        </w:rPr>
        <w:t>Agent commissions represent the portion of premiums retained by our third-party agents pursuant to the terms of their respective agency contracts.</w:t>
      </w:r>
    </w:p>
    <w:p>
      <w:pPr>
        <w:spacing w:after="0" w:line="69" w:lineRule="exact"/>
        <w:rPr>
          <w:sz w:val="20"/>
          <w:szCs w:val="20"/>
          <w:color w:val="auto"/>
        </w:rPr>
      </w:pPr>
    </w:p>
    <w:p>
      <w:pPr>
        <w:jc w:val="both"/>
        <w:ind w:firstLine="353"/>
        <w:spacing w:after="0" w:line="251" w:lineRule="auto"/>
        <w:rPr>
          <w:sz w:val="20"/>
          <w:szCs w:val="20"/>
          <w:color w:val="auto"/>
        </w:rPr>
      </w:pPr>
      <w:r>
        <w:rPr>
          <w:rFonts w:ascii="Arial" w:cs="Arial" w:eastAsia="Arial" w:hAnsi="Arial"/>
          <w:sz w:val="20"/>
          <w:szCs w:val="20"/>
          <w:color w:val="auto"/>
        </w:rPr>
        <w:t>Benefit expenses for deferred annuity, indexed annuities and IUL policies include index credits and interest credited to contractholder account balances and benefit claims in excess of contract account balances, net of reinsurance recoveries. Other changes in policy reserves include the change in the fair value of the indexed annuities embedded derivative and the change in the reserve for secondary guarantee benefit payments. Other changes in policy reserves also include the change in reserves for life insurance products.</w:t>
      </w:r>
    </w:p>
    <w:p>
      <w:pPr>
        <w:spacing w:after="0" w:line="91" w:lineRule="exact"/>
        <w:rPr>
          <w:sz w:val="20"/>
          <w:szCs w:val="20"/>
          <w:color w:val="auto"/>
        </w:rPr>
      </w:pPr>
    </w:p>
    <w:p>
      <w:pPr>
        <w:jc w:val="both"/>
        <w:ind w:firstLine="353"/>
        <w:spacing w:after="0" w:line="312" w:lineRule="auto"/>
        <w:rPr>
          <w:sz w:val="20"/>
          <w:szCs w:val="20"/>
          <w:color w:val="auto"/>
        </w:rPr>
      </w:pPr>
      <w:r>
        <w:rPr>
          <w:rFonts w:ascii="Arial" w:cs="Arial" w:eastAsia="Arial" w:hAnsi="Arial"/>
          <w:sz w:val="17"/>
          <w:szCs w:val="17"/>
          <w:color w:val="auto"/>
        </w:rPr>
        <w:t>Other operating expenses consist primarily of facilities expenses, title plant maintenance, premium taxes (which insurance underwriters are required to pay on title premiums in lieu of franchise and other state taxes), appraisal fees and other cost of sales on ServiceLink product offerings and other title-related products, postage and courier services, computer services, professional services, travel expenses, general insurance, and bad debt expense on our trade and notes receivable.</w:t>
      </w:r>
    </w:p>
    <w:p>
      <w:pPr>
        <w:spacing w:after="0" w:line="42"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Provision for title claim losses includes an estimate of anticipated title and title-related claims, and escrow losses.</w:t>
      </w:r>
    </w:p>
    <w:p>
      <w:pPr>
        <w:spacing w:after="0" w:line="157"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change in expenses attributable to our reportable segments is discussed in further detail at the segment level below.</w:t>
      </w:r>
    </w:p>
    <w:p>
      <w:pPr>
        <w:spacing w:after="0" w:line="157" w:lineRule="exact"/>
        <w:rPr>
          <w:sz w:val="20"/>
          <w:szCs w:val="20"/>
          <w:color w:val="auto"/>
        </w:rPr>
      </w:pPr>
    </w:p>
    <w:p>
      <w:pPr>
        <w:jc w:val="both"/>
        <w:ind w:firstLine="353"/>
        <w:spacing w:after="0" w:line="300" w:lineRule="auto"/>
        <w:rPr>
          <w:sz w:val="20"/>
          <w:szCs w:val="20"/>
          <w:color w:val="auto"/>
        </w:rPr>
      </w:pPr>
      <w:r>
        <w:rPr>
          <w:rFonts w:ascii="Arial" w:cs="Arial" w:eastAsia="Arial" w:hAnsi="Arial"/>
          <w:sz w:val="17"/>
          <w:szCs w:val="17"/>
          <w:color w:val="auto"/>
        </w:rPr>
        <w:t>Income tax expense was $753 million, $367 million and $192 million for the years ended December 31, 2025, 2024, and 2023, respectively. Income tax expense as a percentage of earnings before income taxes was 53.9%, 21.1% and 27.7% in the years ended December 31, 2025, 2024, and 2023 respectively. The increase in income tax expense as a percentage of earnings before taxes in 2025 as compared to 2024 is primarily attributable to the recording of the deferred tax liability for the outside basis difference in FNF's investment in F&amp;G, offset by releasing a portion of the valuation allowances in the 2025 period that were recorded in prior periods. The decrease in income tax expense as a percentage of earnings before taxes in 2024 as compared to 2023 is primarily attributable to favorable movement in the valuation allowance in 2024 as compared to 2023.</w:t>
      </w:r>
    </w:p>
    <w:p>
      <w:pPr>
        <w:spacing w:after="0" w:line="54" w:lineRule="exact"/>
        <w:rPr>
          <w:sz w:val="20"/>
          <w:szCs w:val="20"/>
          <w:color w:val="auto"/>
        </w:rPr>
      </w:pPr>
    </w:p>
    <w:p>
      <w:pPr>
        <w:jc w:val="both"/>
        <w:ind w:firstLine="353"/>
        <w:spacing w:after="0" w:line="271" w:lineRule="auto"/>
        <w:rPr>
          <w:sz w:val="20"/>
          <w:szCs w:val="20"/>
          <w:color w:val="auto"/>
        </w:rPr>
      </w:pPr>
      <w:r>
        <w:rPr>
          <w:rFonts w:ascii="Arial" w:cs="Arial" w:eastAsia="Arial" w:hAnsi="Arial"/>
          <w:sz w:val="19"/>
          <w:szCs w:val="19"/>
          <w:color w:val="auto"/>
        </w:rPr>
        <w:t>For the years ended December 31, 2025 and 2024, changes in market conditions, including varying interest rates, resulted in deferred tax assets related to the net unrealized capital losses in the Company’s investment portfolio. U.S. GAAP requires the evaluation of the recoverability of deferred tax assets and the establishment of a valuation allowance, if necessary, to reduce the deferred tax asset to an amount that is more likely than not to be realized.</w:t>
      </w:r>
    </w:p>
    <w:p>
      <w:pPr>
        <w:spacing w:after="0" w:line="72" w:lineRule="exact"/>
        <w:rPr>
          <w:sz w:val="20"/>
          <w:szCs w:val="20"/>
          <w:color w:val="auto"/>
        </w:rPr>
      </w:pPr>
    </w:p>
    <w:p>
      <w:pPr>
        <w:jc w:val="both"/>
        <w:ind w:firstLine="353"/>
        <w:spacing w:after="0" w:line="361" w:lineRule="auto"/>
        <w:rPr>
          <w:sz w:val="20"/>
          <w:szCs w:val="20"/>
          <w:color w:val="auto"/>
        </w:rPr>
      </w:pPr>
      <w:r>
        <w:rPr>
          <w:rFonts w:ascii="Arial" w:cs="Arial" w:eastAsia="Arial" w:hAnsi="Arial"/>
          <w:sz w:val="17"/>
          <w:szCs w:val="17"/>
          <w:color w:val="auto"/>
        </w:rPr>
        <w:t>When assessing the need for a valuation allowance for the F&amp;G segment on the unrealized capital loss deferred tax assets, F&amp;G asserts a tax planning strategy to hold the vast majority of underlying securities to recovery or maturity. F&amp;G’s ability to</w:t>
      </w:r>
    </w:p>
    <w:p>
      <w:pPr>
        <w:sectPr>
          <w:pgSz w:w="11880" w:h="15480" w:orient="portrait"/>
          <w:cols w:equalWidth="0" w:num="1">
            <w:col w:w="10040"/>
          </w:cols>
          <w:pgMar w:left="920" w:top="772"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69</w:t>
      </w:r>
    </w:p>
    <w:p>
      <w:pPr>
        <w:sectPr>
          <w:pgSz w:w="11880" w:h="15480" w:orient="portrait"/>
          <w:cols w:equalWidth="0" w:num="1">
            <w:col w:w="10040"/>
          </w:cols>
          <w:pgMar w:left="920" w:top="772" w:right="920" w:bottom="0" w:gutter="0" w:footer="0" w:header="0"/>
          <w:type w:val="continuous"/>
        </w:sectPr>
      </w:pPr>
    </w:p>
    <w:bookmarkStart w:id="81" w:name="page82"/>
    <w:bookmarkEnd w:id="81"/>
    <w:p>
      <w:pPr>
        <w:jc w:val="both"/>
        <w:spacing w:after="0" w:line="271" w:lineRule="auto"/>
        <w:rPr>
          <w:sz w:val="20"/>
          <w:szCs w:val="20"/>
          <w:color w:val="auto"/>
        </w:rPr>
      </w:pPr>
      <w:r>
        <w:rPr>
          <w:rFonts w:ascii="Arial" w:cs="Arial" w:eastAsia="Arial" w:hAnsi="Arial"/>
          <w:sz w:val="20"/>
          <w:szCs w:val="20"/>
          <w:color w:val="auto"/>
        </w:rPr>
        <w:t>assert such a tax planning strategy is dependent upon factors such as F&amp;G’s asset/liability matching process, overall investment strategy, projected future annuity product sales, and expected liquidity needs.</w:t>
      </w:r>
    </w:p>
    <w:p>
      <w:pPr>
        <w:spacing w:after="0" w:line="69" w:lineRule="exact"/>
        <w:rPr>
          <w:sz w:val="20"/>
          <w:szCs w:val="20"/>
          <w:color w:val="auto"/>
        </w:rPr>
      </w:pPr>
    </w:p>
    <w:p>
      <w:pPr>
        <w:jc w:val="both"/>
        <w:ind w:firstLine="353"/>
        <w:spacing w:after="0" w:line="271" w:lineRule="auto"/>
        <w:rPr>
          <w:sz w:val="20"/>
          <w:szCs w:val="20"/>
          <w:color w:val="auto"/>
        </w:rPr>
      </w:pPr>
      <w:r>
        <w:rPr>
          <w:rFonts w:ascii="Arial" w:cs="Arial" w:eastAsia="Arial" w:hAnsi="Arial"/>
          <w:sz w:val="19"/>
          <w:szCs w:val="19"/>
          <w:color w:val="auto"/>
        </w:rPr>
        <w:t>In the event these estimates differ from our prior estimates due to the receipt of new information, the Company may be required to significantly change the income tax expense recorded in the Consolidated Financial Statements. This includes a further significant decline in value of assets incorporated into our tax planning strategies, which could lead to an increase of our valuation allowance on deferred tax assets having an adverse effect on current and future results.</w:t>
      </w:r>
    </w:p>
    <w:p>
      <w:pPr>
        <w:spacing w:after="0" w:line="70" w:lineRule="exact"/>
        <w:rPr>
          <w:sz w:val="20"/>
          <w:szCs w:val="20"/>
          <w:color w:val="auto"/>
        </w:rPr>
      </w:pPr>
    </w:p>
    <w:p>
      <w:pPr>
        <w:jc w:val="both"/>
        <w:ind w:firstLine="353"/>
        <w:spacing w:after="0" w:line="273" w:lineRule="auto"/>
        <w:rPr>
          <w:sz w:val="20"/>
          <w:szCs w:val="20"/>
          <w:color w:val="auto"/>
        </w:rPr>
      </w:pPr>
      <w:r>
        <w:rPr>
          <w:rFonts w:ascii="Arial" w:cs="Arial" w:eastAsia="Arial" w:hAnsi="Arial"/>
          <w:sz w:val="20"/>
          <w:szCs w:val="20"/>
          <w:color w:val="auto"/>
        </w:rPr>
        <w:t xml:space="preserve">For further information related to income taxes, refer to Note S </w:t>
      </w:r>
      <w:r>
        <w:rPr>
          <w:rFonts w:ascii="Arial" w:cs="Arial" w:eastAsia="Arial" w:hAnsi="Arial"/>
          <w:sz w:val="20"/>
          <w:szCs w:val="20"/>
          <w:b w:val="1"/>
          <w:bCs w:val="1"/>
          <w:i w:val="1"/>
          <w:iCs w:val="1"/>
          <w:color w:val="auto"/>
        </w:rPr>
        <w:t>Income Taxes</w:t>
      </w:r>
      <w:r>
        <w:rPr>
          <w:rFonts w:ascii="Arial" w:cs="Arial" w:eastAsia="Arial" w:hAnsi="Arial"/>
          <w:sz w:val="20"/>
          <w:szCs w:val="20"/>
          <w:color w:val="auto"/>
        </w:rPr>
        <w:t xml:space="preserve"> in our Consolidated Financial Statements included in Item 8 of Part II of this Annual Report.</w:t>
      </w:r>
    </w:p>
    <w:p>
      <w:pPr>
        <w:spacing w:after="0" w:line="5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Title</w:t>
      </w:r>
    </w:p>
    <w:p>
      <w:pPr>
        <w:spacing w:after="0" w:line="29" w:lineRule="exact"/>
        <w:rPr>
          <w:sz w:val="20"/>
          <w:szCs w:val="20"/>
          <w:color w:val="auto"/>
        </w:rPr>
      </w:pPr>
    </w:p>
    <w:p>
      <w:pPr>
        <w:ind w:left="340"/>
        <w:spacing w:after="0"/>
        <w:rPr>
          <w:sz w:val="20"/>
          <w:szCs w:val="20"/>
          <w:color w:val="auto"/>
        </w:rPr>
      </w:pPr>
      <w:r>
        <w:rPr>
          <w:rFonts w:ascii="Arial" w:cs="Arial" w:eastAsia="Arial" w:hAnsi="Arial"/>
          <w:sz w:val="20"/>
          <w:szCs w:val="20"/>
          <w:color w:val="auto"/>
        </w:rPr>
        <w:t>The following table presents the results of operations of our Title segment for the years indicated:</w:t>
      </w:r>
    </w:p>
    <w:p>
      <w:pPr>
        <w:spacing w:after="0" w:line="356" w:lineRule="exact"/>
        <w:rPr>
          <w:sz w:val="20"/>
          <w:szCs w:val="20"/>
          <w:color w:val="auto"/>
        </w:rPr>
      </w:pPr>
    </w:p>
    <w:tbl>
      <w:tblPr>
        <w:tblLayout w:type="fixed"/>
        <w:tblInd w:w="60" w:type="dxa"/>
        <w:tblCellMar>
          <w:top w:w="0" w:type="dxa"/>
          <w:left w:w="0" w:type="dxa"/>
          <w:bottom w:w="0" w:type="dxa"/>
          <w:right w:w="0" w:type="dxa"/>
        </w:tblCellMar>
      </w:tblPr>
      <w:tr>
        <w:trPr>
          <w:trHeight w:val="213"/>
        </w:trPr>
        <w:tc>
          <w:tcPr>
            <w:tcW w:w="68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240" w:type="dxa"/>
            <w:vAlign w:val="bottom"/>
            <w:tcBorders>
              <w:bottom w:val="single" w:sz="8" w:color="auto"/>
            </w:tcBorders>
            <w:gridSpan w:val="6"/>
          </w:tcPr>
          <w:p>
            <w:pPr>
              <w:jc w:val="center"/>
              <w:ind w:left="362"/>
              <w:spacing w:after="0"/>
              <w:rPr>
                <w:sz w:val="20"/>
                <w:szCs w:val="20"/>
                <w:color w:val="auto"/>
              </w:rPr>
            </w:pPr>
            <w:r>
              <w:rPr>
                <w:rFonts w:ascii="Arial" w:cs="Arial" w:eastAsia="Arial" w:hAnsi="Arial"/>
                <w:sz w:val="16"/>
                <w:szCs w:val="16"/>
                <w:b w:val="1"/>
                <w:bCs w:val="1"/>
                <w:color w:val="auto"/>
                <w:w w:val="89"/>
              </w:rPr>
              <w:t>Year Ended December 31,</w:t>
            </w:r>
          </w:p>
        </w:tc>
        <w:tc>
          <w:tcPr>
            <w:tcW w:w="6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8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62"/>
              <w:spacing w:after="0"/>
              <w:rPr>
                <w:sz w:val="20"/>
                <w:szCs w:val="20"/>
                <w:color w:val="auto"/>
              </w:rPr>
            </w:pPr>
            <w:r>
              <w:rPr>
                <w:rFonts w:ascii="Arial" w:cs="Arial" w:eastAsia="Arial" w:hAnsi="Arial"/>
                <w:sz w:val="16"/>
                <w:szCs w:val="16"/>
                <w:b w:val="1"/>
                <w:bCs w:val="1"/>
                <w:color w:val="auto"/>
              </w:rPr>
              <w:t>2025</w:t>
            </w: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center"/>
              <w:ind w:right="182"/>
              <w:spacing w:after="0"/>
              <w:rPr>
                <w:sz w:val="20"/>
                <w:szCs w:val="20"/>
                <w:color w:val="auto"/>
              </w:rPr>
            </w:pPr>
            <w:r>
              <w:rPr>
                <w:rFonts w:ascii="Arial" w:cs="Arial" w:eastAsia="Arial" w:hAnsi="Arial"/>
                <w:sz w:val="16"/>
                <w:szCs w:val="16"/>
                <w:b w:val="1"/>
                <w:bCs w:val="1"/>
                <w:color w:val="auto"/>
                <w:w w:val="89"/>
              </w:rPr>
              <w:t>2024</w:t>
            </w:r>
          </w:p>
        </w:tc>
        <w:tc>
          <w:tcPr>
            <w:tcW w:w="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262"/>
              <w:spacing w:after="0"/>
              <w:rPr>
                <w:sz w:val="20"/>
                <w:szCs w:val="20"/>
                <w:color w:val="auto"/>
              </w:rPr>
            </w:pPr>
            <w:r>
              <w:rPr>
                <w:rFonts w:ascii="Arial" w:cs="Arial" w:eastAsia="Arial" w:hAnsi="Arial"/>
                <w:sz w:val="16"/>
                <w:szCs w:val="16"/>
                <w:b w:val="1"/>
                <w:bCs w:val="1"/>
                <w:color w:val="auto"/>
                <w:w w:val="89"/>
              </w:rPr>
              <w:t>2023</w:t>
            </w:r>
          </w:p>
        </w:tc>
        <w:tc>
          <w:tcPr>
            <w:tcW w:w="0" w:type="dxa"/>
            <w:vAlign w:val="bottom"/>
          </w:tcPr>
          <w:p>
            <w:pPr>
              <w:spacing w:after="0"/>
              <w:rPr>
                <w:sz w:val="1"/>
                <w:szCs w:val="1"/>
                <w:color w:val="auto"/>
              </w:rPr>
            </w:pPr>
          </w:p>
        </w:tc>
      </w:tr>
      <w:tr>
        <w:trPr>
          <w:trHeight w:val="208"/>
        </w:trPr>
        <w:tc>
          <w:tcPr>
            <w:tcW w:w="6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center"/>
              <w:spacing w:after="0"/>
              <w:rPr>
                <w:sz w:val="20"/>
                <w:szCs w:val="20"/>
                <w:color w:val="auto"/>
              </w:rPr>
            </w:pPr>
            <w:r>
              <w:rPr>
                <w:rFonts w:ascii="Arial" w:cs="Arial" w:eastAsia="Arial" w:hAnsi="Arial"/>
                <w:sz w:val="16"/>
                <w:szCs w:val="16"/>
                <w:b w:val="1"/>
                <w:bCs w:val="1"/>
                <w:color w:val="auto"/>
                <w:w w:val="91"/>
              </w:rPr>
              <w:t>(In millions)</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9"/>
        </w:trPr>
        <w:tc>
          <w:tcPr>
            <w:tcW w:w="6800" w:type="dxa"/>
            <w:vAlign w:val="bottom"/>
          </w:tcPr>
          <w:p>
            <w:pPr>
              <w:spacing w:after="0"/>
              <w:rPr>
                <w:sz w:val="20"/>
                <w:szCs w:val="20"/>
                <w:color w:val="auto"/>
              </w:rPr>
            </w:pPr>
            <w:r>
              <w:rPr>
                <w:rFonts w:ascii="Arial" w:cs="Arial" w:eastAsia="Arial" w:hAnsi="Arial"/>
                <w:sz w:val="16"/>
                <w:szCs w:val="16"/>
                <w:color w:val="auto"/>
              </w:rPr>
              <w:t>Revenues:</w:t>
            </w: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6800" w:type="dxa"/>
            <w:vAlign w:val="bottom"/>
          </w:tcPr>
          <w:p>
            <w:pPr>
              <w:ind w:left="220"/>
              <w:spacing w:after="0"/>
              <w:rPr>
                <w:sz w:val="20"/>
                <w:szCs w:val="20"/>
                <w:color w:val="auto"/>
              </w:rPr>
            </w:pPr>
            <w:r>
              <w:rPr>
                <w:rFonts w:ascii="Arial" w:cs="Arial" w:eastAsia="Arial" w:hAnsi="Arial"/>
                <w:sz w:val="16"/>
                <w:szCs w:val="16"/>
                <w:color w:val="auto"/>
              </w:rPr>
              <w:t>Direct title insurance premiums</w:t>
            </w:r>
          </w:p>
        </w:tc>
        <w:tc>
          <w:tcPr>
            <w:tcW w:w="24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2,574</w:t>
            </w:r>
          </w:p>
        </w:tc>
        <w:tc>
          <w:tcPr>
            <w:tcW w:w="320" w:type="dxa"/>
            <w:vAlign w:val="bottom"/>
            <w:gridSpan w:val="2"/>
          </w:tcPr>
          <w:p>
            <w:pPr>
              <w:jc w:val="right"/>
              <w:ind w:right="42"/>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2"/>
              <w:spacing w:after="0"/>
              <w:rPr>
                <w:sz w:val="20"/>
                <w:szCs w:val="20"/>
                <w:color w:val="auto"/>
              </w:rPr>
            </w:pPr>
            <w:r>
              <w:rPr>
                <w:rFonts w:ascii="Arial" w:cs="Arial" w:eastAsia="Arial" w:hAnsi="Arial"/>
                <w:sz w:val="16"/>
                <w:szCs w:val="16"/>
                <w:color w:val="auto"/>
              </w:rPr>
              <w:t>2,200</w:t>
            </w:r>
          </w:p>
        </w:tc>
        <w:tc>
          <w:tcPr>
            <w:tcW w:w="3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1,982</w:t>
            </w:r>
          </w:p>
        </w:tc>
        <w:tc>
          <w:tcPr>
            <w:tcW w:w="0" w:type="dxa"/>
            <w:vAlign w:val="bottom"/>
          </w:tcPr>
          <w:p>
            <w:pPr>
              <w:spacing w:after="0"/>
              <w:rPr>
                <w:sz w:val="1"/>
                <w:szCs w:val="1"/>
                <w:color w:val="auto"/>
              </w:rPr>
            </w:pPr>
          </w:p>
        </w:tc>
      </w:tr>
      <w:tr>
        <w:trPr>
          <w:trHeight w:val="279"/>
        </w:trPr>
        <w:tc>
          <w:tcPr>
            <w:tcW w:w="6800" w:type="dxa"/>
            <w:vAlign w:val="bottom"/>
          </w:tcPr>
          <w:p>
            <w:pPr>
              <w:ind w:left="220"/>
              <w:spacing w:after="0"/>
              <w:rPr>
                <w:sz w:val="20"/>
                <w:szCs w:val="20"/>
                <w:color w:val="auto"/>
              </w:rPr>
            </w:pPr>
            <w:r>
              <w:rPr>
                <w:rFonts w:ascii="Arial" w:cs="Arial" w:eastAsia="Arial" w:hAnsi="Arial"/>
                <w:sz w:val="16"/>
                <w:szCs w:val="16"/>
                <w:color w:val="auto"/>
              </w:rPr>
              <w:t>Agency title insurance premiums</w:t>
            </w:r>
          </w:p>
        </w:tc>
        <w:tc>
          <w:tcPr>
            <w:tcW w:w="2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3,250</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jc w:val="right"/>
              <w:ind w:right="2"/>
              <w:spacing w:after="0"/>
              <w:rPr>
                <w:sz w:val="20"/>
                <w:szCs w:val="20"/>
                <w:color w:val="auto"/>
              </w:rPr>
            </w:pPr>
            <w:r>
              <w:rPr>
                <w:rFonts w:ascii="Arial" w:cs="Arial" w:eastAsia="Arial" w:hAnsi="Arial"/>
                <w:sz w:val="16"/>
                <w:szCs w:val="16"/>
                <w:color w:val="auto"/>
              </w:rPr>
              <w:t>2,953</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2,610</w:t>
            </w:r>
          </w:p>
        </w:tc>
        <w:tc>
          <w:tcPr>
            <w:tcW w:w="0" w:type="dxa"/>
            <w:vAlign w:val="bottom"/>
          </w:tcPr>
          <w:p>
            <w:pPr>
              <w:spacing w:after="0"/>
              <w:rPr>
                <w:sz w:val="1"/>
                <w:szCs w:val="1"/>
                <w:color w:val="auto"/>
              </w:rPr>
            </w:pPr>
          </w:p>
        </w:tc>
      </w:tr>
      <w:tr>
        <w:trPr>
          <w:trHeight w:val="279"/>
        </w:trPr>
        <w:tc>
          <w:tcPr>
            <w:tcW w:w="6800" w:type="dxa"/>
            <w:vAlign w:val="bottom"/>
          </w:tcPr>
          <w:p>
            <w:pPr>
              <w:ind w:left="220"/>
              <w:spacing w:after="0"/>
              <w:rPr>
                <w:sz w:val="20"/>
                <w:szCs w:val="20"/>
                <w:color w:val="auto"/>
              </w:rPr>
            </w:pPr>
            <w:r>
              <w:rPr>
                <w:rFonts w:ascii="Arial" w:cs="Arial" w:eastAsia="Arial" w:hAnsi="Arial"/>
                <w:sz w:val="16"/>
                <w:szCs w:val="16"/>
                <w:color w:val="auto"/>
              </w:rPr>
              <w:t>Escrow, title-related and other fees</w:t>
            </w:r>
          </w:p>
        </w:tc>
        <w:tc>
          <w:tcPr>
            <w:tcW w:w="2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2,381</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jc w:val="right"/>
              <w:ind w:right="2"/>
              <w:spacing w:after="0"/>
              <w:rPr>
                <w:sz w:val="20"/>
                <w:szCs w:val="20"/>
                <w:color w:val="auto"/>
              </w:rPr>
            </w:pPr>
            <w:r>
              <w:rPr>
                <w:rFonts w:ascii="Arial" w:cs="Arial" w:eastAsia="Arial" w:hAnsi="Arial"/>
                <w:sz w:val="16"/>
                <w:szCs w:val="16"/>
                <w:color w:val="auto"/>
              </w:rPr>
              <w:t>2,196</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2,117</w:t>
            </w:r>
          </w:p>
        </w:tc>
        <w:tc>
          <w:tcPr>
            <w:tcW w:w="0" w:type="dxa"/>
            <w:vAlign w:val="bottom"/>
          </w:tcPr>
          <w:p>
            <w:pPr>
              <w:spacing w:after="0"/>
              <w:rPr>
                <w:sz w:val="1"/>
                <w:szCs w:val="1"/>
                <w:color w:val="auto"/>
              </w:rPr>
            </w:pPr>
          </w:p>
        </w:tc>
      </w:tr>
      <w:tr>
        <w:trPr>
          <w:trHeight w:val="279"/>
        </w:trPr>
        <w:tc>
          <w:tcPr>
            <w:tcW w:w="6800" w:type="dxa"/>
            <w:vAlign w:val="bottom"/>
          </w:tcPr>
          <w:p>
            <w:pPr>
              <w:ind w:left="220"/>
              <w:spacing w:after="0"/>
              <w:rPr>
                <w:sz w:val="20"/>
                <w:szCs w:val="20"/>
                <w:color w:val="auto"/>
              </w:rPr>
            </w:pPr>
            <w:r>
              <w:rPr>
                <w:rFonts w:ascii="Arial" w:cs="Arial" w:eastAsia="Arial" w:hAnsi="Arial"/>
                <w:sz w:val="16"/>
                <w:szCs w:val="16"/>
                <w:color w:val="auto"/>
              </w:rPr>
              <w:t>Interest and investment income</w:t>
            </w:r>
          </w:p>
        </w:tc>
        <w:tc>
          <w:tcPr>
            <w:tcW w:w="2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363</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jc w:val="right"/>
              <w:ind w:right="2"/>
              <w:spacing w:after="0"/>
              <w:rPr>
                <w:sz w:val="20"/>
                <w:szCs w:val="20"/>
                <w:color w:val="auto"/>
              </w:rPr>
            </w:pPr>
            <w:r>
              <w:rPr>
                <w:rFonts w:ascii="Arial" w:cs="Arial" w:eastAsia="Arial" w:hAnsi="Arial"/>
                <w:sz w:val="16"/>
                <w:szCs w:val="16"/>
                <w:color w:val="auto"/>
              </w:rPr>
              <w:t>359</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338</w:t>
            </w:r>
          </w:p>
        </w:tc>
        <w:tc>
          <w:tcPr>
            <w:tcW w:w="0" w:type="dxa"/>
            <w:vAlign w:val="bottom"/>
          </w:tcPr>
          <w:p>
            <w:pPr>
              <w:spacing w:after="0"/>
              <w:rPr>
                <w:sz w:val="1"/>
                <w:szCs w:val="1"/>
                <w:color w:val="auto"/>
              </w:rPr>
            </w:pPr>
          </w:p>
        </w:tc>
      </w:tr>
      <w:tr>
        <w:trPr>
          <w:trHeight w:val="286"/>
        </w:trPr>
        <w:tc>
          <w:tcPr>
            <w:tcW w:w="6800" w:type="dxa"/>
            <w:vAlign w:val="bottom"/>
          </w:tcPr>
          <w:p>
            <w:pPr>
              <w:ind w:left="220"/>
              <w:spacing w:after="0"/>
              <w:rPr>
                <w:sz w:val="20"/>
                <w:szCs w:val="20"/>
                <w:color w:val="auto"/>
              </w:rPr>
            </w:pPr>
            <w:r>
              <w:rPr>
                <w:rFonts w:ascii="Arial" w:cs="Arial" w:eastAsia="Arial" w:hAnsi="Arial"/>
                <w:sz w:val="16"/>
                <w:szCs w:val="16"/>
                <w:color w:val="auto"/>
              </w:rPr>
              <w:t>Recognized gains and losses, net</w:t>
            </w:r>
          </w:p>
        </w:tc>
        <w:tc>
          <w:tcPr>
            <w:tcW w:w="2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w:t>
            </w:r>
          </w:p>
        </w:tc>
        <w:tc>
          <w:tcPr>
            <w:tcW w:w="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w:t>
            </w:r>
          </w:p>
        </w:tc>
        <w:tc>
          <w:tcPr>
            <w:tcW w:w="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52"/>
        </w:trPr>
        <w:tc>
          <w:tcPr>
            <w:tcW w:w="6800" w:type="dxa"/>
            <w:vAlign w:val="bottom"/>
          </w:tcPr>
          <w:p>
            <w:pPr>
              <w:ind w:left="540"/>
              <w:spacing w:after="0"/>
              <w:rPr>
                <w:sz w:val="20"/>
                <w:szCs w:val="20"/>
                <w:color w:val="auto"/>
              </w:rPr>
            </w:pPr>
            <w:r>
              <w:rPr>
                <w:rFonts w:ascii="Arial" w:cs="Arial" w:eastAsia="Arial" w:hAnsi="Arial"/>
                <w:sz w:val="16"/>
                <w:szCs w:val="16"/>
                <w:color w:val="auto"/>
              </w:rPr>
              <w:t>Total revenues</w:t>
            </w:r>
          </w:p>
        </w:tc>
        <w:tc>
          <w:tcPr>
            <w:tcW w:w="2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8,490</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2"/>
              <w:spacing w:after="0"/>
              <w:rPr>
                <w:sz w:val="20"/>
                <w:szCs w:val="20"/>
                <w:color w:val="auto"/>
              </w:rPr>
            </w:pPr>
            <w:r>
              <w:rPr>
                <w:rFonts w:ascii="Arial" w:cs="Arial" w:eastAsia="Arial" w:hAnsi="Arial"/>
                <w:sz w:val="16"/>
                <w:szCs w:val="16"/>
                <w:color w:val="auto"/>
              </w:rPr>
              <w:t>7,702</w:t>
            </w: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7,038</w:t>
            </w:r>
          </w:p>
        </w:tc>
        <w:tc>
          <w:tcPr>
            <w:tcW w:w="0" w:type="dxa"/>
            <w:vAlign w:val="bottom"/>
          </w:tcPr>
          <w:p>
            <w:pPr>
              <w:spacing w:after="0"/>
              <w:rPr>
                <w:sz w:val="1"/>
                <w:szCs w:val="1"/>
                <w:color w:val="auto"/>
              </w:rPr>
            </w:pPr>
          </w:p>
        </w:tc>
      </w:tr>
      <w:tr>
        <w:trPr>
          <w:trHeight w:val="279"/>
        </w:trPr>
        <w:tc>
          <w:tcPr>
            <w:tcW w:w="6800" w:type="dxa"/>
            <w:vAlign w:val="bottom"/>
          </w:tcPr>
          <w:p>
            <w:pPr>
              <w:spacing w:after="0"/>
              <w:rPr>
                <w:sz w:val="20"/>
                <w:szCs w:val="20"/>
                <w:color w:val="auto"/>
              </w:rPr>
            </w:pPr>
            <w:r>
              <w:rPr>
                <w:rFonts w:ascii="Arial" w:cs="Arial" w:eastAsia="Arial" w:hAnsi="Arial"/>
                <w:sz w:val="16"/>
                <w:szCs w:val="16"/>
                <w:color w:val="auto"/>
              </w:rPr>
              <w:t>Expenses:</w:t>
            </w: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6800" w:type="dxa"/>
            <w:vAlign w:val="bottom"/>
          </w:tcPr>
          <w:p>
            <w:pPr>
              <w:ind w:left="220"/>
              <w:spacing w:after="0"/>
              <w:rPr>
                <w:sz w:val="20"/>
                <w:szCs w:val="20"/>
                <w:color w:val="auto"/>
              </w:rPr>
            </w:pPr>
            <w:r>
              <w:rPr>
                <w:rFonts w:ascii="Arial" w:cs="Arial" w:eastAsia="Arial" w:hAnsi="Arial"/>
                <w:sz w:val="16"/>
                <w:szCs w:val="16"/>
                <w:color w:val="auto"/>
              </w:rPr>
              <w:t>Personnel costs</w:t>
            </w:r>
          </w:p>
        </w:tc>
        <w:tc>
          <w:tcPr>
            <w:tcW w:w="2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2,983</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jc w:val="right"/>
              <w:ind w:right="2"/>
              <w:spacing w:after="0"/>
              <w:rPr>
                <w:sz w:val="20"/>
                <w:szCs w:val="20"/>
                <w:color w:val="auto"/>
              </w:rPr>
            </w:pPr>
            <w:r>
              <w:rPr>
                <w:rFonts w:ascii="Arial" w:cs="Arial" w:eastAsia="Arial" w:hAnsi="Arial"/>
                <w:sz w:val="16"/>
                <w:szCs w:val="16"/>
                <w:color w:val="auto"/>
              </w:rPr>
              <w:t>2,695</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2,544</w:t>
            </w:r>
          </w:p>
        </w:tc>
        <w:tc>
          <w:tcPr>
            <w:tcW w:w="0" w:type="dxa"/>
            <w:vAlign w:val="bottom"/>
          </w:tcPr>
          <w:p>
            <w:pPr>
              <w:spacing w:after="0"/>
              <w:rPr>
                <w:sz w:val="1"/>
                <w:szCs w:val="1"/>
                <w:color w:val="auto"/>
              </w:rPr>
            </w:pPr>
          </w:p>
        </w:tc>
      </w:tr>
      <w:tr>
        <w:trPr>
          <w:trHeight w:val="279"/>
        </w:trPr>
        <w:tc>
          <w:tcPr>
            <w:tcW w:w="6800" w:type="dxa"/>
            <w:vAlign w:val="bottom"/>
          </w:tcPr>
          <w:p>
            <w:pPr>
              <w:ind w:left="220"/>
              <w:spacing w:after="0"/>
              <w:rPr>
                <w:sz w:val="20"/>
                <w:szCs w:val="20"/>
                <w:color w:val="auto"/>
              </w:rPr>
            </w:pPr>
            <w:r>
              <w:rPr>
                <w:rFonts w:ascii="Arial" w:cs="Arial" w:eastAsia="Arial" w:hAnsi="Arial"/>
                <w:sz w:val="16"/>
                <w:szCs w:val="16"/>
                <w:color w:val="auto"/>
              </w:rPr>
              <w:t>Agent commissions</w:t>
            </w:r>
          </w:p>
        </w:tc>
        <w:tc>
          <w:tcPr>
            <w:tcW w:w="2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2,518</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jc w:val="right"/>
              <w:ind w:right="2"/>
              <w:spacing w:after="0"/>
              <w:rPr>
                <w:sz w:val="20"/>
                <w:szCs w:val="20"/>
                <w:color w:val="auto"/>
              </w:rPr>
            </w:pPr>
            <w:r>
              <w:rPr>
                <w:rFonts w:ascii="Arial" w:cs="Arial" w:eastAsia="Arial" w:hAnsi="Arial"/>
                <w:sz w:val="16"/>
                <w:szCs w:val="16"/>
                <w:color w:val="auto"/>
              </w:rPr>
              <w:t>2,287</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2,008</w:t>
            </w:r>
          </w:p>
        </w:tc>
        <w:tc>
          <w:tcPr>
            <w:tcW w:w="0" w:type="dxa"/>
            <w:vAlign w:val="bottom"/>
          </w:tcPr>
          <w:p>
            <w:pPr>
              <w:spacing w:after="0"/>
              <w:rPr>
                <w:sz w:val="1"/>
                <w:szCs w:val="1"/>
                <w:color w:val="auto"/>
              </w:rPr>
            </w:pPr>
          </w:p>
        </w:tc>
      </w:tr>
      <w:tr>
        <w:trPr>
          <w:trHeight w:val="279"/>
        </w:trPr>
        <w:tc>
          <w:tcPr>
            <w:tcW w:w="6800" w:type="dxa"/>
            <w:vAlign w:val="bottom"/>
          </w:tcPr>
          <w:p>
            <w:pPr>
              <w:ind w:left="220"/>
              <w:spacing w:after="0"/>
              <w:rPr>
                <w:sz w:val="20"/>
                <w:szCs w:val="20"/>
                <w:color w:val="auto"/>
              </w:rPr>
            </w:pPr>
            <w:r>
              <w:rPr>
                <w:rFonts w:ascii="Arial" w:cs="Arial" w:eastAsia="Arial" w:hAnsi="Arial"/>
                <w:sz w:val="16"/>
                <w:szCs w:val="16"/>
                <w:color w:val="auto"/>
              </w:rPr>
              <w:t>Other operating expenses</w:t>
            </w:r>
          </w:p>
        </w:tc>
        <w:tc>
          <w:tcPr>
            <w:tcW w:w="2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1,353</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jc w:val="right"/>
              <w:ind w:right="2"/>
              <w:spacing w:after="0"/>
              <w:rPr>
                <w:sz w:val="20"/>
                <w:szCs w:val="20"/>
                <w:color w:val="auto"/>
              </w:rPr>
            </w:pPr>
            <w:r>
              <w:rPr>
                <w:rFonts w:ascii="Arial" w:cs="Arial" w:eastAsia="Arial" w:hAnsi="Arial"/>
                <w:sz w:val="16"/>
                <w:szCs w:val="16"/>
                <w:color w:val="auto"/>
              </w:rPr>
              <w:t>1,251</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1,242</w:t>
            </w:r>
          </w:p>
        </w:tc>
        <w:tc>
          <w:tcPr>
            <w:tcW w:w="0" w:type="dxa"/>
            <w:vAlign w:val="bottom"/>
          </w:tcPr>
          <w:p>
            <w:pPr>
              <w:spacing w:after="0"/>
              <w:rPr>
                <w:sz w:val="1"/>
                <w:szCs w:val="1"/>
                <w:color w:val="auto"/>
              </w:rPr>
            </w:pPr>
          </w:p>
        </w:tc>
      </w:tr>
      <w:tr>
        <w:trPr>
          <w:trHeight w:val="279"/>
        </w:trPr>
        <w:tc>
          <w:tcPr>
            <w:tcW w:w="6800" w:type="dxa"/>
            <w:vAlign w:val="bottom"/>
          </w:tcPr>
          <w:p>
            <w:pPr>
              <w:ind w:left="220"/>
              <w:spacing w:after="0"/>
              <w:rPr>
                <w:sz w:val="20"/>
                <w:szCs w:val="20"/>
                <w:color w:val="auto"/>
              </w:rPr>
            </w:pPr>
            <w:r>
              <w:rPr>
                <w:rFonts w:ascii="Arial" w:cs="Arial" w:eastAsia="Arial" w:hAnsi="Arial"/>
                <w:sz w:val="16"/>
                <w:szCs w:val="16"/>
                <w:color w:val="auto"/>
              </w:rPr>
              <w:t>Depreciation and amortization</w:t>
            </w:r>
          </w:p>
        </w:tc>
        <w:tc>
          <w:tcPr>
            <w:tcW w:w="2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147</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jc w:val="right"/>
              <w:ind w:right="2"/>
              <w:spacing w:after="0"/>
              <w:rPr>
                <w:sz w:val="20"/>
                <w:szCs w:val="20"/>
                <w:color w:val="auto"/>
              </w:rPr>
            </w:pPr>
            <w:r>
              <w:rPr>
                <w:rFonts w:ascii="Arial" w:cs="Arial" w:eastAsia="Arial" w:hAnsi="Arial"/>
                <w:sz w:val="16"/>
                <w:szCs w:val="16"/>
                <w:color w:val="auto"/>
              </w:rPr>
              <w:t>141</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154</w:t>
            </w:r>
          </w:p>
        </w:tc>
        <w:tc>
          <w:tcPr>
            <w:tcW w:w="0" w:type="dxa"/>
            <w:vAlign w:val="bottom"/>
          </w:tcPr>
          <w:p>
            <w:pPr>
              <w:spacing w:after="0"/>
              <w:rPr>
                <w:sz w:val="1"/>
                <w:szCs w:val="1"/>
                <w:color w:val="auto"/>
              </w:rPr>
            </w:pPr>
          </w:p>
        </w:tc>
      </w:tr>
      <w:tr>
        <w:trPr>
          <w:trHeight w:val="279"/>
        </w:trPr>
        <w:tc>
          <w:tcPr>
            <w:tcW w:w="6800" w:type="dxa"/>
            <w:vAlign w:val="bottom"/>
          </w:tcPr>
          <w:p>
            <w:pPr>
              <w:ind w:left="220"/>
              <w:spacing w:after="0"/>
              <w:rPr>
                <w:sz w:val="20"/>
                <w:szCs w:val="20"/>
                <w:color w:val="auto"/>
              </w:rPr>
            </w:pPr>
            <w:r>
              <w:rPr>
                <w:rFonts w:ascii="Arial" w:cs="Arial" w:eastAsia="Arial" w:hAnsi="Arial"/>
                <w:sz w:val="16"/>
                <w:szCs w:val="16"/>
                <w:color w:val="auto"/>
              </w:rPr>
              <w:t>Provision for title claim losses</w:t>
            </w:r>
          </w:p>
        </w:tc>
        <w:tc>
          <w:tcPr>
            <w:tcW w:w="2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262</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jc w:val="right"/>
              <w:ind w:right="2"/>
              <w:spacing w:after="0"/>
              <w:rPr>
                <w:sz w:val="20"/>
                <w:szCs w:val="20"/>
                <w:color w:val="auto"/>
              </w:rPr>
            </w:pPr>
            <w:r>
              <w:rPr>
                <w:rFonts w:ascii="Arial" w:cs="Arial" w:eastAsia="Arial" w:hAnsi="Arial"/>
                <w:sz w:val="16"/>
                <w:szCs w:val="16"/>
                <w:color w:val="auto"/>
              </w:rPr>
              <w:t>232</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207</w:t>
            </w:r>
          </w:p>
        </w:tc>
        <w:tc>
          <w:tcPr>
            <w:tcW w:w="0" w:type="dxa"/>
            <w:vAlign w:val="bottom"/>
          </w:tcPr>
          <w:p>
            <w:pPr>
              <w:spacing w:after="0"/>
              <w:rPr>
                <w:sz w:val="1"/>
                <w:szCs w:val="1"/>
                <w:color w:val="auto"/>
              </w:rPr>
            </w:pPr>
          </w:p>
        </w:tc>
      </w:tr>
      <w:tr>
        <w:trPr>
          <w:trHeight w:val="286"/>
        </w:trPr>
        <w:tc>
          <w:tcPr>
            <w:tcW w:w="6800" w:type="dxa"/>
            <w:vAlign w:val="bottom"/>
          </w:tcPr>
          <w:p>
            <w:pPr>
              <w:ind w:left="220"/>
              <w:spacing w:after="0"/>
              <w:rPr>
                <w:sz w:val="20"/>
                <w:szCs w:val="20"/>
                <w:color w:val="auto"/>
              </w:rPr>
            </w:pPr>
            <w:r>
              <w:rPr>
                <w:rFonts w:ascii="Arial" w:cs="Arial" w:eastAsia="Arial" w:hAnsi="Arial"/>
                <w:sz w:val="16"/>
                <w:szCs w:val="16"/>
                <w:color w:val="auto"/>
              </w:rPr>
              <w:t>Interest expense</w:t>
            </w:r>
          </w:p>
        </w:tc>
        <w:tc>
          <w:tcPr>
            <w:tcW w:w="2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9"/>
        </w:trPr>
        <w:tc>
          <w:tcPr>
            <w:tcW w:w="6800" w:type="dxa"/>
            <w:vAlign w:val="bottom"/>
          </w:tcPr>
          <w:p>
            <w:pPr>
              <w:ind w:left="540"/>
              <w:spacing w:after="0"/>
              <w:rPr>
                <w:sz w:val="20"/>
                <w:szCs w:val="20"/>
                <w:color w:val="auto"/>
              </w:rPr>
            </w:pPr>
            <w:r>
              <w:rPr>
                <w:rFonts w:ascii="Arial" w:cs="Arial" w:eastAsia="Arial" w:hAnsi="Arial"/>
                <w:sz w:val="16"/>
                <w:szCs w:val="16"/>
                <w:color w:val="auto"/>
              </w:rPr>
              <w:t>Total expenses</w:t>
            </w:r>
          </w:p>
        </w:tc>
        <w:tc>
          <w:tcPr>
            <w:tcW w:w="2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7,263</w:t>
            </w:r>
          </w:p>
        </w:tc>
        <w:tc>
          <w:tcPr>
            <w:tcW w:w="8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6,606</w:t>
            </w:r>
          </w:p>
        </w:tc>
        <w:tc>
          <w:tcPr>
            <w:tcW w:w="6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6,155</w:t>
            </w:r>
          </w:p>
        </w:tc>
        <w:tc>
          <w:tcPr>
            <w:tcW w:w="0" w:type="dxa"/>
            <w:vAlign w:val="bottom"/>
          </w:tcPr>
          <w:p>
            <w:pPr>
              <w:spacing w:after="0"/>
              <w:rPr>
                <w:sz w:val="1"/>
                <w:szCs w:val="1"/>
                <w:color w:val="auto"/>
              </w:rPr>
            </w:pPr>
          </w:p>
        </w:tc>
      </w:tr>
      <w:tr>
        <w:trPr>
          <w:trHeight w:val="226"/>
        </w:trPr>
        <w:tc>
          <w:tcPr>
            <w:tcW w:w="6800" w:type="dxa"/>
            <w:vAlign w:val="bottom"/>
          </w:tcPr>
          <w:p>
            <w:pPr>
              <w:spacing w:after="0"/>
              <w:rPr>
                <w:sz w:val="20"/>
                <w:szCs w:val="20"/>
                <w:color w:val="auto"/>
              </w:rPr>
            </w:pPr>
            <w:r>
              <w:rPr>
                <w:rFonts w:ascii="Arial" w:cs="Arial" w:eastAsia="Arial" w:hAnsi="Arial"/>
                <w:sz w:val="16"/>
                <w:szCs w:val="16"/>
                <w:color w:val="auto"/>
                <w:w w:val="96"/>
              </w:rPr>
              <w:t>Earnings from continuing operations, before income taxes and equity in earnings of unconsolidated</w:t>
            </w:r>
          </w:p>
        </w:tc>
        <w:tc>
          <w:tcPr>
            <w:tcW w:w="240" w:type="dxa"/>
            <w:vAlign w:val="bottom"/>
            <w:vMerge w:val="restart"/>
          </w:tcPr>
          <w:p>
            <w:pPr>
              <w:jc w:val="right"/>
              <w:ind w:right="42"/>
              <w:spacing w:after="0"/>
              <w:rPr>
                <w:sz w:val="20"/>
                <w:szCs w:val="20"/>
                <w:color w:val="auto"/>
              </w:rPr>
            </w:pPr>
            <w:r>
              <w:rPr>
                <w:rFonts w:ascii="Arial" w:cs="Arial" w:eastAsia="Arial" w:hAnsi="Arial"/>
                <w:sz w:val="16"/>
                <w:szCs w:val="16"/>
                <w:color w:val="auto"/>
              </w:rPr>
              <w:t>$</w:t>
            </w:r>
          </w:p>
        </w:tc>
        <w:tc>
          <w:tcPr>
            <w:tcW w:w="760" w:type="dxa"/>
            <w:vAlign w:val="bottom"/>
            <w:vMerge w:val="restart"/>
          </w:tcPr>
          <w:p>
            <w:pPr>
              <w:jc w:val="right"/>
              <w:spacing w:after="0"/>
              <w:rPr>
                <w:sz w:val="20"/>
                <w:szCs w:val="20"/>
                <w:color w:val="auto"/>
              </w:rPr>
            </w:pPr>
            <w:r>
              <w:rPr>
                <w:rFonts w:ascii="Arial" w:cs="Arial" w:eastAsia="Arial" w:hAnsi="Arial"/>
                <w:sz w:val="16"/>
                <w:szCs w:val="16"/>
                <w:color w:val="auto"/>
              </w:rPr>
              <w:t>1,227</w:t>
            </w:r>
          </w:p>
        </w:tc>
        <w:tc>
          <w:tcPr>
            <w:tcW w:w="320" w:type="dxa"/>
            <w:vAlign w:val="bottom"/>
            <w:gridSpan w:val="2"/>
            <w:vMerge w:val="restart"/>
          </w:tcPr>
          <w:p>
            <w:pPr>
              <w:jc w:val="right"/>
              <w:ind w:right="42"/>
              <w:spacing w:after="0"/>
              <w:rPr>
                <w:sz w:val="20"/>
                <w:szCs w:val="20"/>
                <w:color w:val="auto"/>
              </w:rPr>
            </w:pPr>
            <w:r>
              <w:rPr>
                <w:rFonts w:ascii="Arial" w:cs="Arial" w:eastAsia="Arial" w:hAnsi="Arial"/>
                <w:sz w:val="16"/>
                <w:szCs w:val="16"/>
                <w:color w:val="auto"/>
              </w:rPr>
              <w:t>$</w:t>
            </w:r>
          </w:p>
        </w:tc>
        <w:tc>
          <w:tcPr>
            <w:tcW w:w="780" w:type="dxa"/>
            <w:vAlign w:val="bottom"/>
            <w:vMerge w:val="restart"/>
          </w:tcPr>
          <w:p>
            <w:pPr>
              <w:jc w:val="right"/>
              <w:ind w:right="2"/>
              <w:spacing w:after="0"/>
              <w:rPr>
                <w:sz w:val="20"/>
                <w:szCs w:val="20"/>
                <w:color w:val="auto"/>
              </w:rPr>
            </w:pPr>
            <w:r>
              <w:rPr>
                <w:rFonts w:ascii="Arial" w:cs="Arial" w:eastAsia="Arial" w:hAnsi="Arial"/>
                <w:sz w:val="16"/>
                <w:szCs w:val="16"/>
                <w:color w:val="auto"/>
              </w:rPr>
              <w:t>1,096</w:t>
            </w:r>
          </w:p>
        </w:tc>
        <w:tc>
          <w:tcPr>
            <w:tcW w:w="380" w:type="dxa"/>
            <w:vAlign w:val="bottom"/>
            <w:gridSpan w:val="2"/>
            <w:vMerge w:val="restart"/>
          </w:tcPr>
          <w:p>
            <w:pPr>
              <w:jc w:val="right"/>
              <w:ind w:right="200"/>
              <w:spacing w:after="0"/>
              <w:rPr>
                <w:sz w:val="20"/>
                <w:szCs w:val="20"/>
                <w:color w:val="auto"/>
              </w:rPr>
            </w:pPr>
            <w:r>
              <w:rPr>
                <w:rFonts w:ascii="Arial" w:cs="Arial" w:eastAsia="Arial" w:hAnsi="Arial"/>
                <w:sz w:val="16"/>
                <w:szCs w:val="16"/>
                <w:color w:val="auto"/>
              </w:rPr>
              <w:t>$</w:t>
            </w:r>
          </w:p>
        </w:tc>
        <w:tc>
          <w:tcPr>
            <w:tcW w:w="680" w:type="dxa"/>
            <w:vAlign w:val="bottom"/>
            <w:vMerge w:val="restart"/>
          </w:tcPr>
          <w:p>
            <w:pPr>
              <w:jc w:val="right"/>
              <w:spacing w:after="0"/>
              <w:rPr>
                <w:sz w:val="20"/>
                <w:szCs w:val="20"/>
                <w:color w:val="auto"/>
              </w:rPr>
            </w:pPr>
            <w:r>
              <w:rPr>
                <w:rFonts w:ascii="Arial" w:cs="Arial" w:eastAsia="Arial" w:hAnsi="Arial"/>
                <w:sz w:val="16"/>
                <w:szCs w:val="16"/>
                <w:color w:val="auto"/>
              </w:rPr>
              <w:t>883</w:t>
            </w:r>
          </w:p>
        </w:tc>
        <w:tc>
          <w:tcPr>
            <w:tcW w:w="0" w:type="dxa"/>
            <w:vAlign w:val="bottom"/>
          </w:tcPr>
          <w:p>
            <w:pPr>
              <w:spacing w:after="0"/>
              <w:rPr>
                <w:sz w:val="1"/>
                <w:szCs w:val="1"/>
                <w:color w:val="auto"/>
              </w:rPr>
            </w:pPr>
          </w:p>
        </w:tc>
      </w:tr>
      <w:tr>
        <w:trPr>
          <w:trHeight w:val="190"/>
        </w:trPr>
        <w:tc>
          <w:tcPr>
            <w:tcW w:w="6800" w:type="dxa"/>
            <w:vAlign w:val="bottom"/>
          </w:tcPr>
          <w:p>
            <w:pPr>
              <w:spacing w:after="0"/>
              <w:rPr>
                <w:sz w:val="20"/>
                <w:szCs w:val="20"/>
                <w:color w:val="auto"/>
              </w:rPr>
            </w:pPr>
            <w:r>
              <w:rPr>
                <w:rFonts w:ascii="Arial" w:cs="Arial" w:eastAsia="Arial" w:hAnsi="Arial"/>
                <w:sz w:val="16"/>
                <w:szCs w:val="16"/>
                <w:color w:val="auto"/>
              </w:rPr>
              <w:t>affiliates</w:t>
            </w:r>
          </w:p>
        </w:tc>
        <w:tc>
          <w:tcPr>
            <w:tcW w:w="240" w:type="dxa"/>
            <w:vAlign w:val="bottom"/>
            <w:vMerge w:val="continue"/>
          </w:tcPr>
          <w:p>
            <w:pPr>
              <w:spacing w:after="0"/>
              <w:rPr>
                <w:sz w:val="16"/>
                <w:szCs w:val="16"/>
                <w:color w:val="auto"/>
              </w:rPr>
            </w:pPr>
          </w:p>
        </w:tc>
        <w:tc>
          <w:tcPr>
            <w:tcW w:w="760" w:type="dxa"/>
            <w:vAlign w:val="bottom"/>
            <w:vMerge w:val="continue"/>
          </w:tcPr>
          <w:p>
            <w:pPr>
              <w:spacing w:after="0"/>
              <w:rPr>
                <w:sz w:val="16"/>
                <w:szCs w:val="16"/>
                <w:color w:val="auto"/>
              </w:rPr>
            </w:pPr>
          </w:p>
        </w:tc>
        <w:tc>
          <w:tcPr>
            <w:tcW w:w="320" w:type="dxa"/>
            <w:vAlign w:val="bottom"/>
            <w:gridSpan w:val="2"/>
            <w:vMerge w:val="continue"/>
          </w:tcPr>
          <w:p>
            <w:pPr>
              <w:spacing w:after="0"/>
              <w:rPr>
                <w:sz w:val="16"/>
                <w:szCs w:val="16"/>
                <w:color w:val="auto"/>
              </w:rPr>
            </w:pPr>
          </w:p>
        </w:tc>
        <w:tc>
          <w:tcPr>
            <w:tcW w:w="780" w:type="dxa"/>
            <w:vAlign w:val="bottom"/>
            <w:vMerge w:val="continue"/>
          </w:tcPr>
          <w:p>
            <w:pPr>
              <w:spacing w:after="0"/>
              <w:rPr>
                <w:sz w:val="16"/>
                <w:szCs w:val="16"/>
                <w:color w:val="auto"/>
              </w:rPr>
            </w:pPr>
          </w:p>
        </w:tc>
        <w:tc>
          <w:tcPr>
            <w:tcW w:w="380" w:type="dxa"/>
            <w:vAlign w:val="bottom"/>
            <w:gridSpan w:val="2"/>
            <w:vMerge w:val="continue"/>
          </w:tcPr>
          <w:p>
            <w:pPr>
              <w:spacing w:after="0"/>
              <w:rPr>
                <w:sz w:val="16"/>
                <w:szCs w:val="16"/>
                <w:color w:val="auto"/>
              </w:rPr>
            </w:pPr>
          </w:p>
        </w:tc>
        <w:tc>
          <w:tcPr>
            <w:tcW w:w="6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8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6"/>
        </w:trPr>
        <w:tc>
          <w:tcPr>
            <w:tcW w:w="6800" w:type="dxa"/>
            <w:vAlign w:val="bottom"/>
          </w:tcPr>
          <w:p>
            <w:pPr>
              <w:spacing w:after="0"/>
              <w:rPr>
                <w:sz w:val="20"/>
                <w:szCs w:val="20"/>
                <w:color w:val="auto"/>
              </w:rPr>
            </w:pPr>
            <w:r>
              <w:rPr>
                <w:rFonts w:ascii="Arial" w:cs="Arial" w:eastAsia="Arial" w:hAnsi="Arial"/>
                <w:sz w:val="16"/>
                <w:szCs w:val="16"/>
                <w:color w:val="auto"/>
              </w:rPr>
              <w:t>Orders opened by direct title operations (in thousands)</w:t>
            </w:r>
          </w:p>
        </w:tc>
        <w:tc>
          <w:tcPr>
            <w:tcW w:w="2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1,411</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2"/>
              <w:spacing w:after="0"/>
              <w:rPr>
                <w:sz w:val="20"/>
                <w:szCs w:val="20"/>
                <w:color w:val="auto"/>
              </w:rPr>
            </w:pPr>
            <w:r>
              <w:rPr>
                <w:rFonts w:ascii="Arial" w:cs="Arial" w:eastAsia="Arial" w:hAnsi="Arial"/>
                <w:sz w:val="16"/>
                <w:szCs w:val="16"/>
                <w:color w:val="auto"/>
              </w:rPr>
              <w:t>1,310</w:t>
            </w: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1,230</w:t>
            </w:r>
          </w:p>
        </w:tc>
        <w:tc>
          <w:tcPr>
            <w:tcW w:w="0" w:type="dxa"/>
            <w:vAlign w:val="bottom"/>
          </w:tcPr>
          <w:p>
            <w:pPr>
              <w:spacing w:after="0"/>
              <w:rPr>
                <w:sz w:val="1"/>
                <w:szCs w:val="1"/>
                <w:color w:val="auto"/>
              </w:rPr>
            </w:pPr>
          </w:p>
        </w:tc>
      </w:tr>
      <w:tr>
        <w:trPr>
          <w:trHeight w:val="294"/>
        </w:trPr>
        <w:tc>
          <w:tcPr>
            <w:tcW w:w="6800" w:type="dxa"/>
            <w:vAlign w:val="bottom"/>
          </w:tcPr>
          <w:p>
            <w:pPr>
              <w:spacing w:after="0"/>
              <w:rPr>
                <w:sz w:val="20"/>
                <w:szCs w:val="20"/>
                <w:color w:val="auto"/>
              </w:rPr>
            </w:pPr>
            <w:r>
              <w:rPr>
                <w:rFonts w:ascii="Arial" w:cs="Arial" w:eastAsia="Arial" w:hAnsi="Arial"/>
                <w:sz w:val="16"/>
                <w:szCs w:val="16"/>
                <w:color w:val="auto"/>
              </w:rPr>
              <w:t>Orders closed by direct title operations (in thousands)</w:t>
            </w:r>
          </w:p>
        </w:tc>
        <w:tc>
          <w:tcPr>
            <w:tcW w:w="2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956</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jc w:val="right"/>
              <w:ind w:right="2"/>
              <w:spacing w:after="0"/>
              <w:rPr>
                <w:sz w:val="20"/>
                <w:szCs w:val="20"/>
                <w:color w:val="auto"/>
              </w:rPr>
            </w:pPr>
            <w:r>
              <w:rPr>
                <w:rFonts w:ascii="Arial" w:cs="Arial" w:eastAsia="Arial" w:hAnsi="Arial"/>
                <w:sz w:val="16"/>
                <w:szCs w:val="16"/>
                <w:color w:val="auto"/>
              </w:rPr>
              <w:t>879</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837</w:t>
            </w:r>
          </w:p>
        </w:tc>
        <w:tc>
          <w:tcPr>
            <w:tcW w:w="0" w:type="dxa"/>
            <w:vAlign w:val="bottom"/>
          </w:tcPr>
          <w:p>
            <w:pPr>
              <w:spacing w:after="0"/>
              <w:rPr>
                <w:sz w:val="1"/>
                <w:szCs w:val="1"/>
                <w:color w:val="auto"/>
              </w:rPr>
            </w:pPr>
          </w:p>
        </w:tc>
      </w:tr>
      <w:tr>
        <w:trPr>
          <w:trHeight w:val="294"/>
        </w:trPr>
        <w:tc>
          <w:tcPr>
            <w:tcW w:w="6800" w:type="dxa"/>
            <w:vAlign w:val="bottom"/>
          </w:tcPr>
          <w:p>
            <w:pPr>
              <w:spacing w:after="0"/>
              <w:rPr>
                <w:sz w:val="20"/>
                <w:szCs w:val="20"/>
                <w:color w:val="auto"/>
              </w:rPr>
            </w:pPr>
            <w:r>
              <w:rPr>
                <w:rFonts w:ascii="Arial" w:cs="Arial" w:eastAsia="Arial" w:hAnsi="Arial"/>
                <w:sz w:val="16"/>
                <w:szCs w:val="16"/>
                <w:color w:val="auto"/>
              </w:rPr>
              <w:t>Fee per file by direct title operations (in dollars)</w:t>
            </w:r>
          </w:p>
        </w:tc>
        <w:tc>
          <w:tcPr>
            <w:tcW w:w="24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3,948</w:t>
            </w:r>
          </w:p>
        </w:tc>
        <w:tc>
          <w:tcPr>
            <w:tcW w:w="320" w:type="dxa"/>
            <w:vAlign w:val="bottom"/>
            <w:gridSpan w:val="2"/>
          </w:tcPr>
          <w:p>
            <w:pPr>
              <w:jc w:val="right"/>
              <w:ind w:right="42"/>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2"/>
              <w:spacing w:after="0"/>
              <w:rPr>
                <w:sz w:val="20"/>
                <w:szCs w:val="20"/>
                <w:color w:val="auto"/>
              </w:rPr>
            </w:pPr>
            <w:r>
              <w:rPr>
                <w:rFonts w:ascii="Arial" w:cs="Arial" w:eastAsia="Arial" w:hAnsi="Arial"/>
                <w:sz w:val="16"/>
                <w:szCs w:val="16"/>
                <w:color w:val="auto"/>
              </w:rPr>
              <w:t>3,742</w:t>
            </w:r>
          </w:p>
        </w:tc>
        <w:tc>
          <w:tcPr>
            <w:tcW w:w="3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3,617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-3333750</wp:posOffset>
            </wp:positionV>
            <wp:extent cx="6382385" cy="335788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36">
                      <a:extLst>
                        <a:ext uri="{28A0092B-C50C-407E-A947-70E740481C1C}"/>
                      </a:extLst>
                    </a:blip>
                    <a:srcRect/>
                    <a:stretch>
                      <a:fillRect/>
                    </a:stretch>
                  </pic:blipFill>
                  <pic:spPr bwMode="auto">
                    <a:xfrm>
                      <a:off x="0" y="0"/>
                      <a:ext cx="6382385" cy="3357880"/>
                    </a:xfrm>
                    <a:prstGeom prst="rect">
                      <a:avLst/>
                    </a:prstGeom>
                    <a:noFill/>
                  </pic:spPr>
                </pic:pic>
              </a:graphicData>
            </a:graphic>
          </wp:anchor>
        </w:drawing>
      </w:r>
    </w:p>
    <w:p>
      <w:pPr>
        <w:spacing w:after="0" w:line="152" w:lineRule="exact"/>
        <w:rPr>
          <w:sz w:val="20"/>
          <w:szCs w:val="20"/>
          <w:color w:val="auto"/>
        </w:rPr>
      </w:pPr>
    </w:p>
    <w:p>
      <w:pPr>
        <w:jc w:val="both"/>
        <w:ind w:firstLine="353"/>
        <w:spacing w:after="0" w:line="299" w:lineRule="auto"/>
        <w:rPr>
          <w:sz w:val="20"/>
          <w:szCs w:val="20"/>
          <w:color w:val="auto"/>
        </w:rPr>
      </w:pPr>
      <w:r>
        <w:rPr>
          <w:rFonts w:ascii="Arial" w:cs="Arial" w:eastAsia="Arial" w:hAnsi="Arial"/>
          <w:sz w:val="17"/>
          <w:szCs w:val="17"/>
          <w:color w:val="auto"/>
        </w:rPr>
        <w:t>Total revenues for the Title segment increased by $788 million, or 10%, in the year ended December 31, 2025, as compared to 2024. Total revenues for the Title segment increased by $664 million, or 9%, in the year ended December 31, 2024, as compared to 2023. The increase in the year ended December 31, 2025, as compared to 2024 is primarily attributable to increases in both our direct and agency title insurance premiums, increases in escrow, title-related and other fees, and increases in interest and investment income, partially offset by an in increase in non-cash valuation losses on our equity and preferred investment holdings. The increase in the year ended December 31, 2024, as compared to 2023 is primarily attributable to increases in both our direct and agency title insurance premiums, increases in escrow, title-related and other fees, increases in interest and investment income and a decrease in non-cash valuation losses on our equity and preferred investment holdings.</w:t>
      </w:r>
    </w:p>
    <w:p>
      <w:pPr>
        <w:sectPr>
          <w:pgSz w:w="11880" w:h="15480" w:orient="portrait"/>
          <w:cols w:equalWidth="0" w:num="1">
            <w:col w:w="10040"/>
          </w:cols>
          <w:pgMar w:left="920" w:top="772"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70</w:t>
      </w:r>
    </w:p>
    <w:p>
      <w:pPr>
        <w:sectPr>
          <w:pgSz w:w="11880" w:h="15480" w:orient="portrait"/>
          <w:cols w:equalWidth="0" w:num="1">
            <w:col w:w="10040"/>
          </w:cols>
          <w:pgMar w:left="920" w:top="772" w:right="920" w:bottom="0" w:gutter="0" w:footer="0" w:header="0"/>
          <w:type w:val="continuous"/>
        </w:sectPr>
      </w:pPr>
    </w:p>
    <w:bookmarkStart w:id="82" w:name="page83"/>
    <w:bookmarkEnd w:id="82"/>
    <w:p>
      <w:pPr>
        <w:ind w:left="347"/>
        <w:spacing w:after="0"/>
        <w:rPr>
          <w:sz w:val="20"/>
          <w:szCs w:val="20"/>
          <w:color w:val="auto"/>
        </w:rPr>
      </w:pPr>
      <w:r>
        <w:rPr>
          <w:rFonts w:ascii="Arial" w:cs="Arial" w:eastAsia="Arial" w:hAnsi="Arial"/>
          <w:sz w:val="17"/>
          <w:szCs w:val="17"/>
          <w:color w:val="auto"/>
        </w:rPr>
        <w:t>The following table presents the percentages of title insurance premiums generated by our direct and agency operations:</w:t>
      </w:r>
    </w:p>
    <w:p>
      <w:pPr>
        <w:spacing w:after="0" w:line="128" w:lineRule="exact"/>
        <w:rPr>
          <w:sz w:val="20"/>
          <w:szCs w:val="20"/>
          <w:color w:val="auto"/>
        </w:rPr>
      </w:pPr>
    </w:p>
    <w:tbl>
      <w:tblPr>
        <w:tblLayout w:type="fixed"/>
        <w:tblInd w:w="47" w:type="dxa"/>
        <w:tblCellMar>
          <w:top w:w="0" w:type="dxa"/>
          <w:left w:w="0" w:type="dxa"/>
          <w:bottom w:w="0" w:type="dxa"/>
          <w:right w:w="0" w:type="dxa"/>
        </w:tblCellMar>
      </w:tblPr>
      <w:tr>
        <w:trPr>
          <w:trHeight w:val="213"/>
        </w:trPr>
        <w:tc>
          <w:tcPr>
            <w:tcW w:w="51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320" w:type="dxa"/>
            <w:vAlign w:val="bottom"/>
            <w:tcBorders>
              <w:bottom w:val="single" w:sz="8" w:color="auto"/>
            </w:tcBorders>
            <w:gridSpan w:val="9"/>
          </w:tcPr>
          <w:p>
            <w:pPr>
              <w:jc w:val="center"/>
              <w:ind w:left="462"/>
              <w:spacing w:after="0"/>
              <w:rPr>
                <w:sz w:val="20"/>
                <w:szCs w:val="20"/>
                <w:color w:val="auto"/>
              </w:rPr>
            </w:pPr>
            <w:r>
              <w:rPr>
                <w:rFonts w:ascii="Arial" w:cs="Arial" w:eastAsia="Arial" w:hAnsi="Arial"/>
                <w:sz w:val="16"/>
                <w:szCs w:val="16"/>
                <w:b w:val="1"/>
                <w:bCs w:val="1"/>
                <w:color w:val="auto"/>
                <w:w w:val="88"/>
              </w:rPr>
              <w:t>Year Ended December 31,</w:t>
            </w:r>
          </w:p>
        </w:tc>
        <w:tc>
          <w:tcPr>
            <w:tcW w:w="2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r>
      <w:tr>
        <w:trPr>
          <w:trHeight w:val="230"/>
        </w:trPr>
        <w:tc>
          <w:tcPr>
            <w:tcW w:w="51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6"/>
                <w:szCs w:val="16"/>
                <w:b w:val="1"/>
                <w:bCs w:val="1"/>
                <w:color w:val="auto"/>
              </w:rPr>
              <w:t>2025</w:t>
            </w:r>
          </w:p>
        </w:tc>
        <w:tc>
          <w:tcPr>
            <w:tcW w:w="58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gridSpan w:val="3"/>
          </w:tcPr>
          <w:p>
            <w:pPr>
              <w:jc w:val="center"/>
              <w:ind w:left="282"/>
              <w:spacing w:after="0"/>
              <w:rPr>
                <w:sz w:val="20"/>
                <w:szCs w:val="20"/>
                <w:color w:val="auto"/>
              </w:rPr>
            </w:pPr>
            <w:r>
              <w:rPr>
                <w:rFonts w:ascii="Arial" w:cs="Arial" w:eastAsia="Arial" w:hAnsi="Arial"/>
                <w:sz w:val="16"/>
                <w:szCs w:val="16"/>
                <w:b w:val="1"/>
                <w:bCs w:val="1"/>
                <w:color w:val="auto"/>
                <w:w w:val="89"/>
              </w:rPr>
              <w:t>2024</w:t>
            </w:r>
          </w:p>
        </w:tc>
        <w:tc>
          <w:tcPr>
            <w:tcW w:w="60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6"/>
                <w:szCs w:val="16"/>
                <w:b w:val="1"/>
                <w:bCs w:val="1"/>
                <w:color w:val="auto"/>
              </w:rPr>
              <w:t>2023</w:t>
            </w:r>
          </w:p>
        </w:tc>
        <w:tc>
          <w:tcPr>
            <w:tcW w:w="580" w:type="dxa"/>
            <w:vAlign w:val="bottom"/>
            <w:tcBorders>
              <w:bottom w:val="single" w:sz="8" w:color="auto"/>
            </w:tcBorders>
          </w:tcPr>
          <w:p>
            <w:pPr>
              <w:spacing w:after="0"/>
              <w:rPr>
                <w:sz w:val="19"/>
                <w:szCs w:val="19"/>
                <w:color w:val="auto"/>
              </w:rPr>
            </w:pPr>
          </w:p>
        </w:tc>
      </w:tr>
      <w:tr>
        <w:trPr>
          <w:trHeight w:val="230"/>
        </w:trPr>
        <w:tc>
          <w:tcPr>
            <w:tcW w:w="5180" w:type="dxa"/>
            <w:vAlign w:val="bottom"/>
          </w:tcPr>
          <w:p>
            <w:pPr>
              <w:spacing w:after="0"/>
              <w:rPr>
                <w:sz w:val="19"/>
                <w:szCs w:val="19"/>
                <w:color w:val="auto"/>
              </w:rPr>
            </w:pPr>
          </w:p>
        </w:tc>
        <w:tc>
          <w:tcPr>
            <w:tcW w:w="740" w:type="dxa"/>
            <w:vAlign w:val="bottom"/>
            <w:tcBorders>
              <w:bottom w:val="single" w:sz="8" w:color="auto"/>
            </w:tcBorders>
            <w:gridSpan w:val="2"/>
          </w:tcPr>
          <w:p>
            <w:pPr>
              <w:jc w:val="right"/>
              <w:ind w:right="22"/>
              <w:spacing w:after="0"/>
              <w:rPr>
                <w:sz w:val="20"/>
                <w:szCs w:val="20"/>
                <w:color w:val="auto"/>
              </w:rPr>
            </w:pPr>
            <w:r>
              <w:rPr>
                <w:rFonts w:ascii="Arial" w:cs="Arial" w:eastAsia="Arial" w:hAnsi="Arial"/>
                <w:sz w:val="16"/>
                <w:szCs w:val="16"/>
                <w:b w:val="1"/>
                <w:bCs w:val="1"/>
                <w:color w:val="auto"/>
              </w:rPr>
              <w:t>Amount</w:t>
            </w:r>
          </w:p>
        </w:tc>
        <w:tc>
          <w:tcPr>
            <w:tcW w:w="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222"/>
              <w:spacing w:after="0"/>
              <w:rPr>
                <w:sz w:val="20"/>
                <w:szCs w:val="20"/>
                <w:color w:val="auto"/>
              </w:rPr>
            </w:pPr>
            <w:r>
              <w:rPr>
                <w:rFonts w:ascii="Arial" w:cs="Arial" w:eastAsia="Arial" w:hAnsi="Arial"/>
                <w:sz w:val="16"/>
                <w:szCs w:val="16"/>
                <w:b w:val="1"/>
                <w:bCs w:val="1"/>
                <w:color w:val="auto"/>
              </w:rPr>
              <w:t>%</w:t>
            </w:r>
          </w:p>
        </w:tc>
        <w:tc>
          <w:tcPr>
            <w:tcW w:w="80" w:type="dxa"/>
            <w:vAlign w:val="bottom"/>
          </w:tcPr>
          <w:p>
            <w:pPr>
              <w:spacing w:after="0"/>
              <w:rPr>
                <w:sz w:val="19"/>
                <w:szCs w:val="19"/>
                <w:color w:val="auto"/>
              </w:rPr>
            </w:pPr>
          </w:p>
        </w:tc>
        <w:tc>
          <w:tcPr>
            <w:tcW w:w="740" w:type="dxa"/>
            <w:vAlign w:val="bottom"/>
            <w:tcBorders>
              <w:bottom w:val="single" w:sz="8" w:color="auto"/>
            </w:tcBorders>
            <w:gridSpan w:val="2"/>
          </w:tcPr>
          <w:p>
            <w:pPr>
              <w:jc w:val="right"/>
              <w:ind w:right="22"/>
              <w:spacing w:after="0"/>
              <w:rPr>
                <w:sz w:val="20"/>
                <w:szCs w:val="20"/>
                <w:color w:val="auto"/>
              </w:rPr>
            </w:pPr>
            <w:r>
              <w:rPr>
                <w:rFonts w:ascii="Arial" w:cs="Arial" w:eastAsia="Arial" w:hAnsi="Arial"/>
                <w:sz w:val="16"/>
                <w:szCs w:val="16"/>
                <w:b w:val="1"/>
                <w:bCs w:val="1"/>
                <w:color w:val="auto"/>
              </w:rPr>
              <w:t>Amount</w:t>
            </w:r>
          </w:p>
        </w:tc>
        <w:tc>
          <w:tcPr>
            <w:tcW w:w="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222"/>
              <w:spacing w:after="0"/>
              <w:rPr>
                <w:sz w:val="20"/>
                <w:szCs w:val="20"/>
                <w:color w:val="auto"/>
              </w:rPr>
            </w:pPr>
            <w:r>
              <w:rPr>
                <w:rFonts w:ascii="Arial" w:cs="Arial" w:eastAsia="Arial" w:hAnsi="Arial"/>
                <w:sz w:val="16"/>
                <w:szCs w:val="16"/>
                <w:b w:val="1"/>
                <w:bCs w:val="1"/>
                <w:color w:val="auto"/>
              </w:rPr>
              <w:t>%</w:t>
            </w:r>
          </w:p>
        </w:tc>
        <w:tc>
          <w:tcPr>
            <w:tcW w:w="4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gridSpan w:val="2"/>
          </w:tcPr>
          <w:p>
            <w:pPr>
              <w:jc w:val="right"/>
              <w:ind w:right="22"/>
              <w:spacing w:after="0"/>
              <w:rPr>
                <w:sz w:val="20"/>
                <w:szCs w:val="20"/>
                <w:color w:val="auto"/>
              </w:rPr>
            </w:pPr>
            <w:r>
              <w:rPr>
                <w:rFonts w:ascii="Arial" w:cs="Arial" w:eastAsia="Arial" w:hAnsi="Arial"/>
                <w:sz w:val="16"/>
                <w:szCs w:val="16"/>
                <w:b w:val="1"/>
                <w:bCs w:val="1"/>
                <w:color w:val="auto"/>
                <w:w w:val="99"/>
              </w:rPr>
              <w:t>Amount</w:t>
            </w:r>
          </w:p>
        </w:tc>
        <w:tc>
          <w:tcPr>
            <w:tcW w:w="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202"/>
              <w:spacing w:after="0"/>
              <w:rPr>
                <w:sz w:val="20"/>
                <w:szCs w:val="20"/>
                <w:color w:val="auto"/>
              </w:rPr>
            </w:pPr>
            <w:r>
              <w:rPr>
                <w:rFonts w:ascii="Arial" w:cs="Arial" w:eastAsia="Arial" w:hAnsi="Arial"/>
                <w:sz w:val="16"/>
                <w:szCs w:val="16"/>
                <w:b w:val="1"/>
                <w:bCs w:val="1"/>
                <w:color w:val="auto"/>
              </w:rPr>
              <w:t>%</w:t>
            </w:r>
          </w:p>
        </w:tc>
      </w:tr>
      <w:tr>
        <w:trPr>
          <w:trHeight w:val="223"/>
        </w:trPr>
        <w:tc>
          <w:tcPr>
            <w:tcW w:w="5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60" w:type="dxa"/>
            <w:vAlign w:val="bottom"/>
            <w:gridSpan w:val="7"/>
          </w:tcPr>
          <w:p>
            <w:pPr>
              <w:jc w:val="center"/>
              <w:ind w:right="80"/>
              <w:spacing w:after="0"/>
              <w:rPr>
                <w:sz w:val="20"/>
                <w:szCs w:val="20"/>
                <w:color w:val="auto"/>
              </w:rPr>
            </w:pPr>
            <w:r>
              <w:rPr>
                <w:rFonts w:ascii="Arial" w:cs="Arial" w:eastAsia="Arial" w:hAnsi="Arial"/>
                <w:sz w:val="16"/>
                <w:szCs w:val="16"/>
                <w:b w:val="1"/>
                <w:bCs w:val="1"/>
                <w:color w:val="auto"/>
                <w:w w:val="90"/>
              </w:rPr>
              <w:t>(Dollars in millions)</w:t>
            </w:r>
          </w:p>
        </w:tc>
        <w:tc>
          <w:tcPr>
            <w:tcW w:w="2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r>
      <w:tr>
        <w:trPr>
          <w:trHeight w:val="294"/>
        </w:trPr>
        <w:tc>
          <w:tcPr>
            <w:tcW w:w="5180" w:type="dxa"/>
            <w:vAlign w:val="bottom"/>
          </w:tcPr>
          <w:p>
            <w:pPr>
              <w:spacing w:after="0"/>
              <w:rPr>
                <w:sz w:val="20"/>
                <w:szCs w:val="20"/>
                <w:color w:val="auto"/>
              </w:rPr>
            </w:pPr>
            <w:r>
              <w:rPr>
                <w:rFonts w:ascii="Arial" w:cs="Arial" w:eastAsia="Arial" w:hAnsi="Arial"/>
                <w:sz w:val="16"/>
                <w:szCs w:val="16"/>
                <w:color w:val="auto"/>
              </w:rPr>
              <w:t>Title premiums from direct operations</w:t>
            </w:r>
          </w:p>
        </w:tc>
        <w:tc>
          <w:tcPr>
            <w:tcW w:w="22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2,574</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44.2 %</w:t>
            </w:r>
          </w:p>
        </w:tc>
        <w:tc>
          <w:tcPr>
            <w:tcW w:w="300" w:type="dxa"/>
            <w:vAlign w:val="bottom"/>
            <w:gridSpan w:val="2"/>
          </w:tcPr>
          <w:p>
            <w:pPr>
              <w:jc w:val="right"/>
              <w:ind w:right="22"/>
              <w:spacing w:after="0"/>
              <w:rPr>
                <w:sz w:val="20"/>
                <w:szCs w:val="20"/>
                <w:color w:val="auto"/>
              </w:rPr>
            </w:pPr>
            <w:r>
              <w:rPr>
                <w:rFonts w:ascii="Arial" w:cs="Arial" w:eastAsia="Arial" w:hAnsi="Arial"/>
                <w:sz w:val="16"/>
                <w:szCs w:val="16"/>
                <w:color w:val="auto"/>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2,200</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42.7 %</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jc w:val="right"/>
              <w:ind w:right="22"/>
              <w:spacing w:after="0"/>
              <w:rPr>
                <w:sz w:val="20"/>
                <w:szCs w:val="20"/>
                <w:color w:val="auto"/>
              </w:rPr>
            </w:pPr>
            <w:r>
              <w:rPr>
                <w:rFonts w:ascii="Arial" w:cs="Arial" w:eastAsia="Arial" w:hAnsi="Arial"/>
                <w:sz w:val="16"/>
                <w:szCs w:val="16"/>
                <w:color w:val="auto"/>
                <w:w w:val="89"/>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1,982</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43.2 %</w:t>
            </w:r>
          </w:p>
        </w:tc>
      </w:tr>
      <w:tr>
        <w:trPr>
          <w:trHeight w:val="301"/>
        </w:trPr>
        <w:tc>
          <w:tcPr>
            <w:tcW w:w="5180" w:type="dxa"/>
            <w:vAlign w:val="bottom"/>
          </w:tcPr>
          <w:p>
            <w:pPr>
              <w:spacing w:after="0"/>
              <w:rPr>
                <w:sz w:val="20"/>
                <w:szCs w:val="20"/>
                <w:color w:val="auto"/>
              </w:rPr>
            </w:pPr>
            <w:r>
              <w:rPr>
                <w:rFonts w:ascii="Arial" w:cs="Arial" w:eastAsia="Arial" w:hAnsi="Arial"/>
                <w:sz w:val="16"/>
                <w:szCs w:val="16"/>
                <w:color w:val="auto"/>
              </w:rPr>
              <w:t>Title premiums from agency operations</w:t>
            </w:r>
          </w:p>
        </w:tc>
        <w:tc>
          <w:tcPr>
            <w:tcW w:w="2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3,250</w:t>
            </w:r>
          </w:p>
        </w:tc>
        <w:tc>
          <w:tcPr>
            <w:tcW w:w="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jc w:val="right"/>
              <w:ind w:right="122"/>
              <w:spacing w:after="0"/>
              <w:rPr>
                <w:sz w:val="20"/>
                <w:szCs w:val="20"/>
                <w:color w:val="auto"/>
              </w:rPr>
            </w:pPr>
            <w:r>
              <w:rPr>
                <w:rFonts w:ascii="Arial" w:cs="Arial" w:eastAsia="Arial" w:hAnsi="Arial"/>
                <w:sz w:val="16"/>
                <w:szCs w:val="16"/>
                <w:color w:val="auto"/>
              </w:rPr>
              <w:t>55.8</w:t>
            </w:r>
          </w:p>
        </w:tc>
        <w:tc>
          <w:tcPr>
            <w:tcW w:w="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2,953</w:t>
            </w:r>
          </w:p>
        </w:tc>
        <w:tc>
          <w:tcPr>
            <w:tcW w:w="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right"/>
              <w:ind w:right="122"/>
              <w:spacing w:after="0"/>
              <w:rPr>
                <w:sz w:val="20"/>
                <w:szCs w:val="20"/>
                <w:color w:val="auto"/>
              </w:rPr>
            </w:pPr>
            <w:r>
              <w:rPr>
                <w:rFonts w:ascii="Arial" w:cs="Arial" w:eastAsia="Arial" w:hAnsi="Arial"/>
                <w:sz w:val="16"/>
                <w:szCs w:val="16"/>
                <w:color w:val="auto"/>
              </w:rPr>
              <w:t>57.3</w:t>
            </w:r>
          </w:p>
        </w:tc>
        <w:tc>
          <w:tcPr>
            <w:tcW w:w="4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2,610</w:t>
            </w:r>
          </w:p>
        </w:tc>
        <w:tc>
          <w:tcPr>
            <w:tcW w:w="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jc w:val="right"/>
              <w:ind w:right="102"/>
              <w:spacing w:after="0"/>
              <w:rPr>
                <w:sz w:val="20"/>
                <w:szCs w:val="20"/>
                <w:color w:val="auto"/>
              </w:rPr>
            </w:pPr>
            <w:r>
              <w:rPr>
                <w:rFonts w:ascii="Arial" w:cs="Arial" w:eastAsia="Arial" w:hAnsi="Arial"/>
                <w:sz w:val="16"/>
                <w:szCs w:val="16"/>
                <w:color w:val="auto"/>
              </w:rPr>
              <w:t>56.8</w:t>
            </w:r>
          </w:p>
        </w:tc>
      </w:tr>
      <w:tr>
        <w:trPr>
          <w:trHeight w:val="240"/>
        </w:trPr>
        <w:tc>
          <w:tcPr>
            <w:tcW w:w="5180" w:type="dxa"/>
            <w:vAlign w:val="bottom"/>
          </w:tcPr>
          <w:p>
            <w:pPr>
              <w:ind w:left="220"/>
              <w:spacing w:after="0"/>
              <w:rPr>
                <w:sz w:val="20"/>
                <w:szCs w:val="20"/>
                <w:color w:val="auto"/>
              </w:rPr>
            </w:pPr>
            <w:r>
              <w:rPr>
                <w:rFonts w:ascii="Arial" w:cs="Arial" w:eastAsia="Arial" w:hAnsi="Arial"/>
                <w:sz w:val="16"/>
                <w:szCs w:val="16"/>
                <w:color w:val="auto"/>
              </w:rPr>
              <w:t>Total title premiums</w:t>
            </w:r>
          </w:p>
        </w:tc>
        <w:tc>
          <w:tcPr>
            <w:tcW w:w="22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5,824</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w w:val="91"/>
              </w:rPr>
              <w:t>100.0 %</w:t>
            </w:r>
          </w:p>
        </w:tc>
        <w:tc>
          <w:tcPr>
            <w:tcW w:w="300" w:type="dxa"/>
            <w:vAlign w:val="bottom"/>
            <w:gridSpan w:val="2"/>
          </w:tcPr>
          <w:p>
            <w:pPr>
              <w:jc w:val="right"/>
              <w:ind w:right="22"/>
              <w:spacing w:after="0"/>
              <w:rPr>
                <w:sz w:val="20"/>
                <w:szCs w:val="20"/>
                <w:color w:val="auto"/>
              </w:rPr>
            </w:pPr>
            <w:r>
              <w:rPr>
                <w:rFonts w:ascii="Arial" w:cs="Arial" w:eastAsia="Arial" w:hAnsi="Arial"/>
                <w:sz w:val="16"/>
                <w:szCs w:val="16"/>
                <w:color w:val="auto"/>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5,153</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w w:val="95"/>
              </w:rPr>
              <w:t>100.0 %</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jc w:val="right"/>
              <w:ind w:right="22"/>
              <w:spacing w:after="0"/>
              <w:rPr>
                <w:sz w:val="20"/>
                <w:szCs w:val="20"/>
                <w:color w:val="auto"/>
              </w:rPr>
            </w:pPr>
            <w:r>
              <w:rPr>
                <w:rFonts w:ascii="Arial" w:cs="Arial" w:eastAsia="Arial" w:hAnsi="Arial"/>
                <w:sz w:val="16"/>
                <w:szCs w:val="16"/>
                <w:color w:val="auto"/>
                <w:w w:val="89"/>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4,592</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w w:val="95"/>
              </w:rPr>
              <w:t>100.0 %</w:t>
            </w:r>
          </w:p>
        </w:tc>
      </w:tr>
      <w:tr>
        <w:trPr>
          <w:trHeight w:val="20"/>
        </w:trPr>
        <w:tc>
          <w:tcPr>
            <w:tcW w:w="5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-581660</wp:posOffset>
            </wp:positionV>
            <wp:extent cx="6410325" cy="2120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37">
                      <a:extLst>
                        <a:ext uri="{28A0092B-C50C-407E-A947-70E740481C1C}"/>
                      </a:extLst>
                    </a:blip>
                    <a:srcRect/>
                    <a:stretch>
                      <a:fillRect/>
                    </a:stretch>
                  </pic:blipFill>
                  <pic:spPr bwMode="auto">
                    <a:xfrm>
                      <a:off x="0" y="0"/>
                      <a:ext cx="6410325" cy="21209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-208280</wp:posOffset>
            </wp:positionV>
            <wp:extent cx="6410325" cy="21526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38">
                      <a:extLst>
                        <a:ext uri="{28A0092B-C50C-407E-A947-70E740481C1C}"/>
                      </a:extLst>
                    </a:blip>
                    <a:srcRect/>
                    <a:stretch>
                      <a:fillRect/>
                    </a:stretch>
                  </pic:blipFill>
                  <pic:spPr bwMode="auto">
                    <a:xfrm>
                      <a:off x="0" y="0"/>
                      <a:ext cx="6410325" cy="215265"/>
                    </a:xfrm>
                    <a:prstGeom prst="rect">
                      <a:avLst/>
                    </a:prstGeom>
                    <a:noFill/>
                  </pic:spPr>
                </pic:pic>
              </a:graphicData>
            </a:graphic>
          </wp:anchor>
        </w:drawing>
      </w:r>
    </w:p>
    <w:p>
      <w:pPr>
        <w:spacing w:after="0" w:line="105" w:lineRule="exact"/>
        <w:rPr>
          <w:sz w:val="20"/>
          <w:szCs w:val="20"/>
          <w:color w:val="auto"/>
        </w:rPr>
      </w:pPr>
    </w:p>
    <w:p>
      <w:pPr>
        <w:jc w:val="both"/>
        <w:ind w:left="7" w:firstLine="353"/>
        <w:spacing w:after="0" w:line="306" w:lineRule="auto"/>
        <w:rPr>
          <w:sz w:val="20"/>
          <w:szCs w:val="20"/>
          <w:color w:val="auto"/>
        </w:rPr>
      </w:pPr>
      <w:r>
        <w:rPr>
          <w:rFonts w:ascii="Arial" w:cs="Arial" w:eastAsia="Arial" w:hAnsi="Arial"/>
          <w:sz w:val="17"/>
          <w:szCs w:val="17"/>
          <w:color w:val="auto"/>
        </w:rPr>
        <w:t>Title premiums increased by 13% in the year ended December 31, 2025 as compared to 2024. The increase is primarily attributable to an increase in Title premiums from direct operations of $374 million, or 17%, and an increase in Title premiums from agency operations of $297 million, or 10%. Title premiums increased by 12% in the year ended December 31, 2024, as compared to 2023. The increase is primarily attributable to an increase in Title premiums from direct operations of $218 million, or 11%, and an increase in Title premiums from agency operations of $343 million, or 13%.</w:t>
      </w:r>
    </w:p>
    <w:p>
      <w:pPr>
        <w:spacing w:after="0" w:line="47" w:lineRule="exact"/>
        <w:rPr>
          <w:sz w:val="20"/>
          <w:szCs w:val="20"/>
          <w:color w:val="auto"/>
        </w:rPr>
      </w:pPr>
    </w:p>
    <w:p>
      <w:pPr>
        <w:jc w:val="both"/>
        <w:ind w:left="7" w:firstLine="353"/>
        <w:spacing w:after="0" w:line="271" w:lineRule="auto"/>
        <w:rPr>
          <w:sz w:val="20"/>
          <w:szCs w:val="20"/>
          <w:color w:val="auto"/>
        </w:rPr>
      </w:pPr>
      <w:r>
        <w:rPr>
          <w:rFonts w:ascii="Arial" w:cs="Arial" w:eastAsia="Arial" w:hAnsi="Arial"/>
          <w:sz w:val="20"/>
          <w:szCs w:val="20"/>
          <w:color w:val="auto"/>
        </w:rPr>
        <w:t>The following table presents the percentages of opened and closed title insurance orders generated by purchase and refinance transactions by our direct operations:</w:t>
      </w:r>
    </w:p>
    <w:p>
      <w:pPr>
        <w:spacing w:after="0" w:line="157" w:lineRule="exact"/>
        <w:rPr>
          <w:sz w:val="20"/>
          <w:szCs w:val="20"/>
          <w:color w:val="auto"/>
        </w:rPr>
      </w:pPr>
    </w:p>
    <w:tbl>
      <w:tblPr>
        <w:tblLayout w:type="fixed"/>
        <w:tblInd w:w="87" w:type="dxa"/>
        <w:tblCellMar>
          <w:top w:w="0" w:type="dxa"/>
          <w:left w:w="0" w:type="dxa"/>
          <w:bottom w:w="0" w:type="dxa"/>
          <w:right w:w="0" w:type="dxa"/>
        </w:tblCellMar>
      </w:tblPr>
      <w:tr>
        <w:trPr>
          <w:trHeight w:val="213"/>
        </w:trPr>
        <w:tc>
          <w:tcPr>
            <w:tcW w:w="6680" w:type="dxa"/>
            <w:vAlign w:val="bottom"/>
          </w:tcPr>
          <w:p>
            <w:pPr>
              <w:spacing w:after="0"/>
              <w:rPr>
                <w:sz w:val="18"/>
                <w:szCs w:val="18"/>
                <w:color w:val="auto"/>
              </w:rPr>
            </w:pPr>
          </w:p>
        </w:tc>
        <w:tc>
          <w:tcPr>
            <w:tcW w:w="2540" w:type="dxa"/>
            <w:vAlign w:val="bottom"/>
            <w:tcBorders>
              <w:bottom w:val="single" w:sz="8" w:color="auto"/>
            </w:tcBorders>
            <w:gridSpan w:val="5"/>
          </w:tcPr>
          <w:p>
            <w:pPr>
              <w:ind w:left="740"/>
              <w:spacing w:after="0"/>
              <w:rPr>
                <w:sz w:val="20"/>
                <w:szCs w:val="20"/>
                <w:color w:val="auto"/>
              </w:rPr>
            </w:pPr>
            <w:r>
              <w:rPr>
                <w:rFonts w:ascii="Arial" w:cs="Arial" w:eastAsia="Arial" w:hAnsi="Arial"/>
                <w:sz w:val="16"/>
                <w:szCs w:val="16"/>
                <w:b w:val="1"/>
                <w:bCs w:val="1"/>
                <w:color w:val="auto"/>
                <w:w w:val="90"/>
              </w:rPr>
              <w:t>Year Ended December 31,</w:t>
            </w:r>
          </w:p>
        </w:tc>
        <w:tc>
          <w:tcPr>
            <w:tcW w:w="720" w:type="dxa"/>
            <w:vAlign w:val="bottom"/>
            <w:tcBorders>
              <w:bottom w:val="single" w:sz="8" w:color="auto"/>
            </w:tcBorders>
          </w:tcPr>
          <w:p>
            <w:pPr>
              <w:spacing w:after="0"/>
              <w:rPr>
                <w:sz w:val="18"/>
                <w:szCs w:val="18"/>
                <w:color w:val="auto"/>
              </w:rPr>
            </w:pPr>
          </w:p>
        </w:tc>
      </w:tr>
      <w:tr>
        <w:trPr>
          <w:trHeight w:val="230"/>
        </w:trPr>
        <w:tc>
          <w:tcPr>
            <w:tcW w:w="6680" w:type="dxa"/>
            <w:vAlign w:val="bottom"/>
          </w:tcPr>
          <w:p>
            <w:pPr>
              <w:spacing w:after="0"/>
              <w:rPr>
                <w:sz w:val="19"/>
                <w:szCs w:val="19"/>
                <w:color w:val="auto"/>
              </w:rPr>
            </w:pPr>
          </w:p>
        </w:tc>
        <w:tc>
          <w:tcPr>
            <w:tcW w:w="1040" w:type="dxa"/>
            <w:vAlign w:val="bottom"/>
            <w:tcBorders>
              <w:bottom w:val="single" w:sz="8" w:color="auto"/>
            </w:tcBorders>
          </w:tcPr>
          <w:p>
            <w:pPr>
              <w:jc w:val="right"/>
              <w:ind w:right="282"/>
              <w:spacing w:after="0"/>
              <w:rPr>
                <w:sz w:val="20"/>
                <w:szCs w:val="20"/>
                <w:color w:val="auto"/>
              </w:rPr>
            </w:pPr>
            <w:r>
              <w:rPr>
                <w:rFonts w:ascii="Arial" w:cs="Arial" w:eastAsia="Arial" w:hAnsi="Arial"/>
                <w:sz w:val="16"/>
                <w:szCs w:val="16"/>
                <w:b w:val="1"/>
                <w:bCs w:val="1"/>
                <w:color w:val="auto"/>
              </w:rPr>
              <w:t>2025</w:t>
            </w:r>
          </w:p>
        </w:tc>
        <w:tc>
          <w:tcPr>
            <w:tcW w:w="80" w:type="dxa"/>
            <w:vAlign w:val="bottom"/>
          </w:tcPr>
          <w:p>
            <w:pPr>
              <w:spacing w:after="0"/>
              <w:rPr>
                <w:sz w:val="19"/>
                <w:szCs w:val="19"/>
                <w:color w:val="auto"/>
              </w:rPr>
            </w:pPr>
          </w:p>
        </w:tc>
        <w:tc>
          <w:tcPr>
            <w:tcW w:w="1040" w:type="dxa"/>
            <w:vAlign w:val="bottom"/>
            <w:tcBorders>
              <w:bottom w:val="single" w:sz="8" w:color="auto"/>
            </w:tcBorders>
          </w:tcPr>
          <w:p>
            <w:pPr>
              <w:jc w:val="right"/>
              <w:ind w:right="282"/>
              <w:spacing w:after="0"/>
              <w:rPr>
                <w:sz w:val="20"/>
                <w:szCs w:val="20"/>
                <w:color w:val="auto"/>
              </w:rPr>
            </w:pPr>
            <w:r>
              <w:rPr>
                <w:rFonts w:ascii="Arial" w:cs="Arial" w:eastAsia="Arial" w:hAnsi="Arial"/>
                <w:sz w:val="16"/>
                <w:szCs w:val="16"/>
                <w:b w:val="1"/>
                <w:bCs w:val="1"/>
                <w:color w:val="auto"/>
              </w:rPr>
              <w:t>2024</w:t>
            </w:r>
          </w:p>
        </w:tc>
        <w:tc>
          <w:tcPr>
            <w:tcW w:w="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282"/>
              <w:spacing w:after="0"/>
              <w:rPr>
                <w:sz w:val="20"/>
                <w:szCs w:val="20"/>
                <w:color w:val="auto"/>
              </w:rPr>
            </w:pPr>
            <w:r>
              <w:rPr>
                <w:rFonts w:ascii="Arial" w:cs="Arial" w:eastAsia="Arial" w:hAnsi="Arial"/>
                <w:sz w:val="16"/>
                <w:szCs w:val="16"/>
                <w:b w:val="1"/>
                <w:bCs w:val="1"/>
                <w:color w:val="auto"/>
                <w:w w:val="95"/>
              </w:rPr>
              <w:t>2023</w:t>
            </w:r>
          </w:p>
        </w:tc>
      </w:tr>
      <w:tr>
        <w:trPr>
          <w:trHeight w:val="223"/>
        </w:trPr>
        <w:tc>
          <w:tcPr>
            <w:tcW w:w="6680" w:type="dxa"/>
            <w:vAlign w:val="bottom"/>
          </w:tcPr>
          <w:p>
            <w:pPr>
              <w:spacing w:after="0"/>
              <w:rPr>
                <w:sz w:val="20"/>
                <w:szCs w:val="20"/>
                <w:color w:val="auto"/>
              </w:rPr>
            </w:pPr>
            <w:r>
              <w:rPr>
                <w:rFonts w:ascii="Arial" w:cs="Arial" w:eastAsia="Arial" w:hAnsi="Arial"/>
                <w:sz w:val="16"/>
                <w:szCs w:val="16"/>
                <w:color w:val="auto"/>
              </w:rPr>
              <w:t>Opened title insurance orders from purchase transactions (1)</w:t>
            </w:r>
          </w:p>
        </w:tc>
        <w:tc>
          <w:tcPr>
            <w:tcW w:w="1040" w:type="dxa"/>
            <w:vAlign w:val="bottom"/>
          </w:tcPr>
          <w:p>
            <w:pPr>
              <w:jc w:val="right"/>
              <w:spacing w:after="0"/>
              <w:rPr>
                <w:sz w:val="20"/>
                <w:szCs w:val="20"/>
                <w:color w:val="auto"/>
              </w:rPr>
            </w:pPr>
            <w:r>
              <w:rPr>
                <w:rFonts w:ascii="Arial" w:cs="Arial" w:eastAsia="Arial" w:hAnsi="Arial"/>
                <w:sz w:val="16"/>
                <w:szCs w:val="16"/>
                <w:color w:val="auto"/>
              </w:rPr>
              <w:t>71.5 %</w:t>
            </w:r>
          </w:p>
        </w:tc>
        <w:tc>
          <w:tcPr>
            <w:tcW w:w="1120" w:type="dxa"/>
            <w:vAlign w:val="bottom"/>
            <w:gridSpan w:val="2"/>
          </w:tcPr>
          <w:p>
            <w:pPr>
              <w:jc w:val="right"/>
              <w:spacing w:after="0"/>
              <w:rPr>
                <w:sz w:val="20"/>
                <w:szCs w:val="20"/>
                <w:color w:val="auto"/>
              </w:rPr>
            </w:pPr>
            <w:r>
              <w:rPr>
                <w:rFonts w:ascii="Arial" w:cs="Arial" w:eastAsia="Arial" w:hAnsi="Arial"/>
                <w:sz w:val="16"/>
                <w:szCs w:val="16"/>
                <w:color w:val="auto"/>
              </w:rPr>
              <w:t>76.1 %</w:t>
            </w: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78.9 %</w:t>
            </w:r>
          </w:p>
        </w:tc>
      </w:tr>
      <w:tr>
        <w:trPr>
          <w:trHeight w:val="257"/>
        </w:trPr>
        <w:tc>
          <w:tcPr>
            <w:tcW w:w="6680" w:type="dxa"/>
            <w:vAlign w:val="bottom"/>
          </w:tcPr>
          <w:p>
            <w:pPr>
              <w:spacing w:after="0"/>
              <w:rPr>
                <w:sz w:val="20"/>
                <w:szCs w:val="20"/>
                <w:color w:val="auto"/>
              </w:rPr>
            </w:pPr>
            <w:r>
              <w:rPr>
                <w:rFonts w:ascii="Arial" w:cs="Arial" w:eastAsia="Arial" w:hAnsi="Arial"/>
                <w:sz w:val="16"/>
                <w:szCs w:val="16"/>
                <w:color w:val="auto"/>
              </w:rPr>
              <w:t>Opened title insurance orders from refinance transactions (1)</w:t>
            </w:r>
          </w:p>
        </w:tc>
        <w:tc>
          <w:tcPr>
            <w:tcW w:w="1040" w:type="dxa"/>
            <w:vAlign w:val="bottom"/>
            <w:tcBorders>
              <w:bottom w:val="single" w:sz="8" w:color="auto"/>
            </w:tcBorders>
          </w:tcPr>
          <w:p>
            <w:pPr>
              <w:jc w:val="right"/>
              <w:ind w:right="122"/>
              <w:spacing w:after="0"/>
              <w:rPr>
                <w:sz w:val="20"/>
                <w:szCs w:val="20"/>
                <w:color w:val="auto"/>
              </w:rPr>
            </w:pPr>
            <w:r>
              <w:rPr>
                <w:rFonts w:ascii="Arial" w:cs="Arial" w:eastAsia="Arial" w:hAnsi="Arial"/>
                <w:sz w:val="16"/>
                <w:szCs w:val="16"/>
                <w:color w:val="auto"/>
              </w:rPr>
              <w:t>28.5</w:t>
            </w:r>
          </w:p>
        </w:tc>
        <w:tc>
          <w:tcPr>
            <w:tcW w:w="80" w:type="dxa"/>
            <w:vAlign w:val="bottom"/>
          </w:tcPr>
          <w:p>
            <w:pPr>
              <w:spacing w:after="0"/>
              <w:rPr>
                <w:sz w:val="22"/>
                <w:szCs w:val="22"/>
                <w:color w:val="auto"/>
              </w:rPr>
            </w:pPr>
          </w:p>
        </w:tc>
        <w:tc>
          <w:tcPr>
            <w:tcW w:w="1040" w:type="dxa"/>
            <w:vAlign w:val="bottom"/>
            <w:tcBorders>
              <w:bottom w:val="single" w:sz="8" w:color="auto"/>
            </w:tcBorders>
          </w:tcPr>
          <w:p>
            <w:pPr>
              <w:jc w:val="right"/>
              <w:ind w:right="122"/>
              <w:spacing w:after="0"/>
              <w:rPr>
                <w:sz w:val="20"/>
                <w:szCs w:val="20"/>
                <w:color w:val="auto"/>
              </w:rPr>
            </w:pPr>
            <w:r>
              <w:rPr>
                <w:rFonts w:ascii="Arial" w:cs="Arial" w:eastAsia="Arial" w:hAnsi="Arial"/>
                <w:sz w:val="16"/>
                <w:szCs w:val="16"/>
                <w:color w:val="auto"/>
              </w:rPr>
              <w:t>23.9</w:t>
            </w:r>
          </w:p>
        </w:tc>
        <w:tc>
          <w:tcPr>
            <w:tcW w:w="6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122"/>
              <w:spacing w:after="0"/>
              <w:rPr>
                <w:sz w:val="20"/>
                <w:szCs w:val="20"/>
                <w:color w:val="auto"/>
              </w:rPr>
            </w:pPr>
            <w:r>
              <w:rPr>
                <w:rFonts w:ascii="Arial" w:cs="Arial" w:eastAsia="Arial" w:hAnsi="Arial"/>
                <w:sz w:val="16"/>
                <w:szCs w:val="16"/>
                <w:color w:val="auto"/>
              </w:rPr>
              <w:t>21.1</w:t>
            </w:r>
          </w:p>
        </w:tc>
      </w:tr>
      <w:tr>
        <w:trPr>
          <w:trHeight w:val="210"/>
        </w:trPr>
        <w:tc>
          <w:tcPr>
            <w:tcW w:w="6680" w:type="dxa"/>
            <w:vAlign w:val="bottom"/>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100.0 %</w:t>
            </w:r>
          </w:p>
        </w:tc>
        <w:tc>
          <w:tcPr>
            <w:tcW w:w="80" w:type="dxa"/>
            <w:vAlign w:val="bottom"/>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100.0 %</w:t>
            </w:r>
          </w:p>
        </w:tc>
        <w:tc>
          <w:tcPr>
            <w:tcW w:w="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100.0 %</w:t>
            </w:r>
          </w:p>
        </w:tc>
      </w:tr>
      <w:tr>
        <w:trPr>
          <w:trHeight w:val="20"/>
        </w:trPr>
        <w:tc>
          <w:tcPr>
            <w:tcW w:w="66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r>
        <w:trPr>
          <w:trHeight w:val="511"/>
        </w:trPr>
        <w:tc>
          <w:tcPr>
            <w:tcW w:w="6680" w:type="dxa"/>
            <w:vAlign w:val="bottom"/>
          </w:tcPr>
          <w:p>
            <w:pPr>
              <w:spacing w:after="0"/>
              <w:rPr>
                <w:sz w:val="20"/>
                <w:szCs w:val="20"/>
                <w:color w:val="auto"/>
              </w:rPr>
            </w:pPr>
            <w:r>
              <w:rPr>
                <w:rFonts w:ascii="Arial" w:cs="Arial" w:eastAsia="Arial" w:hAnsi="Arial"/>
                <w:sz w:val="16"/>
                <w:szCs w:val="16"/>
                <w:color w:val="auto"/>
              </w:rPr>
              <w:t>Closed title insurance orders from purchase transactions (1)</w:t>
            </w:r>
          </w:p>
        </w:tc>
        <w:tc>
          <w:tcPr>
            <w:tcW w:w="1040" w:type="dxa"/>
            <w:vAlign w:val="bottom"/>
          </w:tcPr>
          <w:p>
            <w:pPr>
              <w:jc w:val="right"/>
              <w:spacing w:after="0"/>
              <w:rPr>
                <w:sz w:val="20"/>
                <w:szCs w:val="20"/>
                <w:color w:val="auto"/>
              </w:rPr>
            </w:pPr>
            <w:r>
              <w:rPr>
                <w:rFonts w:ascii="Arial" w:cs="Arial" w:eastAsia="Arial" w:hAnsi="Arial"/>
                <w:sz w:val="16"/>
                <w:szCs w:val="16"/>
                <w:color w:val="auto"/>
              </w:rPr>
              <w:t>72.2 %</w:t>
            </w:r>
          </w:p>
        </w:tc>
        <w:tc>
          <w:tcPr>
            <w:tcW w:w="1120" w:type="dxa"/>
            <w:vAlign w:val="bottom"/>
            <w:gridSpan w:val="2"/>
          </w:tcPr>
          <w:p>
            <w:pPr>
              <w:jc w:val="right"/>
              <w:spacing w:after="0"/>
              <w:rPr>
                <w:sz w:val="20"/>
                <w:szCs w:val="20"/>
                <w:color w:val="auto"/>
              </w:rPr>
            </w:pPr>
            <w:r>
              <w:rPr>
                <w:rFonts w:ascii="Arial" w:cs="Arial" w:eastAsia="Arial" w:hAnsi="Arial"/>
                <w:sz w:val="16"/>
                <w:szCs w:val="16"/>
                <w:color w:val="auto"/>
              </w:rPr>
              <w:t>77.5 %</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79.8 %</w:t>
            </w:r>
          </w:p>
        </w:tc>
      </w:tr>
      <w:tr>
        <w:trPr>
          <w:trHeight w:val="257"/>
        </w:trPr>
        <w:tc>
          <w:tcPr>
            <w:tcW w:w="6680" w:type="dxa"/>
            <w:vAlign w:val="bottom"/>
          </w:tcPr>
          <w:p>
            <w:pPr>
              <w:spacing w:after="0"/>
              <w:rPr>
                <w:sz w:val="20"/>
                <w:szCs w:val="20"/>
                <w:color w:val="auto"/>
              </w:rPr>
            </w:pPr>
            <w:r>
              <w:rPr>
                <w:rFonts w:ascii="Arial" w:cs="Arial" w:eastAsia="Arial" w:hAnsi="Arial"/>
                <w:sz w:val="16"/>
                <w:szCs w:val="16"/>
                <w:color w:val="auto"/>
              </w:rPr>
              <w:t>Closed title insurance orders from refinance transactions (1)</w:t>
            </w:r>
          </w:p>
        </w:tc>
        <w:tc>
          <w:tcPr>
            <w:tcW w:w="1040" w:type="dxa"/>
            <w:vAlign w:val="bottom"/>
            <w:tcBorders>
              <w:bottom w:val="single" w:sz="8" w:color="auto"/>
            </w:tcBorders>
          </w:tcPr>
          <w:p>
            <w:pPr>
              <w:jc w:val="right"/>
              <w:ind w:right="122"/>
              <w:spacing w:after="0"/>
              <w:rPr>
                <w:sz w:val="20"/>
                <w:szCs w:val="20"/>
                <w:color w:val="auto"/>
              </w:rPr>
            </w:pPr>
            <w:r>
              <w:rPr>
                <w:rFonts w:ascii="Arial" w:cs="Arial" w:eastAsia="Arial" w:hAnsi="Arial"/>
                <w:sz w:val="16"/>
                <w:szCs w:val="16"/>
                <w:color w:val="auto"/>
              </w:rPr>
              <w:t>27.8</w:t>
            </w:r>
          </w:p>
        </w:tc>
        <w:tc>
          <w:tcPr>
            <w:tcW w:w="80" w:type="dxa"/>
            <w:vAlign w:val="bottom"/>
          </w:tcPr>
          <w:p>
            <w:pPr>
              <w:spacing w:after="0"/>
              <w:rPr>
                <w:sz w:val="22"/>
                <w:szCs w:val="22"/>
                <w:color w:val="auto"/>
              </w:rPr>
            </w:pPr>
          </w:p>
        </w:tc>
        <w:tc>
          <w:tcPr>
            <w:tcW w:w="1040" w:type="dxa"/>
            <w:vAlign w:val="bottom"/>
            <w:tcBorders>
              <w:bottom w:val="single" w:sz="8" w:color="auto"/>
            </w:tcBorders>
          </w:tcPr>
          <w:p>
            <w:pPr>
              <w:jc w:val="right"/>
              <w:ind w:right="122"/>
              <w:spacing w:after="0"/>
              <w:rPr>
                <w:sz w:val="20"/>
                <w:szCs w:val="20"/>
                <w:color w:val="auto"/>
              </w:rPr>
            </w:pPr>
            <w:r>
              <w:rPr>
                <w:rFonts w:ascii="Arial" w:cs="Arial" w:eastAsia="Arial" w:hAnsi="Arial"/>
                <w:sz w:val="16"/>
                <w:szCs w:val="16"/>
                <w:color w:val="auto"/>
              </w:rPr>
              <w:t>22.5</w:t>
            </w:r>
          </w:p>
        </w:tc>
        <w:tc>
          <w:tcPr>
            <w:tcW w:w="6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122"/>
              <w:spacing w:after="0"/>
              <w:rPr>
                <w:sz w:val="20"/>
                <w:szCs w:val="20"/>
                <w:color w:val="auto"/>
              </w:rPr>
            </w:pPr>
            <w:r>
              <w:rPr>
                <w:rFonts w:ascii="Arial" w:cs="Arial" w:eastAsia="Arial" w:hAnsi="Arial"/>
                <w:sz w:val="16"/>
                <w:szCs w:val="16"/>
                <w:color w:val="auto"/>
              </w:rPr>
              <w:t>20.2</w:t>
            </w:r>
          </w:p>
        </w:tc>
      </w:tr>
      <w:tr>
        <w:trPr>
          <w:trHeight w:val="210"/>
        </w:trPr>
        <w:tc>
          <w:tcPr>
            <w:tcW w:w="66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100.0 %</w:t>
            </w:r>
          </w:p>
        </w:tc>
        <w:tc>
          <w:tcPr>
            <w:tcW w:w="1120" w:type="dxa"/>
            <w:vAlign w:val="bottom"/>
            <w:gridSpan w:val="2"/>
          </w:tcPr>
          <w:p>
            <w:pPr>
              <w:jc w:val="right"/>
              <w:spacing w:after="0"/>
              <w:rPr>
                <w:sz w:val="20"/>
                <w:szCs w:val="20"/>
                <w:color w:val="auto"/>
              </w:rPr>
            </w:pPr>
            <w:r>
              <w:rPr>
                <w:rFonts w:ascii="Arial" w:cs="Arial" w:eastAsia="Arial" w:hAnsi="Arial"/>
                <w:sz w:val="16"/>
                <w:szCs w:val="16"/>
                <w:color w:val="auto"/>
              </w:rPr>
              <w:t>100.0 %</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100.0 %</w:t>
            </w:r>
          </w:p>
        </w:tc>
      </w:tr>
      <w:tr>
        <w:trPr>
          <w:trHeight w:val="20"/>
        </w:trPr>
        <w:tc>
          <w:tcPr>
            <w:tcW w:w="668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-1020445</wp:posOffset>
            </wp:positionV>
            <wp:extent cx="6372860" cy="102743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39">
                      <a:extLst>
                        <a:ext uri="{28A0092B-C50C-407E-A947-70E740481C1C}"/>
                      </a:extLst>
                    </a:blip>
                    <a:srcRect/>
                    <a:stretch>
                      <a:fillRect/>
                    </a:stretch>
                  </pic:blipFill>
                  <pic:spPr bwMode="auto">
                    <a:xfrm>
                      <a:off x="0" y="0"/>
                      <a:ext cx="6372860" cy="1027430"/>
                    </a:xfrm>
                    <a:prstGeom prst="rect">
                      <a:avLst/>
                    </a:prstGeom>
                    <a:noFill/>
                  </pic:spPr>
                </pic:pic>
              </a:graphicData>
            </a:graphic>
          </wp:anchor>
        </w:drawing>
      </w:r>
    </w:p>
    <w:p>
      <w:pPr>
        <w:spacing w:after="0" w:line="7" w:lineRule="exact"/>
        <w:rPr>
          <w:sz w:val="20"/>
          <w:szCs w:val="20"/>
          <w:color w:val="auto"/>
        </w:rPr>
      </w:pPr>
    </w:p>
    <w:p>
      <w:pPr>
        <w:ind w:left="7"/>
        <w:spacing w:after="0"/>
        <w:rPr>
          <w:sz w:val="20"/>
          <w:szCs w:val="20"/>
          <w:color w:val="auto"/>
        </w:rPr>
      </w:pPr>
      <w:r>
        <w:rPr>
          <w:rFonts w:ascii="Arial" w:cs="Arial" w:eastAsia="Arial" w:hAnsi="Arial"/>
          <w:sz w:val="20"/>
          <w:szCs w:val="20"/>
          <w:color w:val="auto"/>
        </w:rPr>
        <w:t>_______________________________________</w:t>
      </w:r>
    </w:p>
    <w:p>
      <w:pPr>
        <w:spacing w:after="0" w:line="76" w:lineRule="exact"/>
        <w:rPr>
          <w:sz w:val="20"/>
          <w:szCs w:val="20"/>
          <w:color w:val="auto"/>
        </w:rPr>
      </w:pPr>
    </w:p>
    <w:p>
      <w:pPr>
        <w:ind w:left="707" w:hanging="707"/>
        <w:spacing w:after="0"/>
        <w:tabs>
          <w:tab w:leader="none" w:pos="707" w:val="left"/>
        </w:tabs>
        <w:numPr>
          <w:ilvl w:val="0"/>
          <w:numId w:val="30"/>
        </w:numPr>
        <w:rPr>
          <w:rFonts w:ascii="Arial" w:cs="Arial" w:eastAsia="Arial" w:hAnsi="Arial"/>
          <w:sz w:val="20"/>
          <w:szCs w:val="20"/>
          <w:color w:val="auto"/>
        </w:rPr>
      </w:pPr>
      <w:r>
        <w:rPr>
          <w:rFonts w:ascii="Arial" w:cs="Arial" w:eastAsia="Arial" w:hAnsi="Arial"/>
          <w:sz w:val="20"/>
          <w:szCs w:val="20"/>
          <w:color w:val="auto"/>
        </w:rPr>
        <w:t>Percentages exclude consideration of an immaterial number of non-purchase and non-refinance orders.</w:t>
      </w:r>
    </w:p>
    <w:p>
      <w:pPr>
        <w:spacing w:after="0" w:line="123" w:lineRule="exact"/>
        <w:rPr>
          <w:sz w:val="20"/>
          <w:szCs w:val="20"/>
          <w:color w:val="auto"/>
        </w:rPr>
      </w:pPr>
    </w:p>
    <w:p>
      <w:pPr>
        <w:jc w:val="both"/>
        <w:ind w:left="7" w:firstLine="353"/>
        <w:spacing w:after="0" w:line="250" w:lineRule="auto"/>
        <w:rPr>
          <w:sz w:val="20"/>
          <w:szCs w:val="20"/>
          <w:color w:val="auto"/>
        </w:rPr>
      </w:pPr>
      <w:r>
        <w:rPr>
          <w:rFonts w:ascii="Arial" w:cs="Arial" w:eastAsia="Arial" w:hAnsi="Arial"/>
          <w:sz w:val="20"/>
          <w:szCs w:val="20"/>
          <w:color w:val="auto"/>
        </w:rPr>
        <w:t>Title premiums from direct operations increased in the year ended December 31, 2025 as compared to 2024. The increase is attributable to increases in total closed order volume from both purchase and refinance transactions, and an increase in fee per file. Title premiums from direct operations increased in the year ended December 31, 2024 as compared to 2023. The increase is primarily attributable to increases in total closed order volume from purchase and refinance transactions, and an increase in fee per file. The residential refinance market has considerably lower fees per closed order than commercial or residential purchase transactions.</w:t>
      </w:r>
    </w:p>
    <w:p>
      <w:pPr>
        <w:spacing w:after="0" w:line="91" w:lineRule="exact"/>
        <w:rPr>
          <w:sz w:val="20"/>
          <w:szCs w:val="20"/>
          <w:color w:val="auto"/>
        </w:rPr>
      </w:pPr>
    </w:p>
    <w:p>
      <w:pPr>
        <w:jc w:val="both"/>
        <w:ind w:left="7" w:firstLine="415"/>
        <w:spacing w:after="0" w:line="264" w:lineRule="auto"/>
        <w:rPr>
          <w:sz w:val="20"/>
          <w:szCs w:val="20"/>
          <w:color w:val="auto"/>
        </w:rPr>
      </w:pPr>
      <w:r>
        <w:rPr>
          <w:rFonts w:ascii="Arial" w:cs="Arial" w:eastAsia="Arial" w:hAnsi="Arial"/>
          <w:sz w:val="19"/>
          <w:szCs w:val="19"/>
          <w:color w:val="auto"/>
        </w:rPr>
        <w:t>We experienced an increase in closed title insurance order volumes from both purchase and refinance transactions in the year ended December 31, 2025, as compared to 2024. Total closed order volumes were 956,000 in the year ended December 31, 2025, as compared to 879,000 in the year ended December 31, 2024, an overall increase of 9%. Total closed order volumes from refinance transactions, which have a lower fee per file than purchase transactions, were 244,000 in the year ended December 31, 2025, compared to 183,000 in the year ended December 31, 2024, an overall increase of 25%. Total closed order volumes from refinance transactions were 183,000 in the year ended December 31, 2024, compared to 156,000 in the year ended December 31, 2023, an overall increase of 17%.</w:t>
      </w:r>
    </w:p>
    <w:p>
      <w:pPr>
        <w:spacing w:after="0" w:line="82" w:lineRule="exact"/>
        <w:rPr>
          <w:sz w:val="20"/>
          <w:szCs w:val="20"/>
          <w:color w:val="auto"/>
        </w:rPr>
      </w:pPr>
    </w:p>
    <w:p>
      <w:pPr>
        <w:jc w:val="both"/>
        <w:ind w:left="7" w:firstLine="353"/>
        <w:spacing w:after="0" w:line="312" w:lineRule="auto"/>
        <w:rPr>
          <w:sz w:val="20"/>
          <w:szCs w:val="20"/>
          <w:color w:val="auto"/>
        </w:rPr>
      </w:pPr>
      <w:r>
        <w:rPr>
          <w:rFonts w:ascii="Arial" w:cs="Arial" w:eastAsia="Arial" w:hAnsi="Arial"/>
          <w:sz w:val="17"/>
          <w:szCs w:val="17"/>
          <w:color w:val="auto"/>
        </w:rPr>
        <w:t>Total opened title insurance order volumes increased in the year ended December 31, 2025 as compared to 2024. The increase was attributable to increases in opened title orders from both purchase transactions and refinance transactions. Total opened title insurance order volumes increased in the year ended December 31, 2024 as compared to 2023. The increase was attributable to increases in opened title orders from both purchase transactions and refinance transactions.</w:t>
      </w:r>
    </w:p>
    <w:p>
      <w:pPr>
        <w:spacing w:after="0" w:line="42" w:lineRule="exact"/>
        <w:rPr>
          <w:sz w:val="20"/>
          <w:szCs w:val="20"/>
          <w:color w:val="auto"/>
        </w:rPr>
      </w:pPr>
    </w:p>
    <w:p>
      <w:pPr>
        <w:jc w:val="both"/>
        <w:ind w:left="7" w:firstLine="353"/>
        <w:spacing w:after="0" w:line="300" w:lineRule="auto"/>
        <w:rPr>
          <w:sz w:val="20"/>
          <w:szCs w:val="20"/>
          <w:color w:val="auto"/>
        </w:rPr>
      </w:pPr>
      <w:r>
        <w:rPr>
          <w:rFonts w:ascii="Arial" w:cs="Arial" w:eastAsia="Arial" w:hAnsi="Arial"/>
          <w:sz w:val="17"/>
          <w:szCs w:val="17"/>
          <w:color w:val="auto"/>
        </w:rPr>
        <w:t>The average fee per file in our direct operations was $3,948 in the year ended December 31, 2025, compared to $3,742 in the year ended December 31, 2024. The average fee per file in our direct operations was $3,742 in the year ended December 31, 2024, compared to $3,617 in the year ended December 31, 2023. The increase in average fee per file in 2025 and 2024 reflects home price appreciation and a stable commercial market, which more than offset the greater proportion of closed order from refinance transactions in both 2025 and 2024. The fee per file tends to change as the mix of refinance and purchase transactions changes, because purchase transactions involve the issuance of both a lender’s policy and an owner’s policy, resulting in higher fees, whereas refinance transactions only require a lender’s policy, resulting in lower fees.</w:t>
      </w:r>
    </w:p>
    <w:p>
      <w:pPr>
        <w:sectPr>
          <w:pgSz w:w="11880" w:h="15480" w:orient="portrait"/>
          <w:cols w:equalWidth="0" w:num="1">
            <w:col w:w="10047"/>
          </w:cols>
          <w:pgMar w:left="913" w:top="772"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6"/>
        <w:spacing w:after="0"/>
        <w:rPr>
          <w:sz w:val="20"/>
          <w:szCs w:val="20"/>
          <w:color w:val="auto"/>
        </w:rPr>
      </w:pPr>
      <w:r>
        <w:rPr>
          <w:rFonts w:ascii="Arial" w:cs="Arial" w:eastAsia="Arial" w:hAnsi="Arial"/>
          <w:sz w:val="17"/>
          <w:szCs w:val="17"/>
          <w:color w:val="auto"/>
        </w:rPr>
        <w:t>71</w:t>
      </w:r>
    </w:p>
    <w:p>
      <w:pPr>
        <w:sectPr>
          <w:pgSz w:w="11880" w:h="15480" w:orient="portrait"/>
          <w:cols w:equalWidth="0" w:num="1">
            <w:col w:w="10047"/>
          </w:cols>
          <w:pgMar w:left="913" w:top="772" w:right="920" w:bottom="0" w:gutter="0" w:footer="0" w:header="0"/>
          <w:type w:val="continuous"/>
        </w:sectPr>
      </w:pPr>
    </w:p>
    <w:bookmarkStart w:id="83" w:name="page84"/>
    <w:bookmarkEnd w:id="83"/>
    <w:p>
      <w:pPr>
        <w:jc w:val="both"/>
        <w:ind w:firstLine="353"/>
        <w:spacing w:after="0" w:line="254" w:lineRule="auto"/>
        <w:rPr>
          <w:sz w:val="20"/>
          <w:szCs w:val="20"/>
          <w:color w:val="auto"/>
        </w:rPr>
      </w:pPr>
      <w:r>
        <w:rPr>
          <w:rFonts w:ascii="Arial" w:cs="Arial" w:eastAsia="Arial" w:hAnsi="Arial"/>
          <w:sz w:val="20"/>
          <w:szCs w:val="20"/>
          <w:color w:val="auto"/>
        </w:rPr>
        <w:t>Title premiums from agency operations increased $297 million, or 10%, in the year ended December 31, 2025 as compared to 2024, and increased $343 million, or 13%, in the year ended December 31, 2024 as compared to 2023. The current trends in the agency business reflect a challenging residential purchase and refinance environment in many markets throughout the country, consistent with trends in the direct business.</w:t>
      </w:r>
    </w:p>
    <w:p>
      <w:pPr>
        <w:spacing w:after="0" w:line="85" w:lineRule="exact"/>
        <w:rPr>
          <w:sz w:val="20"/>
          <w:szCs w:val="20"/>
          <w:color w:val="auto"/>
        </w:rPr>
      </w:pPr>
    </w:p>
    <w:p>
      <w:pPr>
        <w:jc w:val="both"/>
        <w:ind w:firstLine="353"/>
        <w:spacing w:after="0" w:line="297" w:lineRule="auto"/>
        <w:rPr>
          <w:sz w:val="20"/>
          <w:szCs w:val="20"/>
          <w:color w:val="auto"/>
        </w:rPr>
      </w:pPr>
      <w:r>
        <w:rPr>
          <w:rFonts w:ascii="Arial" w:cs="Arial" w:eastAsia="Arial" w:hAnsi="Arial"/>
          <w:sz w:val="17"/>
          <w:szCs w:val="17"/>
          <w:color w:val="auto"/>
        </w:rPr>
        <w:t>Escrow, title-related and other fees increased by $185 million, or 8%, in the year ended December 31, 2025 as compared to 2024, and increased by $79 million, or 4%, in the year ended December 31, 2024 as compared to 2023. Escrow fees, which are more closely related to our direct operations, increased by $91 million, or 11%, in the year ended December 31, 2025, as compared to 2024, and increased $58 million, or 8%, in the year ended December 31, 2024, as compared to 2023. The increases in 2025 and 2024 were relatively consistent with the increase in direct premiums. Other fees in the Title segment, excluding escrow fees, increased by $94 million, or 7%, in the year ended December 31, 2025, as compared to 2024, and increased $21 million, or 2%, in the year ended December 31, 2024, as compared to 2023. The increases in Other fees in 2025 and 2024 were attributable to various immaterial items. The change in both escrow fees and other fees is directionally consistent with the change in title premiums from direct operations in 2025 and 2024.</w:t>
      </w:r>
    </w:p>
    <w:p>
      <w:pPr>
        <w:spacing w:after="0" w:line="57" w:lineRule="exact"/>
        <w:rPr>
          <w:sz w:val="20"/>
          <w:szCs w:val="20"/>
          <w:color w:val="auto"/>
        </w:rPr>
      </w:pPr>
    </w:p>
    <w:p>
      <w:pPr>
        <w:jc w:val="both"/>
        <w:ind w:firstLine="353"/>
        <w:spacing w:after="0" w:line="254" w:lineRule="auto"/>
        <w:rPr>
          <w:sz w:val="20"/>
          <w:szCs w:val="20"/>
          <w:color w:val="auto"/>
        </w:rPr>
      </w:pPr>
      <w:r>
        <w:rPr>
          <w:rFonts w:ascii="Arial" w:cs="Arial" w:eastAsia="Arial" w:hAnsi="Arial"/>
          <w:sz w:val="20"/>
          <w:szCs w:val="20"/>
          <w:color w:val="auto"/>
        </w:rPr>
        <w:t>Interest and investment income levels are primarily a function of securities markets, interest rates and the amount of cash available for investment. Interest and investment income increased $4 million, or 1%, in the year ended December 31, 2025 as compared to 2024, and increased $21 million, or 6%, in the year ended December 31, 2024 as compared to 2023. The increases in 2025 and 2024 were attributable to various immaterial items.</w:t>
      </w:r>
    </w:p>
    <w:p>
      <w:pPr>
        <w:spacing w:after="0" w:line="85" w:lineRule="exact"/>
        <w:rPr>
          <w:sz w:val="20"/>
          <w:szCs w:val="20"/>
          <w:color w:val="auto"/>
        </w:rPr>
      </w:pPr>
    </w:p>
    <w:p>
      <w:pPr>
        <w:jc w:val="both"/>
        <w:ind w:firstLine="353"/>
        <w:spacing w:after="0" w:line="325" w:lineRule="auto"/>
        <w:rPr>
          <w:sz w:val="20"/>
          <w:szCs w:val="20"/>
          <w:color w:val="auto"/>
        </w:rPr>
      </w:pPr>
      <w:r>
        <w:rPr>
          <w:rFonts w:ascii="Arial" w:cs="Arial" w:eastAsia="Arial" w:hAnsi="Arial"/>
          <w:sz w:val="17"/>
          <w:szCs w:val="17"/>
          <w:color w:val="auto"/>
        </w:rPr>
        <w:t>Recognized net losses were $78 million, $6 million, and $9 million in the years ended December 31, 2025, 2024, and 2023, respectively. The variability in recognized gains and losses, net is primarily attributable to fluctuations in non-cash valuation changes on our equity and preferred security holdings in addition to various other individually immaterial items.</w:t>
      </w:r>
    </w:p>
    <w:p>
      <w:pPr>
        <w:spacing w:after="0" w:line="29" w:lineRule="exact"/>
        <w:rPr>
          <w:sz w:val="20"/>
          <w:szCs w:val="20"/>
          <w:color w:val="auto"/>
        </w:rPr>
      </w:pPr>
    </w:p>
    <w:p>
      <w:pPr>
        <w:jc w:val="both"/>
        <w:ind w:firstLine="353"/>
        <w:spacing w:after="0" w:line="296" w:lineRule="auto"/>
        <w:rPr>
          <w:sz w:val="20"/>
          <w:szCs w:val="20"/>
          <w:color w:val="auto"/>
        </w:rPr>
      </w:pPr>
      <w:r>
        <w:rPr>
          <w:rFonts w:ascii="Arial" w:cs="Arial" w:eastAsia="Arial" w:hAnsi="Arial"/>
          <w:sz w:val="17"/>
          <w:szCs w:val="17"/>
          <w:color w:val="auto"/>
        </w:rPr>
        <w:t>Personnel costs include base salaries, commissions, benefits, stock-based compensation and bonuses paid to employees, and are one of our most significant operating expenses. Personnel costs increased $288 million, or 11%, in the year ended December 31, 2025 as compared to 2024, and increased $151 million, or 6% in the year ended December 31, 2024 as compared to 2023. The increase in the year ended December 31, 2025 as compared to 2024 is primarily attributable to increased headcount, elevated health claims and increased variable costs from modest increases in revenue and earnings. The increase in the year ended December 31, 2024 as compared to 2023 is primarily attributable to inflationary salary increases and increased variable costs from modest increases in revenue and earnings. Personnel costs as a percentage of total revenues from direct title premiums and escrow, title-related and other fees were 60%, 61% and 62% for the years ended December 31, 2025, 2024 and 2023, respectively. Average employee count in the Title segment was 22,248, 21,206, and 21,398 in the years ended December 31, 2025, 2024, and 2023, respectively.</w:t>
      </w:r>
    </w:p>
    <w:p>
      <w:pPr>
        <w:spacing w:after="0" w:line="59" w:lineRule="exact"/>
        <w:rPr>
          <w:sz w:val="20"/>
          <w:szCs w:val="20"/>
          <w:color w:val="auto"/>
        </w:rPr>
      </w:pPr>
    </w:p>
    <w:p>
      <w:pPr>
        <w:jc w:val="both"/>
        <w:ind w:firstLine="353"/>
        <w:spacing w:after="0" w:line="312" w:lineRule="auto"/>
        <w:rPr>
          <w:sz w:val="20"/>
          <w:szCs w:val="20"/>
          <w:color w:val="auto"/>
        </w:rPr>
      </w:pPr>
      <w:r>
        <w:rPr>
          <w:rFonts w:ascii="Arial" w:cs="Arial" w:eastAsia="Arial" w:hAnsi="Arial"/>
          <w:sz w:val="17"/>
          <w:szCs w:val="17"/>
          <w:color w:val="auto"/>
        </w:rPr>
        <w:t>Other operating expenses increased by $102 million, or 8%, in the year ended December 31, 2025 as compared to 2024, and increased $9 million, or 1%, in the year ended December 31, 2024 as compared to 2023. Other operating expenses as a percentage of total revenue excluding agency premiums, interest and investment income and recognized gains and losses were 27%, 28%, and 30% in the years ended December 31, 2025, 2024, and 2023, respectively.</w:t>
      </w:r>
    </w:p>
    <w:p>
      <w:pPr>
        <w:spacing w:after="0" w:line="42" w:lineRule="exact"/>
        <w:rPr>
          <w:sz w:val="20"/>
          <w:szCs w:val="20"/>
          <w:color w:val="auto"/>
        </w:rPr>
      </w:pPr>
    </w:p>
    <w:p>
      <w:pPr>
        <w:jc w:val="both"/>
        <w:ind w:firstLine="353"/>
        <w:spacing w:after="0" w:line="258" w:lineRule="auto"/>
        <w:rPr>
          <w:sz w:val="20"/>
          <w:szCs w:val="20"/>
          <w:color w:val="auto"/>
        </w:rPr>
      </w:pPr>
      <w:r>
        <w:rPr>
          <w:rFonts w:ascii="Arial" w:cs="Arial" w:eastAsia="Arial" w:hAnsi="Arial"/>
          <w:sz w:val="20"/>
          <w:szCs w:val="20"/>
          <w:color w:val="auto"/>
        </w:rPr>
        <w:t>Agent commissions represent the portion of premiums retained by agents pursuant to the terms of their respective agency contracts. Agent commissions and the resulting percentage of agent premiums that we retain vary according to regional differences in real estate closing practices and state regulations.</w:t>
      </w:r>
    </w:p>
    <w:p>
      <w:pPr>
        <w:spacing w:after="0" w:line="82" w:lineRule="exact"/>
        <w:rPr>
          <w:sz w:val="20"/>
          <w:szCs w:val="20"/>
          <w:color w:val="auto"/>
        </w:rPr>
      </w:pPr>
    </w:p>
    <w:p>
      <w:pPr>
        <w:ind w:left="340"/>
        <w:spacing w:after="0"/>
        <w:rPr>
          <w:sz w:val="20"/>
          <w:szCs w:val="20"/>
          <w:color w:val="auto"/>
        </w:rPr>
      </w:pPr>
      <w:r>
        <w:rPr>
          <w:rFonts w:ascii="Arial" w:cs="Arial" w:eastAsia="Arial" w:hAnsi="Arial"/>
          <w:sz w:val="20"/>
          <w:szCs w:val="20"/>
          <w:color w:val="auto"/>
        </w:rPr>
        <w:t>The following table illustrates the relationship of agent premiums and agent commissions:</w:t>
      </w:r>
    </w:p>
    <w:p>
      <w:pPr>
        <w:spacing w:after="0" w:line="211" w:lineRule="exact"/>
        <w:rPr>
          <w:sz w:val="20"/>
          <w:szCs w:val="20"/>
          <w:color w:val="auto"/>
        </w:rPr>
      </w:pPr>
    </w:p>
    <w:tbl>
      <w:tblPr>
        <w:tblLayout w:type="fixed"/>
        <w:tblInd w:w="80" w:type="dxa"/>
        <w:tblCellMar>
          <w:top w:w="0" w:type="dxa"/>
          <w:left w:w="0" w:type="dxa"/>
          <w:bottom w:w="0" w:type="dxa"/>
          <w:right w:w="0" w:type="dxa"/>
        </w:tblCellMar>
      </w:tblPr>
      <w:tr>
        <w:trPr>
          <w:trHeight w:val="206"/>
        </w:trPr>
        <w:tc>
          <w:tcPr>
            <w:tcW w:w="4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20" w:type="dxa"/>
            <w:vAlign w:val="bottom"/>
            <w:gridSpan w:val="7"/>
          </w:tcPr>
          <w:p>
            <w:pPr>
              <w:jc w:val="right"/>
              <w:spacing w:after="0"/>
              <w:rPr>
                <w:sz w:val="20"/>
                <w:szCs w:val="20"/>
                <w:color w:val="auto"/>
              </w:rPr>
            </w:pPr>
            <w:r>
              <w:rPr>
                <w:rFonts w:ascii="Arial" w:cs="Arial" w:eastAsia="Arial" w:hAnsi="Arial"/>
                <w:sz w:val="16"/>
                <w:szCs w:val="16"/>
                <w:b w:val="1"/>
                <w:bCs w:val="1"/>
                <w:color w:val="auto"/>
              </w:rPr>
              <w:t>Year Ended December 31,</w:t>
            </w: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r>
      <w:tr>
        <w:trPr>
          <w:trHeight w:val="257"/>
        </w:trPr>
        <w:tc>
          <w:tcPr>
            <w:tcW w:w="478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6"/>
                <w:szCs w:val="16"/>
                <w:b w:val="1"/>
                <w:bCs w:val="1"/>
                <w:color w:val="auto"/>
              </w:rPr>
              <w:t>2025</w:t>
            </w:r>
          </w:p>
        </w:tc>
        <w:tc>
          <w:tcPr>
            <w:tcW w:w="620" w:type="dxa"/>
            <w:vAlign w:val="bottom"/>
            <w:tcBorders>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6"/>
                <w:szCs w:val="16"/>
                <w:b w:val="1"/>
                <w:bCs w:val="1"/>
                <w:color w:val="auto"/>
              </w:rPr>
              <w:t>2024</w:t>
            </w:r>
          </w:p>
        </w:tc>
        <w:tc>
          <w:tcPr>
            <w:tcW w:w="640" w:type="dxa"/>
            <w:vAlign w:val="bottom"/>
            <w:tcBorders>
              <w:bottom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6"/>
                <w:szCs w:val="16"/>
                <w:b w:val="1"/>
                <w:bCs w:val="1"/>
                <w:color w:val="auto"/>
              </w:rPr>
              <w:t>2023</w:t>
            </w:r>
          </w:p>
        </w:tc>
        <w:tc>
          <w:tcPr>
            <w:tcW w:w="600" w:type="dxa"/>
            <w:vAlign w:val="bottom"/>
            <w:tcBorders>
              <w:bottom w:val="single" w:sz="8" w:color="auto"/>
            </w:tcBorders>
          </w:tcPr>
          <w:p>
            <w:pPr>
              <w:spacing w:after="0"/>
              <w:rPr>
                <w:sz w:val="22"/>
                <w:szCs w:val="22"/>
                <w:color w:val="auto"/>
              </w:rPr>
            </w:pPr>
          </w:p>
        </w:tc>
      </w:tr>
      <w:tr>
        <w:trPr>
          <w:trHeight w:val="230"/>
        </w:trPr>
        <w:tc>
          <w:tcPr>
            <w:tcW w:w="47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82"/>
              <w:spacing w:after="0"/>
              <w:rPr>
                <w:sz w:val="20"/>
                <w:szCs w:val="20"/>
                <w:color w:val="auto"/>
              </w:rPr>
            </w:pPr>
            <w:r>
              <w:rPr>
                <w:rFonts w:ascii="Arial" w:cs="Arial" w:eastAsia="Arial" w:hAnsi="Arial"/>
                <w:sz w:val="16"/>
                <w:szCs w:val="16"/>
                <w:b w:val="1"/>
                <w:bCs w:val="1"/>
                <w:color w:val="auto"/>
                <w:w w:val="92"/>
              </w:rPr>
              <w:t>Amount</w:t>
            </w:r>
          </w:p>
        </w:tc>
        <w:tc>
          <w:tcPr>
            <w:tcW w:w="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222"/>
              <w:spacing w:after="0"/>
              <w:rPr>
                <w:sz w:val="20"/>
                <w:szCs w:val="20"/>
                <w:color w:val="auto"/>
              </w:rPr>
            </w:pPr>
            <w:r>
              <w:rPr>
                <w:rFonts w:ascii="Arial" w:cs="Arial" w:eastAsia="Arial" w:hAnsi="Arial"/>
                <w:sz w:val="16"/>
                <w:szCs w:val="16"/>
                <w:b w:val="1"/>
                <w:bCs w:val="1"/>
                <w:color w:val="auto"/>
              </w:rPr>
              <w:t>%</w:t>
            </w:r>
          </w:p>
        </w:tc>
        <w:tc>
          <w:tcPr>
            <w:tcW w:w="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02"/>
              <w:spacing w:after="0"/>
              <w:rPr>
                <w:sz w:val="20"/>
                <w:szCs w:val="20"/>
                <w:color w:val="auto"/>
              </w:rPr>
            </w:pPr>
            <w:r>
              <w:rPr>
                <w:rFonts w:ascii="Arial" w:cs="Arial" w:eastAsia="Arial" w:hAnsi="Arial"/>
                <w:sz w:val="16"/>
                <w:szCs w:val="16"/>
                <w:b w:val="1"/>
                <w:bCs w:val="1"/>
                <w:color w:val="auto"/>
                <w:w w:val="89"/>
              </w:rPr>
              <w:t>Amount</w:t>
            </w:r>
          </w:p>
        </w:tc>
        <w:tc>
          <w:tcPr>
            <w:tcW w:w="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242"/>
              <w:spacing w:after="0"/>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rPr>
                <w:sz w:val="19"/>
                <w:szCs w:val="19"/>
                <w:color w:val="auto"/>
              </w:rPr>
            </w:pPr>
          </w:p>
        </w:tc>
        <w:tc>
          <w:tcPr>
            <w:tcW w:w="760" w:type="dxa"/>
            <w:vAlign w:val="bottom"/>
            <w:tcBorders>
              <w:bottom w:val="single" w:sz="8" w:color="auto"/>
            </w:tcBorders>
            <w:gridSpan w:val="2"/>
          </w:tcPr>
          <w:p>
            <w:pPr>
              <w:jc w:val="right"/>
              <w:ind w:right="42"/>
              <w:spacing w:after="0"/>
              <w:rPr>
                <w:sz w:val="20"/>
                <w:szCs w:val="20"/>
                <w:color w:val="auto"/>
              </w:rPr>
            </w:pPr>
            <w:r>
              <w:rPr>
                <w:rFonts w:ascii="Arial" w:cs="Arial" w:eastAsia="Arial" w:hAnsi="Arial"/>
                <w:sz w:val="16"/>
                <w:szCs w:val="16"/>
                <w:b w:val="1"/>
                <w:bCs w:val="1"/>
                <w:color w:val="auto"/>
              </w:rPr>
              <w:t>Amount</w:t>
            </w:r>
          </w:p>
        </w:tc>
        <w:tc>
          <w:tcPr>
            <w:tcW w:w="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222"/>
              <w:spacing w:after="0"/>
              <w:rPr>
                <w:sz w:val="20"/>
                <w:szCs w:val="20"/>
                <w:color w:val="auto"/>
              </w:rPr>
            </w:pPr>
            <w:r>
              <w:rPr>
                <w:rFonts w:ascii="Arial" w:cs="Arial" w:eastAsia="Arial" w:hAnsi="Arial"/>
                <w:sz w:val="16"/>
                <w:szCs w:val="16"/>
                <w:b w:val="1"/>
                <w:bCs w:val="1"/>
                <w:color w:val="auto"/>
              </w:rPr>
              <w:t>%</w:t>
            </w:r>
          </w:p>
        </w:tc>
      </w:tr>
      <w:tr>
        <w:trPr>
          <w:trHeight w:val="223"/>
        </w:trPr>
        <w:tc>
          <w:tcPr>
            <w:tcW w:w="4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80" w:type="dxa"/>
            <w:vAlign w:val="bottom"/>
            <w:gridSpan w:val="4"/>
          </w:tcPr>
          <w:p>
            <w:pPr>
              <w:jc w:val="center"/>
              <w:ind w:right="82"/>
              <w:spacing w:after="0"/>
              <w:rPr>
                <w:sz w:val="20"/>
                <w:szCs w:val="20"/>
                <w:color w:val="auto"/>
              </w:rPr>
            </w:pPr>
            <w:r>
              <w:rPr>
                <w:rFonts w:ascii="Arial" w:cs="Arial" w:eastAsia="Arial" w:hAnsi="Arial"/>
                <w:sz w:val="16"/>
                <w:szCs w:val="16"/>
                <w:b w:val="1"/>
                <w:bCs w:val="1"/>
                <w:color w:val="auto"/>
                <w:w w:val="90"/>
              </w:rPr>
              <w:t>(Dollars in millions)</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r>
      <w:tr>
        <w:trPr>
          <w:trHeight w:val="294"/>
        </w:trPr>
        <w:tc>
          <w:tcPr>
            <w:tcW w:w="4780" w:type="dxa"/>
            <w:vAlign w:val="bottom"/>
          </w:tcPr>
          <w:p>
            <w:pPr>
              <w:spacing w:after="0"/>
              <w:rPr>
                <w:sz w:val="20"/>
                <w:szCs w:val="20"/>
                <w:color w:val="auto"/>
              </w:rPr>
            </w:pPr>
            <w:r>
              <w:rPr>
                <w:rFonts w:ascii="Arial" w:cs="Arial" w:eastAsia="Arial" w:hAnsi="Arial"/>
                <w:sz w:val="16"/>
                <w:szCs w:val="16"/>
                <w:color w:val="auto"/>
              </w:rPr>
              <w:t>Agent premiums</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3,250</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w w:val="98"/>
              </w:rPr>
              <w:t>100.0 %</w:t>
            </w:r>
          </w:p>
        </w:tc>
        <w:tc>
          <w:tcPr>
            <w:tcW w:w="22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2"/>
              <w:spacing w:after="0"/>
              <w:rPr>
                <w:sz w:val="20"/>
                <w:szCs w:val="20"/>
                <w:color w:val="auto"/>
              </w:rPr>
            </w:pPr>
            <w:r>
              <w:rPr>
                <w:rFonts w:ascii="Arial" w:cs="Arial" w:eastAsia="Arial" w:hAnsi="Arial"/>
                <w:sz w:val="16"/>
                <w:szCs w:val="16"/>
                <w:color w:val="auto"/>
              </w:rPr>
              <w:t>2,953</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100.0 %</w:t>
            </w:r>
          </w:p>
        </w:tc>
        <w:tc>
          <w:tcPr>
            <w:tcW w:w="280" w:type="dxa"/>
            <w:vAlign w:val="bottom"/>
            <w:gridSpan w:val="2"/>
          </w:tcPr>
          <w:p>
            <w:pPr>
              <w:jc w:val="right"/>
              <w:ind w:right="22"/>
              <w:spacing w:after="0"/>
              <w:rPr>
                <w:sz w:val="20"/>
                <w:szCs w:val="20"/>
                <w:color w:val="auto"/>
              </w:rPr>
            </w:pPr>
            <w:r>
              <w:rPr>
                <w:rFonts w:ascii="Arial" w:cs="Arial" w:eastAsia="Arial" w:hAnsi="Arial"/>
                <w:sz w:val="16"/>
                <w:szCs w:val="16"/>
                <w:color w:val="auto"/>
              </w:rPr>
              <w:t>$</w:t>
            </w:r>
          </w:p>
        </w:tc>
        <w:tc>
          <w:tcPr>
            <w:tcW w:w="540" w:type="dxa"/>
            <w:vAlign w:val="bottom"/>
          </w:tcPr>
          <w:p>
            <w:pPr>
              <w:jc w:val="right"/>
              <w:ind w:right="2"/>
              <w:spacing w:after="0"/>
              <w:rPr>
                <w:sz w:val="20"/>
                <w:szCs w:val="20"/>
                <w:color w:val="auto"/>
              </w:rPr>
            </w:pPr>
            <w:r>
              <w:rPr>
                <w:rFonts w:ascii="Arial" w:cs="Arial" w:eastAsia="Arial" w:hAnsi="Arial"/>
                <w:sz w:val="16"/>
                <w:szCs w:val="16"/>
                <w:color w:val="auto"/>
              </w:rPr>
              <w:t>2,610</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w w:val="95"/>
              </w:rPr>
              <w:t>100.0 %</w:t>
            </w:r>
          </w:p>
        </w:tc>
      </w:tr>
      <w:tr>
        <w:trPr>
          <w:trHeight w:val="301"/>
        </w:trPr>
        <w:tc>
          <w:tcPr>
            <w:tcW w:w="4780" w:type="dxa"/>
            <w:vAlign w:val="bottom"/>
          </w:tcPr>
          <w:p>
            <w:pPr>
              <w:spacing w:after="0"/>
              <w:rPr>
                <w:sz w:val="20"/>
                <w:szCs w:val="20"/>
                <w:color w:val="auto"/>
              </w:rPr>
            </w:pPr>
            <w:r>
              <w:rPr>
                <w:rFonts w:ascii="Arial" w:cs="Arial" w:eastAsia="Arial" w:hAnsi="Arial"/>
                <w:sz w:val="16"/>
                <w:szCs w:val="16"/>
                <w:color w:val="auto"/>
              </w:rPr>
              <w:t>Agent commissions</w:t>
            </w:r>
          </w:p>
        </w:tc>
        <w:tc>
          <w:tcPr>
            <w:tcW w:w="1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2,518</w:t>
            </w:r>
          </w:p>
        </w:tc>
        <w:tc>
          <w:tcPr>
            <w:tcW w:w="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jc w:val="right"/>
              <w:ind w:right="122"/>
              <w:spacing w:after="0"/>
              <w:rPr>
                <w:sz w:val="20"/>
                <w:szCs w:val="20"/>
                <w:color w:val="auto"/>
              </w:rPr>
            </w:pPr>
            <w:r>
              <w:rPr>
                <w:rFonts w:ascii="Arial" w:cs="Arial" w:eastAsia="Arial" w:hAnsi="Arial"/>
                <w:sz w:val="16"/>
                <w:szCs w:val="16"/>
                <w:color w:val="auto"/>
              </w:rPr>
              <w:t>77.5</w:t>
            </w:r>
          </w:p>
        </w:tc>
        <w:tc>
          <w:tcPr>
            <w:tcW w:w="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2,287</w:t>
            </w:r>
          </w:p>
        </w:tc>
        <w:tc>
          <w:tcPr>
            <w:tcW w:w="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ind w:right="122"/>
              <w:spacing w:after="0"/>
              <w:rPr>
                <w:sz w:val="20"/>
                <w:szCs w:val="20"/>
                <w:color w:val="auto"/>
              </w:rPr>
            </w:pPr>
            <w:r>
              <w:rPr>
                <w:rFonts w:ascii="Arial" w:cs="Arial" w:eastAsia="Arial" w:hAnsi="Arial"/>
                <w:sz w:val="16"/>
                <w:szCs w:val="16"/>
                <w:color w:val="auto"/>
              </w:rPr>
              <w:t>77.4</w:t>
            </w:r>
          </w:p>
        </w:tc>
        <w:tc>
          <w:tcPr>
            <w:tcW w:w="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2,008</w:t>
            </w:r>
          </w:p>
        </w:tc>
        <w:tc>
          <w:tcPr>
            <w:tcW w:w="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right"/>
              <w:ind w:right="122"/>
              <w:spacing w:after="0"/>
              <w:rPr>
                <w:sz w:val="20"/>
                <w:szCs w:val="20"/>
                <w:color w:val="auto"/>
              </w:rPr>
            </w:pPr>
            <w:r>
              <w:rPr>
                <w:rFonts w:ascii="Arial" w:cs="Arial" w:eastAsia="Arial" w:hAnsi="Arial"/>
                <w:sz w:val="16"/>
                <w:szCs w:val="16"/>
                <w:color w:val="auto"/>
              </w:rPr>
              <w:t>76.9</w:t>
            </w:r>
          </w:p>
        </w:tc>
      </w:tr>
      <w:tr>
        <w:trPr>
          <w:trHeight w:val="254"/>
        </w:trPr>
        <w:tc>
          <w:tcPr>
            <w:tcW w:w="4780" w:type="dxa"/>
            <w:vAlign w:val="bottom"/>
          </w:tcPr>
          <w:p>
            <w:pPr>
              <w:ind w:left="220"/>
              <w:spacing w:after="0"/>
              <w:rPr>
                <w:sz w:val="20"/>
                <w:szCs w:val="20"/>
                <w:color w:val="auto"/>
              </w:rPr>
            </w:pPr>
            <w:r>
              <w:rPr>
                <w:rFonts w:ascii="Arial" w:cs="Arial" w:eastAsia="Arial" w:hAnsi="Arial"/>
                <w:sz w:val="16"/>
                <w:szCs w:val="16"/>
                <w:color w:val="auto"/>
              </w:rPr>
              <w:t>Net retained agent premiums</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732</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22.5 %</w:t>
            </w:r>
          </w:p>
        </w:tc>
        <w:tc>
          <w:tcPr>
            <w:tcW w:w="22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2"/>
              <w:spacing w:after="0"/>
              <w:rPr>
                <w:sz w:val="20"/>
                <w:szCs w:val="20"/>
                <w:color w:val="auto"/>
              </w:rPr>
            </w:pPr>
            <w:r>
              <w:rPr>
                <w:rFonts w:ascii="Arial" w:cs="Arial" w:eastAsia="Arial" w:hAnsi="Arial"/>
                <w:sz w:val="16"/>
                <w:szCs w:val="16"/>
                <w:color w:val="auto"/>
              </w:rPr>
              <w:t>666</w:t>
            </w: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22.6 %</w:t>
            </w:r>
          </w:p>
        </w:tc>
        <w:tc>
          <w:tcPr>
            <w:tcW w:w="280" w:type="dxa"/>
            <w:vAlign w:val="bottom"/>
            <w:gridSpan w:val="2"/>
          </w:tcPr>
          <w:p>
            <w:pPr>
              <w:jc w:val="right"/>
              <w:ind w:right="22"/>
              <w:spacing w:after="0"/>
              <w:rPr>
                <w:sz w:val="20"/>
                <w:szCs w:val="20"/>
                <w:color w:val="auto"/>
              </w:rPr>
            </w:pPr>
            <w:r>
              <w:rPr>
                <w:rFonts w:ascii="Arial" w:cs="Arial" w:eastAsia="Arial" w:hAnsi="Arial"/>
                <w:sz w:val="16"/>
                <w:szCs w:val="16"/>
                <w:color w:val="auto"/>
              </w:rPr>
              <w:t>$</w:t>
            </w:r>
          </w:p>
        </w:tc>
        <w:tc>
          <w:tcPr>
            <w:tcW w:w="540" w:type="dxa"/>
            <w:vAlign w:val="bottom"/>
          </w:tcPr>
          <w:p>
            <w:pPr>
              <w:jc w:val="right"/>
              <w:ind w:right="2"/>
              <w:spacing w:after="0"/>
              <w:rPr>
                <w:sz w:val="20"/>
                <w:szCs w:val="20"/>
                <w:color w:val="auto"/>
              </w:rPr>
            </w:pPr>
            <w:r>
              <w:rPr>
                <w:rFonts w:ascii="Arial" w:cs="Arial" w:eastAsia="Arial" w:hAnsi="Arial"/>
                <w:sz w:val="16"/>
                <w:szCs w:val="16"/>
                <w:color w:val="auto"/>
              </w:rPr>
              <w:t>602</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23.1 %</w:t>
            </w:r>
          </w:p>
        </w:tc>
      </w:tr>
      <w:tr>
        <w:trPr>
          <w:trHeight w:val="20"/>
        </w:trPr>
        <w:tc>
          <w:tcPr>
            <w:tcW w:w="47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-591185</wp:posOffset>
            </wp:positionV>
            <wp:extent cx="6372860" cy="2120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40">
                      <a:extLst>
                        <a:ext uri="{28A0092B-C50C-407E-A947-70E740481C1C}"/>
                      </a:extLst>
                    </a:blip>
                    <a:srcRect/>
                    <a:stretch>
                      <a:fillRect/>
                    </a:stretch>
                  </pic:blipFill>
                  <pic:spPr bwMode="auto">
                    <a:xfrm>
                      <a:off x="0" y="0"/>
                      <a:ext cx="6372860" cy="21209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-217805</wp:posOffset>
            </wp:positionV>
            <wp:extent cx="6372860" cy="2247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41">
                      <a:extLst>
                        <a:ext uri="{28A0092B-C50C-407E-A947-70E740481C1C}"/>
                      </a:extLst>
                    </a:blip>
                    <a:srcRect/>
                    <a:stretch>
                      <a:fillRect/>
                    </a:stretch>
                  </pic:blipFill>
                  <pic:spPr bwMode="auto">
                    <a:xfrm>
                      <a:off x="0" y="0"/>
                      <a:ext cx="6372860" cy="224790"/>
                    </a:xfrm>
                    <a:prstGeom prst="rect">
                      <a:avLst/>
                    </a:prstGeom>
                    <a:noFill/>
                  </pic:spPr>
                </pic:pic>
              </a:graphicData>
            </a:graphic>
          </wp:anchor>
        </w:drawing>
      </w:r>
    </w:p>
    <w:p>
      <w:pPr>
        <w:spacing w:after="0" w:line="105" w:lineRule="exact"/>
        <w:rPr>
          <w:sz w:val="20"/>
          <w:szCs w:val="20"/>
          <w:color w:val="auto"/>
        </w:rPr>
      </w:pPr>
    </w:p>
    <w:p>
      <w:pPr>
        <w:jc w:val="both"/>
        <w:ind w:firstLine="353"/>
        <w:spacing w:after="0" w:line="306" w:lineRule="auto"/>
        <w:rPr>
          <w:sz w:val="20"/>
          <w:szCs w:val="20"/>
          <w:color w:val="auto"/>
        </w:rPr>
      </w:pPr>
      <w:r>
        <w:rPr>
          <w:rFonts w:ascii="Arial" w:cs="Arial" w:eastAsia="Arial" w:hAnsi="Arial"/>
          <w:sz w:val="17"/>
          <w:szCs w:val="17"/>
          <w:color w:val="auto"/>
        </w:rPr>
        <w:t>The claim loss provision for title insurance was $262 million, $232 million, and $207 million for the years ended December 31, 2025, 2024, and 2023 respectively. The provision reflects a provision rate of 4.5% of title premiums in all periods. We continually monitor and evaluate our loss provision level, actual claims paid, and the loss reserve position each quarter. This loss provision rate is set to provide for losses on current year policies, but due to development of prior years and our long claim duration, it periodically includes amounts of estimated adverse or positive development on prior years' policies.</w:t>
      </w:r>
    </w:p>
    <w:p>
      <w:pPr>
        <w:sectPr>
          <w:pgSz w:w="11880" w:h="15480" w:orient="portrait"/>
          <w:cols w:equalWidth="0" w:num="1">
            <w:col w:w="10040"/>
          </w:cols>
          <w:pgMar w:left="920" w:top="772"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72</w:t>
      </w:r>
    </w:p>
    <w:p>
      <w:pPr>
        <w:sectPr>
          <w:pgSz w:w="11880" w:h="15480" w:orient="portrait"/>
          <w:cols w:equalWidth="0" w:num="1">
            <w:col w:w="10040"/>
          </w:cols>
          <w:pgMar w:left="920" w:top="772" w:right="920" w:bottom="0" w:gutter="0" w:footer="0" w:header="0"/>
          <w:type w:val="continuous"/>
        </w:sectPr>
      </w:pPr>
    </w:p>
    <w:bookmarkStart w:id="84" w:name="page85"/>
    <w:bookmarkEnd w:id="84"/>
    <w:p>
      <w:pPr>
        <w:spacing w:after="0"/>
        <w:rPr>
          <w:sz w:val="20"/>
          <w:szCs w:val="20"/>
          <w:color w:val="auto"/>
        </w:rPr>
      </w:pPr>
      <w:r>
        <w:rPr>
          <w:rFonts w:ascii="Arial" w:cs="Arial" w:eastAsia="Arial" w:hAnsi="Arial"/>
          <w:sz w:val="20"/>
          <w:szCs w:val="20"/>
          <w:b w:val="1"/>
          <w:bCs w:val="1"/>
          <w:i w:val="1"/>
          <w:iCs w:val="1"/>
          <w:color w:val="auto"/>
        </w:rPr>
        <w:t>F&amp;G</w:t>
      </w:r>
    </w:p>
    <w:p>
      <w:pPr>
        <w:spacing w:after="0" w:line="18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Segment Overview</w:t>
      </w:r>
    </w:p>
    <w:p>
      <w:pPr>
        <w:spacing w:after="0" w:line="130" w:lineRule="exact"/>
        <w:rPr>
          <w:sz w:val="20"/>
          <w:szCs w:val="20"/>
          <w:color w:val="auto"/>
        </w:rPr>
      </w:pPr>
    </w:p>
    <w:p>
      <w:pPr>
        <w:jc w:val="both"/>
        <w:ind w:firstLine="353"/>
        <w:spacing w:after="0" w:line="300" w:lineRule="auto"/>
        <w:rPr>
          <w:sz w:val="20"/>
          <w:szCs w:val="20"/>
          <w:color w:val="auto"/>
        </w:rPr>
      </w:pPr>
      <w:r>
        <w:rPr>
          <w:rFonts w:ascii="Arial" w:cs="Arial" w:eastAsia="Arial" w:hAnsi="Arial"/>
          <w:sz w:val="17"/>
          <w:szCs w:val="17"/>
          <w:color w:val="auto"/>
        </w:rPr>
        <w:t>Through our majority owned F&amp;G subsidiary, which we acquired on June 1, 2020, we provide our principal annuity and life insurance products through the insurance subsidiaries composing our F&amp;G segment, FGL Insurance and FGL NY Insurance. Our customers range across a variety of age groups and are concentrated in the middle-income market. Our indexed annuities products provide for pre-retirement wealth accumulation and post-retirement income management. Our IUL products provide wealth protection and transfer opportunities. Life and annuity products are primarily distributed through IMOs and independent insurance agents, and beginning in 2020, independent broker dealers and banks. Additionally, we provide funding agreements and PRT solutions to various institutions through consultants and brokers.</w:t>
      </w:r>
    </w:p>
    <w:p>
      <w:pPr>
        <w:spacing w:after="0" w:line="54" w:lineRule="exact"/>
        <w:rPr>
          <w:sz w:val="20"/>
          <w:szCs w:val="20"/>
          <w:color w:val="auto"/>
        </w:rPr>
      </w:pPr>
    </w:p>
    <w:p>
      <w:pPr>
        <w:jc w:val="both"/>
        <w:ind w:firstLine="353"/>
        <w:spacing w:after="0" w:line="306" w:lineRule="auto"/>
        <w:rPr>
          <w:sz w:val="20"/>
          <w:szCs w:val="20"/>
          <w:color w:val="auto"/>
        </w:rPr>
      </w:pPr>
      <w:r>
        <w:rPr>
          <w:rFonts w:ascii="Arial" w:cs="Arial" w:eastAsia="Arial" w:hAnsi="Arial"/>
          <w:sz w:val="17"/>
          <w:szCs w:val="17"/>
          <w:color w:val="auto"/>
        </w:rPr>
        <w:t>In setting the features and pricing of our flagship indexed annuity products relative to our targeted net margin, we take into account our expectations regarding (1) the difference between the net investment income we earn and the sum of the interest credited to policyholders and the cost of hedging our risk on the policies; (2) fees, including surrender charges and rider fees, partly offset by vesting bonuses that we pay our policyholders; and (3) a number of related expenses, including benefits and changes in reserves, acquisition costs, and general and administrative expenses.</w:t>
      </w:r>
    </w:p>
    <w:p>
      <w:pPr>
        <w:spacing w:after="0" w:line="4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Key Components of Our Historical Results of Operations</w:t>
      </w:r>
    </w:p>
    <w:p>
      <w:pPr>
        <w:spacing w:after="0" w:line="130" w:lineRule="exact"/>
        <w:rPr>
          <w:sz w:val="20"/>
          <w:szCs w:val="20"/>
          <w:color w:val="auto"/>
        </w:rPr>
      </w:pPr>
    </w:p>
    <w:p>
      <w:pPr>
        <w:jc w:val="both"/>
        <w:ind w:firstLine="706"/>
        <w:spacing w:after="0" w:line="295" w:lineRule="auto"/>
        <w:rPr>
          <w:sz w:val="20"/>
          <w:szCs w:val="20"/>
          <w:color w:val="auto"/>
        </w:rPr>
      </w:pPr>
      <w:r>
        <w:rPr>
          <w:rFonts w:ascii="Arial" w:cs="Arial" w:eastAsia="Arial" w:hAnsi="Arial"/>
          <w:sz w:val="17"/>
          <w:szCs w:val="17"/>
          <w:color w:val="auto"/>
        </w:rPr>
        <w:t>Through our insurance subsidiaries, we issue a broad portfolio of deferred annuities (indexed annuities and fixed rate annuities), IUL insurance, immediate annuities, funding agreements and PRT solutions. A deferred annuity is a type of contract that accumulates value on a tax deferred basis and typically begins making specified periodic or lump sum payments a certain number of years after the contract has been issued. IUL insurance is a complementary type of contract that accumulates value in a cash value account and provides a payment to designated beneficiaries upon the policyholder’s death. An immediate annuity is a type of contract that begins making specified payments within one annuity period (e.g., one month or one year) and typically makes payments of principal and interest earnings over a period of time. As defined by the Iowa Insurance Division, a funding agreement is an agreement for an insurer to accept and accumulate funds and to make one or more payments at future dates in amounts that are not based on mortality or morbidity contingencies of the person to whom the funding agreement is issued. In essence, funding agreement providers issue fixed maturity contracts with fixed or floating interest rates in exchange for a single upfront premium. Our PRT products are comparable to income annuities, as we generally receive a single, upfront premium in exchange for paying a guaranteed stream of future income payments which are typically fixed in nature but may vary in duration based on participant mortality experience.</w:t>
      </w:r>
    </w:p>
    <w:p>
      <w:pPr>
        <w:spacing w:after="0" w:line="292" w:lineRule="exact"/>
        <w:rPr>
          <w:sz w:val="20"/>
          <w:szCs w:val="20"/>
          <w:color w:val="auto"/>
        </w:rPr>
      </w:pPr>
    </w:p>
    <w:p>
      <w:pPr>
        <w:jc w:val="both"/>
        <w:ind w:firstLine="353"/>
        <w:spacing w:after="0" w:line="263" w:lineRule="auto"/>
        <w:rPr>
          <w:sz w:val="20"/>
          <w:szCs w:val="20"/>
          <w:color w:val="auto"/>
        </w:rPr>
      </w:pPr>
      <w:r>
        <w:rPr>
          <w:rFonts w:ascii="Arial" w:cs="Arial" w:eastAsia="Arial" w:hAnsi="Arial"/>
          <w:sz w:val="19"/>
          <w:szCs w:val="19"/>
          <w:color w:val="auto"/>
        </w:rPr>
        <w:t>Under GAAP, premium collections for deferred annuities (indexed annuities and fixed rate annuities), immediate annuities and PRT without life contingency, and deposits received for funding agreements are reported in the financial statements as deposit liabilities (i.e., contractholder funds) instead of as sales or revenues. Similarly, cash payments to customers are reported as decreases in the liability for contractholder funds and not as expenses. Sources of revenues for products accounted for as deposit liabilities are net investment income, surrender charges, cost of insurance and other charges deducted from contractholder funds (i.e., amortization of URL), and net realized gains (losses) on investments. Components of expenses for products accounted for as deposit liabilities are interest-sensitive and index product benefits (primarily interest credited to account balances or the hedging cost of providing index credits to the policyholder), amortization of VOBA, DAC and DSI, and other operating costs and expenses.</w:t>
      </w:r>
    </w:p>
    <w:p>
      <w:pPr>
        <w:spacing w:after="0" w:line="80" w:lineRule="exact"/>
        <w:rPr>
          <w:sz w:val="20"/>
          <w:szCs w:val="20"/>
          <w:color w:val="auto"/>
        </w:rPr>
      </w:pPr>
    </w:p>
    <w:p>
      <w:pPr>
        <w:jc w:val="both"/>
        <w:ind w:firstLine="353"/>
        <w:spacing w:after="0" w:line="295" w:lineRule="auto"/>
        <w:rPr>
          <w:sz w:val="20"/>
          <w:szCs w:val="20"/>
          <w:color w:val="auto"/>
        </w:rPr>
      </w:pPr>
      <w:r>
        <w:rPr>
          <w:rFonts w:ascii="Arial" w:cs="Arial" w:eastAsia="Arial" w:hAnsi="Arial"/>
          <w:sz w:val="17"/>
          <w:szCs w:val="17"/>
          <w:color w:val="auto"/>
        </w:rPr>
        <w:t>F&amp;G hedges certain portions of its exposure to product related equity market risk by entering into derivative transactions. We purchase derivatives consisting predominantly of equity options and, to a lesser degree, futures contracts (specifically for indexed annuity contracts) on the equity indices underlying the applicable policy. These derivatives are used to offset the reserve impact of the index credits due to policyholders under the indexed annuity and IUL contracts. The majority of all such equity options are one-year options purchased to match the funding requirements underlying the indexed annuity/IUL contracts. We attempt to manage the cost of these purchases through the terms of our indexed annuity/IUL contracts, which permit us to change caps, spread, or participation rates on each policy's annual anniversary, subject to certain guaranteed minimums that must be maintained. The equity options and futures contracts are marked to fair value with the change in fair value included as a component of net investment gains (losses). The change in fair value of the equity options and futures contracts includes the gains and losses recognized at the expiration of the instruments’ terms or upon early termination and the changes in fair value of open positions. In addition, to reduce market risks from interest rate changes on our earnings associated with our floating rate investments, during 2023 we began to execute pay-float and receive-fixed interest rate swaps.</w:t>
      </w:r>
    </w:p>
    <w:p>
      <w:pPr>
        <w:spacing w:after="0" w:line="57" w:lineRule="exact"/>
        <w:rPr>
          <w:sz w:val="20"/>
          <w:szCs w:val="20"/>
          <w:color w:val="auto"/>
        </w:rPr>
      </w:pPr>
    </w:p>
    <w:p>
      <w:pPr>
        <w:jc w:val="both"/>
        <w:ind w:firstLine="353"/>
        <w:spacing w:after="0" w:line="312" w:lineRule="auto"/>
        <w:rPr>
          <w:sz w:val="20"/>
          <w:szCs w:val="20"/>
          <w:color w:val="auto"/>
        </w:rPr>
      </w:pPr>
      <w:r>
        <w:rPr>
          <w:rFonts w:ascii="Arial" w:cs="Arial" w:eastAsia="Arial" w:hAnsi="Arial"/>
          <w:sz w:val="17"/>
          <w:szCs w:val="17"/>
          <w:color w:val="auto"/>
        </w:rPr>
        <w:t>Market risk benefits (“MRBs”) are contracts or contract features that both provide protection to the contract holder from other-than-nominal capital market risk (equity, interest and foreign exchange risk) and expose the Company to other-than-nominal capital market risk. MRBs (inclusive of reinsured MRBs) are measured at fair value using a risk neutral valuation method, which is based on current net amounts at risk, market data, internal and industry experience, and other factors. The</w:t>
      </w:r>
    </w:p>
    <w:p>
      <w:pPr>
        <w:sectPr>
          <w:pgSz w:w="11880" w:h="15480" w:orient="portrait"/>
          <w:cols w:equalWidth="0" w:num="1">
            <w:col w:w="10040"/>
          </w:cols>
          <w:pgMar w:left="920" w:top="765" w:right="920" w:bottom="0" w:gutter="0" w:footer="0" w:header="0"/>
        </w:sect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73</w:t>
      </w:r>
    </w:p>
    <w:p>
      <w:pPr>
        <w:sectPr>
          <w:pgSz w:w="11880" w:h="15480" w:orient="portrait"/>
          <w:cols w:equalWidth="0" w:num="1">
            <w:col w:w="10040"/>
          </w:cols>
          <w:pgMar w:left="920" w:top="765" w:right="920" w:bottom="0" w:gutter="0" w:footer="0" w:header="0"/>
          <w:type w:val="continuous"/>
        </w:sectPr>
      </w:pPr>
    </w:p>
    <w:bookmarkStart w:id="85" w:name="page86"/>
    <w:bookmarkEnd w:id="85"/>
    <w:p>
      <w:pPr>
        <w:jc w:val="both"/>
        <w:ind w:left="7"/>
        <w:spacing w:after="0" w:line="312" w:lineRule="auto"/>
        <w:rPr>
          <w:sz w:val="20"/>
          <w:szCs w:val="20"/>
          <w:color w:val="auto"/>
        </w:rPr>
      </w:pPr>
      <w:r>
        <w:rPr>
          <w:rFonts w:ascii="Arial" w:cs="Arial" w:eastAsia="Arial" w:hAnsi="Arial"/>
          <w:sz w:val="17"/>
          <w:szCs w:val="17"/>
          <w:color w:val="auto"/>
        </w:rPr>
        <w:t>change in fair value of MRBs generally reflects impacts from actual policyholder behavior (including surrenders of the benefit), changes in interest rates, and changes in equity market returns. Generally higher interest rates and equity returns result in gains whereas lower interest rates and equity returns result in losses. Reinsured MRBs are valued using a methodology consistent with direct MRBs, with the exception of the non-performance spread which reflects the credit of the reinsurer.</w:t>
      </w:r>
    </w:p>
    <w:p>
      <w:pPr>
        <w:spacing w:after="0" w:line="42" w:lineRule="exact"/>
        <w:rPr>
          <w:sz w:val="20"/>
          <w:szCs w:val="20"/>
          <w:color w:val="auto"/>
        </w:rPr>
      </w:pPr>
    </w:p>
    <w:p>
      <w:pPr>
        <w:jc w:val="both"/>
        <w:ind w:left="7" w:firstLine="353"/>
        <w:spacing w:after="0" w:line="250" w:lineRule="auto"/>
        <w:rPr>
          <w:sz w:val="20"/>
          <w:szCs w:val="20"/>
          <w:color w:val="auto"/>
        </w:rPr>
      </w:pPr>
      <w:r>
        <w:rPr>
          <w:rFonts w:ascii="Arial" w:cs="Arial" w:eastAsia="Arial" w:hAnsi="Arial"/>
          <w:sz w:val="20"/>
          <w:szCs w:val="20"/>
          <w:color w:val="auto"/>
        </w:rPr>
        <w:t>Earnings from products accounted for as deposit liabilities are primarily generated from the excess of net investment income earned over the sum of interest credited to policyholders and the cost of hedging our risk on indexed annuity/IUL policies, which includes the expenses incurred to fund the index credit with respect to indexed annuities/IULs. Proceeds received upon expiration or early termination of equity options purchased to fund annual index credits are recorded as part of the change in fair value of derivatives and are largely offset by an expense for index credits earned on annuity contractholder fund balances.</w:t>
      </w:r>
    </w:p>
    <w:p>
      <w:pPr>
        <w:spacing w:after="0" w:line="84" w:lineRule="exact"/>
        <w:rPr>
          <w:sz w:val="20"/>
          <w:szCs w:val="20"/>
          <w:color w:val="auto"/>
        </w:rPr>
      </w:pPr>
    </w:p>
    <w:p>
      <w:pPr>
        <w:ind w:left="7"/>
        <w:spacing w:after="0"/>
        <w:rPr>
          <w:sz w:val="20"/>
          <w:szCs w:val="20"/>
          <w:color w:val="auto"/>
        </w:rPr>
      </w:pPr>
      <w:r>
        <w:rPr>
          <w:rFonts w:ascii="Arial" w:cs="Arial" w:eastAsia="Arial" w:hAnsi="Arial"/>
          <w:sz w:val="20"/>
          <w:szCs w:val="20"/>
          <w:b w:val="1"/>
          <w:bCs w:val="1"/>
          <w:i w:val="1"/>
          <w:iCs w:val="1"/>
          <w:color w:val="auto"/>
        </w:rPr>
        <w:t>F&amp;G Results of Operations</w:t>
      </w:r>
    </w:p>
    <w:p>
      <w:pPr>
        <w:spacing w:after="0" w:line="101" w:lineRule="exact"/>
        <w:rPr>
          <w:sz w:val="20"/>
          <w:szCs w:val="20"/>
          <w:color w:val="auto"/>
        </w:rPr>
      </w:pPr>
    </w:p>
    <w:p>
      <w:pPr>
        <w:ind w:left="347"/>
        <w:spacing w:after="0"/>
        <w:rPr>
          <w:sz w:val="20"/>
          <w:szCs w:val="20"/>
          <w:color w:val="auto"/>
        </w:rPr>
      </w:pPr>
      <w:r>
        <w:rPr>
          <w:rFonts w:ascii="Arial" w:cs="Arial" w:eastAsia="Arial" w:hAnsi="Arial"/>
          <w:sz w:val="17"/>
          <w:szCs w:val="17"/>
          <w:color w:val="auto"/>
        </w:rPr>
        <w:t>The results of operations of our F&amp;G segment for the years ended December 31, 2025, 2024, and 2023, were as follows:</w:t>
      </w:r>
    </w:p>
    <w:p>
      <w:pPr>
        <w:spacing w:after="0" w:line="167" w:lineRule="exact"/>
        <w:rPr>
          <w:sz w:val="20"/>
          <w:szCs w:val="20"/>
          <w:color w:val="auto"/>
        </w:rPr>
      </w:pPr>
    </w:p>
    <w:tbl>
      <w:tblPr>
        <w:tblLayout w:type="fixed"/>
        <w:tblInd w:w="47" w:type="dxa"/>
        <w:tblCellMar>
          <w:top w:w="0" w:type="dxa"/>
          <w:left w:w="0" w:type="dxa"/>
          <w:bottom w:w="0" w:type="dxa"/>
          <w:right w:w="0" w:type="dxa"/>
        </w:tblCellMar>
      </w:tblPr>
      <w:tr>
        <w:trPr>
          <w:trHeight w:val="213"/>
        </w:trPr>
        <w:tc>
          <w:tcPr>
            <w:tcW w:w="6380" w:type="dxa"/>
            <w:vAlign w:val="bottom"/>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2040" w:type="dxa"/>
            <w:vAlign w:val="bottom"/>
            <w:tcBorders>
              <w:bottom w:val="single" w:sz="8" w:color="auto"/>
            </w:tcBorders>
            <w:gridSpan w:val="6"/>
          </w:tcPr>
          <w:p>
            <w:pPr>
              <w:jc w:val="center"/>
              <w:ind w:left="42"/>
              <w:spacing w:after="0"/>
              <w:rPr>
                <w:sz w:val="20"/>
                <w:szCs w:val="20"/>
                <w:color w:val="auto"/>
              </w:rPr>
            </w:pPr>
            <w:r>
              <w:rPr>
                <w:rFonts w:ascii="Arial" w:cs="Arial" w:eastAsia="Arial" w:hAnsi="Arial"/>
                <w:sz w:val="16"/>
                <w:szCs w:val="16"/>
                <w:b w:val="1"/>
                <w:bCs w:val="1"/>
                <w:color w:val="auto"/>
                <w:w w:val="89"/>
              </w:rPr>
              <w:t>Year Ended December 31,</w:t>
            </w:r>
          </w:p>
        </w:tc>
        <w:tc>
          <w:tcPr>
            <w:tcW w:w="840" w:type="dxa"/>
            <w:vAlign w:val="bottom"/>
            <w:tcBorders>
              <w:bottom w:val="single" w:sz="8" w:color="auto"/>
            </w:tcBorders>
          </w:tcPr>
          <w:p>
            <w:pPr>
              <w:spacing w:after="0"/>
              <w:rPr>
                <w:sz w:val="18"/>
                <w:szCs w:val="18"/>
                <w:color w:val="auto"/>
              </w:rPr>
            </w:pPr>
          </w:p>
        </w:tc>
      </w:tr>
      <w:tr>
        <w:trPr>
          <w:trHeight w:val="201"/>
        </w:trPr>
        <w:tc>
          <w:tcPr>
            <w:tcW w:w="6380" w:type="dxa"/>
            <w:vAlign w:val="bottom"/>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2025</w:t>
            </w:r>
          </w:p>
        </w:tc>
        <w:tc>
          <w:tcPr>
            <w:tcW w:w="4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center"/>
              <w:ind w:right="82"/>
              <w:spacing w:after="0"/>
              <w:rPr>
                <w:sz w:val="20"/>
                <w:szCs w:val="20"/>
                <w:color w:val="auto"/>
              </w:rPr>
            </w:pPr>
            <w:r>
              <w:rPr>
                <w:rFonts w:ascii="Arial" w:cs="Arial" w:eastAsia="Arial" w:hAnsi="Arial"/>
                <w:sz w:val="16"/>
                <w:szCs w:val="16"/>
                <w:b w:val="1"/>
                <w:bCs w:val="1"/>
                <w:color w:val="auto"/>
                <w:w w:val="84"/>
              </w:rPr>
              <w:t>2024</w:t>
            </w:r>
          </w:p>
        </w:tc>
        <w:tc>
          <w:tcPr>
            <w:tcW w:w="6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42"/>
              <w:spacing w:after="0"/>
              <w:rPr>
                <w:sz w:val="20"/>
                <w:szCs w:val="20"/>
                <w:color w:val="auto"/>
              </w:rPr>
            </w:pPr>
            <w:r>
              <w:rPr>
                <w:rFonts w:ascii="Arial" w:cs="Arial" w:eastAsia="Arial" w:hAnsi="Arial"/>
                <w:sz w:val="16"/>
                <w:szCs w:val="16"/>
                <w:b w:val="1"/>
                <w:bCs w:val="1"/>
                <w:color w:val="auto"/>
              </w:rPr>
              <w:t>2023</w:t>
            </w:r>
          </w:p>
        </w:tc>
      </w:tr>
      <w:tr>
        <w:trPr>
          <w:trHeight w:val="216"/>
        </w:trPr>
        <w:tc>
          <w:tcPr>
            <w:tcW w:w="6380" w:type="dxa"/>
            <w:vAlign w:val="bottom"/>
          </w:tcPr>
          <w:p>
            <w:pPr>
              <w:spacing w:after="0"/>
              <w:rPr>
                <w:sz w:val="20"/>
                <w:szCs w:val="20"/>
                <w:color w:val="auto"/>
              </w:rPr>
            </w:pPr>
            <w:r>
              <w:rPr>
                <w:rFonts w:ascii="Arial" w:cs="Arial" w:eastAsia="Arial" w:hAnsi="Arial"/>
                <w:sz w:val="16"/>
                <w:szCs w:val="16"/>
                <w:b w:val="1"/>
                <w:bCs w:val="1"/>
                <w:color w:val="auto"/>
              </w:rPr>
              <w:t>Revenues</w:t>
            </w:r>
          </w:p>
        </w:tc>
        <w:tc>
          <w:tcPr>
            <w:tcW w:w="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center"/>
              <w:ind w:right="82"/>
              <w:spacing w:after="0"/>
              <w:rPr>
                <w:sz w:val="20"/>
                <w:szCs w:val="20"/>
                <w:color w:val="auto"/>
              </w:rPr>
            </w:pPr>
            <w:r>
              <w:rPr>
                <w:rFonts w:ascii="Arial" w:cs="Arial" w:eastAsia="Arial" w:hAnsi="Arial"/>
                <w:sz w:val="16"/>
                <w:szCs w:val="16"/>
                <w:b w:val="1"/>
                <w:bCs w:val="1"/>
                <w:color w:val="auto"/>
                <w:w w:val="91"/>
              </w:rPr>
              <w:t>(In millions)</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28"/>
        </w:trPr>
        <w:tc>
          <w:tcPr>
            <w:tcW w:w="6380" w:type="dxa"/>
            <w:vAlign w:val="bottom"/>
          </w:tcPr>
          <w:p>
            <w:pPr>
              <w:ind w:left="240"/>
              <w:spacing w:after="0"/>
              <w:rPr>
                <w:sz w:val="20"/>
                <w:szCs w:val="20"/>
                <w:color w:val="auto"/>
              </w:rPr>
            </w:pPr>
            <w:r>
              <w:rPr>
                <w:rFonts w:ascii="Arial" w:cs="Arial" w:eastAsia="Arial" w:hAnsi="Arial"/>
                <w:sz w:val="16"/>
                <w:szCs w:val="16"/>
                <w:color w:val="auto"/>
              </w:rPr>
              <w:t>Life insurance premiums and other fees</w:t>
            </w:r>
          </w:p>
        </w:tc>
        <w:tc>
          <w:tcPr>
            <w:tcW w:w="740" w:type="dxa"/>
            <w:vAlign w:val="bottom"/>
          </w:tcPr>
          <w:p>
            <w:pPr>
              <w:jc w:val="right"/>
              <w:ind w:right="542"/>
              <w:spacing w:after="0"/>
              <w:rPr>
                <w:sz w:val="20"/>
                <w:szCs w:val="20"/>
                <w:color w:val="auto"/>
              </w:rPr>
            </w:pPr>
            <w:r>
              <w:rPr>
                <w:rFonts w:ascii="Arial" w:cs="Arial" w:eastAsia="Arial" w:hAnsi="Arial"/>
                <w:sz w:val="16"/>
                <w:szCs w:val="16"/>
                <w:color w:val="auto"/>
              </w:rPr>
              <w:t>$</w:t>
            </w:r>
          </w:p>
        </w:tc>
        <w:tc>
          <w:tcPr>
            <w:tcW w:w="420" w:type="dxa"/>
            <w:vAlign w:val="bottom"/>
          </w:tcPr>
          <w:p>
            <w:pPr>
              <w:jc w:val="right"/>
              <w:spacing w:after="0"/>
              <w:rPr>
                <w:sz w:val="20"/>
                <w:szCs w:val="20"/>
                <w:color w:val="auto"/>
              </w:rPr>
            </w:pPr>
            <w:r>
              <w:rPr>
                <w:rFonts w:ascii="Arial" w:cs="Arial" w:eastAsia="Arial" w:hAnsi="Arial"/>
                <w:sz w:val="16"/>
                <w:szCs w:val="16"/>
                <w:color w:val="auto"/>
                <w:w w:val="84"/>
              </w:rPr>
              <w:t>2,795</w:t>
            </w:r>
          </w:p>
        </w:tc>
        <w:tc>
          <w:tcPr>
            <w:tcW w:w="22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2"/>
              <w:spacing w:after="0"/>
              <w:rPr>
                <w:sz w:val="20"/>
                <w:szCs w:val="20"/>
                <w:color w:val="auto"/>
              </w:rPr>
            </w:pPr>
            <w:r>
              <w:rPr>
                <w:rFonts w:ascii="Arial" w:cs="Arial" w:eastAsia="Arial" w:hAnsi="Arial"/>
                <w:sz w:val="16"/>
                <w:szCs w:val="16"/>
                <w:color w:val="auto"/>
              </w:rPr>
              <w:t>2,860</w:t>
            </w:r>
          </w:p>
        </w:tc>
        <w:tc>
          <w:tcPr>
            <w:tcW w:w="3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2,413</w:t>
            </w:r>
          </w:p>
        </w:tc>
      </w:tr>
      <w:tr>
        <w:trPr>
          <w:trHeight w:val="250"/>
        </w:trPr>
        <w:tc>
          <w:tcPr>
            <w:tcW w:w="6380" w:type="dxa"/>
            <w:vAlign w:val="bottom"/>
          </w:tcPr>
          <w:p>
            <w:pPr>
              <w:ind w:left="240"/>
              <w:spacing w:after="0"/>
              <w:rPr>
                <w:sz w:val="20"/>
                <w:szCs w:val="20"/>
                <w:color w:val="auto"/>
              </w:rPr>
            </w:pPr>
            <w:r>
              <w:rPr>
                <w:rFonts w:ascii="Arial" w:cs="Arial" w:eastAsia="Arial" w:hAnsi="Arial"/>
                <w:sz w:val="16"/>
                <w:szCs w:val="16"/>
                <w:color w:val="auto"/>
              </w:rPr>
              <w:t>Interest and investment income</w:t>
            </w:r>
          </w:p>
        </w:tc>
        <w:tc>
          <w:tcPr>
            <w:tcW w:w="74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w w:val="84"/>
              </w:rPr>
              <w:t>2,837</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jc w:val="right"/>
              <w:ind w:right="2"/>
              <w:spacing w:after="0"/>
              <w:rPr>
                <w:sz w:val="20"/>
                <w:szCs w:val="20"/>
                <w:color w:val="auto"/>
              </w:rPr>
            </w:pPr>
            <w:r>
              <w:rPr>
                <w:rFonts w:ascii="Arial" w:cs="Arial" w:eastAsia="Arial" w:hAnsi="Arial"/>
                <w:sz w:val="16"/>
                <w:szCs w:val="16"/>
                <w:color w:val="auto"/>
              </w:rPr>
              <w:t>2,719</w:t>
            </w: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2,211</w:t>
            </w:r>
          </w:p>
        </w:tc>
      </w:tr>
      <w:tr>
        <w:trPr>
          <w:trHeight w:val="250"/>
        </w:trPr>
        <w:tc>
          <w:tcPr>
            <w:tcW w:w="6380" w:type="dxa"/>
            <w:vAlign w:val="bottom"/>
          </w:tcPr>
          <w:p>
            <w:pPr>
              <w:ind w:left="240"/>
              <w:spacing w:after="0"/>
              <w:rPr>
                <w:sz w:val="20"/>
                <w:szCs w:val="20"/>
                <w:color w:val="auto"/>
              </w:rPr>
            </w:pPr>
            <w:r>
              <w:rPr>
                <w:rFonts w:ascii="Arial" w:cs="Arial" w:eastAsia="Arial" w:hAnsi="Arial"/>
                <w:sz w:val="16"/>
                <w:szCs w:val="16"/>
                <w:color w:val="auto"/>
              </w:rPr>
              <w:t>Owned distribution revenues</w:t>
            </w:r>
          </w:p>
        </w:tc>
        <w:tc>
          <w:tcPr>
            <w:tcW w:w="74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89</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jc w:val="right"/>
              <w:ind w:right="2"/>
              <w:spacing w:after="0"/>
              <w:rPr>
                <w:sz w:val="20"/>
                <w:szCs w:val="20"/>
                <w:color w:val="auto"/>
              </w:rPr>
            </w:pPr>
            <w:r>
              <w:rPr>
                <w:rFonts w:ascii="Arial" w:cs="Arial" w:eastAsia="Arial" w:hAnsi="Arial"/>
                <w:sz w:val="16"/>
                <w:szCs w:val="16"/>
                <w:color w:val="auto"/>
              </w:rPr>
              <w:t>81</w:t>
            </w: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57"/>
        </w:trPr>
        <w:tc>
          <w:tcPr>
            <w:tcW w:w="6380" w:type="dxa"/>
            <w:vAlign w:val="bottom"/>
          </w:tcPr>
          <w:p>
            <w:pPr>
              <w:ind w:left="240"/>
              <w:spacing w:after="0"/>
              <w:rPr>
                <w:sz w:val="20"/>
                <w:szCs w:val="20"/>
                <w:color w:val="auto"/>
              </w:rPr>
            </w:pPr>
            <w:r>
              <w:rPr>
                <w:rFonts w:ascii="Arial" w:cs="Arial" w:eastAsia="Arial" w:hAnsi="Arial"/>
                <w:sz w:val="16"/>
                <w:szCs w:val="16"/>
                <w:color w:val="auto"/>
              </w:rPr>
              <w:t>Recognized gains and (losses), net</w:t>
            </w:r>
          </w:p>
        </w:tc>
        <w:tc>
          <w:tcPr>
            <w:tcW w:w="74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w:t>
            </w:r>
          </w:p>
        </w:tc>
        <w:tc>
          <w:tcPr>
            <w:tcW w:w="8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84</w:t>
            </w:r>
          </w:p>
        </w:tc>
        <w:tc>
          <w:tcPr>
            <w:tcW w:w="6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(124)</w:t>
            </w:r>
          </w:p>
        </w:tc>
      </w:tr>
      <w:tr>
        <w:trPr>
          <w:trHeight w:val="223"/>
        </w:trPr>
        <w:tc>
          <w:tcPr>
            <w:tcW w:w="6380" w:type="dxa"/>
            <w:vAlign w:val="bottom"/>
          </w:tcPr>
          <w:p>
            <w:pPr>
              <w:ind w:left="480"/>
              <w:spacing w:after="0"/>
              <w:rPr>
                <w:sz w:val="20"/>
                <w:szCs w:val="20"/>
                <w:color w:val="auto"/>
              </w:rPr>
            </w:pPr>
            <w:r>
              <w:rPr>
                <w:rFonts w:ascii="Arial" w:cs="Arial" w:eastAsia="Arial" w:hAnsi="Arial"/>
                <w:sz w:val="16"/>
                <w:szCs w:val="16"/>
                <w:color w:val="auto"/>
              </w:rPr>
              <w:t>Total revenues</w:t>
            </w:r>
          </w:p>
        </w:tc>
        <w:tc>
          <w:tcPr>
            <w:tcW w:w="7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w w:val="84"/>
              </w:rPr>
              <w:t>5,731</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ind w:right="2"/>
              <w:spacing w:after="0"/>
              <w:rPr>
                <w:sz w:val="20"/>
                <w:szCs w:val="20"/>
                <w:color w:val="auto"/>
              </w:rPr>
            </w:pPr>
            <w:r>
              <w:rPr>
                <w:rFonts w:ascii="Arial" w:cs="Arial" w:eastAsia="Arial" w:hAnsi="Arial"/>
                <w:sz w:val="16"/>
                <w:szCs w:val="16"/>
                <w:color w:val="auto"/>
              </w:rPr>
              <w:t>5,744</w:t>
            </w: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4,500</w:t>
            </w:r>
          </w:p>
        </w:tc>
      </w:tr>
      <w:tr>
        <w:trPr>
          <w:trHeight w:val="250"/>
        </w:trPr>
        <w:tc>
          <w:tcPr>
            <w:tcW w:w="6380" w:type="dxa"/>
            <w:vAlign w:val="bottom"/>
          </w:tcPr>
          <w:p>
            <w:pPr>
              <w:spacing w:after="0"/>
              <w:rPr>
                <w:sz w:val="20"/>
                <w:szCs w:val="20"/>
                <w:color w:val="auto"/>
              </w:rPr>
            </w:pPr>
            <w:r>
              <w:rPr>
                <w:rFonts w:ascii="Arial" w:cs="Arial" w:eastAsia="Arial" w:hAnsi="Arial"/>
                <w:sz w:val="16"/>
                <w:szCs w:val="16"/>
                <w:b w:val="1"/>
                <w:bCs w:val="1"/>
                <w:color w:val="auto"/>
              </w:rPr>
              <w:t>Benefits and expenses</w:t>
            </w:r>
          </w:p>
        </w:tc>
        <w:tc>
          <w:tcPr>
            <w:tcW w:w="7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40" w:type="dxa"/>
            <w:vAlign w:val="bottom"/>
          </w:tcPr>
          <w:p>
            <w:pPr>
              <w:spacing w:after="0"/>
              <w:rPr>
                <w:sz w:val="21"/>
                <w:szCs w:val="21"/>
                <w:color w:val="auto"/>
              </w:rPr>
            </w:pPr>
          </w:p>
        </w:tc>
      </w:tr>
      <w:tr>
        <w:trPr>
          <w:trHeight w:val="250"/>
        </w:trPr>
        <w:tc>
          <w:tcPr>
            <w:tcW w:w="6380" w:type="dxa"/>
            <w:vAlign w:val="bottom"/>
          </w:tcPr>
          <w:p>
            <w:pPr>
              <w:ind w:left="240"/>
              <w:spacing w:after="0"/>
              <w:rPr>
                <w:sz w:val="20"/>
                <w:szCs w:val="20"/>
                <w:color w:val="auto"/>
              </w:rPr>
            </w:pPr>
            <w:r>
              <w:rPr>
                <w:rFonts w:ascii="Arial" w:cs="Arial" w:eastAsia="Arial" w:hAnsi="Arial"/>
                <w:sz w:val="16"/>
                <w:szCs w:val="16"/>
                <w:color w:val="auto"/>
              </w:rPr>
              <w:t>Benefits and other changes in policy reserves</w:t>
            </w:r>
          </w:p>
        </w:tc>
        <w:tc>
          <w:tcPr>
            <w:tcW w:w="74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w w:val="84"/>
              </w:rPr>
              <w:t>3,963</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jc w:val="right"/>
              <w:ind w:right="2"/>
              <w:spacing w:after="0"/>
              <w:rPr>
                <w:sz w:val="20"/>
                <w:szCs w:val="20"/>
                <w:color w:val="auto"/>
              </w:rPr>
            </w:pPr>
            <w:r>
              <w:rPr>
                <w:rFonts w:ascii="Arial" w:cs="Arial" w:eastAsia="Arial" w:hAnsi="Arial"/>
                <w:sz w:val="16"/>
                <w:szCs w:val="16"/>
                <w:color w:val="auto"/>
              </w:rPr>
              <w:t>3,791</w:t>
            </w: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3,553</w:t>
            </w:r>
          </w:p>
        </w:tc>
      </w:tr>
      <w:tr>
        <w:trPr>
          <w:trHeight w:val="250"/>
        </w:trPr>
        <w:tc>
          <w:tcPr>
            <w:tcW w:w="6380" w:type="dxa"/>
            <w:vAlign w:val="bottom"/>
          </w:tcPr>
          <w:p>
            <w:pPr>
              <w:ind w:left="240"/>
              <w:spacing w:after="0"/>
              <w:rPr>
                <w:sz w:val="20"/>
                <w:szCs w:val="20"/>
                <w:color w:val="auto"/>
              </w:rPr>
            </w:pPr>
            <w:r>
              <w:rPr>
                <w:rFonts w:ascii="Arial" w:cs="Arial" w:eastAsia="Arial" w:hAnsi="Arial"/>
                <w:sz w:val="16"/>
                <w:szCs w:val="16"/>
                <w:color w:val="auto"/>
              </w:rPr>
              <w:t>Market risk benefit losses (gains)</w:t>
            </w:r>
          </w:p>
        </w:tc>
        <w:tc>
          <w:tcPr>
            <w:tcW w:w="74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167</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(25)</w:t>
            </w: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95</w:t>
            </w:r>
          </w:p>
        </w:tc>
      </w:tr>
      <w:tr>
        <w:trPr>
          <w:trHeight w:val="250"/>
        </w:trPr>
        <w:tc>
          <w:tcPr>
            <w:tcW w:w="6380" w:type="dxa"/>
            <w:vAlign w:val="bottom"/>
          </w:tcPr>
          <w:p>
            <w:pPr>
              <w:ind w:left="240"/>
              <w:spacing w:after="0"/>
              <w:rPr>
                <w:sz w:val="20"/>
                <w:szCs w:val="20"/>
                <w:color w:val="auto"/>
              </w:rPr>
            </w:pPr>
            <w:r>
              <w:rPr>
                <w:rFonts w:ascii="Arial" w:cs="Arial" w:eastAsia="Arial" w:hAnsi="Arial"/>
                <w:sz w:val="16"/>
                <w:szCs w:val="16"/>
                <w:color w:val="auto"/>
              </w:rPr>
              <w:t>Depreciation and amortization</w:t>
            </w:r>
          </w:p>
        </w:tc>
        <w:tc>
          <w:tcPr>
            <w:tcW w:w="74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665</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jc w:val="right"/>
              <w:ind w:right="2"/>
              <w:spacing w:after="0"/>
              <w:rPr>
                <w:sz w:val="20"/>
                <w:szCs w:val="20"/>
                <w:color w:val="auto"/>
              </w:rPr>
            </w:pPr>
            <w:r>
              <w:rPr>
                <w:rFonts w:ascii="Arial" w:cs="Arial" w:eastAsia="Arial" w:hAnsi="Arial"/>
                <w:sz w:val="16"/>
                <w:szCs w:val="16"/>
                <w:color w:val="auto"/>
              </w:rPr>
              <w:t>569</w:t>
            </w: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412</w:t>
            </w:r>
          </w:p>
        </w:tc>
      </w:tr>
      <w:tr>
        <w:trPr>
          <w:trHeight w:val="250"/>
        </w:trPr>
        <w:tc>
          <w:tcPr>
            <w:tcW w:w="6380" w:type="dxa"/>
            <w:vAlign w:val="bottom"/>
          </w:tcPr>
          <w:p>
            <w:pPr>
              <w:ind w:left="240"/>
              <w:spacing w:after="0"/>
              <w:rPr>
                <w:sz w:val="20"/>
                <w:szCs w:val="20"/>
                <w:color w:val="auto"/>
              </w:rPr>
            </w:pPr>
            <w:r>
              <w:rPr>
                <w:rFonts w:ascii="Arial" w:cs="Arial" w:eastAsia="Arial" w:hAnsi="Arial"/>
                <w:sz w:val="16"/>
                <w:szCs w:val="16"/>
                <w:color w:val="auto"/>
              </w:rPr>
              <w:t>Personnel costs</w:t>
            </w:r>
          </w:p>
        </w:tc>
        <w:tc>
          <w:tcPr>
            <w:tcW w:w="74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293</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jc w:val="right"/>
              <w:ind w:right="2"/>
              <w:spacing w:after="0"/>
              <w:rPr>
                <w:sz w:val="20"/>
                <w:szCs w:val="20"/>
                <w:color w:val="auto"/>
              </w:rPr>
            </w:pPr>
            <w:r>
              <w:rPr>
                <w:rFonts w:ascii="Arial" w:cs="Arial" w:eastAsia="Arial" w:hAnsi="Arial"/>
                <w:sz w:val="16"/>
                <w:szCs w:val="16"/>
                <w:color w:val="auto"/>
              </w:rPr>
              <w:t>296</w:t>
            </w: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232</w:t>
            </w:r>
          </w:p>
        </w:tc>
      </w:tr>
      <w:tr>
        <w:trPr>
          <w:trHeight w:val="250"/>
        </w:trPr>
        <w:tc>
          <w:tcPr>
            <w:tcW w:w="6380" w:type="dxa"/>
            <w:vAlign w:val="bottom"/>
          </w:tcPr>
          <w:p>
            <w:pPr>
              <w:ind w:left="240"/>
              <w:spacing w:after="0"/>
              <w:rPr>
                <w:sz w:val="20"/>
                <w:szCs w:val="20"/>
                <w:color w:val="auto"/>
              </w:rPr>
            </w:pPr>
            <w:r>
              <w:rPr>
                <w:rFonts w:ascii="Arial" w:cs="Arial" w:eastAsia="Arial" w:hAnsi="Arial"/>
                <w:sz w:val="16"/>
                <w:szCs w:val="16"/>
                <w:color w:val="auto"/>
              </w:rPr>
              <w:t>Other operating expenses</w:t>
            </w:r>
          </w:p>
        </w:tc>
        <w:tc>
          <w:tcPr>
            <w:tcW w:w="74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156</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jc w:val="right"/>
              <w:ind w:right="2"/>
              <w:spacing w:after="0"/>
              <w:rPr>
                <w:sz w:val="20"/>
                <w:szCs w:val="20"/>
                <w:color w:val="auto"/>
              </w:rPr>
            </w:pPr>
            <w:r>
              <w:rPr>
                <w:rFonts w:ascii="Arial" w:cs="Arial" w:eastAsia="Arial" w:hAnsi="Arial"/>
                <w:sz w:val="16"/>
                <w:szCs w:val="16"/>
                <w:color w:val="auto"/>
              </w:rPr>
              <w:t>203</w:t>
            </w: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146</w:t>
            </w:r>
          </w:p>
        </w:tc>
      </w:tr>
      <w:tr>
        <w:trPr>
          <w:trHeight w:val="257"/>
        </w:trPr>
        <w:tc>
          <w:tcPr>
            <w:tcW w:w="6380" w:type="dxa"/>
            <w:vAlign w:val="bottom"/>
          </w:tcPr>
          <w:p>
            <w:pPr>
              <w:ind w:left="240"/>
              <w:spacing w:after="0"/>
              <w:rPr>
                <w:sz w:val="20"/>
                <w:szCs w:val="20"/>
                <w:color w:val="auto"/>
              </w:rPr>
            </w:pPr>
            <w:r>
              <w:rPr>
                <w:rFonts w:ascii="Arial" w:cs="Arial" w:eastAsia="Arial" w:hAnsi="Arial"/>
                <w:sz w:val="16"/>
                <w:szCs w:val="16"/>
                <w:color w:val="auto"/>
              </w:rPr>
              <w:t>Interest expense</w:t>
            </w:r>
          </w:p>
        </w:tc>
        <w:tc>
          <w:tcPr>
            <w:tcW w:w="74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164</w:t>
            </w:r>
          </w:p>
        </w:tc>
        <w:tc>
          <w:tcPr>
            <w:tcW w:w="8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132</w:t>
            </w:r>
          </w:p>
        </w:tc>
        <w:tc>
          <w:tcPr>
            <w:tcW w:w="6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97</w:t>
            </w:r>
          </w:p>
        </w:tc>
      </w:tr>
      <w:tr>
        <w:trPr>
          <w:trHeight w:val="230"/>
        </w:trPr>
        <w:tc>
          <w:tcPr>
            <w:tcW w:w="6380" w:type="dxa"/>
            <w:vAlign w:val="bottom"/>
          </w:tcPr>
          <w:p>
            <w:pPr>
              <w:ind w:left="480"/>
              <w:spacing w:after="0"/>
              <w:rPr>
                <w:sz w:val="20"/>
                <w:szCs w:val="20"/>
                <w:color w:val="auto"/>
              </w:rPr>
            </w:pPr>
            <w:r>
              <w:rPr>
                <w:rFonts w:ascii="Arial" w:cs="Arial" w:eastAsia="Arial" w:hAnsi="Arial"/>
                <w:sz w:val="16"/>
                <w:szCs w:val="16"/>
                <w:color w:val="auto"/>
              </w:rPr>
              <w:t>Total benefits and expenses</w:t>
            </w:r>
          </w:p>
        </w:tc>
        <w:tc>
          <w:tcPr>
            <w:tcW w:w="7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4"/>
              </w:rPr>
              <w:t>5,408</w:t>
            </w:r>
          </w:p>
        </w:tc>
        <w:tc>
          <w:tcPr>
            <w:tcW w:w="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4,966</w:t>
            </w:r>
          </w:p>
        </w:tc>
        <w:tc>
          <w:tcPr>
            <w:tcW w:w="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4,535</w:t>
            </w:r>
          </w:p>
        </w:tc>
      </w:tr>
      <w:tr>
        <w:trPr>
          <w:trHeight w:val="210"/>
        </w:trPr>
        <w:tc>
          <w:tcPr>
            <w:tcW w:w="6380" w:type="dxa"/>
            <w:vAlign w:val="bottom"/>
          </w:tcPr>
          <w:p>
            <w:pPr>
              <w:spacing w:after="0"/>
              <w:rPr>
                <w:sz w:val="20"/>
                <w:szCs w:val="20"/>
                <w:color w:val="auto"/>
              </w:rPr>
            </w:pPr>
            <w:r>
              <w:rPr>
                <w:rFonts w:ascii="Arial" w:cs="Arial" w:eastAsia="Arial" w:hAnsi="Arial"/>
                <w:sz w:val="16"/>
                <w:szCs w:val="16"/>
                <w:color w:val="auto"/>
              </w:rPr>
              <w:t>Earnings (loss) before income taxes and equity in earnings of unconsolidated affiliates</w:t>
            </w:r>
          </w:p>
        </w:tc>
        <w:tc>
          <w:tcPr>
            <w:tcW w:w="740" w:type="dxa"/>
            <w:vAlign w:val="bottom"/>
          </w:tcPr>
          <w:p>
            <w:pPr>
              <w:jc w:val="right"/>
              <w:ind w:right="542"/>
              <w:spacing w:after="0"/>
              <w:rPr>
                <w:sz w:val="20"/>
                <w:szCs w:val="20"/>
                <w:color w:val="auto"/>
              </w:rPr>
            </w:pPr>
            <w:r>
              <w:rPr>
                <w:rFonts w:ascii="Arial" w:cs="Arial" w:eastAsia="Arial" w:hAnsi="Arial"/>
                <w:sz w:val="16"/>
                <w:szCs w:val="16"/>
                <w:color w:val="auto"/>
              </w:rPr>
              <w:t>$</w:t>
            </w:r>
          </w:p>
        </w:tc>
        <w:tc>
          <w:tcPr>
            <w:tcW w:w="420" w:type="dxa"/>
            <w:vAlign w:val="bottom"/>
          </w:tcPr>
          <w:p>
            <w:pPr>
              <w:jc w:val="right"/>
              <w:spacing w:after="0"/>
              <w:rPr>
                <w:sz w:val="20"/>
                <w:szCs w:val="20"/>
                <w:color w:val="auto"/>
              </w:rPr>
            </w:pPr>
            <w:r>
              <w:rPr>
                <w:rFonts w:ascii="Arial" w:cs="Arial" w:eastAsia="Arial" w:hAnsi="Arial"/>
                <w:sz w:val="16"/>
                <w:szCs w:val="16"/>
                <w:color w:val="auto"/>
              </w:rPr>
              <w:t>323</w:t>
            </w:r>
          </w:p>
        </w:tc>
        <w:tc>
          <w:tcPr>
            <w:tcW w:w="22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2"/>
              <w:spacing w:after="0"/>
              <w:rPr>
                <w:sz w:val="20"/>
                <w:szCs w:val="20"/>
                <w:color w:val="auto"/>
              </w:rPr>
            </w:pPr>
            <w:r>
              <w:rPr>
                <w:rFonts w:ascii="Arial" w:cs="Arial" w:eastAsia="Arial" w:hAnsi="Arial"/>
                <w:sz w:val="16"/>
                <w:szCs w:val="16"/>
                <w:color w:val="auto"/>
              </w:rPr>
              <w:t>778</w:t>
            </w:r>
          </w:p>
        </w:tc>
        <w:tc>
          <w:tcPr>
            <w:tcW w:w="3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(35)</w:t>
            </w:r>
          </w:p>
        </w:tc>
      </w:tr>
      <w:tr>
        <w:trPr>
          <w:trHeight w:val="20"/>
        </w:trPr>
        <w:tc>
          <w:tcPr>
            <w:tcW w:w="63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-2252345</wp:posOffset>
            </wp:positionV>
            <wp:extent cx="6410325" cy="225933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42">
                      <a:extLst>
                        <a:ext uri="{28A0092B-C50C-407E-A947-70E740481C1C}"/>
                      </a:extLst>
                    </a:blip>
                    <a:srcRect/>
                    <a:stretch>
                      <a:fillRect/>
                    </a:stretch>
                  </pic:blipFill>
                  <pic:spPr bwMode="auto">
                    <a:xfrm>
                      <a:off x="0" y="0"/>
                      <a:ext cx="6410325" cy="2259330"/>
                    </a:xfrm>
                    <a:prstGeom prst="rect">
                      <a:avLst/>
                    </a:prstGeom>
                    <a:noFill/>
                  </pic:spPr>
                </pic:pic>
              </a:graphicData>
            </a:graphic>
          </wp:anchor>
        </w:drawing>
      </w:r>
    </w:p>
    <w:p>
      <w:pPr>
        <w:spacing w:after="0" w:line="98" w:lineRule="exact"/>
        <w:rPr>
          <w:sz w:val="20"/>
          <w:szCs w:val="20"/>
          <w:color w:val="auto"/>
        </w:rPr>
      </w:pPr>
    </w:p>
    <w:p>
      <w:pPr>
        <w:ind w:left="7"/>
        <w:spacing w:after="0"/>
        <w:rPr>
          <w:sz w:val="20"/>
          <w:szCs w:val="20"/>
          <w:color w:val="auto"/>
        </w:rPr>
      </w:pPr>
      <w:r>
        <w:rPr>
          <w:rFonts w:ascii="Arial" w:cs="Arial" w:eastAsia="Arial" w:hAnsi="Arial"/>
          <w:sz w:val="20"/>
          <w:szCs w:val="20"/>
          <w:b w:val="1"/>
          <w:bCs w:val="1"/>
          <w:color w:val="auto"/>
        </w:rPr>
        <w:t>Revenues</w:t>
      </w:r>
    </w:p>
    <w:p>
      <w:pPr>
        <w:spacing w:after="0" w:line="103" w:lineRule="exact"/>
        <w:rPr>
          <w:sz w:val="20"/>
          <w:szCs w:val="20"/>
          <w:color w:val="auto"/>
        </w:rPr>
      </w:pPr>
    </w:p>
    <w:p>
      <w:pPr>
        <w:ind w:left="227"/>
        <w:spacing w:after="0"/>
        <w:rPr>
          <w:sz w:val="20"/>
          <w:szCs w:val="20"/>
          <w:color w:val="auto"/>
        </w:rPr>
      </w:pPr>
      <w:r>
        <w:rPr>
          <w:rFonts w:ascii="Arial" w:cs="Arial" w:eastAsia="Arial" w:hAnsi="Arial"/>
          <w:sz w:val="20"/>
          <w:szCs w:val="20"/>
          <w:b w:val="1"/>
          <w:bCs w:val="1"/>
          <w:color w:val="auto"/>
        </w:rPr>
        <w:t>Life insurance premiums and other fees</w:t>
      </w:r>
    </w:p>
    <w:p>
      <w:pPr>
        <w:spacing w:after="0" w:line="110" w:lineRule="exact"/>
        <w:rPr>
          <w:sz w:val="20"/>
          <w:szCs w:val="20"/>
          <w:color w:val="auto"/>
        </w:rPr>
      </w:pPr>
    </w:p>
    <w:p>
      <w:pPr>
        <w:jc w:val="both"/>
        <w:ind w:left="7" w:firstLine="353"/>
        <w:spacing w:after="0" w:line="263" w:lineRule="auto"/>
        <w:rPr>
          <w:sz w:val="20"/>
          <w:szCs w:val="20"/>
          <w:color w:val="auto"/>
        </w:rPr>
      </w:pPr>
      <w:r>
        <w:rPr>
          <w:rFonts w:ascii="Arial" w:cs="Arial" w:eastAsia="Arial" w:hAnsi="Arial"/>
          <w:sz w:val="19"/>
          <w:szCs w:val="19"/>
          <w:color w:val="auto"/>
        </w:rPr>
        <w:t>Life insurance premiums and other fees primarily reflect premiums on life-contingent PRTs and traditional life insurance products, which are recognized as revenue when due from the policyholder, as well as policy rider fees primarily on indexed annuity policies, the cost of insurance on IUL policies and surrender charges assessed against policy withdrawals in excess of the policyholder's allowable penalty-free amounts (up to 10% of the prior year's value, subject to certain limitations). The following table summarizes the Life insurance premiums and other fees, on the Consolidated Statements of Earnings for the years ended December 31, 2025, 2024, and 2023:</w:t>
      </w:r>
    </w:p>
    <w:p>
      <w:pPr>
        <w:spacing w:after="0" w:line="4" w:lineRule="exact"/>
        <w:rPr>
          <w:sz w:val="20"/>
          <w:szCs w:val="20"/>
          <w:color w:val="auto"/>
        </w:rPr>
      </w:pPr>
    </w:p>
    <w:tbl>
      <w:tblPr>
        <w:tblLayout w:type="fixed"/>
        <w:tblInd w:w="47" w:type="dxa"/>
        <w:tblCellMar>
          <w:top w:w="0" w:type="dxa"/>
          <w:left w:w="0" w:type="dxa"/>
          <w:bottom w:w="0" w:type="dxa"/>
          <w:right w:w="0" w:type="dxa"/>
        </w:tblCellMar>
      </w:tblPr>
      <w:tr>
        <w:trPr>
          <w:trHeight w:val="213"/>
        </w:trPr>
        <w:tc>
          <w:tcPr>
            <w:tcW w:w="64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520" w:type="dxa"/>
            <w:vAlign w:val="bottom"/>
            <w:tcBorders>
              <w:bottom w:val="single" w:sz="8" w:color="auto"/>
            </w:tcBorders>
            <w:gridSpan w:val="6"/>
          </w:tcPr>
          <w:p>
            <w:pPr>
              <w:jc w:val="center"/>
              <w:ind w:left="482"/>
              <w:spacing w:after="0"/>
              <w:rPr>
                <w:sz w:val="20"/>
                <w:szCs w:val="20"/>
                <w:color w:val="auto"/>
              </w:rPr>
            </w:pPr>
            <w:r>
              <w:rPr>
                <w:rFonts w:ascii="Arial" w:cs="Arial" w:eastAsia="Arial" w:hAnsi="Arial"/>
                <w:sz w:val="16"/>
                <w:szCs w:val="16"/>
                <w:b w:val="1"/>
                <w:bCs w:val="1"/>
                <w:color w:val="auto"/>
                <w:w w:val="89"/>
              </w:rPr>
              <w:t>Year Ended December 31,</w:t>
            </w:r>
          </w:p>
        </w:tc>
        <w:tc>
          <w:tcPr>
            <w:tcW w:w="820" w:type="dxa"/>
            <w:vAlign w:val="bottom"/>
            <w:tcBorders>
              <w:bottom w:val="single" w:sz="8" w:color="auto"/>
            </w:tcBorders>
          </w:tcPr>
          <w:p>
            <w:pPr>
              <w:spacing w:after="0"/>
              <w:rPr>
                <w:sz w:val="18"/>
                <w:szCs w:val="18"/>
                <w:color w:val="auto"/>
              </w:rPr>
            </w:pPr>
          </w:p>
        </w:tc>
      </w:tr>
      <w:tr>
        <w:trPr>
          <w:trHeight w:val="200"/>
        </w:trPr>
        <w:tc>
          <w:tcPr>
            <w:tcW w:w="64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22"/>
              <w:spacing w:after="0"/>
              <w:rPr>
                <w:sz w:val="20"/>
                <w:szCs w:val="20"/>
                <w:color w:val="auto"/>
              </w:rPr>
            </w:pPr>
            <w:r>
              <w:rPr>
                <w:rFonts w:ascii="Arial" w:cs="Arial" w:eastAsia="Arial" w:hAnsi="Arial"/>
                <w:sz w:val="16"/>
                <w:szCs w:val="16"/>
                <w:b w:val="1"/>
                <w:bCs w:val="1"/>
                <w:color w:val="auto"/>
              </w:rPr>
              <w:t>2025</w:t>
            </w:r>
          </w:p>
        </w:tc>
        <w:tc>
          <w:tcPr>
            <w:tcW w:w="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center"/>
              <w:ind w:right="82"/>
              <w:spacing w:after="0"/>
              <w:rPr>
                <w:sz w:val="20"/>
                <w:szCs w:val="20"/>
                <w:color w:val="auto"/>
              </w:rPr>
            </w:pPr>
            <w:r>
              <w:rPr>
                <w:rFonts w:ascii="Arial" w:cs="Arial" w:eastAsia="Arial" w:hAnsi="Arial"/>
                <w:sz w:val="16"/>
                <w:szCs w:val="16"/>
                <w:b w:val="1"/>
                <w:bCs w:val="1"/>
                <w:color w:val="auto"/>
                <w:w w:val="84"/>
              </w:rPr>
              <w:t>2024</w:t>
            </w:r>
          </w:p>
        </w:tc>
        <w:tc>
          <w:tcPr>
            <w:tcW w:w="6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42"/>
              <w:spacing w:after="0"/>
              <w:rPr>
                <w:sz w:val="20"/>
                <w:szCs w:val="20"/>
                <w:color w:val="auto"/>
              </w:rPr>
            </w:pPr>
            <w:r>
              <w:rPr>
                <w:rFonts w:ascii="Arial" w:cs="Arial" w:eastAsia="Arial" w:hAnsi="Arial"/>
                <w:sz w:val="16"/>
                <w:szCs w:val="16"/>
                <w:b w:val="1"/>
                <w:bCs w:val="1"/>
                <w:color w:val="auto"/>
              </w:rPr>
              <w:t>2023</w:t>
            </w:r>
          </w:p>
        </w:tc>
      </w:tr>
      <w:tr>
        <w:trPr>
          <w:trHeight w:val="206"/>
        </w:trPr>
        <w:tc>
          <w:tcPr>
            <w:tcW w:w="6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jc w:val="center"/>
              <w:ind w:right="62"/>
              <w:spacing w:after="0"/>
              <w:rPr>
                <w:sz w:val="20"/>
                <w:szCs w:val="20"/>
                <w:color w:val="auto"/>
              </w:rPr>
            </w:pPr>
            <w:r>
              <w:rPr>
                <w:rFonts w:ascii="Arial" w:cs="Arial" w:eastAsia="Arial" w:hAnsi="Arial"/>
                <w:sz w:val="16"/>
                <w:szCs w:val="16"/>
                <w:b w:val="1"/>
                <w:bCs w:val="1"/>
                <w:color w:val="auto"/>
                <w:w w:val="93"/>
              </w:rPr>
              <w:t>(In millions)</w:t>
            </w: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38"/>
        </w:trPr>
        <w:tc>
          <w:tcPr>
            <w:tcW w:w="6400" w:type="dxa"/>
            <w:vAlign w:val="bottom"/>
          </w:tcPr>
          <w:p>
            <w:pPr>
              <w:spacing w:after="0"/>
              <w:rPr>
                <w:sz w:val="20"/>
                <w:szCs w:val="20"/>
                <w:color w:val="auto"/>
              </w:rPr>
            </w:pPr>
            <w:r>
              <w:rPr>
                <w:rFonts w:ascii="Arial" w:cs="Arial" w:eastAsia="Arial" w:hAnsi="Arial"/>
                <w:sz w:val="16"/>
                <w:szCs w:val="16"/>
                <w:color w:val="auto"/>
              </w:rPr>
              <w:t>Life-contingent pension risk transfer premiums</w:t>
            </w:r>
          </w:p>
        </w:tc>
        <w:tc>
          <w:tcPr>
            <w:tcW w:w="260" w:type="dxa"/>
            <w:vAlign w:val="bottom"/>
          </w:tcPr>
          <w:p>
            <w:pPr>
              <w:jc w:val="right"/>
              <w:ind w:right="62"/>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2,108</w:t>
            </w:r>
          </w:p>
        </w:tc>
        <w:tc>
          <w:tcPr>
            <w:tcW w:w="24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2,217</w:t>
            </w:r>
          </w:p>
        </w:tc>
        <w:tc>
          <w:tcPr>
            <w:tcW w:w="4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1,964</w:t>
            </w:r>
          </w:p>
        </w:tc>
      </w:tr>
      <w:tr>
        <w:trPr>
          <w:trHeight w:val="250"/>
        </w:trPr>
        <w:tc>
          <w:tcPr>
            <w:tcW w:w="6400" w:type="dxa"/>
            <w:vAlign w:val="bottom"/>
          </w:tcPr>
          <w:p>
            <w:pPr>
              <w:spacing w:after="0"/>
              <w:rPr>
                <w:sz w:val="20"/>
                <w:szCs w:val="20"/>
                <w:color w:val="auto"/>
              </w:rPr>
            </w:pPr>
            <w:r>
              <w:rPr>
                <w:rFonts w:ascii="Arial" w:cs="Arial" w:eastAsia="Arial" w:hAnsi="Arial"/>
                <w:sz w:val="16"/>
                <w:szCs w:val="16"/>
                <w:color w:val="auto"/>
              </w:rPr>
              <w:t>Traditional life insurance and life-contingent immediate annuity premiums</w:t>
            </w: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30</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35</w:t>
            </w:r>
          </w:p>
        </w:tc>
        <w:tc>
          <w:tcPr>
            <w:tcW w:w="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43</w:t>
            </w:r>
          </w:p>
        </w:tc>
      </w:tr>
      <w:tr>
        <w:trPr>
          <w:trHeight w:val="250"/>
        </w:trPr>
        <w:tc>
          <w:tcPr>
            <w:tcW w:w="6400" w:type="dxa"/>
            <w:vAlign w:val="bottom"/>
          </w:tcPr>
          <w:p>
            <w:pPr>
              <w:spacing w:after="0"/>
              <w:rPr>
                <w:sz w:val="20"/>
                <w:szCs w:val="20"/>
                <w:color w:val="auto"/>
              </w:rPr>
            </w:pPr>
            <w:r>
              <w:rPr>
                <w:rFonts w:ascii="Arial" w:cs="Arial" w:eastAsia="Arial" w:hAnsi="Arial"/>
                <w:sz w:val="16"/>
                <w:szCs w:val="16"/>
                <w:color w:val="auto"/>
              </w:rPr>
              <w:t>Surrender charges</w:t>
            </w: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253</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268</w:t>
            </w:r>
          </w:p>
        </w:tc>
        <w:tc>
          <w:tcPr>
            <w:tcW w:w="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103</w:t>
            </w:r>
          </w:p>
        </w:tc>
      </w:tr>
      <w:tr>
        <w:trPr>
          <w:trHeight w:val="257"/>
        </w:trPr>
        <w:tc>
          <w:tcPr>
            <w:tcW w:w="6400" w:type="dxa"/>
            <w:vAlign w:val="bottom"/>
          </w:tcPr>
          <w:p>
            <w:pPr>
              <w:spacing w:after="0"/>
              <w:rPr>
                <w:sz w:val="20"/>
                <w:szCs w:val="20"/>
                <w:color w:val="auto"/>
              </w:rPr>
            </w:pPr>
            <w:r>
              <w:rPr>
                <w:rFonts w:ascii="Arial" w:cs="Arial" w:eastAsia="Arial" w:hAnsi="Arial"/>
                <w:sz w:val="16"/>
                <w:szCs w:val="16"/>
                <w:color w:val="auto"/>
              </w:rPr>
              <w:t>Policyholder fees and other income</w:t>
            </w: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404</w:t>
            </w:r>
          </w:p>
        </w:tc>
        <w:tc>
          <w:tcPr>
            <w:tcW w:w="8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340</w:t>
            </w:r>
          </w:p>
        </w:tc>
        <w:tc>
          <w:tcPr>
            <w:tcW w:w="6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303</w:t>
            </w:r>
          </w:p>
        </w:tc>
      </w:tr>
      <w:tr>
        <w:trPr>
          <w:trHeight w:val="210"/>
        </w:trPr>
        <w:tc>
          <w:tcPr>
            <w:tcW w:w="6400" w:type="dxa"/>
            <w:vAlign w:val="bottom"/>
          </w:tcPr>
          <w:p>
            <w:pPr>
              <w:ind w:left="220"/>
              <w:spacing w:after="0"/>
              <w:rPr>
                <w:sz w:val="20"/>
                <w:szCs w:val="20"/>
                <w:color w:val="auto"/>
              </w:rPr>
            </w:pPr>
            <w:r>
              <w:rPr>
                <w:rFonts w:ascii="Arial" w:cs="Arial" w:eastAsia="Arial" w:hAnsi="Arial"/>
                <w:sz w:val="16"/>
                <w:szCs w:val="16"/>
                <w:b w:val="1"/>
                <w:bCs w:val="1"/>
                <w:color w:val="auto"/>
              </w:rPr>
              <w:t>Life insurance premiums and other fees (a)</w:t>
            </w:r>
          </w:p>
        </w:tc>
        <w:tc>
          <w:tcPr>
            <w:tcW w:w="260" w:type="dxa"/>
            <w:vAlign w:val="bottom"/>
          </w:tcPr>
          <w:p>
            <w:pPr>
              <w:jc w:val="right"/>
              <w:ind w:right="62"/>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2,795</w:t>
            </w:r>
          </w:p>
        </w:tc>
        <w:tc>
          <w:tcPr>
            <w:tcW w:w="24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2,860</w:t>
            </w:r>
          </w:p>
        </w:tc>
        <w:tc>
          <w:tcPr>
            <w:tcW w:w="4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2,413</w:t>
            </w:r>
          </w:p>
        </w:tc>
      </w:tr>
      <w:tr>
        <w:trPr>
          <w:trHeight w:val="20"/>
        </w:trPr>
        <w:tc>
          <w:tcPr>
            <w:tcW w:w="64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-824230</wp:posOffset>
            </wp:positionV>
            <wp:extent cx="6410325" cy="83121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43">
                      <a:extLst>
                        <a:ext uri="{28A0092B-C50C-407E-A947-70E740481C1C}"/>
                      </a:extLst>
                    </a:blip>
                    <a:srcRect/>
                    <a:stretch>
                      <a:fillRect/>
                    </a:stretch>
                  </pic:blipFill>
                  <pic:spPr bwMode="auto">
                    <a:xfrm>
                      <a:off x="0" y="0"/>
                      <a:ext cx="6410325" cy="831215"/>
                    </a:xfrm>
                    <a:prstGeom prst="rect">
                      <a:avLst/>
                    </a:prstGeom>
                    <a:noFill/>
                  </pic:spPr>
                </pic:pic>
              </a:graphicData>
            </a:graphic>
          </wp:anchor>
        </w:drawing>
      </w:r>
    </w:p>
    <w:p>
      <w:pPr>
        <w:ind w:left="7" w:right="160" w:hanging="7"/>
        <w:spacing w:after="0" w:line="271" w:lineRule="auto"/>
        <w:tabs>
          <w:tab w:leader="none" w:pos="221" w:val="left"/>
        </w:tabs>
        <w:numPr>
          <w:ilvl w:val="0"/>
          <w:numId w:val="31"/>
        </w:numPr>
        <w:rPr>
          <w:rFonts w:ascii="Arial" w:cs="Arial" w:eastAsia="Arial" w:hAnsi="Arial"/>
          <w:sz w:val="16"/>
          <w:szCs w:val="16"/>
          <w:color w:val="auto"/>
        </w:rPr>
      </w:pPr>
      <w:r>
        <w:rPr>
          <w:rFonts w:ascii="Arial" w:cs="Arial" w:eastAsia="Arial" w:hAnsi="Arial"/>
          <w:sz w:val="16"/>
          <w:szCs w:val="16"/>
          <w:color w:val="auto"/>
        </w:rPr>
        <w:t>Reported net of ceded premiums of $85 million, $94 million, and $105 million and ceded product fees of $60 million, $47 million, and $49 million for the years ended December 31, 2025, 2024, and 2023, respectively</w:t>
      </w:r>
    </w:p>
    <w:p>
      <w:pPr>
        <w:spacing w:after="0" w:line="215" w:lineRule="exact"/>
        <w:rPr>
          <w:rFonts w:ascii="Arial" w:cs="Arial" w:eastAsia="Arial" w:hAnsi="Arial"/>
          <w:sz w:val="16"/>
          <w:szCs w:val="16"/>
          <w:color w:val="auto"/>
        </w:rPr>
      </w:pPr>
    </w:p>
    <w:p>
      <w:pPr>
        <w:jc w:val="both"/>
        <w:ind w:left="707" w:hanging="355"/>
        <w:spacing w:after="0" w:line="254" w:lineRule="auto"/>
        <w:tabs>
          <w:tab w:leader="none" w:pos="707" w:val="left"/>
        </w:tabs>
        <w:numPr>
          <w:ilvl w:val="1"/>
          <w:numId w:val="31"/>
        </w:numPr>
        <w:rPr>
          <w:rFonts w:ascii="Arial" w:cs="Arial" w:eastAsia="Arial" w:hAnsi="Arial"/>
          <w:sz w:val="20"/>
          <w:szCs w:val="20"/>
          <w:color w:val="auto"/>
        </w:rPr>
      </w:pPr>
      <w:r>
        <w:rPr>
          <w:rFonts w:ascii="Arial" w:cs="Arial" w:eastAsia="Arial" w:hAnsi="Arial"/>
          <w:sz w:val="20"/>
          <w:szCs w:val="20"/>
          <w:color w:val="auto"/>
        </w:rPr>
        <w:t>Life-contingent pension risk transfer premiums were modestly lower during the year ended December 31, 2025 compared to the year ended December 31, 2024, and higher for the year ended December 31, 2024 compared to the year ended December 31, 2023, reflecting the timing of PRT transactions. PRT premiums are subject to fluctuation period to period.</w:t>
      </w:r>
    </w:p>
    <w:p>
      <w:pPr>
        <w:sectPr>
          <w:pgSz w:w="11880" w:h="15480" w:orient="portrait"/>
          <w:cols w:equalWidth="0" w:num="1">
            <w:col w:w="10047"/>
          </w:cols>
          <w:pgMar w:left="913" w:top="772"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6"/>
        <w:spacing w:after="0"/>
        <w:rPr>
          <w:sz w:val="20"/>
          <w:szCs w:val="20"/>
          <w:color w:val="auto"/>
        </w:rPr>
      </w:pPr>
      <w:r>
        <w:rPr>
          <w:rFonts w:ascii="Arial" w:cs="Arial" w:eastAsia="Arial" w:hAnsi="Arial"/>
          <w:sz w:val="17"/>
          <w:szCs w:val="17"/>
          <w:color w:val="auto"/>
        </w:rPr>
        <w:t>74</w:t>
      </w:r>
    </w:p>
    <w:p>
      <w:pPr>
        <w:sectPr>
          <w:pgSz w:w="11880" w:h="15480" w:orient="portrait"/>
          <w:cols w:equalWidth="0" w:num="1">
            <w:col w:w="10047"/>
          </w:cols>
          <w:pgMar w:left="913" w:top="772" w:right="920" w:bottom="0" w:gutter="0" w:footer="0" w:header="0"/>
          <w:type w:val="continuous"/>
        </w:sectPr>
      </w:pPr>
    </w:p>
    <w:bookmarkStart w:id="86" w:name="page87"/>
    <w:bookmarkEnd w:id="86"/>
    <w:p>
      <w:pPr>
        <w:jc w:val="both"/>
        <w:ind w:left="700" w:hanging="355"/>
        <w:spacing w:after="0" w:line="303" w:lineRule="auto"/>
        <w:tabs>
          <w:tab w:leader="none" w:pos="700" w:val="left"/>
        </w:tabs>
        <w:numPr>
          <w:ilvl w:val="0"/>
          <w:numId w:val="32"/>
        </w:numPr>
        <w:rPr>
          <w:rFonts w:ascii="Arial" w:cs="Arial" w:eastAsia="Arial" w:hAnsi="Arial"/>
          <w:sz w:val="17"/>
          <w:szCs w:val="17"/>
          <w:color w:val="auto"/>
        </w:rPr>
      </w:pPr>
      <w:r>
        <w:rPr>
          <w:rFonts w:ascii="Arial" w:cs="Arial" w:eastAsia="Arial" w:hAnsi="Arial"/>
          <w:sz w:val="17"/>
          <w:szCs w:val="17"/>
          <w:color w:val="auto"/>
        </w:rPr>
        <w:t>Surrender charges were modestly lower for the year ended December 31, 2025 compared to the year ended December 31, 2024, and higher for the year ended December 31, 2024 compared to the year ended December 31, 2023. These charges primarily reflect withdrawals from policyholders with surrender charges and market value adjustments (“MVAs”), primarily on our indexed annuities policies, and are subject to changes in the interest rate environment. See “</w:t>
      </w:r>
      <w:r>
        <w:rPr>
          <w:rFonts w:ascii="Arial" w:cs="Arial" w:eastAsia="Arial" w:hAnsi="Arial"/>
          <w:sz w:val="17"/>
          <w:szCs w:val="17"/>
          <w:b w:val="1"/>
          <w:bCs w:val="1"/>
          <w:i w:val="1"/>
          <w:iCs w:val="1"/>
          <w:color w:val="auto"/>
        </w:rPr>
        <w:t>Item 1. Business – The Products We Offer – Withdrawal Option for Deferred Annuities,”</w:t>
      </w:r>
      <w:r>
        <w:rPr>
          <w:rFonts w:ascii="Arial" w:cs="Arial" w:eastAsia="Arial" w:hAnsi="Arial"/>
          <w:sz w:val="17"/>
          <w:szCs w:val="17"/>
          <w:color w:val="auto"/>
        </w:rPr>
        <w:t xml:space="preserve"> in this Annual Report on Form 10-K for additional discussion on surrender charges and MVAs.</w:t>
      </w:r>
    </w:p>
    <w:p>
      <w:pPr>
        <w:spacing w:after="0" w:line="48" w:lineRule="exact"/>
        <w:rPr>
          <w:rFonts w:ascii="Arial" w:cs="Arial" w:eastAsia="Arial" w:hAnsi="Arial"/>
          <w:sz w:val="17"/>
          <w:szCs w:val="17"/>
          <w:color w:val="auto"/>
        </w:rPr>
      </w:pPr>
    </w:p>
    <w:p>
      <w:pPr>
        <w:jc w:val="both"/>
        <w:ind w:left="700" w:hanging="355"/>
        <w:spacing w:after="0" w:line="268" w:lineRule="auto"/>
        <w:tabs>
          <w:tab w:leader="none" w:pos="700" w:val="left"/>
        </w:tabs>
        <w:numPr>
          <w:ilvl w:val="0"/>
          <w:numId w:val="32"/>
        </w:numPr>
        <w:rPr>
          <w:rFonts w:ascii="Arial" w:cs="Arial" w:eastAsia="Arial" w:hAnsi="Arial"/>
          <w:sz w:val="19"/>
          <w:szCs w:val="19"/>
          <w:color w:val="auto"/>
        </w:rPr>
      </w:pPr>
      <w:r>
        <w:rPr>
          <w:rFonts w:ascii="Arial" w:cs="Arial" w:eastAsia="Arial" w:hAnsi="Arial"/>
          <w:sz w:val="19"/>
          <w:szCs w:val="19"/>
          <w:color w:val="auto"/>
        </w:rPr>
        <w:t>Policyholder fees and other income increased for the years ended December 31, 2025 and 2024, primarily reflecting higher guaranteed minimum withdrawal benefit (“GMWB”) rider fees and increased cost of insurance charges, net of changes in unearned revenue liabilities (“URL”) on IUL policies from growth in business. GMWB rider fees are based on the policyholder's benefit base and are collected at the end of the policy year. The increase for the year ended December 31, 2025 also includes a reinsurance true-up adjustment.</w:t>
      </w:r>
    </w:p>
    <w:p>
      <w:pPr>
        <w:spacing w:after="0" w:line="67" w:lineRule="exact"/>
        <w:rPr>
          <w:sz w:val="20"/>
          <w:szCs w:val="20"/>
          <w:color w:val="auto"/>
        </w:rPr>
      </w:pPr>
    </w:p>
    <w:p>
      <w:pPr>
        <w:ind w:left="220"/>
        <w:spacing w:after="0"/>
        <w:rPr>
          <w:sz w:val="20"/>
          <w:szCs w:val="20"/>
          <w:color w:val="auto"/>
        </w:rPr>
      </w:pPr>
      <w:r>
        <w:rPr>
          <w:rFonts w:ascii="Arial" w:cs="Arial" w:eastAsia="Arial" w:hAnsi="Arial"/>
          <w:sz w:val="20"/>
          <w:szCs w:val="20"/>
          <w:b w:val="1"/>
          <w:bCs w:val="1"/>
          <w:color w:val="auto"/>
        </w:rPr>
        <w:t>Interest and investment income</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9"/>
          <w:szCs w:val="19"/>
          <w:color w:val="auto"/>
        </w:rPr>
        <w:t>Below is a summary of interest and investment income for the years ended December 31, 2025, 2024, and 2023:</w:t>
      </w:r>
    </w:p>
    <w:p>
      <w:pPr>
        <w:spacing w:after="0" w:line="163" w:lineRule="exact"/>
        <w:rPr>
          <w:sz w:val="20"/>
          <w:szCs w:val="20"/>
          <w:color w:val="auto"/>
        </w:rPr>
      </w:pPr>
    </w:p>
    <w:tbl>
      <w:tblPr>
        <w:tblLayout w:type="fixed"/>
        <w:tblInd w:w="80" w:type="dxa"/>
        <w:tblCellMar>
          <w:top w:w="0" w:type="dxa"/>
          <w:left w:w="0" w:type="dxa"/>
          <w:bottom w:w="0" w:type="dxa"/>
          <w:right w:w="0" w:type="dxa"/>
        </w:tblCellMar>
      </w:tblPr>
      <w:tr>
        <w:trPr>
          <w:trHeight w:val="213"/>
        </w:trPr>
        <w:tc>
          <w:tcPr>
            <w:tcW w:w="6300" w:type="dxa"/>
            <w:vAlign w:val="bottom"/>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2060" w:type="dxa"/>
            <w:vAlign w:val="bottom"/>
            <w:tcBorders>
              <w:bottom w:val="single" w:sz="8" w:color="auto"/>
            </w:tcBorders>
            <w:gridSpan w:val="6"/>
          </w:tcPr>
          <w:p>
            <w:pPr>
              <w:jc w:val="right"/>
              <w:ind w:right="140"/>
              <w:spacing w:after="0"/>
              <w:rPr>
                <w:sz w:val="20"/>
                <w:szCs w:val="20"/>
                <w:color w:val="auto"/>
              </w:rPr>
            </w:pPr>
            <w:r>
              <w:rPr>
                <w:rFonts w:ascii="Arial" w:cs="Arial" w:eastAsia="Arial" w:hAnsi="Arial"/>
                <w:sz w:val="16"/>
                <w:szCs w:val="16"/>
                <w:b w:val="1"/>
                <w:bCs w:val="1"/>
                <w:color w:val="auto"/>
                <w:w w:val="96"/>
              </w:rPr>
              <w:t>Year Ended December 31,</w:t>
            </w:r>
          </w:p>
        </w:tc>
        <w:tc>
          <w:tcPr>
            <w:tcW w:w="800" w:type="dxa"/>
            <w:vAlign w:val="bottom"/>
            <w:tcBorders>
              <w:bottom w:val="single" w:sz="8" w:color="auto"/>
            </w:tcBorders>
          </w:tcPr>
          <w:p>
            <w:pPr>
              <w:spacing w:after="0"/>
              <w:rPr>
                <w:sz w:val="18"/>
                <w:szCs w:val="18"/>
                <w:color w:val="auto"/>
              </w:rPr>
            </w:pPr>
          </w:p>
        </w:tc>
      </w:tr>
      <w:tr>
        <w:trPr>
          <w:trHeight w:val="201"/>
        </w:trPr>
        <w:tc>
          <w:tcPr>
            <w:tcW w:w="6300" w:type="dxa"/>
            <w:vAlign w:val="bottom"/>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2025</w:t>
            </w:r>
          </w:p>
        </w:tc>
        <w:tc>
          <w:tcPr>
            <w:tcW w:w="44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82"/>
              <w:spacing w:after="0"/>
              <w:rPr>
                <w:sz w:val="20"/>
                <w:szCs w:val="20"/>
                <w:color w:val="auto"/>
              </w:rPr>
            </w:pPr>
            <w:r>
              <w:rPr>
                <w:rFonts w:ascii="Arial" w:cs="Arial" w:eastAsia="Arial" w:hAnsi="Arial"/>
                <w:sz w:val="16"/>
                <w:szCs w:val="16"/>
                <w:b w:val="1"/>
                <w:bCs w:val="1"/>
                <w:color w:val="auto"/>
              </w:rPr>
              <w:t>2024</w:t>
            </w:r>
          </w:p>
        </w:tc>
        <w:tc>
          <w:tcPr>
            <w:tcW w:w="6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302"/>
              <w:spacing w:after="0"/>
              <w:rPr>
                <w:sz w:val="20"/>
                <w:szCs w:val="20"/>
                <w:color w:val="auto"/>
              </w:rPr>
            </w:pPr>
            <w:r>
              <w:rPr>
                <w:rFonts w:ascii="Arial" w:cs="Arial" w:eastAsia="Arial" w:hAnsi="Arial"/>
                <w:sz w:val="16"/>
                <w:szCs w:val="16"/>
                <w:b w:val="1"/>
                <w:bCs w:val="1"/>
                <w:color w:val="auto"/>
              </w:rPr>
              <w:t>2023</w:t>
            </w:r>
          </w:p>
        </w:tc>
      </w:tr>
      <w:tr>
        <w:trPr>
          <w:trHeight w:val="206"/>
        </w:trPr>
        <w:tc>
          <w:tcPr>
            <w:tcW w:w="63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gridSpan w:val="2"/>
          </w:tcPr>
          <w:p>
            <w:pPr>
              <w:jc w:val="right"/>
              <w:ind w:right="222"/>
              <w:spacing w:after="0"/>
              <w:rPr>
                <w:sz w:val="20"/>
                <w:szCs w:val="20"/>
                <w:color w:val="auto"/>
              </w:rPr>
            </w:pPr>
            <w:r>
              <w:rPr>
                <w:rFonts w:ascii="Arial" w:cs="Arial" w:eastAsia="Arial" w:hAnsi="Arial"/>
                <w:sz w:val="16"/>
                <w:szCs w:val="16"/>
                <w:b w:val="1"/>
                <w:bCs w:val="1"/>
                <w:color w:val="auto"/>
              </w:rPr>
              <w:t>(In millions)</w:t>
            </w: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23"/>
        </w:trPr>
        <w:tc>
          <w:tcPr>
            <w:tcW w:w="6300" w:type="dxa"/>
            <w:vAlign w:val="bottom"/>
          </w:tcPr>
          <w:p>
            <w:pPr>
              <w:spacing w:after="0"/>
              <w:rPr>
                <w:sz w:val="20"/>
                <w:szCs w:val="20"/>
                <w:color w:val="auto"/>
              </w:rPr>
            </w:pPr>
            <w:r>
              <w:rPr>
                <w:rFonts w:ascii="Arial" w:cs="Arial" w:eastAsia="Arial" w:hAnsi="Arial"/>
                <w:sz w:val="16"/>
                <w:szCs w:val="16"/>
                <w:color w:val="auto"/>
              </w:rPr>
              <w:t>Fixed maturity securities, available-for-sale</w:t>
            </w:r>
          </w:p>
        </w:tc>
        <w:tc>
          <w:tcPr>
            <w:tcW w:w="780" w:type="dxa"/>
            <w:vAlign w:val="bottom"/>
          </w:tcPr>
          <w:p>
            <w:pPr>
              <w:jc w:val="right"/>
              <w:ind w:right="582"/>
              <w:spacing w:after="0"/>
              <w:rPr>
                <w:sz w:val="20"/>
                <w:szCs w:val="20"/>
                <w:color w:val="auto"/>
              </w:rPr>
            </w:pPr>
            <w:r>
              <w:rPr>
                <w:rFonts w:ascii="Arial" w:cs="Arial" w:eastAsia="Arial" w:hAnsi="Arial"/>
                <w:sz w:val="16"/>
                <w:szCs w:val="16"/>
                <w:color w:val="auto"/>
              </w:rPr>
              <w:t>$</w:t>
            </w:r>
          </w:p>
        </w:tc>
        <w:tc>
          <w:tcPr>
            <w:tcW w:w="440" w:type="dxa"/>
            <w:vAlign w:val="bottom"/>
          </w:tcPr>
          <w:p>
            <w:pPr>
              <w:jc w:val="right"/>
              <w:spacing w:after="0"/>
              <w:rPr>
                <w:sz w:val="20"/>
                <w:szCs w:val="20"/>
                <w:color w:val="auto"/>
              </w:rPr>
            </w:pPr>
            <w:r>
              <w:rPr>
                <w:rFonts w:ascii="Arial" w:cs="Arial" w:eastAsia="Arial" w:hAnsi="Arial"/>
                <w:sz w:val="16"/>
                <w:szCs w:val="16"/>
                <w:color w:val="auto"/>
                <w:w w:val="89"/>
              </w:rPr>
              <w:t>2,247</w:t>
            </w:r>
          </w:p>
        </w:tc>
        <w:tc>
          <w:tcPr>
            <w:tcW w:w="360" w:type="dxa"/>
            <w:vAlign w:val="bottom"/>
            <w:gridSpan w:val="2"/>
          </w:tcPr>
          <w:p>
            <w:pPr>
              <w:jc w:val="right"/>
              <w:ind w:right="82"/>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2"/>
              <w:spacing w:after="0"/>
              <w:rPr>
                <w:sz w:val="20"/>
                <w:szCs w:val="20"/>
                <w:color w:val="auto"/>
              </w:rPr>
            </w:pPr>
            <w:r>
              <w:rPr>
                <w:rFonts w:ascii="Arial" w:cs="Arial" w:eastAsia="Arial" w:hAnsi="Arial"/>
                <w:sz w:val="16"/>
                <w:szCs w:val="16"/>
                <w:color w:val="auto"/>
              </w:rPr>
              <w:t>2,181</w:t>
            </w:r>
          </w:p>
        </w:tc>
        <w:tc>
          <w:tcPr>
            <w:tcW w:w="3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2"/>
              <w:spacing w:after="0"/>
              <w:rPr>
                <w:sz w:val="20"/>
                <w:szCs w:val="20"/>
                <w:color w:val="auto"/>
              </w:rPr>
            </w:pPr>
            <w:r>
              <w:rPr>
                <w:rFonts w:ascii="Arial" w:cs="Arial" w:eastAsia="Arial" w:hAnsi="Arial"/>
                <w:sz w:val="16"/>
                <w:szCs w:val="16"/>
                <w:color w:val="auto"/>
              </w:rPr>
              <w:t>1,843</w:t>
            </w:r>
          </w:p>
        </w:tc>
      </w:tr>
      <w:tr>
        <w:trPr>
          <w:trHeight w:val="235"/>
        </w:trPr>
        <w:tc>
          <w:tcPr>
            <w:tcW w:w="6300" w:type="dxa"/>
            <w:vAlign w:val="bottom"/>
          </w:tcPr>
          <w:p>
            <w:pPr>
              <w:spacing w:after="0"/>
              <w:rPr>
                <w:sz w:val="20"/>
                <w:szCs w:val="20"/>
                <w:color w:val="auto"/>
              </w:rPr>
            </w:pPr>
            <w:r>
              <w:rPr>
                <w:rFonts w:ascii="Arial" w:cs="Arial" w:eastAsia="Arial" w:hAnsi="Arial"/>
                <w:sz w:val="16"/>
                <w:szCs w:val="16"/>
                <w:color w:val="auto"/>
              </w:rPr>
              <w:t>Equity securities</w:t>
            </w:r>
          </w:p>
        </w:tc>
        <w:tc>
          <w:tcPr>
            <w:tcW w:w="78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18</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ind w:right="2"/>
              <w:spacing w:after="0"/>
              <w:rPr>
                <w:sz w:val="20"/>
                <w:szCs w:val="20"/>
                <w:color w:val="auto"/>
              </w:rPr>
            </w:pPr>
            <w:r>
              <w:rPr>
                <w:rFonts w:ascii="Arial" w:cs="Arial" w:eastAsia="Arial" w:hAnsi="Arial"/>
                <w:sz w:val="16"/>
                <w:szCs w:val="16"/>
                <w:color w:val="auto"/>
              </w:rPr>
              <w:t>21</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jc w:val="right"/>
              <w:ind w:right="2"/>
              <w:spacing w:after="0"/>
              <w:rPr>
                <w:sz w:val="20"/>
                <w:szCs w:val="20"/>
                <w:color w:val="auto"/>
              </w:rPr>
            </w:pPr>
            <w:r>
              <w:rPr>
                <w:rFonts w:ascii="Arial" w:cs="Arial" w:eastAsia="Arial" w:hAnsi="Arial"/>
                <w:sz w:val="16"/>
                <w:szCs w:val="16"/>
                <w:color w:val="auto"/>
              </w:rPr>
              <w:t>20</w:t>
            </w:r>
          </w:p>
        </w:tc>
      </w:tr>
      <w:tr>
        <w:trPr>
          <w:trHeight w:val="235"/>
        </w:trPr>
        <w:tc>
          <w:tcPr>
            <w:tcW w:w="6300" w:type="dxa"/>
            <w:vAlign w:val="bottom"/>
          </w:tcPr>
          <w:p>
            <w:pPr>
              <w:spacing w:after="0"/>
              <w:rPr>
                <w:sz w:val="20"/>
                <w:szCs w:val="20"/>
                <w:color w:val="auto"/>
              </w:rPr>
            </w:pPr>
            <w:r>
              <w:rPr>
                <w:rFonts w:ascii="Arial" w:cs="Arial" w:eastAsia="Arial" w:hAnsi="Arial"/>
                <w:sz w:val="16"/>
                <w:szCs w:val="16"/>
                <w:color w:val="auto"/>
              </w:rPr>
              <w:t>Preferred securities</w:t>
            </w:r>
          </w:p>
        </w:tc>
        <w:tc>
          <w:tcPr>
            <w:tcW w:w="78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14</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ind w:right="2"/>
              <w:spacing w:after="0"/>
              <w:rPr>
                <w:sz w:val="20"/>
                <w:szCs w:val="20"/>
                <w:color w:val="auto"/>
              </w:rPr>
            </w:pPr>
            <w:r>
              <w:rPr>
                <w:rFonts w:ascii="Arial" w:cs="Arial" w:eastAsia="Arial" w:hAnsi="Arial"/>
                <w:sz w:val="16"/>
                <w:szCs w:val="16"/>
                <w:color w:val="auto"/>
              </w:rPr>
              <w:t>23</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jc w:val="right"/>
              <w:ind w:right="2"/>
              <w:spacing w:after="0"/>
              <w:rPr>
                <w:sz w:val="20"/>
                <w:szCs w:val="20"/>
                <w:color w:val="auto"/>
              </w:rPr>
            </w:pPr>
            <w:r>
              <w:rPr>
                <w:rFonts w:ascii="Arial" w:cs="Arial" w:eastAsia="Arial" w:hAnsi="Arial"/>
                <w:sz w:val="16"/>
                <w:szCs w:val="16"/>
                <w:color w:val="auto"/>
              </w:rPr>
              <w:t>41</w:t>
            </w:r>
          </w:p>
        </w:tc>
      </w:tr>
      <w:tr>
        <w:trPr>
          <w:trHeight w:val="235"/>
        </w:trPr>
        <w:tc>
          <w:tcPr>
            <w:tcW w:w="6300" w:type="dxa"/>
            <w:vAlign w:val="bottom"/>
          </w:tcPr>
          <w:p>
            <w:pPr>
              <w:spacing w:after="0"/>
              <w:rPr>
                <w:sz w:val="20"/>
                <w:szCs w:val="20"/>
                <w:color w:val="auto"/>
              </w:rPr>
            </w:pPr>
            <w:r>
              <w:rPr>
                <w:rFonts w:ascii="Arial" w:cs="Arial" w:eastAsia="Arial" w:hAnsi="Arial"/>
                <w:sz w:val="16"/>
                <w:szCs w:val="16"/>
                <w:color w:val="auto"/>
              </w:rPr>
              <w:t>Mortgage loans</w:t>
            </w:r>
          </w:p>
        </w:tc>
        <w:tc>
          <w:tcPr>
            <w:tcW w:w="78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374</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ind w:right="2"/>
              <w:spacing w:after="0"/>
              <w:rPr>
                <w:sz w:val="20"/>
                <w:szCs w:val="20"/>
                <w:color w:val="auto"/>
              </w:rPr>
            </w:pPr>
            <w:r>
              <w:rPr>
                <w:rFonts w:ascii="Arial" w:cs="Arial" w:eastAsia="Arial" w:hAnsi="Arial"/>
                <w:sz w:val="16"/>
                <w:szCs w:val="16"/>
                <w:color w:val="auto"/>
              </w:rPr>
              <w:t>273</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jc w:val="right"/>
              <w:ind w:right="2"/>
              <w:spacing w:after="0"/>
              <w:rPr>
                <w:sz w:val="20"/>
                <w:szCs w:val="20"/>
                <w:color w:val="auto"/>
              </w:rPr>
            </w:pPr>
            <w:r>
              <w:rPr>
                <w:rFonts w:ascii="Arial" w:cs="Arial" w:eastAsia="Arial" w:hAnsi="Arial"/>
                <w:sz w:val="16"/>
                <w:szCs w:val="16"/>
                <w:color w:val="auto"/>
              </w:rPr>
              <w:t>229</w:t>
            </w:r>
          </w:p>
        </w:tc>
      </w:tr>
      <w:tr>
        <w:trPr>
          <w:trHeight w:val="235"/>
        </w:trPr>
        <w:tc>
          <w:tcPr>
            <w:tcW w:w="6300" w:type="dxa"/>
            <w:vAlign w:val="bottom"/>
          </w:tcPr>
          <w:p>
            <w:pPr>
              <w:spacing w:after="0"/>
              <w:rPr>
                <w:sz w:val="20"/>
                <w:szCs w:val="20"/>
                <w:color w:val="auto"/>
              </w:rPr>
            </w:pPr>
            <w:r>
              <w:rPr>
                <w:rFonts w:ascii="Arial" w:cs="Arial" w:eastAsia="Arial" w:hAnsi="Arial"/>
                <w:sz w:val="16"/>
                <w:szCs w:val="16"/>
                <w:color w:val="auto"/>
              </w:rPr>
              <w:t>Invested cash and short-term investments</w:t>
            </w:r>
          </w:p>
        </w:tc>
        <w:tc>
          <w:tcPr>
            <w:tcW w:w="78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105</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ind w:right="2"/>
              <w:spacing w:after="0"/>
              <w:rPr>
                <w:sz w:val="20"/>
                <w:szCs w:val="20"/>
                <w:color w:val="auto"/>
              </w:rPr>
            </w:pPr>
            <w:r>
              <w:rPr>
                <w:rFonts w:ascii="Arial" w:cs="Arial" w:eastAsia="Arial" w:hAnsi="Arial"/>
                <w:sz w:val="16"/>
                <w:szCs w:val="16"/>
                <w:color w:val="auto"/>
              </w:rPr>
              <w:t>161</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jc w:val="right"/>
              <w:ind w:right="2"/>
              <w:spacing w:after="0"/>
              <w:rPr>
                <w:sz w:val="20"/>
                <w:szCs w:val="20"/>
                <w:color w:val="auto"/>
              </w:rPr>
            </w:pPr>
            <w:r>
              <w:rPr>
                <w:rFonts w:ascii="Arial" w:cs="Arial" w:eastAsia="Arial" w:hAnsi="Arial"/>
                <w:sz w:val="16"/>
                <w:szCs w:val="16"/>
                <w:color w:val="auto"/>
              </w:rPr>
              <w:t>76</w:t>
            </w:r>
          </w:p>
        </w:tc>
      </w:tr>
      <w:tr>
        <w:trPr>
          <w:trHeight w:val="235"/>
        </w:trPr>
        <w:tc>
          <w:tcPr>
            <w:tcW w:w="6300" w:type="dxa"/>
            <w:vAlign w:val="bottom"/>
          </w:tcPr>
          <w:p>
            <w:pPr>
              <w:spacing w:after="0"/>
              <w:rPr>
                <w:sz w:val="20"/>
                <w:szCs w:val="20"/>
                <w:color w:val="auto"/>
              </w:rPr>
            </w:pPr>
            <w:r>
              <w:rPr>
                <w:rFonts w:ascii="Arial" w:cs="Arial" w:eastAsia="Arial" w:hAnsi="Arial"/>
                <w:sz w:val="16"/>
                <w:szCs w:val="16"/>
                <w:color w:val="auto"/>
              </w:rPr>
              <w:t>Limited partnerships</w:t>
            </w:r>
          </w:p>
        </w:tc>
        <w:tc>
          <w:tcPr>
            <w:tcW w:w="78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302</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ind w:right="2"/>
              <w:spacing w:after="0"/>
              <w:rPr>
                <w:sz w:val="20"/>
                <w:szCs w:val="20"/>
                <w:color w:val="auto"/>
              </w:rPr>
            </w:pPr>
            <w:r>
              <w:rPr>
                <w:rFonts w:ascii="Arial" w:cs="Arial" w:eastAsia="Arial" w:hAnsi="Arial"/>
                <w:sz w:val="16"/>
                <w:szCs w:val="16"/>
                <w:color w:val="auto"/>
              </w:rPr>
              <w:t>323</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jc w:val="right"/>
              <w:ind w:right="2"/>
              <w:spacing w:after="0"/>
              <w:rPr>
                <w:sz w:val="20"/>
                <w:szCs w:val="20"/>
                <w:color w:val="auto"/>
              </w:rPr>
            </w:pPr>
            <w:r>
              <w:rPr>
                <w:rFonts w:ascii="Arial" w:cs="Arial" w:eastAsia="Arial" w:hAnsi="Arial"/>
                <w:sz w:val="16"/>
                <w:szCs w:val="16"/>
                <w:color w:val="auto"/>
              </w:rPr>
              <w:t>229</w:t>
            </w:r>
          </w:p>
        </w:tc>
      </w:tr>
      <w:tr>
        <w:trPr>
          <w:trHeight w:val="242"/>
        </w:trPr>
        <w:tc>
          <w:tcPr>
            <w:tcW w:w="6300" w:type="dxa"/>
            <w:vAlign w:val="bottom"/>
          </w:tcPr>
          <w:p>
            <w:pPr>
              <w:spacing w:after="0"/>
              <w:rPr>
                <w:sz w:val="20"/>
                <w:szCs w:val="20"/>
                <w:color w:val="auto"/>
              </w:rPr>
            </w:pPr>
            <w:r>
              <w:rPr>
                <w:rFonts w:ascii="Arial" w:cs="Arial" w:eastAsia="Arial" w:hAnsi="Arial"/>
                <w:sz w:val="16"/>
                <w:szCs w:val="16"/>
                <w:color w:val="auto"/>
              </w:rPr>
              <w:t>Other investments</w:t>
            </w:r>
          </w:p>
        </w:tc>
        <w:tc>
          <w:tcPr>
            <w:tcW w:w="78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w:t>
            </w:r>
          </w:p>
        </w:tc>
        <w:tc>
          <w:tcPr>
            <w:tcW w:w="8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32</w:t>
            </w:r>
          </w:p>
        </w:tc>
        <w:tc>
          <w:tcPr>
            <w:tcW w:w="6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27</w:t>
            </w:r>
          </w:p>
        </w:tc>
      </w:tr>
      <w:tr>
        <w:trPr>
          <w:trHeight w:val="215"/>
        </w:trPr>
        <w:tc>
          <w:tcPr>
            <w:tcW w:w="6300" w:type="dxa"/>
            <w:vAlign w:val="bottom"/>
          </w:tcPr>
          <w:p>
            <w:pPr>
              <w:ind w:left="220"/>
              <w:spacing w:after="0"/>
              <w:rPr>
                <w:sz w:val="20"/>
                <w:szCs w:val="20"/>
                <w:color w:val="auto"/>
              </w:rPr>
            </w:pPr>
            <w:r>
              <w:rPr>
                <w:rFonts w:ascii="Arial" w:cs="Arial" w:eastAsia="Arial" w:hAnsi="Arial"/>
                <w:sz w:val="16"/>
                <w:szCs w:val="16"/>
                <w:color w:val="auto"/>
              </w:rPr>
              <w:t>Gross investment income</w:t>
            </w:r>
          </w:p>
        </w:tc>
        <w:tc>
          <w:tcPr>
            <w:tcW w:w="78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3,103</w:t>
            </w:r>
          </w:p>
        </w:tc>
        <w:tc>
          <w:tcPr>
            <w:tcW w:w="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3,014</w:t>
            </w:r>
          </w:p>
        </w:tc>
        <w:tc>
          <w:tcPr>
            <w:tcW w:w="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2,465</w:t>
            </w:r>
          </w:p>
        </w:tc>
      </w:tr>
      <w:tr>
        <w:trPr>
          <w:trHeight w:val="215"/>
        </w:trPr>
        <w:tc>
          <w:tcPr>
            <w:tcW w:w="6300" w:type="dxa"/>
            <w:vAlign w:val="bottom"/>
          </w:tcPr>
          <w:p>
            <w:pPr>
              <w:spacing w:after="0"/>
              <w:rPr>
                <w:sz w:val="20"/>
                <w:szCs w:val="20"/>
                <w:color w:val="auto"/>
              </w:rPr>
            </w:pPr>
            <w:r>
              <w:rPr>
                <w:rFonts w:ascii="Arial" w:cs="Arial" w:eastAsia="Arial" w:hAnsi="Arial"/>
                <w:sz w:val="16"/>
                <w:szCs w:val="16"/>
                <w:color w:val="auto"/>
              </w:rPr>
              <w:t>Investment expense</w:t>
            </w:r>
          </w:p>
        </w:tc>
        <w:tc>
          <w:tcPr>
            <w:tcW w:w="78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(266)</w:t>
            </w:r>
          </w:p>
        </w:tc>
        <w:tc>
          <w:tcPr>
            <w:tcW w:w="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(295)</w:t>
            </w:r>
          </w:p>
        </w:tc>
        <w:tc>
          <w:tcPr>
            <w:tcW w:w="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(254)</w:t>
            </w:r>
          </w:p>
        </w:tc>
      </w:tr>
      <w:tr>
        <w:trPr>
          <w:trHeight w:val="196"/>
        </w:trPr>
        <w:tc>
          <w:tcPr>
            <w:tcW w:w="6300" w:type="dxa"/>
            <w:vAlign w:val="bottom"/>
          </w:tcPr>
          <w:p>
            <w:pPr>
              <w:ind w:left="220"/>
              <w:spacing w:after="0"/>
              <w:rPr>
                <w:sz w:val="20"/>
                <w:szCs w:val="20"/>
                <w:color w:val="auto"/>
              </w:rPr>
            </w:pPr>
            <w:r>
              <w:rPr>
                <w:rFonts w:ascii="Arial" w:cs="Arial" w:eastAsia="Arial" w:hAnsi="Arial"/>
                <w:sz w:val="16"/>
                <w:szCs w:val="16"/>
                <w:b w:val="1"/>
                <w:bCs w:val="1"/>
                <w:color w:val="auto"/>
              </w:rPr>
              <w:t>Interest and investment income</w:t>
            </w:r>
          </w:p>
        </w:tc>
        <w:tc>
          <w:tcPr>
            <w:tcW w:w="780" w:type="dxa"/>
            <w:vAlign w:val="bottom"/>
          </w:tcPr>
          <w:p>
            <w:pPr>
              <w:jc w:val="right"/>
              <w:ind w:right="582"/>
              <w:spacing w:after="0"/>
              <w:rPr>
                <w:sz w:val="20"/>
                <w:szCs w:val="20"/>
                <w:color w:val="auto"/>
              </w:rPr>
            </w:pPr>
            <w:r>
              <w:rPr>
                <w:rFonts w:ascii="Arial" w:cs="Arial" w:eastAsia="Arial" w:hAnsi="Arial"/>
                <w:sz w:val="16"/>
                <w:szCs w:val="16"/>
                <w:color w:val="auto"/>
              </w:rPr>
              <w:t>$</w:t>
            </w:r>
          </w:p>
        </w:tc>
        <w:tc>
          <w:tcPr>
            <w:tcW w:w="440" w:type="dxa"/>
            <w:vAlign w:val="bottom"/>
          </w:tcPr>
          <w:p>
            <w:pPr>
              <w:jc w:val="right"/>
              <w:spacing w:after="0"/>
              <w:rPr>
                <w:sz w:val="20"/>
                <w:szCs w:val="20"/>
                <w:color w:val="auto"/>
              </w:rPr>
            </w:pPr>
            <w:r>
              <w:rPr>
                <w:rFonts w:ascii="Arial" w:cs="Arial" w:eastAsia="Arial" w:hAnsi="Arial"/>
                <w:sz w:val="16"/>
                <w:szCs w:val="16"/>
                <w:color w:val="auto"/>
                <w:w w:val="89"/>
              </w:rPr>
              <w:t>2,837</w:t>
            </w:r>
          </w:p>
        </w:tc>
        <w:tc>
          <w:tcPr>
            <w:tcW w:w="360" w:type="dxa"/>
            <w:vAlign w:val="bottom"/>
            <w:gridSpan w:val="2"/>
          </w:tcPr>
          <w:p>
            <w:pPr>
              <w:jc w:val="right"/>
              <w:ind w:right="82"/>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2"/>
              <w:spacing w:after="0"/>
              <w:rPr>
                <w:sz w:val="20"/>
                <w:szCs w:val="20"/>
                <w:color w:val="auto"/>
              </w:rPr>
            </w:pPr>
            <w:r>
              <w:rPr>
                <w:rFonts w:ascii="Arial" w:cs="Arial" w:eastAsia="Arial" w:hAnsi="Arial"/>
                <w:sz w:val="16"/>
                <w:szCs w:val="16"/>
                <w:color w:val="auto"/>
              </w:rPr>
              <w:t>2,719</w:t>
            </w:r>
          </w:p>
        </w:tc>
        <w:tc>
          <w:tcPr>
            <w:tcW w:w="3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2"/>
              <w:spacing w:after="0"/>
              <w:rPr>
                <w:sz w:val="20"/>
                <w:szCs w:val="20"/>
                <w:color w:val="auto"/>
              </w:rPr>
            </w:pPr>
            <w:r>
              <w:rPr>
                <w:rFonts w:ascii="Arial" w:cs="Arial" w:eastAsia="Arial" w:hAnsi="Arial"/>
                <w:sz w:val="16"/>
                <w:szCs w:val="16"/>
                <w:color w:val="auto"/>
              </w:rPr>
              <w:t>2,211</w:t>
            </w:r>
          </w:p>
        </w:tc>
      </w:tr>
      <w:tr>
        <w:trPr>
          <w:trHeight w:val="20"/>
        </w:trPr>
        <w:tc>
          <w:tcPr>
            <w:tcW w:w="63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-1524635</wp:posOffset>
            </wp:positionV>
            <wp:extent cx="6363335" cy="153162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44">
                      <a:extLst>
                        <a:ext uri="{28A0092B-C50C-407E-A947-70E740481C1C}"/>
                      </a:extLst>
                    </a:blip>
                    <a:srcRect/>
                    <a:stretch>
                      <a:fillRect/>
                    </a:stretch>
                  </pic:blipFill>
                  <pic:spPr bwMode="auto">
                    <a:xfrm>
                      <a:off x="0" y="0"/>
                      <a:ext cx="6363335" cy="1531620"/>
                    </a:xfrm>
                    <a:prstGeom prst="rect">
                      <a:avLst/>
                    </a:prstGeom>
                    <a:noFill/>
                  </pic:spPr>
                </pic:pic>
              </a:graphicData>
            </a:graphic>
          </wp:anchor>
        </w:drawing>
      </w:r>
    </w:p>
    <w:p>
      <w:pPr>
        <w:spacing w:after="0" w:line="105" w:lineRule="exact"/>
        <w:rPr>
          <w:sz w:val="20"/>
          <w:szCs w:val="20"/>
          <w:color w:val="auto"/>
        </w:rPr>
      </w:pPr>
    </w:p>
    <w:p>
      <w:pPr>
        <w:jc w:val="both"/>
        <w:ind w:firstLine="353"/>
        <w:spacing w:after="0" w:line="254" w:lineRule="auto"/>
        <w:rPr>
          <w:sz w:val="20"/>
          <w:szCs w:val="20"/>
          <w:color w:val="auto"/>
        </w:rPr>
      </w:pPr>
      <w:r>
        <w:rPr>
          <w:rFonts w:ascii="Arial" w:cs="Arial" w:eastAsia="Arial" w:hAnsi="Arial"/>
          <w:sz w:val="19"/>
          <w:szCs w:val="19"/>
          <w:color w:val="auto"/>
        </w:rPr>
        <w:t>Interest and investment income is shown net of amounts attributable to certain funds withheld reinsurance agreements which is passed along to the reinsurer in accordance with the terms of these agreements. Interest and investment income attributable to these agreements, and thus excluded from the totals in the table above, was $816 million, $636 million and $339 million, for the years ended December 31, 2025, 2024, and 2023, respectively.</w:t>
      </w:r>
    </w:p>
    <w:p>
      <w:pPr>
        <w:spacing w:after="0" w:line="6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Recognized gains and losses, net</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9"/>
          <w:szCs w:val="19"/>
          <w:color w:val="auto"/>
        </w:rPr>
        <w:t>Below is a summary of the major components included in recognized gains and losses, net for the years ended</w:t>
      </w:r>
    </w:p>
    <w:p>
      <w:pPr>
        <w:spacing w:after="0" w:line="36" w:lineRule="exact"/>
        <w:rPr>
          <w:sz w:val="20"/>
          <w:szCs w:val="20"/>
          <w:color w:val="auto"/>
        </w:rPr>
      </w:pPr>
    </w:p>
    <w:p>
      <w:pPr>
        <w:spacing w:after="0"/>
        <w:rPr>
          <w:sz w:val="20"/>
          <w:szCs w:val="20"/>
          <w:color w:val="auto"/>
        </w:rPr>
      </w:pPr>
      <w:r>
        <w:rPr>
          <w:rFonts w:ascii="Arial" w:cs="Arial" w:eastAsia="Arial" w:hAnsi="Arial"/>
          <w:sz w:val="20"/>
          <w:szCs w:val="20"/>
          <w:color w:val="auto"/>
        </w:rPr>
        <w:t>December 31, 2025, 2024, and 2023:</w:t>
      </w:r>
    </w:p>
    <w:p>
      <w:pPr>
        <w:spacing w:after="0" w:line="162" w:lineRule="exact"/>
        <w:rPr>
          <w:sz w:val="20"/>
          <w:szCs w:val="20"/>
          <w:color w:val="auto"/>
        </w:rPr>
      </w:pPr>
    </w:p>
    <w:tbl>
      <w:tblPr>
        <w:tblLayout w:type="fixed"/>
        <w:tblInd w:w="40" w:type="dxa"/>
        <w:tblCellMar>
          <w:top w:w="0" w:type="dxa"/>
          <w:left w:w="0" w:type="dxa"/>
          <w:bottom w:w="0" w:type="dxa"/>
          <w:right w:w="0" w:type="dxa"/>
        </w:tblCellMar>
      </w:tblPr>
      <w:tr>
        <w:trPr>
          <w:trHeight w:val="213"/>
        </w:trPr>
        <w:tc>
          <w:tcPr>
            <w:tcW w:w="6260" w:type="dxa"/>
            <w:vAlign w:val="bottom"/>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2060" w:type="dxa"/>
            <w:vAlign w:val="bottom"/>
            <w:tcBorders>
              <w:bottom w:val="single" w:sz="8" w:color="auto"/>
            </w:tcBorders>
            <w:gridSpan w:val="6"/>
          </w:tcPr>
          <w:p>
            <w:pPr>
              <w:jc w:val="right"/>
              <w:ind w:right="120"/>
              <w:spacing w:after="0"/>
              <w:rPr>
                <w:sz w:val="20"/>
                <w:szCs w:val="20"/>
                <w:color w:val="auto"/>
              </w:rPr>
            </w:pPr>
            <w:r>
              <w:rPr>
                <w:rFonts w:ascii="Arial" w:cs="Arial" w:eastAsia="Arial" w:hAnsi="Arial"/>
                <w:sz w:val="16"/>
                <w:szCs w:val="16"/>
                <w:b w:val="1"/>
                <w:bCs w:val="1"/>
                <w:color w:val="auto"/>
                <w:w w:val="97"/>
              </w:rPr>
              <w:t>Year Ended December 31,</w:t>
            </w:r>
          </w:p>
        </w:tc>
        <w:tc>
          <w:tcPr>
            <w:tcW w:w="8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6260" w:type="dxa"/>
            <w:vAlign w:val="bottom"/>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2025</w:t>
            </w:r>
          </w:p>
        </w:tc>
        <w:tc>
          <w:tcPr>
            <w:tcW w:w="420" w:type="dxa"/>
            <w:vAlign w:val="bottom"/>
            <w:tcBorders>
              <w:bottom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382"/>
              <w:spacing w:after="0"/>
              <w:rPr>
                <w:sz w:val="20"/>
                <w:szCs w:val="20"/>
                <w:color w:val="auto"/>
              </w:rPr>
            </w:pPr>
            <w:r>
              <w:rPr>
                <w:rFonts w:ascii="Arial" w:cs="Arial" w:eastAsia="Arial" w:hAnsi="Arial"/>
                <w:sz w:val="16"/>
                <w:szCs w:val="16"/>
                <w:b w:val="1"/>
                <w:bCs w:val="1"/>
                <w:color w:val="auto"/>
              </w:rPr>
              <w:t>2024</w:t>
            </w:r>
          </w:p>
        </w:tc>
        <w:tc>
          <w:tcPr>
            <w:tcW w:w="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22"/>
              <w:spacing w:after="0"/>
              <w:rPr>
                <w:sz w:val="20"/>
                <w:szCs w:val="20"/>
                <w:color w:val="auto"/>
              </w:rPr>
            </w:pPr>
            <w:r>
              <w:rPr>
                <w:rFonts w:ascii="Arial" w:cs="Arial" w:eastAsia="Arial" w:hAnsi="Arial"/>
                <w:sz w:val="16"/>
                <w:szCs w:val="16"/>
                <w:b w:val="1"/>
                <w:bCs w:val="1"/>
                <w:color w:val="auto"/>
              </w:rPr>
              <w:t>2023</w:t>
            </w:r>
          </w:p>
        </w:tc>
        <w:tc>
          <w:tcPr>
            <w:tcW w:w="0" w:type="dxa"/>
            <w:vAlign w:val="bottom"/>
          </w:tcPr>
          <w:p>
            <w:pPr>
              <w:spacing w:after="0"/>
              <w:rPr>
                <w:sz w:val="1"/>
                <w:szCs w:val="1"/>
                <w:color w:val="auto"/>
              </w:rPr>
            </w:pPr>
          </w:p>
        </w:tc>
      </w:tr>
      <w:tr>
        <w:trPr>
          <w:trHeight w:val="200"/>
        </w:trPr>
        <w:tc>
          <w:tcPr>
            <w:tcW w:w="6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jc w:val="right"/>
              <w:ind w:right="182"/>
              <w:spacing w:after="0"/>
              <w:rPr>
                <w:sz w:val="20"/>
                <w:szCs w:val="20"/>
                <w:color w:val="auto"/>
              </w:rPr>
            </w:pPr>
            <w:r>
              <w:rPr>
                <w:rFonts w:ascii="Arial" w:cs="Arial" w:eastAsia="Arial" w:hAnsi="Arial"/>
                <w:sz w:val="16"/>
                <w:szCs w:val="16"/>
                <w:b w:val="1"/>
                <w:bCs w:val="1"/>
                <w:color w:val="auto"/>
                <w:w w:val="91"/>
              </w:rPr>
              <w:t>(In millions)</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8"/>
        </w:trPr>
        <w:tc>
          <w:tcPr>
            <w:tcW w:w="6260" w:type="dxa"/>
            <w:vAlign w:val="bottom"/>
          </w:tcPr>
          <w:p>
            <w:pPr>
              <w:spacing w:after="0" w:line="158" w:lineRule="exact"/>
              <w:rPr>
                <w:sz w:val="20"/>
                <w:szCs w:val="20"/>
                <w:color w:val="auto"/>
              </w:rPr>
            </w:pPr>
            <w:r>
              <w:rPr>
                <w:rFonts w:ascii="Arial" w:cs="Arial" w:eastAsia="Arial" w:hAnsi="Arial"/>
                <w:sz w:val="16"/>
                <w:szCs w:val="16"/>
                <w:color w:val="auto"/>
                <w:w w:val="93"/>
              </w:rPr>
              <w:t>Net realized and unrealized (losses) gains on fixed maturity available-for-sale securities, equity</w:t>
            </w:r>
          </w:p>
        </w:tc>
        <w:tc>
          <w:tcPr>
            <w:tcW w:w="820" w:type="dxa"/>
            <w:vAlign w:val="bottom"/>
            <w:vMerge w:val="restart"/>
          </w:tcPr>
          <w:p>
            <w:pPr>
              <w:jc w:val="right"/>
              <w:ind w:right="622"/>
              <w:spacing w:after="0"/>
              <w:rPr>
                <w:sz w:val="20"/>
                <w:szCs w:val="20"/>
                <w:color w:val="auto"/>
              </w:rPr>
            </w:pPr>
            <w:r>
              <w:rPr>
                <w:rFonts w:ascii="Arial" w:cs="Arial" w:eastAsia="Arial" w:hAnsi="Arial"/>
                <w:sz w:val="16"/>
                <w:szCs w:val="16"/>
                <w:color w:val="auto"/>
              </w:rPr>
              <w:t>$</w:t>
            </w:r>
          </w:p>
        </w:tc>
        <w:tc>
          <w:tcPr>
            <w:tcW w:w="420" w:type="dxa"/>
            <w:vAlign w:val="bottom"/>
            <w:vMerge w:val="restart"/>
          </w:tcPr>
          <w:p>
            <w:pPr>
              <w:jc w:val="right"/>
              <w:spacing w:after="0"/>
              <w:rPr>
                <w:sz w:val="20"/>
                <w:szCs w:val="20"/>
                <w:color w:val="auto"/>
              </w:rPr>
            </w:pPr>
            <w:r>
              <w:rPr>
                <w:rFonts w:ascii="Arial" w:cs="Arial" w:eastAsia="Arial" w:hAnsi="Arial"/>
                <w:sz w:val="16"/>
                <w:szCs w:val="16"/>
                <w:color w:val="auto"/>
              </w:rPr>
              <w:t>(45)</w:t>
            </w:r>
          </w:p>
        </w:tc>
        <w:tc>
          <w:tcPr>
            <w:tcW w:w="200" w:type="dxa"/>
            <w:vAlign w:val="bottom"/>
            <w:gridSpan w:val="2"/>
            <w:vMerge w:val="restart"/>
          </w:tcPr>
          <w:p>
            <w:pPr>
              <w:jc w:val="right"/>
              <w:spacing w:after="0"/>
              <w:rPr>
                <w:sz w:val="20"/>
                <w:szCs w:val="20"/>
                <w:color w:val="auto"/>
              </w:rPr>
            </w:pPr>
            <w:r>
              <w:rPr>
                <w:rFonts w:ascii="Arial" w:cs="Arial" w:eastAsia="Arial" w:hAnsi="Arial"/>
                <w:sz w:val="16"/>
                <w:szCs w:val="16"/>
                <w:color w:val="auto"/>
              </w:rPr>
              <w:t>$</w:t>
            </w:r>
          </w:p>
        </w:tc>
        <w:tc>
          <w:tcPr>
            <w:tcW w:w="1100" w:type="dxa"/>
            <w:vAlign w:val="bottom"/>
            <w:vMerge w:val="restart"/>
          </w:tcPr>
          <w:p>
            <w:pPr>
              <w:jc w:val="right"/>
              <w:spacing w:after="0"/>
              <w:rPr>
                <w:sz w:val="20"/>
                <w:szCs w:val="20"/>
                <w:color w:val="auto"/>
              </w:rPr>
            </w:pPr>
            <w:r>
              <w:rPr>
                <w:rFonts w:ascii="Arial" w:cs="Arial" w:eastAsia="Arial" w:hAnsi="Arial"/>
                <w:sz w:val="16"/>
                <w:szCs w:val="16"/>
                <w:color w:val="auto"/>
              </w:rPr>
              <w:t>76</w:t>
            </w:r>
          </w:p>
        </w:tc>
        <w:tc>
          <w:tcPr>
            <w:tcW w:w="34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(111)</w:t>
            </w:r>
          </w:p>
        </w:tc>
        <w:tc>
          <w:tcPr>
            <w:tcW w:w="0" w:type="dxa"/>
            <w:vAlign w:val="bottom"/>
          </w:tcPr>
          <w:p>
            <w:pPr>
              <w:spacing w:after="0"/>
              <w:rPr>
                <w:sz w:val="1"/>
                <w:szCs w:val="1"/>
                <w:color w:val="auto"/>
              </w:rPr>
            </w:pPr>
          </w:p>
        </w:tc>
      </w:tr>
      <w:tr>
        <w:trPr>
          <w:trHeight w:val="204"/>
        </w:trPr>
        <w:tc>
          <w:tcPr>
            <w:tcW w:w="6260" w:type="dxa"/>
            <w:vAlign w:val="bottom"/>
          </w:tcPr>
          <w:p>
            <w:pPr>
              <w:spacing w:after="0"/>
              <w:rPr>
                <w:sz w:val="20"/>
                <w:szCs w:val="20"/>
                <w:color w:val="auto"/>
              </w:rPr>
            </w:pPr>
            <w:r>
              <w:rPr>
                <w:rFonts w:ascii="Arial" w:cs="Arial" w:eastAsia="Arial" w:hAnsi="Arial"/>
                <w:sz w:val="16"/>
                <w:szCs w:val="16"/>
                <w:color w:val="auto"/>
              </w:rPr>
              <w:t>securities and other invested assets</w:t>
            </w:r>
          </w:p>
        </w:tc>
        <w:tc>
          <w:tcPr>
            <w:tcW w:w="820" w:type="dxa"/>
            <w:vAlign w:val="bottom"/>
            <w:vMerge w:val="continue"/>
          </w:tcPr>
          <w:p>
            <w:pPr>
              <w:spacing w:after="0"/>
              <w:rPr>
                <w:sz w:val="17"/>
                <w:szCs w:val="17"/>
                <w:color w:val="auto"/>
              </w:rPr>
            </w:pPr>
          </w:p>
        </w:tc>
        <w:tc>
          <w:tcPr>
            <w:tcW w:w="420" w:type="dxa"/>
            <w:vAlign w:val="bottom"/>
            <w:vMerge w:val="continue"/>
          </w:tcPr>
          <w:p>
            <w:pPr>
              <w:spacing w:after="0"/>
              <w:rPr>
                <w:sz w:val="17"/>
                <w:szCs w:val="17"/>
                <w:color w:val="auto"/>
              </w:rPr>
            </w:pPr>
          </w:p>
        </w:tc>
        <w:tc>
          <w:tcPr>
            <w:tcW w:w="200" w:type="dxa"/>
            <w:vAlign w:val="bottom"/>
            <w:gridSpan w:val="2"/>
            <w:vMerge w:val="continue"/>
          </w:tcPr>
          <w:p>
            <w:pPr>
              <w:spacing w:after="0"/>
              <w:rPr>
                <w:sz w:val="17"/>
                <w:szCs w:val="17"/>
                <w:color w:val="auto"/>
              </w:rPr>
            </w:pPr>
          </w:p>
        </w:tc>
        <w:tc>
          <w:tcPr>
            <w:tcW w:w="1100" w:type="dxa"/>
            <w:vAlign w:val="bottom"/>
            <w:vMerge w:val="continue"/>
          </w:tcPr>
          <w:p>
            <w:pPr>
              <w:spacing w:after="0"/>
              <w:rPr>
                <w:sz w:val="17"/>
                <w:szCs w:val="17"/>
                <w:color w:val="auto"/>
              </w:rPr>
            </w:pPr>
          </w:p>
        </w:tc>
        <w:tc>
          <w:tcPr>
            <w:tcW w:w="340" w:type="dxa"/>
            <w:vAlign w:val="bottom"/>
            <w:gridSpan w:val="2"/>
            <w:vMerge w:val="continue"/>
          </w:tcPr>
          <w:p>
            <w:pPr>
              <w:spacing w:after="0"/>
              <w:rPr>
                <w:sz w:val="17"/>
                <w:szCs w:val="17"/>
                <w:color w:val="auto"/>
              </w:rPr>
            </w:pPr>
          </w:p>
        </w:tc>
        <w:tc>
          <w:tcPr>
            <w:tcW w:w="8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49"/>
        </w:trPr>
        <w:tc>
          <w:tcPr>
            <w:tcW w:w="6260" w:type="dxa"/>
            <w:vAlign w:val="bottom"/>
          </w:tcPr>
          <w:p>
            <w:pPr>
              <w:spacing w:after="0"/>
              <w:rPr>
                <w:sz w:val="20"/>
                <w:szCs w:val="20"/>
                <w:color w:val="auto"/>
              </w:rPr>
            </w:pPr>
            <w:r>
              <w:rPr>
                <w:rFonts w:ascii="Arial" w:cs="Arial" w:eastAsia="Arial" w:hAnsi="Arial"/>
                <w:sz w:val="16"/>
                <w:szCs w:val="16"/>
                <w:color w:val="auto"/>
              </w:rPr>
              <w:t>Change in allowance for expected credit losses</w:t>
            </w:r>
          </w:p>
        </w:tc>
        <w:tc>
          <w:tcPr>
            <w:tcW w:w="82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(56)</w:t>
            </w: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(34)</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(37)</w:t>
            </w:r>
          </w:p>
        </w:tc>
        <w:tc>
          <w:tcPr>
            <w:tcW w:w="0" w:type="dxa"/>
            <w:vAlign w:val="bottom"/>
          </w:tcPr>
          <w:p>
            <w:pPr>
              <w:spacing w:after="0"/>
              <w:rPr>
                <w:sz w:val="1"/>
                <w:szCs w:val="1"/>
                <w:color w:val="auto"/>
              </w:rPr>
            </w:pPr>
          </w:p>
        </w:tc>
      </w:tr>
      <w:tr>
        <w:trPr>
          <w:trHeight w:val="250"/>
        </w:trPr>
        <w:tc>
          <w:tcPr>
            <w:tcW w:w="6260" w:type="dxa"/>
            <w:vAlign w:val="bottom"/>
          </w:tcPr>
          <w:p>
            <w:pPr>
              <w:spacing w:after="0"/>
              <w:rPr>
                <w:sz w:val="20"/>
                <w:szCs w:val="20"/>
                <w:color w:val="auto"/>
              </w:rPr>
            </w:pPr>
            <w:r>
              <w:rPr>
                <w:rFonts w:ascii="Arial" w:cs="Arial" w:eastAsia="Arial" w:hAnsi="Arial"/>
                <w:sz w:val="16"/>
                <w:szCs w:val="16"/>
                <w:color w:val="auto"/>
              </w:rPr>
              <w:t>Net realized and unrealized gains (losses) on certain derivatives instruments</w:t>
            </w:r>
          </w:p>
        </w:tc>
        <w:tc>
          <w:tcPr>
            <w:tcW w:w="820" w:type="dxa"/>
            <w:vAlign w:val="bottom"/>
          </w:tcPr>
          <w:p>
            <w:pPr>
              <w:spacing w:after="0"/>
              <w:rPr>
                <w:sz w:val="21"/>
                <w:szCs w:val="21"/>
                <w:color w:val="auto"/>
              </w:rPr>
            </w:pPr>
          </w:p>
        </w:tc>
        <w:tc>
          <w:tcPr>
            <w:tcW w:w="420" w:type="dxa"/>
            <w:vAlign w:val="bottom"/>
          </w:tcPr>
          <w:p>
            <w:pPr>
              <w:jc w:val="right"/>
              <w:ind w:right="2"/>
              <w:spacing w:after="0"/>
              <w:rPr>
                <w:sz w:val="20"/>
                <w:szCs w:val="20"/>
                <w:color w:val="auto"/>
              </w:rPr>
            </w:pPr>
            <w:r>
              <w:rPr>
                <w:rFonts w:ascii="Arial" w:cs="Arial" w:eastAsia="Arial" w:hAnsi="Arial"/>
                <w:sz w:val="16"/>
                <w:szCs w:val="16"/>
                <w:color w:val="auto"/>
              </w:rPr>
              <w:t>250</w:t>
            </w: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70</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147</w:t>
            </w:r>
          </w:p>
        </w:tc>
        <w:tc>
          <w:tcPr>
            <w:tcW w:w="0" w:type="dxa"/>
            <w:vAlign w:val="bottom"/>
          </w:tcPr>
          <w:p>
            <w:pPr>
              <w:spacing w:after="0"/>
              <w:rPr>
                <w:sz w:val="1"/>
                <w:szCs w:val="1"/>
                <w:color w:val="auto"/>
              </w:rPr>
            </w:pPr>
          </w:p>
        </w:tc>
      </w:tr>
      <w:tr>
        <w:trPr>
          <w:trHeight w:val="250"/>
        </w:trPr>
        <w:tc>
          <w:tcPr>
            <w:tcW w:w="6260" w:type="dxa"/>
            <w:vAlign w:val="bottom"/>
          </w:tcPr>
          <w:p>
            <w:pPr>
              <w:spacing w:after="0"/>
              <w:rPr>
                <w:sz w:val="20"/>
                <w:szCs w:val="20"/>
                <w:color w:val="auto"/>
              </w:rPr>
            </w:pPr>
            <w:r>
              <w:rPr>
                <w:rFonts w:ascii="Arial" w:cs="Arial" w:eastAsia="Arial" w:hAnsi="Arial"/>
                <w:sz w:val="16"/>
                <w:szCs w:val="16"/>
                <w:color w:val="auto"/>
              </w:rPr>
              <w:t>Change in fair value of reinsurance related embedded derivatives</w:t>
            </w:r>
          </w:p>
        </w:tc>
        <w:tc>
          <w:tcPr>
            <w:tcW w:w="82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(148)</w:t>
            </w: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(32)</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(128)</w:t>
            </w:r>
          </w:p>
        </w:tc>
        <w:tc>
          <w:tcPr>
            <w:tcW w:w="0" w:type="dxa"/>
            <w:vAlign w:val="bottom"/>
          </w:tcPr>
          <w:p>
            <w:pPr>
              <w:spacing w:after="0"/>
              <w:rPr>
                <w:sz w:val="1"/>
                <w:szCs w:val="1"/>
                <w:color w:val="auto"/>
              </w:rPr>
            </w:pPr>
          </w:p>
        </w:tc>
      </w:tr>
      <w:tr>
        <w:trPr>
          <w:trHeight w:val="257"/>
        </w:trPr>
        <w:tc>
          <w:tcPr>
            <w:tcW w:w="6260" w:type="dxa"/>
            <w:vAlign w:val="bottom"/>
          </w:tcPr>
          <w:p>
            <w:pPr>
              <w:spacing w:after="0"/>
              <w:rPr>
                <w:sz w:val="20"/>
                <w:szCs w:val="20"/>
                <w:color w:val="auto"/>
              </w:rPr>
            </w:pPr>
            <w:r>
              <w:rPr>
                <w:rFonts w:ascii="Arial" w:cs="Arial" w:eastAsia="Arial" w:hAnsi="Arial"/>
                <w:sz w:val="16"/>
                <w:szCs w:val="16"/>
                <w:color w:val="auto"/>
              </w:rPr>
              <w:t>Change in fair value of other derivatives and embedded derivatives</w:t>
            </w:r>
          </w:p>
        </w:tc>
        <w:tc>
          <w:tcPr>
            <w:tcW w:w="82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9</w:t>
            </w:r>
          </w:p>
        </w:tc>
        <w:tc>
          <w:tcPr>
            <w:tcW w:w="6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8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10"/>
        </w:trPr>
        <w:tc>
          <w:tcPr>
            <w:tcW w:w="6260" w:type="dxa"/>
            <w:vAlign w:val="bottom"/>
          </w:tcPr>
          <w:p>
            <w:pPr>
              <w:ind w:left="220"/>
              <w:spacing w:after="0"/>
              <w:rPr>
                <w:sz w:val="20"/>
                <w:szCs w:val="20"/>
                <w:color w:val="auto"/>
              </w:rPr>
            </w:pPr>
            <w:r>
              <w:rPr>
                <w:rFonts w:ascii="Arial" w:cs="Arial" w:eastAsia="Arial" w:hAnsi="Arial"/>
                <w:sz w:val="16"/>
                <w:szCs w:val="16"/>
                <w:b w:val="1"/>
                <w:bCs w:val="1"/>
                <w:color w:val="auto"/>
              </w:rPr>
              <w:t>Recognized gains and losses, net</w:t>
            </w:r>
          </w:p>
        </w:tc>
        <w:tc>
          <w:tcPr>
            <w:tcW w:w="820" w:type="dxa"/>
            <w:vAlign w:val="bottom"/>
          </w:tcPr>
          <w:p>
            <w:pPr>
              <w:jc w:val="right"/>
              <w:ind w:right="622"/>
              <w:spacing w:after="0"/>
              <w:rPr>
                <w:sz w:val="20"/>
                <w:szCs w:val="20"/>
                <w:color w:val="auto"/>
              </w:rPr>
            </w:pPr>
            <w:r>
              <w:rPr>
                <w:rFonts w:ascii="Arial" w:cs="Arial" w:eastAsia="Arial" w:hAnsi="Arial"/>
                <w:sz w:val="16"/>
                <w:szCs w:val="16"/>
                <w:color w:val="auto"/>
              </w:rPr>
              <w:t>$</w:t>
            </w:r>
          </w:p>
        </w:tc>
        <w:tc>
          <w:tcPr>
            <w:tcW w:w="420" w:type="dxa"/>
            <w:vAlign w:val="bottom"/>
          </w:tcPr>
          <w:p>
            <w:pPr>
              <w:jc w:val="right"/>
              <w:ind w:right="2"/>
              <w:spacing w:after="0"/>
              <w:rPr>
                <w:sz w:val="20"/>
                <w:szCs w:val="20"/>
                <w:color w:val="auto"/>
              </w:rPr>
            </w:pPr>
            <w:r>
              <w:rPr>
                <w:rFonts w:ascii="Arial" w:cs="Arial" w:eastAsia="Arial" w:hAnsi="Arial"/>
                <w:sz w:val="16"/>
                <w:szCs w:val="16"/>
                <w:color w:val="auto"/>
              </w:rPr>
              <w:t>10</w:t>
            </w: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84</w:t>
            </w:r>
          </w:p>
        </w:tc>
        <w:tc>
          <w:tcPr>
            <w:tcW w:w="3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(124)</w:t>
            </w:r>
          </w:p>
        </w:tc>
        <w:tc>
          <w:tcPr>
            <w:tcW w:w="0" w:type="dxa"/>
            <w:vAlign w:val="bottom"/>
          </w:tcPr>
          <w:p>
            <w:pPr>
              <w:spacing w:after="0"/>
              <w:rPr>
                <w:sz w:val="1"/>
                <w:szCs w:val="1"/>
                <w:color w:val="auto"/>
              </w:rPr>
            </w:pPr>
          </w:p>
        </w:tc>
      </w:tr>
      <w:tr>
        <w:trPr>
          <w:trHeight w:val="20"/>
        </w:trPr>
        <w:tc>
          <w:tcPr>
            <w:tcW w:w="62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-1057910</wp:posOffset>
            </wp:positionV>
            <wp:extent cx="6410325" cy="106489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45">
                      <a:extLst>
                        <a:ext uri="{28A0092B-C50C-407E-A947-70E740481C1C}"/>
                      </a:extLst>
                    </a:blip>
                    <a:srcRect/>
                    <a:stretch>
                      <a:fillRect/>
                    </a:stretch>
                  </pic:blipFill>
                  <pic:spPr bwMode="auto">
                    <a:xfrm>
                      <a:off x="0" y="0"/>
                      <a:ext cx="6410325" cy="1064895"/>
                    </a:xfrm>
                    <a:prstGeom prst="rect">
                      <a:avLst/>
                    </a:prstGeom>
                    <a:noFill/>
                  </pic:spPr>
                </pic:pic>
              </a:graphicData>
            </a:graphic>
          </wp:anchor>
        </w:drawing>
      </w:r>
    </w:p>
    <w:p>
      <w:pPr>
        <w:spacing w:after="0" w:line="105" w:lineRule="exact"/>
        <w:rPr>
          <w:sz w:val="20"/>
          <w:szCs w:val="20"/>
          <w:color w:val="auto"/>
        </w:rPr>
      </w:pPr>
    </w:p>
    <w:p>
      <w:pPr>
        <w:jc w:val="both"/>
        <w:ind w:firstLine="353"/>
        <w:spacing w:after="0" w:line="254" w:lineRule="auto"/>
        <w:rPr>
          <w:sz w:val="20"/>
          <w:szCs w:val="20"/>
          <w:color w:val="auto"/>
        </w:rPr>
      </w:pPr>
      <w:r>
        <w:rPr>
          <w:rFonts w:ascii="Arial" w:cs="Arial" w:eastAsia="Arial" w:hAnsi="Arial"/>
          <w:sz w:val="20"/>
          <w:szCs w:val="20"/>
          <w:color w:val="auto"/>
        </w:rPr>
        <w:t>Recognized gains and losses, net is shown net of amounts attributable to certain funds withheld reinsurance agreements which is passed along to the reinsurer in accordance with the terms of these agreements. Recognized losses attributable to these agreements, and thus excluded from the totals in the table above, was $154 million, $30 million and $123 million for the years ended December 31, 2025, 2024, and 2023, respectively.</w:t>
      </w:r>
    </w:p>
    <w:p>
      <w:pPr>
        <w:spacing w:after="0" w:line="85" w:lineRule="exact"/>
        <w:rPr>
          <w:sz w:val="20"/>
          <w:szCs w:val="20"/>
          <w:color w:val="auto"/>
        </w:rPr>
      </w:pPr>
    </w:p>
    <w:p>
      <w:pPr>
        <w:jc w:val="both"/>
        <w:ind w:left="700" w:hanging="355"/>
        <w:spacing w:after="0" w:line="278" w:lineRule="auto"/>
        <w:tabs>
          <w:tab w:leader="none" w:pos="700" w:val="left"/>
        </w:tabs>
        <w:numPr>
          <w:ilvl w:val="0"/>
          <w:numId w:val="33"/>
        </w:numPr>
        <w:rPr>
          <w:rFonts w:ascii="Arial" w:cs="Arial" w:eastAsia="Arial" w:hAnsi="Arial"/>
          <w:sz w:val="19"/>
          <w:szCs w:val="19"/>
          <w:color w:val="auto"/>
        </w:rPr>
      </w:pPr>
      <w:r>
        <w:rPr>
          <w:rFonts w:ascii="Arial" w:cs="Arial" w:eastAsia="Arial" w:hAnsi="Arial"/>
          <w:sz w:val="19"/>
          <w:szCs w:val="19"/>
          <w:color w:val="auto"/>
        </w:rPr>
        <w:t>For the year ended December 31, 2025, net realized and unrealized (losses) gains on fixed maturity available-for-sale securities, equity securities and other invested assets is primarily the result of mark-to-market losses on our equity securities and net realized losses on fixed maturity available-for-sale securities.</w:t>
      </w:r>
    </w:p>
    <w:p>
      <w:pPr>
        <w:spacing w:after="0" w:line="63" w:lineRule="exact"/>
        <w:rPr>
          <w:rFonts w:ascii="Arial" w:cs="Arial" w:eastAsia="Arial" w:hAnsi="Arial"/>
          <w:sz w:val="19"/>
          <w:szCs w:val="19"/>
          <w:color w:val="auto"/>
        </w:rPr>
      </w:pPr>
    </w:p>
    <w:p>
      <w:pPr>
        <w:jc w:val="both"/>
        <w:ind w:left="700" w:hanging="355"/>
        <w:spacing w:after="0" w:line="361" w:lineRule="auto"/>
        <w:tabs>
          <w:tab w:leader="none" w:pos="700" w:val="left"/>
        </w:tabs>
        <w:numPr>
          <w:ilvl w:val="0"/>
          <w:numId w:val="33"/>
        </w:numPr>
        <w:rPr>
          <w:rFonts w:ascii="Arial" w:cs="Arial" w:eastAsia="Arial" w:hAnsi="Arial"/>
          <w:sz w:val="17"/>
          <w:szCs w:val="17"/>
          <w:color w:val="auto"/>
        </w:rPr>
      </w:pPr>
      <w:r>
        <w:rPr>
          <w:rFonts w:ascii="Arial" w:cs="Arial" w:eastAsia="Arial" w:hAnsi="Arial"/>
          <w:sz w:val="17"/>
          <w:szCs w:val="17"/>
          <w:color w:val="auto"/>
        </w:rPr>
        <w:t>For the year ended December 31, 2024, net realized and unrealized gains (losses) on fixed maturity available-for-sale securities, equity securities and other invested assets is primarily the result of unrealized fair value option (“FVO”)</w:t>
      </w:r>
    </w:p>
    <w:p>
      <w:pPr>
        <w:sectPr>
          <w:pgSz w:w="11880" w:h="15480" w:orient="portrait"/>
          <w:cols w:equalWidth="0" w:num="1">
            <w:col w:w="10040"/>
          </w:cols>
          <w:pgMar w:left="920" w:top="772" w:right="920" w:bottom="0" w:gutter="0" w:footer="0" w:header="0"/>
        </w:sect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75</w:t>
      </w:r>
    </w:p>
    <w:p>
      <w:pPr>
        <w:sectPr>
          <w:pgSz w:w="11880" w:h="15480" w:orient="portrait"/>
          <w:cols w:equalWidth="0" w:num="1">
            <w:col w:w="10040"/>
          </w:cols>
          <w:pgMar w:left="920" w:top="772" w:right="920" w:bottom="0" w:gutter="0" w:footer="0" w:header="0"/>
          <w:type w:val="continuous"/>
        </w:sectPr>
      </w:pPr>
    </w:p>
    <w:bookmarkStart w:id="87" w:name="page88"/>
    <w:bookmarkEnd w:id="87"/>
    <w:p>
      <w:pPr>
        <w:ind w:left="700"/>
        <w:spacing w:after="0" w:line="271" w:lineRule="auto"/>
        <w:rPr>
          <w:sz w:val="20"/>
          <w:szCs w:val="20"/>
          <w:color w:val="auto"/>
        </w:rPr>
      </w:pPr>
      <w:r>
        <w:rPr>
          <w:rFonts w:ascii="Arial" w:cs="Arial" w:eastAsia="Arial" w:hAnsi="Arial"/>
          <w:sz w:val="20"/>
          <w:szCs w:val="20"/>
          <w:color w:val="auto"/>
        </w:rPr>
        <w:t>gains on our unconsolidated owned distribution investments and mark-to-market gains on our preferred and equity securities.</w:t>
      </w:r>
    </w:p>
    <w:p>
      <w:pPr>
        <w:spacing w:after="0" w:line="69" w:lineRule="exact"/>
        <w:rPr>
          <w:sz w:val="20"/>
          <w:szCs w:val="20"/>
          <w:color w:val="auto"/>
        </w:rPr>
      </w:pPr>
    </w:p>
    <w:p>
      <w:pPr>
        <w:jc w:val="both"/>
        <w:ind w:left="700" w:hanging="355"/>
        <w:spacing w:after="0" w:line="254" w:lineRule="auto"/>
        <w:tabs>
          <w:tab w:leader="none" w:pos="700" w:val="left"/>
        </w:tabs>
        <w:numPr>
          <w:ilvl w:val="0"/>
          <w:numId w:val="34"/>
        </w:numPr>
        <w:rPr>
          <w:rFonts w:ascii="Arial" w:cs="Arial" w:eastAsia="Arial" w:hAnsi="Arial"/>
          <w:sz w:val="20"/>
          <w:szCs w:val="20"/>
          <w:color w:val="auto"/>
        </w:rPr>
      </w:pPr>
      <w:r>
        <w:rPr>
          <w:rFonts w:ascii="Arial" w:cs="Arial" w:eastAsia="Arial" w:hAnsi="Arial"/>
          <w:sz w:val="20"/>
          <w:szCs w:val="20"/>
          <w:color w:val="auto"/>
        </w:rPr>
        <w:t>For the year ended December 31, 2023, net realized and unrealized gains (losses) on fixed maturity available-for-sale securities, equity securities, and other invested assets is primarily the result of realized losses on fixed maturity available-for-sale securities, partially offset by mark-to-market gains on our equity securities and realized gains on other invested assets.</w:t>
      </w:r>
    </w:p>
    <w:p>
      <w:pPr>
        <w:spacing w:after="0" w:line="84" w:lineRule="exact"/>
        <w:rPr>
          <w:rFonts w:ascii="Arial" w:cs="Arial" w:eastAsia="Arial" w:hAnsi="Arial"/>
          <w:sz w:val="20"/>
          <w:szCs w:val="20"/>
          <w:color w:val="auto"/>
        </w:rPr>
      </w:pPr>
    </w:p>
    <w:p>
      <w:pPr>
        <w:ind w:left="700" w:hanging="355"/>
        <w:spacing w:after="0"/>
        <w:tabs>
          <w:tab w:leader="none" w:pos="700" w:val="left"/>
        </w:tabs>
        <w:numPr>
          <w:ilvl w:val="0"/>
          <w:numId w:val="34"/>
        </w:numPr>
        <w:rPr>
          <w:rFonts w:ascii="Arial" w:cs="Arial" w:eastAsia="Arial" w:hAnsi="Arial"/>
          <w:sz w:val="20"/>
          <w:szCs w:val="20"/>
          <w:color w:val="auto"/>
        </w:rPr>
      </w:pPr>
      <w:r>
        <w:rPr>
          <w:rFonts w:ascii="Arial" w:cs="Arial" w:eastAsia="Arial" w:hAnsi="Arial"/>
          <w:sz w:val="20"/>
          <w:szCs w:val="20"/>
          <w:color w:val="auto"/>
        </w:rPr>
        <w:t>The change in allowance for expected credit losses primarily relates to available for sale securities.</w:t>
      </w:r>
    </w:p>
    <w:p>
      <w:pPr>
        <w:spacing w:after="0" w:line="122" w:lineRule="exact"/>
        <w:rPr>
          <w:rFonts w:ascii="Arial" w:cs="Arial" w:eastAsia="Arial" w:hAnsi="Arial"/>
          <w:sz w:val="20"/>
          <w:szCs w:val="20"/>
          <w:color w:val="auto"/>
        </w:rPr>
      </w:pPr>
    </w:p>
    <w:p>
      <w:pPr>
        <w:jc w:val="both"/>
        <w:ind w:left="700" w:hanging="355"/>
        <w:spacing w:after="0" w:line="271" w:lineRule="auto"/>
        <w:tabs>
          <w:tab w:leader="none" w:pos="700" w:val="left"/>
        </w:tabs>
        <w:numPr>
          <w:ilvl w:val="0"/>
          <w:numId w:val="34"/>
        </w:numPr>
        <w:rPr>
          <w:rFonts w:ascii="Arial" w:cs="Arial" w:eastAsia="Arial" w:hAnsi="Arial"/>
          <w:sz w:val="19"/>
          <w:szCs w:val="19"/>
          <w:color w:val="auto"/>
        </w:rPr>
      </w:pPr>
      <w:r>
        <w:rPr>
          <w:rFonts w:ascii="Arial" w:cs="Arial" w:eastAsia="Arial" w:hAnsi="Arial"/>
          <w:sz w:val="19"/>
          <w:szCs w:val="19"/>
          <w:color w:val="auto"/>
        </w:rPr>
        <w:t>For all periods, net realized and unrealized gains (losses) on certain derivative instruments primarily relate to the net realized and unrealized gains (losses) on equity options and futures used to hedge indexed annuity and IUL products, including gains on option and futures expiration and changes in the fair value of interest rate swaps. See the table below for primary drivers of gains (losses) on certain derivatives.</w:t>
      </w:r>
    </w:p>
    <w:p>
      <w:pPr>
        <w:spacing w:after="0" w:line="71" w:lineRule="exact"/>
        <w:rPr>
          <w:rFonts w:ascii="Arial" w:cs="Arial" w:eastAsia="Arial" w:hAnsi="Arial"/>
          <w:sz w:val="19"/>
          <w:szCs w:val="19"/>
          <w:color w:val="auto"/>
        </w:rPr>
      </w:pPr>
    </w:p>
    <w:p>
      <w:pPr>
        <w:jc w:val="both"/>
        <w:ind w:left="700" w:hanging="355"/>
        <w:spacing w:after="0" w:line="325" w:lineRule="auto"/>
        <w:tabs>
          <w:tab w:leader="none" w:pos="700"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 fair value of the reinsurance-related embedded derivatives in our funds withheld (“FWH”) reinsurance agreements are estimated based upon the change in fair value (for total return swaps), or the fair value (for the index credit obligation due the reinsurer), of the assets supporting the funds withheld from reinsurance liabilities.</w:t>
      </w:r>
    </w:p>
    <w:p>
      <w:pPr>
        <w:spacing w:after="0" w:line="29" w:lineRule="exact"/>
        <w:rPr>
          <w:sz w:val="20"/>
          <w:szCs w:val="20"/>
          <w:color w:val="auto"/>
        </w:rPr>
      </w:pPr>
    </w:p>
    <w:p>
      <w:pPr>
        <w:jc w:val="both"/>
        <w:ind w:firstLine="353"/>
        <w:spacing w:after="0" w:line="258" w:lineRule="auto"/>
        <w:rPr>
          <w:sz w:val="20"/>
          <w:szCs w:val="20"/>
          <w:color w:val="auto"/>
        </w:rPr>
      </w:pPr>
      <w:r>
        <w:rPr>
          <w:rFonts w:ascii="Arial" w:cs="Arial" w:eastAsia="Arial" w:hAnsi="Arial"/>
          <w:sz w:val="20"/>
          <w:szCs w:val="20"/>
          <w:color w:val="auto"/>
        </w:rPr>
        <w:t>We utilize a combination of static (equity options) and dynamic (long futures contracts) instruments in our product hedging strategy. Equity options and futures contracts are generally based upon the performance of various equity indices, such as the S&amp;P 500 Index, as well as other bond and gold market indices.</w:t>
      </w:r>
    </w:p>
    <w:p>
      <w:pPr>
        <w:spacing w:after="0" w:line="82" w:lineRule="exact"/>
        <w:rPr>
          <w:sz w:val="20"/>
          <w:szCs w:val="20"/>
          <w:color w:val="auto"/>
        </w:rPr>
      </w:pPr>
    </w:p>
    <w:p>
      <w:pPr>
        <w:jc w:val="both"/>
        <w:ind w:firstLine="353"/>
        <w:spacing w:after="0" w:line="258" w:lineRule="auto"/>
        <w:rPr>
          <w:sz w:val="20"/>
          <w:szCs w:val="20"/>
          <w:color w:val="auto"/>
        </w:rPr>
      </w:pPr>
      <w:r>
        <w:rPr>
          <w:rFonts w:ascii="Arial" w:cs="Arial" w:eastAsia="Arial" w:hAnsi="Arial"/>
          <w:sz w:val="20"/>
          <w:szCs w:val="20"/>
          <w:color w:val="auto"/>
        </w:rPr>
        <w:t>We utilize interest rate swaps to reduce market risks from interest rate changes on our earnings associated with our floating rate investments and we utilize foreign currency swaps to reduce market risks from fluctuations in foreign exchange rates that impact earnings associated with our foreign currency denominated investments.</w:t>
      </w:r>
    </w:p>
    <w:p>
      <w:pPr>
        <w:spacing w:after="0" w:line="82" w:lineRule="exact"/>
        <w:rPr>
          <w:sz w:val="20"/>
          <w:szCs w:val="20"/>
          <w:color w:val="auto"/>
        </w:rPr>
      </w:pPr>
    </w:p>
    <w:p>
      <w:pPr>
        <w:jc w:val="both"/>
        <w:ind w:firstLine="353"/>
        <w:spacing w:after="0" w:line="258" w:lineRule="auto"/>
        <w:rPr>
          <w:sz w:val="20"/>
          <w:szCs w:val="20"/>
          <w:color w:val="auto"/>
        </w:rPr>
      </w:pPr>
      <w:r>
        <w:rPr>
          <w:rFonts w:ascii="Arial" w:cs="Arial" w:eastAsia="Arial" w:hAnsi="Arial"/>
          <w:sz w:val="20"/>
          <w:szCs w:val="20"/>
          <w:color w:val="auto"/>
        </w:rPr>
        <w:t>The components of the realized and unrealized gains (losses) on certain derivative instruments hedging our indexed annuities, universal life products and floating rate investments are summarized in the table below for the years ended December 31, 2025, 2024, and 2023:</w:t>
      </w:r>
    </w:p>
    <w:p>
      <w:pPr>
        <w:spacing w:after="0" w:line="91" w:lineRule="exact"/>
        <w:rPr>
          <w:sz w:val="20"/>
          <w:szCs w:val="20"/>
          <w:color w:val="auto"/>
        </w:rPr>
      </w:pPr>
    </w:p>
    <w:tbl>
      <w:tblPr>
        <w:tblLayout w:type="fixed"/>
        <w:tblInd w:w="40" w:type="dxa"/>
        <w:tblCellMar>
          <w:top w:w="0" w:type="dxa"/>
          <w:left w:w="0" w:type="dxa"/>
          <w:bottom w:w="0" w:type="dxa"/>
          <w:right w:w="0" w:type="dxa"/>
        </w:tblCellMar>
      </w:tblPr>
      <w:tr>
        <w:trPr>
          <w:trHeight w:val="213"/>
        </w:trPr>
        <w:tc>
          <w:tcPr>
            <w:tcW w:w="6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660" w:type="dxa"/>
            <w:vAlign w:val="bottom"/>
            <w:tcBorders>
              <w:bottom w:val="single" w:sz="8" w:color="auto"/>
            </w:tcBorders>
            <w:gridSpan w:val="7"/>
          </w:tcPr>
          <w:p>
            <w:pPr>
              <w:jc w:val="right"/>
              <w:ind w:right="47"/>
              <w:spacing w:after="0"/>
              <w:rPr>
                <w:sz w:val="20"/>
                <w:szCs w:val="20"/>
                <w:color w:val="auto"/>
              </w:rPr>
            </w:pPr>
            <w:r>
              <w:rPr>
                <w:rFonts w:ascii="Arial" w:cs="Arial" w:eastAsia="Arial" w:hAnsi="Arial"/>
                <w:sz w:val="16"/>
                <w:szCs w:val="16"/>
                <w:b w:val="1"/>
                <w:bCs w:val="1"/>
                <w:color w:val="auto"/>
              </w:rPr>
              <w:t>Year Ended December 31,</w:t>
            </w:r>
          </w:p>
        </w:tc>
        <w:tc>
          <w:tcPr>
            <w:tcW w:w="9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6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jc w:val="right"/>
              <w:ind w:right="382"/>
              <w:spacing w:after="0"/>
              <w:rPr>
                <w:sz w:val="20"/>
                <w:szCs w:val="20"/>
                <w:color w:val="auto"/>
              </w:rPr>
            </w:pPr>
            <w:r>
              <w:rPr>
                <w:rFonts w:ascii="Arial" w:cs="Arial" w:eastAsia="Arial" w:hAnsi="Arial"/>
                <w:sz w:val="16"/>
                <w:szCs w:val="16"/>
                <w:b w:val="1"/>
                <w:bCs w:val="1"/>
                <w:color w:val="auto"/>
              </w:rPr>
              <w:t>2025</w:t>
            </w:r>
          </w:p>
        </w:tc>
        <w:tc>
          <w:tcPr>
            <w:tcW w:w="1280" w:type="dxa"/>
            <w:vAlign w:val="bottom"/>
            <w:gridSpan w:val="3"/>
          </w:tcPr>
          <w:p>
            <w:pPr>
              <w:jc w:val="right"/>
              <w:ind w:right="362"/>
              <w:spacing w:after="0"/>
              <w:rPr>
                <w:sz w:val="20"/>
                <w:szCs w:val="20"/>
                <w:color w:val="auto"/>
              </w:rPr>
            </w:pPr>
            <w:r>
              <w:rPr>
                <w:rFonts w:ascii="Arial" w:cs="Arial" w:eastAsia="Arial" w:hAnsi="Arial"/>
                <w:sz w:val="16"/>
                <w:szCs w:val="16"/>
                <w:b w:val="1"/>
                <w:bCs w:val="1"/>
                <w:color w:val="auto"/>
              </w:rPr>
              <w:t>2024</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0" w:type="dxa"/>
            <w:vAlign w:val="bottom"/>
          </w:tcPr>
          <w:p>
            <w:pPr>
              <w:jc w:val="right"/>
              <w:ind w:right="422"/>
              <w:spacing w:after="0"/>
              <w:rPr>
                <w:sz w:val="20"/>
                <w:szCs w:val="20"/>
                <w:color w:val="auto"/>
              </w:rPr>
            </w:pPr>
            <w:r>
              <w:rPr>
                <w:rFonts w:ascii="Arial" w:cs="Arial" w:eastAsia="Arial" w:hAnsi="Arial"/>
                <w:sz w:val="16"/>
                <w:szCs w:val="16"/>
                <w:b w:val="1"/>
                <w:bCs w:val="1"/>
                <w:color w:val="auto"/>
              </w:rPr>
              <w:t>2023</w:t>
            </w:r>
          </w:p>
        </w:tc>
        <w:tc>
          <w:tcPr>
            <w:tcW w:w="0" w:type="dxa"/>
            <w:vAlign w:val="bottom"/>
          </w:tcPr>
          <w:p>
            <w:pPr>
              <w:spacing w:after="0"/>
              <w:rPr>
                <w:sz w:val="1"/>
                <w:szCs w:val="1"/>
                <w:color w:val="auto"/>
              </w:rPr>
            </w:pPr>
          </w:p>
        </w:tc>
      </w:tr>
      <w:tr>
        <w:trPr>
          <w:trHeight w:val="206"/>
        </w:trPr>
        <w:tc>
          <w:tcPr>
            <w:tcW w:w="612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w w:val="84"/>
              </w:rPr>
              <w:t>(Dollars In</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w w:val="72"/>
              </w:rPr>
              <w:t>millions)</w:t>
            </w:r>
          </w:p>
        </w:tc>
        <w:tc>
          <w:tcPr>
            <w:tcW w:w="80" w:type="dxa"/>
            <w:vAlign w:val="bottom"/>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6120" w:type="dxa"/>
            <w:vAlign w:val="bottom"/>
          </w:tcPr>
          <w:p>
            <w:pPr>
              <w:spacing w:after="0"/>
              <w:rPr>
                <w:sz w:val="20"/>
                <w:szCs w:val="20"/>
                <w:color w:val="auto"/>
              </w:rPr>
            </w:pPr>
            <w:r>
              <w:rPr>
                <w:rFonts w:ascii="Arial" w:cs="Arial" w:eastAsia="Arial" w:hAnsi="Arial"/>
                <w:sz w:val="16"/>
                <w:szCs w:val="16"/>
                <w:color w:val="auto"/>
              </w:rPr>
              <w:t>Equity options:</w:t>
            </w: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6120" w:type="dxa"/>
            <w:vAlign w:val="bottom"/>
          </w:tcPr>
          <w:p>
            <w:pPr>
              <w:ind w:left="220"/>
              <w:spacing w:after="0"/>
              <w:rPr>
                <w:sz w:val="20"/>
                <w:szCs w:val="20"/>
                <w:color w:val="auto"/>
              </w:rPr>
            </w:pPr>
            <w:r>
              <w:rPr>
                <w:rFonts w:ascii="Arial" w:cs="Arial" w:eastAsia="Arial" w:hAnsi="Arial"/>
                <w:sz w:val="16"/>
                <w:szCs w:val="16"/>
                <w:color w:val="auto"/>
              </w:rPr>
              <w:t>Realized (losses) gains</w:t>
            </w:r>
          </w:p>
        </w:tc>
        <w:tc>
          <w:tcPr>
            <w:tcW w:w="280" w:type="dxa"/>
            <w:vAlign w:val="bottom"/>
          </w:tcPr>
          <w:p>
            <w:pPr>
              <w:jc w:val="right"/>
              <w:ind w:right="82"/>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82"/>
              <w:spacing w:after="0"/>
              <w:rPr>
                <w:sz w:val="20"/>
                <w:szCs w:val="20"/>
                <w:color w:val="auto"/>
              </w:rPr>
            </w:pPr>
            <w:r>
              <w:rPr>
                <w:rFonts w:ascii="Arial" w:cs="Arial" w:eastAsia="Arial" w:hAnsi="Arial"/>
                <w:sz w:val="16"/>
                <w:szCs w:val="16"/>
                <w:color w:val="auto"/>
              </w:rPr>
              <w:t>(77)</w:t>
            </w:r>
          </w:p>
        </w:tc>
        <w:tc>
          <w:tcPr>
            <w:tcW w:w="780" w:type="dxa"/>
            <w:vAlign w:val="bottom"/>
            <w:gridSpan w:val="2"/>
          </w:tcPr>
          <w:p>
            <w:pPr>
              <w:jc w:val="right"/>
              <w:ind w:right="502"/>
              <w:spacing w:after="0"/>
              <w:rPr>
                <w:sz w:val="20"/>
                <w:szCs w:val="20"/>
                <w:color w:val="auto"/>
              </w:rPr>
            </w:pPr>
            <w:r>
              <w:rPr>
                <w:rFonts w:ascii="Arial" w:cs="Arial" w:eastAsia="Arial" w:hAnsi="Arial"/>
                <w:sz w:val="16"/>
                <w:szCs w:val="16"/>
                <w:color w:val="auto"/>
              </w:rPr>
              <w:t>$</w:t>
            </w:r>
          </w:p>
        </w:tc>
        <w:tc>
          <w:tcPr>
            <w:tcW w:w="500" w:type="dxa"/>
            <w:vAlign w:val="bottom"/>
          </w:tcPr>
          <w:p>
            <w:pPr>
              <w:jc w:val="right"/>
              <w:ind w:right="122"/>
              <w:spacing w:after="0"/>
              <w:rPr>
                <w:sz w:val="20"/>
                <w:szCs w:val="20"/>
                <w:color w:val="auto"/>
              </w:rPr>
            </w:pPr>
            <w:r>
              <w:rPr>
                <w:rFonts w:ascii="Arial" w:cs="Arial" w:eastAsia="Arial" w:hAnsi="Arial"/>
                <w:sz w:val="16"/>
                <w:szCs w:val="16"/>
                <w:color w:val="auto"/>
              </w:rPr>
              <w:t>220</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jc w:val="right"/>
              <w:ind w:right="167"/>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ind w:right="82"/>
              <w:spacing w:after="0"/>
              <w:rPr>
                <w:sz w:val="20"/>
                <w:szCs w:val="20"/>
                <w:color w:val="auto"/>
              </w:rPr>
            </w:pPr>
            <w:r>
              <w:rPr>
                <w:rFonts w:ascii="Arial" w:cs="Arial" w:eastAsia="Arial" w:hAnsi="Arial"/>
                <w:sz w:val="16"/>
                <w:szCs w:val="16"/>
                <w:color w:val="auto"/>
              </w:rPr>
              <w:t>(216)</w:t>
            </w:r>
          </w:p>
        </w:tc>
        <w:tc>
          <w:tcPr>
            <w:tcW w:w="0" w:type="dxa"/>
            <w:vAlign w:val="bottom"/>
          </w:tcPr>
          <w:p>
            <w:pPr>
              <w:spacing w:after="0"/>
              <w:rPr>
                <w:sz w:val="1"/>
                <w:szCs w:val="1"/>
                <w:color w:val="auto"/>
              </w:rPr>
            </w:pPr>
          </w:p>
        </w:tc>
      </w:tr>
      <w:tr>
        <w:trPr>
          <w:trHeight w:val="235"/>
        </w:trPr>
        <w:tc>
          <w:tcPr>
            <w:tcW w:w="6120" w:type="dxa"/>
            <w:vAlign w:val="bottom"/>
          </w:tcPr>
          <w:p>
            <w:pPr>
              <w:ind w:left="220"/>
              <w:spacing w:after="0"/>
              <w:rPr>
                <w:sz w:val="20"/>
                <w:szCs w:val="20"/>
                <w:color w:val="auto"/>
              </w:rPr>
            </w:pPr>
            <w:r>
              <w:rPr>
                <w:rFonts w:ascii="Arial" w:cs="Arial" w:eastAsia="Arial" w:hAnsi="Arial"/>
                <w:sz w:val="16"/>
                <w:szCs w:val="16"/>
                <w:color w:val="auto"/>
              </w:rPr>
              <w:t>Change in unrealized gains (losses)</w:t>
            </w:r>
          </w:p>
        </w:tc>
        <w:tc>
          <w:tcPr>
            <w:tcW w:w="280" w:type="dxa"/>
            <w:vAlign w:val="bottom"/>
          </w:tcPr>
          <w:p>
            <w:pPr>
              <w:spacing w:after="0"/>
              <w:rPr>
                <w:sz w:val="20"/>
                <w:szCs w:val="20"/>
                <w:color w:val="auto"/>
              </w:rPr>
            </w:pPr>
          </w:p>
        </w:tc>
        <w:tc>
          <w:tcPr>
            <w:tcW w:w="940" w:type="dxa"/>
            <w:vAlign w:val="bottom"/>
          </w:tcPr>
          <w:p>
            <w:pPr>
              <w:jc w:val="right"/>
              <w:ind w:right="122"/>
              <w:spacing w:after="0"/>
              <w:rPr>
                <w:sz w:val="20"/>
                <w:szCs w:val="20"/>
                <w:color w:val="auto"/>
              </w:rPr>
            </w:pPr>
            <w:r>
              <w:rPr>
                <w:rFonts w:ascii="Arial" w:cs="Arial" w:eastAsia="Arial" w:hAnsi="Arial"/>
                <w:sz w:val="16"/>
                <w:szCs w:val="16"/>
                <w:color w:val="auto"/>
              </w:rPr>
              <w:t>254</w:t>
            </w:r>
          </w:p>
        </w:tc>
        <w:tc>
          <w:tcPr>
            <w:tcW w:w="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00" w:type="dxa"/>
            <w:vAlign w:val="bottom"/>
          </w:tcPr>
          <w:p>
            <w:pPr>
              <w:jc w:val="right"/>
              <w:ind w:right="62"/>
              <w:spacing w:after="0"/>
              <w:rPr>
                <w:sz w:val="20"/>
                <w:szCs w:val="20"/>
                <w:color w:val="auto"/>
              </w:rPr>
            </w:pPr>
            <w:r>
              <w:rPr>
                <w:rFonts w:ascii="Arial" w:cs="Arial" w:eastAsia="Arial" w:hAnsi="Arial"/>
                <w:sz w:val="16"/>
                <w:szCs w:val="16"/>
                <w:color w:val="auto"/>
              </w:rPr>
              <w:t>(75)</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40" w:type="dxa"/>
            <w:vAlign w:val="bottom"/>
          </w:tcPr>
          <w:p>
            <w:pPr>
              <w:jc w:val="right"/>
              <w:ind w:right="122"/>
              <w:spacing w:after="0"/>
              <w:rPr>
                <w:sz w:val="20"/>
                <w:szCs w:val="20"/>
                <w:color w:val="auto"/>
              </w:rPr>
            </w:pPr>
            <w:r>
              <w:rPr>
                <w:rFonts w:ascii="Arial" w:cs="Arial" w:eastAsia="Arial" w:hAnsi="Arial"/>
                <w:sz w:val="16"/>
                <w:szCs w:val="16"/>
                <w:color w:val="auto"/>
              </w:rPr>
              <w:t>308</w:t>
            </w:r>
          </w:p>
        </w:tc>
        <w:tc>
          <w:tcPr>
            <w:tcW w:w="0" w:type="dxa"/>
            <w:vAlign w:val="bottom"/>
          </w:tcPr>
          <w:p>
            <w:pPr>
              <w:spacing w:after="0"/>
              <w:rPr>
                <w:sz w:val="1"/>
                <w:szCs w:val="1"/>
                <w:color w:val="auto"/>
              </w:rPr>
            </w:pPr>
          </w:p>
        </w:tc>
      </w:tr>
      <w:tr>
        <w:trPr>
          <w:trHeight w:val="235"/>
        </w:trPr>
        <w:tc>
          <w:tcPr>
            <w:tcW w:w="6120" w:type="dxa"/>
            <w:vAlign w:val="bottom"/>
          </w:tcPr>
          <w:p>
            <w:pPr>
              <w:spacing w:after="0"/>
              <w:rPr>
                <w:sz w:val="20"/>
                <w:szCs w:val="20"/>
                <w:color w:val="auto"/>
              </w:rPr>
            </w:pPr>
            <w:r>
              <w:rPr>
                <w:rFonts w:ascii="Arial" w:cs="Arial" w:eastAsia="Arial" w:hAnsi="Arial"/>
                <w:sz w:val="16"/>
                <w:szCs w:val="16"/>
                <w:color w:val="auto"/>
              </w:rPr>
              <w:t>Futures contracts:</w:t>
            </w:r>
          </w:p>
        </w:tc>
        <w:tc>
          <w:tcPr>
            <w:tcW w:w="2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6120" w:type="dxa"/>
            <w:vAlign w:val="bottom"/>
          </w:tcPr>
          <w:p>
            <w:pPr>
              <w:ind w:left="220"/>
              <w:spacing w:after="0"/>
              <w:rPr>
                <w:sz w:val="20"/>
                <w:szCs w:val="20"/>
                <w:color w:val="auto"/>
              </w:rPr>
            </w:pPr>
            <w:r>
              <w:rPr>
                <w:rFonts w:ascii="Arial" w:cs="Arial" w:eastAsia="Arial" w:hAnsi="Arial"/>
                <w:sz w:val="16"/>
                <w:szCs w:val="16"/>
                <w:color w:val="auto"/>
              </w:rPr>
              <w:t>Gains on futures contracts expiration</w:t>
            </w:r>
          </w:p>
        </w:tc>
        <w:tc>
          <w:tcPr>
            <w:tcW w:w="280" w:type="dxa"/>
            <w:vAlign w:val="bottom"/>
          </w:tcPr>
          <w:p>
            <w:pPr>
              <w:spacing w:after="0"/>
              <w:rPr>
                <w:sz w:val="20"/>
                <w:szCs w:val="20"/>
                <w:color w:val="auto"/>
              </w:rPr>
            </w:pPr>
          </w:p>
        </w:tc>
        <w:tc>
          <w:tcPr>
            <w:tcW w:w="940" w:type="dxa"/>
            <w:vAlign w:val="bottom"/>
          </w:tcPr>
          <w:p>
            <w:pPr>
              <w:jc w:val="right"/>
              <w:ind w:right="122"/>
              <w:spacing w:after="0"/>
              <w:rPr>
                <w:sz w:val="20"/>
                <w:szCs w:val="20"/>
                <w:color w:val="auto"/>
              </w:rPr>
            </w:pPr>
            <w:r>
              <w:rPr>
                <w:rFonts w:ascii="Arial" w:cs="Arial" w:eastAsia="Arial" w:hAnsi="Arial"/>
                <w:sz w:val="16"/>
                <w:szCs w:val="16"/>
                <w:color w:val="auto"/>
              </w:rPr>
              <w:t>26</w:t>
            </w:r>
          </w:p>
        </w:tc>
        <w:tc>
          <w:tcPr>
            <w:tcW w:w="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00" w:type="dxa"/>
            <w:vAlign w:val="bottom"/>
          </w:tcPr>
          <w:p>
            <w:pPr>
              <w:jc w:val="right"/>
              <w:ind w:right="122"/>
              <w:spacing w:after="0"/>
              <w:rPr>
                <w:sz w:val="20"/>
                <w:szCs w:val="20"/>
                <w:color w:val="auto"/>
              </w:rPr>
            </w:pPr>
            <w:r>
              <w:rPr>
                <w:rFonts w:ascii="Arial" w:cs="Arial" w:eastAsia="Arial" w:hAnsi="Arial"/>
                <w:sz w:val="16"/>
                <w:szCs w:val="16"/>
                <w:color w:val="auto"/>
              </w:rPr>
              <w:t>24</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40" w:type="dxa"/>
            <w:vAlign w:val="bottom"/>
          </w:tcPr>
          <w:p>
            <w:pPr>
              <w:jc w:val="right"/>
              <w:ind w:right="122"/>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35"/>
        </w:trPr>
        <w:tc>
          <w:tcPr>
            <w:tcW w:w="6120" w:type="dxa"/>
            <w:vAlign w:val="bottom"/>
          </w:tcPr>
          <w:p>
            <w:pPr>
              <w:ind w:left="220"/>
              <w:spacing w:after="0"/>
              <w:rPr>
                <w:sz w:val="20"/>
                <w:szCs w:val="20"/>
                <w:color w:val="auto"/>
              </w:rPr>
            </w:pPr>
            <w:r>
              <w:rPr>
                <w:rFonts w:ascii="Arial" w:cs="Arial" w:eastAsia="Arial" w:hAnsi="Arial"/>
                <w:sz w:val="16"/>
                <w:szCs w:val="16"/>
                <w:color w:val="auto"/>
              </w:rPr>
              <w:t>Change in unrealized gains (losses)</w:t>
            </w:r>
          </w:p>
        </w:tc>
        <w:tc>
          <w:tcPr>
            <w:tcW w:w="280" w:type="dxa"/>
            <w:vAlign w:val="bottom"/>
          </w:tcPr>
          <w:p>
            <w:pPr>
              <w:spacing w:after="0"/>
              <w:rPr>
                <w:sz w:val="20"/>
                <w:szCs w:val="20"/>
                <w:color w:val="auto"/>
              </w:rPr>
            </w:pPr>
          </w:p>
        </w:tc>
        <w:tc>
          <w:tcPr>
            <w:tcW w:w="940" w:type="dxa"/>
            <w:vAlign w:val="bottom"/>
          </w:tcPr>
          <w:p>
            <w:pPr>
              <w:jc w:val="right"/>
              <w:ind w:right="122"/>
              <w:spacing w:after="0"/>
              <w:rPr>
                <w:sz w:val="20"/>
                <w:szCs w:val="20"/>
                <w:color w:val="auto"/>
              </w:rPr>
            </w:pPr>
            <w:r>
              <w:rPr>
                <w:rFonts w:ascii="Arial" w:cs="Arial" w:eastAsia="Arial" w:hAnsi="Arial"/>
                <w:sz w:val="16"/>
                <w:szCs w:val="16"/>
                <w:color w:val="auto"/>
              </w:rPr>
              <w:t>6</w:t>
            </w:r>
          </w:p>
        </w:tc>
        <w:tc>
          <w:tcPr>
            <w:tcW w:w="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00" w:type="dxa"/>
            <w:vAlign w:val="bottom"/>
          </w:tcPr>
          <w:p>
            <w:pPr>
              <w:jc w:val="right"/>
              <w:ind w:right="62"/>
              <w:spacing w:after="0"/>
              <w:rPr>
                <w:sz w:val="20"/>
                <w:szCs w:val="20"/>
                <w:color w:val="auto"/>
              </w:rPr>
            </w:pPr>
            <w:r>
              <w:rPr>
                <w:rFonts w:ascii="Arial" w:cs="Arial" w:eastAsia="Arial" w:hAnsi="Arial"/>
                <w:sz w:val="16"/>
                <w:szCs w:val="16"/>
                <w:color w:val="auto"/>
              </w:rPr>
              <w:t>(6)</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40" w:type="dxa"/>
            <w:vAlign w:val="bottom"/>
          </w:tcPr>
          <w:p>
            <w:pPr>
              <w:jc w:val="right"/>
              <w:ind w:right="122"/>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35"/>
        </w:trPr>
        <w:tc>
          <w:tcPr>
            <w:tcW w:w="6120" w:type="dxa"/>
            <w:vAlign w:val="bottom"/>
          </w:tcPr>
          <w:p>
            <w:pPr>
              <w:spacing w:after="0"/>
              <w:rPr>
                <w:sz w:val="20"/>
                <w:szCs w:val="20"/>
                <w:color w:val="auto"/>
              </w:rPr>
            </w:pPr>
            <w:r>
              <w:rPr>
                <w:rFonts w:ascii="Arial" w:cs="Arial" w:eastAsia="Arial" w:hAnsi="Arial"/>
                <w:sz w:val="16"/>
                <w:szCs w:val="16"/>
                <w:color w:val="auto"/>
              </w:rPr>
              <w:t>Foreign currency swaps losses</w:t>
            </w:r>
          </w:p>
        </w:tc>
        <w:tc>
          <w:tcPr>
            <w:tcW w:w="280" w:type="dxa"/>
            <w:vAlign w:val="bottom"/>
          </w:tcPr>
          <w:p>
            <w:pPr>
              <w:spacing w:after="0"/>
              <w:rPr>
                <w:sz w:val="20"/>
                <w:szCs w:val="20"/>
                <w:color w:val="auto"/>
              </w:rPr>
            </w:pPr>
          </w:p>
        </w:tc>
        <w:tc>
          <w:tcPr>
            <w:tcW w:w="940" w:type="dxa"/>
            <w:vAlign w:val="bottom"/>
          </w:tcPr>
          <w:p>
            <w:pPr>
              <w:jc w:val="right"/>
              <w:ind w:right="82"/>
              <w:spacing w:after="0"/>
              <w:rPr>
                <w:sz w:val="20"/>
                <w:szCs w:val="20"/>
                <w:color w:val="auto"/>
              </w:rPr>
            </w:pPr>
            <w:r>
              <w:rPr>
                <w:rFonts w:ascii="Arial" w:cs="Arial" w:eastAsia="Arial" w:hAnsi="Arial"/>
                <w:sz w:val="16"/>
                <w:szCs w:val="16"/>
                <w:color w:val="auto"/>
              </w:rPr>
              <w:t>(9)</w:t>
            </w:r>
          </w:p>
        </w:tc>
        <w:tc>
          <w:tcPr>
            <w:tcW w:w="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20" w:type="dxa"/>
            <w:vAlign w:val="bottom"/>
            <w:gridSpan w:val="3"/>
          </w:tcPr>
          <w:p>
            <w:pPr>
              <w:jc w:val="right"/>
              <w:ind w:right="3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940" w:type="dxa"/>
            <w:vAlign w:val="bottom"/>
          </w:tcPr>
          <w:p>
            <w:pPr>
              <w:jc w:val="right"/>
              <w:ind w:right="12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5"/>
        </w:trPr>
        <w:tc>
          <w:tcPr>
            <w:tcW w:w="6120" w:type="dxa"/>
            <w:vAlign w:val="bottom"/>
          </w:tcPr>
          <w:p>
            <w:pPr>
              <w:spacing w:after="0"/>
              <w:rPr>
                <w:sz w:val="20"/>
                <w:szCs w:val="20"/>
                <w:color w:val="auto"/>
              </w:rPr>
            </w:pPr>
            <w:r>
              <w:rPr>
                <w:rFonts w:ascii="Arial" w:cs="Arial" w:eastAsia="Arial" w:hAnsi="Arial"/>
                <w:sz w:val="16"/>
                <w:szCs w:val="16"/>
                <w:color w:val="auto"/>
              </w:rPr>
              <w:t>Interest rate swaps gains (losses)</w:t>
            </w:r>
          </w:p>
        </w:tc>
        <w:tc>
          <w:tcPr>
            <w:tcW w:w="280" w:type="dxa"/>
            <w:vAlign w:val="bottom"/>
          </w:tcPr>
          <w:p>
            <w:pPr>
              <w:spacing w:after="0"/>
              <w:rPr>
                <w:sz w:val="20"/>
                <w:szCs w:val="20"/>
                <w:color w:val="auto"/>
              </w:rPr>
            </w:pPr>
          </w:p>
        </w:tc>
        <w:tc>
          <w:tcPr>
            <w:tcW w:w="940" w:type="dxa"/>
            <w:vAlign w:val="bottom"/>
          </w:tcPr>
          <w:p>
            <w:pPr>
              <w:jc w:val="right"/>
              <w:ind w:right="122"/>
              <w:spacing w:after="0"/>
              <w:rPr>
                <w:sz w:val="20"/>
                <w:szCs w:val="20"/>
                <w:color w:val="auto"/>
              </w:rPr>
            </w:pPr>
            <w:r>
              <w:rPr>
                <w:rFonts w:ascii="Arial" w:cs="Arial" w:eastAsia="Arial" w:hAnsi="Arial"/>
                <w:sz w:val="16"/>
                <w:szCs w:val="16"/>
                <w:color w:val="auto"/>
              </w:rPr>
              <w:t>59</w:t>
            </w:r>
          </w:p>
        </w:tc>
        <w:tc>
          <w:tcPr>
            <w:tcW w:w="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00" w:type="dxa"/>
            <w:vAlign w:val="bottom"/>
          </w:tcPr>
          <w:p>
            <w:pPr>
              <w:jc w:val="right"/>
              <w:ind w:right="62"/>
              <w:spacing w:after="0"/>
              <w:rPr>
                <w:sz w:val="20"/>
                <w:szCs w:val="20"/>
                <w:color w:val="auto"/>
              </w:rPr>
            </w:pPr>
            <w:r>
              <w:rPr>
                <w:rFonts w:ascii="Arial" w:cs="Arial" w:eastAsia="Arial" w:hAnsi="Arial"/>
                <w:sz w:val="16"/>
                <w:szCs w:val="16"/>
                <w:color w:val="auto"/>
                <w:w w:val="90"/>
              </w:rPr>
              <w:t>(103)</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40" w:type="dxa"/>
            <w:vAlign w:val="bottom"/>
          </w:tcPr>
          <w:p>
            <w:pPr>
              <w:jc w:val="right"/>
              <w:ind w:right="122"/>
              <w:spacing w:after="0"/>
              <w:rPr>
                <w:sz w:val="20"/>
                <w:szCs w:val="20"/>
                <w:color w:val="auto"/>
              </w:rPr>
            </w:pPr>
            <w:r>
              <w:rPr>
                <w:rFonts w:ascii="Arial" w:cs="Arial" w:eastAsia="Arial" w:hAnsi="Arial"/>
                <w:sz w:val="16"/>
                <w:szCs w:val="16"/>
                <w:color w:val="auto"/>
              </w:rPr>
              <w:t>48</w:t>
            </w:r>
          </w:p>
        </w:tc>
        <w:tc>
          <w:tcPr>
            <w:tcW w:w="0" w:type="dxa"/>
            <w:vAlign w:val="bottom"/>
          </w:tcPr>
          <w:p>
            <w:pPr>
              <w:spacing w:after="0"/>
              <w:rPr>
                <w:sz w:val="1"/>
                <w:szCs w:val="1"/>
                <w:color w:val="auto"/>
              </w:rPr>
            </w:pPr>
          </w:p>
        </w:tc>
      </w:tr>
      <w:tr>
        <w:trPr>
          <w:trHeight w:val="235"/>
        </w:trPr>
        <w:tc>
          <w:tcPr>
            <w:tcW w:w="6120" w:type="dxa"/>
            <w:vAlign w:val="bottom"/>
          </w:tcPr>
          <w:p>
            <w:pPr>
              <w:spacing w:after="0"/>
              <w:rPr>
                <w:sz w:val="20"/>
                <w:szCs w:val="20"/>
                <w:color w:val="auto"/>
              </w:rPr>
            </w:pPr>
            <w:r>
              <w:rPr>
                <w:rFonts w:ascii="Arial" w:cs="Arial" w:eastAsia="Arial" w:hAnsi="Arial"/>
                <w:sz w:val="16"/>
                <w:szCs w:val="16"/>
                <w:color w:val="auto"/>
              </w:rPr>
              <w:t>Other derivative investments:</w:t>
            </w:r>
          </w:p>
        </w:tc>
        <w:tc>
          <w:tcPr>
            <w:tcW w:w="2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6120" w:type="dxa"/>
            <w:vAlign w:val="bottom"/>
          </w:tcPr>
          <w:p>
            <w:pPr>
              <w:ind w:left="220"/>
              <w:spacing w:after="0"/>
              <w:rPr>
                <w:sz w:val="20"/>
                <w:szCs w:val="20"/>
                <w:color w:val="auto"/>
              </w:rPr>
            </w:pPr>
            <w:r>
              <w:rPr>
                <w:rFonts w:ascii="Arial" w:cs="Arial" w:eastAsia="Arial" w:hAnsi="Arial"/>
                <w:sz w:val="16"/>
                <w:szCs w:val="16"/>
                <w:color w:val="auto"/>
              </w:rPr>
              <w:t>(Losses) gains on other derivative investments</w:t>
            </w:r>
          </w:p>
        </w:tc>
        <w:tc>
          <w:tcPr>
            <w:tcW w:w="2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82"/>
              <w:spacing w:after="0"/>
              <w:rPr>
                <w:sz w:val="20"/>
                <w:szCs w:val="20"/>
                <w:color w:val="auto"/>
              </w:rPr>
            </w:pPr>
            <w:r>
              <w:rPr>
                <w:rFonts w:ascii="Arial" w:cs="Arial" w:eastAsia="Arial" w:hAnsi="Arial"/>
                <w:sz w:val="16"/>
                <w:szCs w:val="16"/>
                <w:color w:val="auto"/>
              </w:rPr>
              <w:t>(9)</w:t>
            </w:r>
          </w:p>
        </w:tc>
        <w:tc>
          <w:tcPr>
            <w:tcW w:w="60" w:type="dxa"/>
            <w:vAlign w:val="bottom"/>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jc w:val="right"/>
              <w:ind w:right="122"/>
              <w:spacing w:after="0"/>
              <w:rPr>
                <w:sz w:val="20"/>
                <w:szCs w:val="20"/>
                <w:color w:val="auto"/>
              </w:rPr>
            </w:pPr>
            <w:r>
              <w:rPr>
                <w:rFonts w:ascii="Arial" w:cs="Arial" w:eastAsia="Arial" w:hAnsi="Arial"/>
                <w:sz w:val="16"/>
                <w:szCs w:val="16"/>
                <w:color w:val="auto"/>
              </w:rPr>
              <w:t>10</w:t>
            </w:r>
          </w:p>
        </w:tc>
        <w:tc>
          <w:tcPr>
            <w:tcW w:w="80" w:type="dxa"/>
            <w:vAlign w:val="bottom"/>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82"/>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196"/>
        </w:trPr>
        <w:tc>
          <w:tcPr>
            <w:tcW w:w="6120" w:type="dxa"/>
            <w:vAlign w:val="bottom"/>
          </w:tcPr>
          <w:p>
            <w:pPr>
              <w:spacing w:after="0"/>
              <w:rPr>
                <w:sz w:val="20"/>
                <w:szCs w:val="20"/>
                <w:color w:val="auto"/>
              </w:rPr>
            </w:pPr>
            <w:r>
              <w:rPr>
                <w:rFonts w:ascii="Arial" w:cs="Arial" w:eastAsia="Arial" w:hAnsi="Arial"/>
                <w:sz w:val="16"/>
                <w:szCs w:val="16"/>
                <w:b w:val="1"/>
                <w:bCs w:val="1"/>
                <w:color w:val="auto"/>
              </w:rPr>
              <w:t>Total net change in fair value</w:t>
            </w:r>
          </w:p>
        </w:tc>
        <w:tc>
          <w:tcPr>
            <w:tcW w:w="280" w:type="dxa"/>
            <w:vAlign w:val="bottom"/>
          </w:tcPr>
          <w:p>
            <w:pPr>
              <w:jc w:val="right"/>
              <w:ind w:right="82"/>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22"/>
              <w:spacing w:after="0"/>
              <w:rPr>
                <w:sz w:val="20"/>
                <w:szCs w:val="20"/>
                <w:color w:val="auto"/>
              </w:rPr>
            </w:pPr>
            <w:r>
              <w:rPr>
                <w:rFonts w:ascii="Arial" w:cs="Arial" w:eastAsia="Arial" w:hAnsi="Arial"/>
                <w:sz w:val="16"/>
                <w:szCs w:val="16"/>
                <w:color w:val="auto"/>
              </w:rPr>
              <w:t>250</w:t>
            </w:r>
          </w:p>
        </w:tc>
        <w:tc>
          <w:tcPr>
            <w:tcW w:w="780" w:type="dxa"/>
            <w:vAlign w:val="bottom"/>
            <w:gridSpan w:val="2"/>
          </w:tcPr>
          <w:p>
            <w:pPr>
              <w:jc w:val="right"/>
              <w:ind w:right="502"/>
              <w:spacing w:after="0"/>
              <w:rPr>
                <w:sz w:val="20"/>
                <w:szCs w:val="20"/>
                <w:color w:val="auto"/>
              </w:rPr>
            </w:pPr>
            <w:r>
              <w:rPr>
                <w:rFonts w:ascii="Arial" w:cs="Arial" w:eastAsia="Arial" w:hAnsi="Arial"/>
                <w:sz w:val="16"/>
                <w:szCs w:val="16"/>
                <w:color w:val="auto"/>
              </w:rPr>
              <w:t>$</w:t>
            </w:r>
          </w:p>
        </w:tc>
        <w:tc>
          <w:tcPr>
            <w:tcW w:w="500" w:type="dxa"/>
            <w:vAlign w:val="bottom"/>
          </w:tcPr>
          <w:p>
            <w:pPr>
              <w:jc w:val="right"/>
              <w:ind w:right="122"/>
              <w:spacing w:after="0"/>
              <w:rPr>
                <w:sz w:val="20"/>
                <w:szCs w:val="20"/>
                <w:color w:val="auto"/>
              </w:rPr>
            </w:pPr>
            <w:r>
              <w:rPr>
                <w:rFonts w:ascii="Arial" w:cs="Arial" w:eastAsia="Arial" w:hAnsi="Arial"/>
                <w:sz w:val="16"/>
                <w:szCs w:val="16"/>
                <w:color w:val="auto"/>
              </w:rPr>
              <w:t>70</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Pr>
          <w:p>
            <w:pPr>
              <w:jc w:val="right"/>
              <w:ind w:right="167"/>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ind w:right="122"/>
              <w:spacing w:after="0"/>
              <w:rPr>
                <w:sz w:val="20"/>
                <w:szCs w:val="20"/>
                <w:color w:val="auto"/>
              </w:rPr>
            </w:pPr>
            <w:r>
              <w:rPr>
                <w:rFonts w:ascii="Arial" w:cs="Arial" w:eastAsia="Arial" w:hAnsi="Arial"/>
                <w:sz w:val="16"/>
                <w:szCs w:val="16"/>
                <w:color w:val="auto"/>
              </w:rPr>
              <w:t>147</w:t>
            </w:r>
          </w:p>
        </w:tc>
        <w:tc>
          <w:tcPr>
            <w:tcW w:w="0" w:type="dxa"/>
            <w:vAlign w:val="bottom"/>
          </w:tcPr>
          <w:p>
            <w:pPr>
              <w:spacing w:after="0"/>
              <w:rPr>
                <w:sz w:val="1"/>
                <w:szCs w:val="1"/>
                <w:color w:val="auto"/>
              </w:rPr>
            </w:pPr>
          </w:p>
        </w:tc>
      </w:tr>
      <w:tr>
        <w:trPr>
          <w:trHeight w:val="20"/>
        </w:trPr>
        <w:tc>
          <w:tcPr>
            <w:tcW w:w="6120" w:type="dxa"/>
            <w:vAlign w:val="bottom"/>
            <w:vMerge w:val="restart"/>
          </w:tcPr>
          <w:p>
            <w:pPr>
              <w:spacing w:after="0"/>
              <w:rPr>
                <w:sz w:val="20"/>
                <w:szCs w:val="20"/>
                <w:color w:val="auto"/>
              </w:rPr>
            </w:pPr>
            <w:r>
              <w:rPr>
                <w:rFonts w:ascii="Arial" w:cs="Arial" w:eastAsia="Arial" w:hAnsi="Arial"/>
                <w:sz w:val="16"/>
                <w:szCs w:val="16"/>
                <w:color w:val="auto"/>
              </w:rPr>
              <w:t>Annual Point-to-Point Change in S&amp;P 500 Index during the periods</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3"/>
        </w:trPr>
        <w:tc>
          <w:tcPr>
            <w:tcW w:w="612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16 %</w:t>
            </w: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23 %</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24 %</w:t>
            </w:r>
          </w:p>
        </w:tc>
        <w:tc>
          <w:tcPr>
            <w:tcW w:w="0" w:type="dxa"/>
            <w:vAlign w:val="bottom"/>
          </w:tcPr>
          <w:p>
            <w:pPr>
              <w:spacing w:after="0"/>
              <w:rPr>
                <w:sz w:val="1"/>
                <w:szCs w:val="1"/>
                <w:color w:val="auto"/>
              </w:rPr>
            </w:pPr>
          </w:p>
        </w:tc>
      </w:tr>
      <w:tr>
        <w:trPr>
          <w:trHeight w:val="235"/>
        </w:trPr>
        <w:tc>
          <w:tcPr>
            <w:tcW w:w="6120" w:type="dxa"/>
            <w:vAlign w:val="bottom"/>
          </w:tcPr>
          <w:p>
            <w:pPr>
              <w:spacing w:after="0"/>
              <w:rPr>
                <w:sz w:val="20"/>
                <w:szCs w:val="20"/>
                <w:color w:val="auto"/>
              </w:rPr>
            </w:pPr>
            <w:r>
              <w:rPr>
                <w:rFonts w:ascii="Arial" w:cs="Arial" w:eastAsia="Arial" w:hAnsi="Arial"/>
                <w:sz w:val="16"/>
                <w:szCs w:val="16"/>
                <w:color w:val="auto"/>
              </w:rPr>
              <w:t>Secured Overnight Financing Rates</w:t>
            </w:r>
          </w:p>
        </w:tc>
        <w:tc>
          <w:tcPr>
            <w:tcW w:w="2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3.87 %</w:t>
            </w:r>
          </w:p>
        </w:tc>
        <w:tc>
          <w:tcPr>
            <w:tcW w:w="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w w:val="96"/>
              </w:rPr>
              <w:t>4.49 %</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5.38 %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-2098675</wp:posOffset>
            </wp:positionV>
            <wp:extent cx="6400800" cy="21164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46">
                      <a:extLst>
                        <a:ext uri="{28A0092B-C50C-407E-A947-70E740481C1C}"/>
                      </a:extLst>
                    </a:blip>
                    <a:srcRect/>
                    <a:stretch>
                      <a:fillRect/>
                    </a:stretch>
                  </pic:blipFill>
                  <pic:spPr bwMode="auto">
                    <a:xfrm>
                      <a:off x="0" y="0"/>
                      <a:ext cx="6400800" cy="2116455"/>
                    </a:xfrm>
                    <a:prstGeom prst="rect">
                      <a:avLst/>
                    </a:prstGeom>
                    <a:noFill/>
                  </pic:spPr>
                </pic:pic>
              </a:graphicData>
            </a:graphic>
          </wp:anchor>
        </w:drawing>
      </w:r>
    </w:p>
    <w:p>
      <w:pPr>
        <w:spacing w:after="0" w:line="142" w:lineRule="exact"/>
        <w:rPr>
          <w:sz w:val="20"/>
          <w:szCs w:val="20"/>
          <w:color w:val="auto"/>
        </w:rPr>
      </w:pPr>
    </w:p>
    <w:p>
      <w:pPr>
        <w:jc w:val="both"/>
        <w:ind w:left="700" w:hanging="355"/>
        <w:spacing w:after="0" w:line="258" w:lineRule="auto"/>
        <w:tabs>
          <w:tab w:leader="none" w:pos="700" w:val="left"/>
        </w:tabs>
        <w:numPr>
          <w:ilvl w:val="0"/>
          <w:numId w:val="35"/>
        </w:numPr>
        <w:rPr>
          <w:rFonts w:ascii="Arial" w:cs="Arial" w:eastAsia="Arial" w:hAnsi="Arial"/>
          <w:sz w:val="20"/>
          <w:szCs w:val="20"/>
          <w:color w:val="auto"/>
        </w:rPr>
      </w:pPr>
      <w:r>
        <w:rPr>
          <w:rFonts w:ascii="Arial" w:cs="Arial" w:eastAsia="Arial" w:hAnsi="Arial"/>
          <w:sz w:val="20"/>
          <w:szCs w:val="20"/>
          <w:color w:val="auto"/>
        </w:rPr>
        <w:t>Realized gains and (losses) on certain derivative instruments are directly correlated to the performance of the indices upon which the equity options and futures contracts are based and the value of the derivatives at the time of expiration compared to the value at the time of purchase.</w:t>
      </w:r>
    </w:p>
    <w:p>
      <w:pPr>
        <w:spacing w:after="0" w:line="81" w:lineRule="exact"/>
        <w:rPr>
          <w:rFonts w:ascii="Arial" w:cs="Arial" w:eastAsia="Arial" w:hAnsi="Arial"/>
          <w:sz w:val="20"/>
          <w:szCs w:val="20"/>
          <w:color w:val="auto"/>
        </w:rPr>
      </w:pPr>
    </w:p>
    <w:p>
      <w:pPr>
        <w:jc w:val="both"/>
        <w:ind w:left="700" w:hanging="355"/>
        <w:spacing w:after="0" w:line="254" w:lineRule="auto"/>
        <w:tabs>
          <w:tab w:leader="none" w:pos="700" w:val="left"/>
        </w:tabs>
        <w:numPr>
          <w:ilvl w:val="0"/>
          <w:numId w:val="35"/>
        </w:numPr>
        <w:rPr>
          <w:rFonts w:ascii="Arial" w:cs="Arial" w:eastAsia="Arial" w:hAnsi="Arial"/>
          <w:sz w:val="20"/>
          <w:szCs w:val="20"/>
          <w:color w:val="auto"/>
        </w:rPr>
      </w:pPr>
      <w:r>
        <w:rPr>
          <w:rFonts w:ascii="Arial" w:cs="Arial" w:eastAsia="Arial" w:hAnsi="Arial"/>
          <w:sz w:val="20"/>
          <w:szCs w:val="20"/>
          <w:color w:val="auto"/>
        </w:rPr>
        <w:t>The changes in unrealized gains (losses) due to the net changes in fair value of equity options and futures contracts are driven by the underlying performance of the indices, such as the S&amp;P 500 Index, upon which the equity options and futures contracts are based during each respective period relative to the respective indices on the policyholder buy dates.</w:t>
      </w:r>
    </w:p>
    <w:p>
      <w:pPr>
        <w:spacing w:after="0" w:line="84" w:lineRule="exact"/>
        <w:rPr>
          <w:rFonts w:ascii="Arial" w:cs="Arial" w:eastAsia="Arial" w:hAnsi="Arial"/>
          <w:sz w:val="20"/>
          <w:szCs w:val="20"/>
          <w:color w:val="auto"/>
        </w:rPr>
      </w:pPr>
    </w:p>
    <w:p>
      <w:pPr>
        <w:ind w:left="700" w:hanging="355"/>
        <w:spacing w:after="0" w:line="298" w:lineRule="auto"/>
        <w:tabs>
          <w:tab w:leader="none" w:pos="700" w:val="left"/>
        </w:tabs>
        <w:numPr>
          <w:ilvl w:val="0"/>
          <w:numId w:val="35"/>
        </w:numPr>
        <w:rPr>
          <w:rFonts w:ascii="Arial" w:cs="Arial" w:eastAsia="Arial" w:hAnsi="Arial"/>
          <w:sz w:val="19"/>
          <w:szCs w:val="19"/>
          <w:color w:val="auto"/>
        </w:rPr>
      </w:pPr>
      <w:r>
        <w:rPr>
          <w:rFonts w:ascii="Arial" w:cs="Arial" w:eastAsia="Arial" w:hAnsi="Arial"/>
          <w:sz w:val="19"/>
          <w:szCs w:val="19"/>
          <w:color w:val="auto"/>
        </w:rPr>
        <w:t>The net change in fair value of the foreign currency and interest rate swaps were primarily driven by fluctuations in the foreign currency exchange rate and interest rate indexes underlying the swap contracts.</w:t>
      </w:r>
    </w:p>
    <w:p>
      <w:pPr>
        <w:sectPr>
          <w:pgSz w:w="11880" w:h="15480" w:orient="portrait"/>
          <w:cols w:equalWidth="0" w:num="1">
            <w:col w:w="10040"/>
          </w:cols>
          <w:pgMar w:left="920" w:top="772"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76</w:t>
      </w:r>
    </w:p>
    <w:p>
      <w:pPr>
        <w:sectPr>
          <w:pgSz w:w="11880" w:h="15480" w:orient="portrait"/>
          <w:cols w:equalWidth="0" w:num="1">
            <w:col w:w="10040"/>
          </w:cols>
          <w:pgMar w:left="920" w:top="772" w:right="920" w:bottom="0" w:gutter="0" w:footer="0" w:header="0"/>
          <w:type w:val="continuous"/>
        </w:sectPr>
      </w:pPr>
    </w:p>
    <w:bookmarkStart w:id="88" w:name="page89"/>
    <w:bookmarkEnd w:id="88"/>
    <w:p>
      <w:pPr>
        <w:ind w:left="347"/>
        <w:spacing w:after="0"/>
        <w:rPr>
          <w:sz w:val="20"/>
          <w:szCs w:val="20"/>
          <w:color w:val="auto"/>
        </w:rPr>
      </w:pPr>
      <w:r>
        <w:rPr>
          <w:rFonts w:ascii="Arial" w:cs="Arial" w:eastAsia="Arial" w:hAnsi="Arial"/>
          <w:sz w:val="20"/>
          <w:szCs w:val="20"/>
          <w:color w:val="auto"/>
        </w:rPr>
        <w:t>The average index credits to policyholders are as follows:</w:t>
      </w:r>
    </w:p>
    <w:p>
      <w:pPr>
        <w:spacing w:after="0" w:line="132" w:lineRule="exact"/>
        <w:rPr>
          <w:sz w:val="20"/>
          <w:szCs w:val="20"/>
          <w:color w:val="auto"/>
        </w:rPr>
      </w:pPr>
    </w:p>
    <w:p>
      <w:pPr>
        <w:ind w:left="7267"/>
        <w:spacing w:after="0"/>
        <w:rPr>
          <w:sz w:val="20"/>
          <w:szCs w:val="20"/>
          <w:color w:val="auto"/>
        </w:rPr>
      </w:pPr>
      <w:r>
        <w:rPr>
          <w:rFonts w:ascii="Arial" w:cs="Arial" w:eastAsia="Arial" w:hAnsi="Arial"/>
          <w:sz w:val="16"/>
          <w:szCs w:val="16"/>
          <w:b w:val="1"/>
          <w:bCs w:val="1"/>
          <w:color w:val="auto"/>
        </w:rPr>
        <w:t>Year Ended December 31,</w:t>
      </w:r>
    </w:p>
    <w:p>
      <w:pPr>
        <w:spacing w:after="0" w:line="22" w:lineRule="exact"/>
        <w:rPr>
          <w:sz w:val="20"/>
          <w:szCs w:val="20"/>
          <w:color w:val="auto"/>
        </w:rPr>
      </w:pPr>
    </w:p>
    <w:tbl>
      <w:tblPr>
        <w:tblLayout w:type="fixed"/>
        <w:tblInd w:w="107" w:type="dxa"/>
        <w:tblCellMar>
          <w:top w:w="0" w:type="dxa"/>
          <w:left w:w="0" w:type="dxa"/>
          <w:bottom w:w="0" w:type="dxa"/>
          <w:right w:w="0" w:type="dxa"/>
        </w:tblCellMar>
      </w:tblPr>
      <w:tr>
        <w:trPr>
          <w:trHeight w:val="208"/>
        </w:trPr>
        <w:tc>
          <w:tcPr>
            <w:tcW w:w="6160" w:type="dxa"/>
            <w:vAlign w:val="bottom"/>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2025</w:t>
            </w:r>
          </w:p>
        </w:tc>
        <w:tc>
          <w:tcPr>
            <w:tcW w:w="40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22"/>
              <w:spacing w:after="0"/>
              <w:rPr>
                <w:sz w:val="20"/>
                <w:szCs w:val="20"/>
                <w:color w:val="auto"/>
              </w:rPr>
            </w:pPr>
            <w:r>
              <w:rPr>
                <w:rFonts w:ascii="Arial" w:cs="Arial" w:eastAsia="Arial" w:hAnsi="Arial"/>
                <w:sz w:val="16"/>
                <w:szCs w:val="16"/>
                <w:b w:val="1"/>
                <w:bCs w:val="1"/>
                <w:color w:val="auto"/>
              </w:rPr>
              <w:t>2024</w:t>
            </w:r>
          </w:p>
        </w:tc>
        <w:tc>
          <w:tcPr>
            <w:tcW w:w="36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322"/>
              <w:spacing w:after="0"/>
              <w:rPr>
                <w:sz w:val="20"/>
                <w:szCs w:val="20"/>
                <w:color w:val="auto"/>
              </w:rPr>
            </w:pPr>
            <w:r>
              <w:rPr>
                <w:rFonts w:ascii="Arial" w:cs="Arial" w:eastAsia="Arial" w:hAnsi="Arial"/>
                <w:sz w:val="16"/>
                <w:szCs w:val="16"/>
                <w:b w:val="1"/>
                <w:bCs w:val="1"/>
                <w:color w:val="auto"/>
              </w:rPr>
              <w:t>2023</w:t>
            </w:r>
          </w:p>
        </w:tc>
      </w:tr>
      <w:tr>
        <w:trPr>
          <w:trHeight w:val="208"/>
        </w:trPr>
        <w:tc>
          <w:tcPr>
            <w:tcW w:w="6980" w:type="dxa"/>
            <w:vAlign w:val="bottom"/>
            <w:gridSpan w:val="2"/>
          </w:tcPr>
          <w:p>
            <w:pPr>
              <w:spacing w:after="0"/>
              <w:rPr>
                <w:sz w:val="20"/>
                <w:szCs w:val="20"/>
                <w:color w:val="auto"/>
              </w:rPr>
            </w:pPr>
            <w:r>
              <w:rPr>
                <w:rFonts w:ascii="Arial" w:cs="Arial" w:eastAsia="Arial" w:hAnsi="Arial"/>
                <w:sz w:val="16"/>
                <w:szCs w:val="16"/>
                <w:color w:val="auto"/>
              </w:rPr>
              <w:t>Average Crediting Rate</w:t>
            </w:r>
          </w:p>
        </w:tc>
        <w:tc>
          <w:tcPr>
            <w:tcW w:w="400" w:type="dxa"/>
            <w:vAlign w:val="bottom"/>
          </w:tcPr>
          <w:p>
            <w:pPr>
              <w:jc w:val="right"/>
              <w:spacing w:after="0"/>
              <w:rPr>
                <w:sz w:val="20"/>
                <w:szCs w:val="20"/>
                <w:color w:val="auto"/>
              </w:rPr>
            </w:pPr>
            <w:r>
              <w:rPr>
                <w:rFonts w:ascii="Arial" w:cs="Arial" w:eastAsia="Arial" w:hAnsi="Arial"/>
                <w:sz w:val="16"/>
                <w:szCs w:val="16"/>
                <w:color w:val="auto"/>
              </w:rPr>
              <w:t>4 %</w:t>
            </w: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4 %</w:t>
            </w:r>
          </w:p>
        </w:tc>
        <w:tc>
          <w:tcPr>
            <w:tcW w:w="1200" w:type="dxa"/>
            <w:vAlign w:val="bottom"/>
            <w:gridSpan w:val="2"/>
          </w:tcPr>
          <w:p>
            <w:pPr>
              <w:jc w:val="right"/>
              <w:spacing w:after="0"/>
              <w:rPr>
                <w:sz w:val="20"/>
                <w:szCs w:val="20"/>
                <w:color w:val="auto"/>
              </w:rPr>
            </w:pPr>
            <w:r>
              <w:rPr>
                <w:rFonts w:ascii="Arial" w:cs="Arial" w:eastAsia="Arial" w:hAnsi="Arial"/>
                <w:sz w:val="16"/>
                <w:szCs w:val="16"/>
                <w:color w:val="auto"/>
              </w:rPr>
              <w:t>1 %</w:t>
            </w:r>
          </w:p>
        </w:tc>
      </w:tr>
      <w:tr>
        <w:trPr>
          <w:trHeight w:val="235"/>
        </w:trPr>
        <w:tc>
          <w:tcPr>
            <w:tcW w:w="6980" w:type="dxa"/>
            <w:vAlign w:val="bottom"/>
            <w:gridSpan w:val="2"/>
          </w:tcPr>
          <w:p>
            <w:pPr>
              <w:spacing w:after="0"/>
              <w:rPr>
                <w:sz w:val="20"/>
                <w:szCs w:val="20"/>
                <w:color w:val="auto"/>
              </w:rPr>
            </w:pPr>
            <w:r>
              <w:rPr>
                <w:rFonts w:ascii="Arial" w:cs="Arial" w:eastAsia="Arial" w:hAnsi="Arial"/>
                <w:sz w:val="16"/>
                <w:szCs w:val="16"/>
                <w:color w:val="auto"/>
              </w:rPr>
              <w:t>S&amp;P 500 Index:</w:t>
            </w: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35"/>
        </w:trPr>
        <w:tc>
          <w:tcPr>
            <w:tcW w:w="6980" w:type="dxa"/>
            <w:vAlign w:val="bottom"/>
            <w:gridSpan w:val="2"/>
          </w:tcPr>
          <w:p>
            <w:pPr>
              <w:ind w:left="220"/>
              <w:spacing w:after="0"/>
              <w:rPr>
                <w:sz w:val="20"/>
                <w:szCs w:val="20"/>
                <w:color w:val="auto"/>
              </w:rPr>
            </w:pPr>
            <w:r>
              <w:rPr>
                <w:rFonts w:ascii="Arial" w:cs="Arial" w:eastAsia="Arial" w:hAnsi="Arial"/>
                <w:sz w:val="16"/>
                <w:szCs w:val="16"/>
                <w:color w:val="auto"/>
              </w:rPr>
              <w:t>Point-to-point strategy</w:t>
            </w:r>
          </w:p>
        </w:tc>
        <w:tc>
          <w:tcPr>
            <w:tcW w:w="400" w:type="dxa"/>
            <w:vAlign w:val="bottom"/>
          </w:tcPr>
          <w:p>
            <w:pPr>
              <w:jc w:val="right"/>
              <w:spacing w:after="0"/>
              <w:rPr>
                <w:sz w:val="20"/>
                <w:szCs w:val="20"/>
                <w:color w:val="auto"/>
              </w:rPr>
            </w:pPr>
            <w:r>
              <w:rPr>
                <w:rFonts w:ascii="Arial" w:cs="Arial" w:eastAsia="Arial" w:hAnsi="Arial"/>
                <w:sz w:val="16"/>
                <w:szCs w:val="16"/>
                <w:color w:val="auto"/>
              </w:rPr>
              <w:t>5 %</w:t>
            </w:r>
          </w:p>
        </w:tc>
        <w:tc>
          <w:tcPr>
            <w:tcW w:w="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4 %</w:t>
            </w:r>
          </w:p>
        </w:tc>
        <w:tc>
          <w:tcPr>
            <w:tcW w:w="1200" w:type="dxa"/>
            <w:vAlign w:val="bottom"/>
            <w:gridSpan w:val="2"/>
          </w:tcPr>
          <w:p>
            <w:pPr>
              <w:jc w:val="right"/>
              <w:spacing w:after="0"/>
              <w:rPr>
                <w:sz w:val="20"/>
                <w:szCs w:val="20"/>
                <w:color w:val="auto"/>
              </w:rPr>
            </w:pPr>
            <w:r>
              <w:rPr>
                <w:rFonts w:ascii="Arial" w:cs="Arial" w:eastAsia="Arial" w:hAnsi="Arial"/>
                <w:sz w:val="16"/>
                <w:szCs w:val="16"/>
                <w:color w:val="auto"/>
              </w:rPr>
              <w:t>2 %</w:t>
            </w:r>
          </w:p>
        </w:tc>
      </w:tr>
      <w:tr>
        <w:trPr>
          <w:trHeight w:val="235"/>
        </w:trPr>
        <w:tc>
          <w:tcPr>
            <w:tcW w:w="6980" w:type="dxa"/>
            <w:vAlign w:val="bottom"/>
            <w:gridSpan w:val="2"/>
          </w:tcPr>
          <w:p>
            <w:pPr>
              <w:ind w:left="220"/>
              <w:spacing w:after="0"/>
              <w:rPr>
                <w:sz w:val="20"/>
                <w:szCs w:val="20"/>
                <w:color w:val="auto"/>
              </w:rPr>
            </w:pPr>
            <w:r>
              <w:rPr>
                <w:rFonts w:ascii="Arial" w:cs="Arial" w:eastAsia="Arial" w:hAnsi="Arial"/>
                <w:sz w:val="16"/>
                <w:szCs w:val="16"/>
                <w:color w:val="auto"/>
              </w:rPr>
              <w:t>Monthly average strategy</w:t>
            </w:r>
          </w:p>
        </w:tc>
        <w:tc>
          <w:tcPr>
            <w:tcW w:w="400" w:type="dxa"/>
            <w:vAlign w:val="bottom"/>
          </w:tcPr>
          <w:p>
            <w:pPr>
              <w:jc w:val="right"/>
              <w:spacing w:after="0"/>
              <w:rPr>
                <w:sz w:val="20"/>
                <w:szCs w:val="20"/>
                <w:color w:val="auto"/>
              </w:rPr>
            </w:pPr>
            <w:r>
              <w:rPr>
                <w:rFonts w:ascii="Arial" w:cs="Arial" w:eastAsia="Arial" w:hAnsi="Arial"/>
                <w:sz w:val="16"/>
                <w:szCs w:val="16"/>
                <w:color w:val="auto"/>
              </w:rPr>
              <w:t>3 %</w:t>
            </w:r>
          </w:p>
        </w:tc>
        <w:tc>
          <w:tcPr>
            <w:tcW w:w="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3 %</w:t>
            </w:r>
          </w:p>
        </w:tc>
        <w:tc>
          <w:tcPr>
            <w:tcW w:w="1200" w:type="dxa"/>
            <w:vAlign w:val="bottom"/>
            <w:gridSpan w:val="2"/>
          </w:tcPr>
          <w:p>
            <w:pPr>
              <w:jc w:val="right"/>
              <w:spacing w:after="0"/>
              <w:rPr>
                <w:sz w:val="20"/>
                <w:szCs w:val="20"/>
                <w:color w:val="auto"/>
              </w:rPr>
            </w:pPr>
            <w:r>
              <w:rPr>
                <w:rFonts w:ascii="Arial" w:cs="Arial" w:eastAsia="Arial" w:hAnsi="Arial"/>
                <w:sz w:val="16"/>
                <w:szCs w:val="16"/>
                <w:color w:val="auto"/>
              </w:rPr>
              <w:t>1 %</w:t>
            </w:r>
          </w:p>
        </w:tc>
      </w:tr>
      <w:tr>
        <w:trPr>
          <w:trHeight w:val="235"/>
        </w:trPr>
        <w:tc>
          <w:tcPr>
            <w:tcW w:w="6980" w:type="dxa"/>
            <w:vAlign w:val="bottom"/>
            <w:gridSpan w:val="2"/>
          </w:tcPr>
          <w:p>
            <w:pPr>
              <w:ind w:left="220"/>
              <w:spacing w:after="0"/>
              <w:rPr>
                <w:sz w:val="20"/>
                <w:szCs w:val="20"/>
                <w:color w:val="auto"/>
              </w:rPr>
            </w:pPr>
            <w:r>
              <w:rPr>
                <w:rFonts w:ascii="Arial" w:cs="Arial" w:eastAsia="Arial" w:hAnsi="Arial"/>
                <w:sz w:val="16"/>
                <w:szCs w:val="16"/>
                <w:color w:val="auto"/>
              </w:rPr>
              <w:t>Monthly point-to-point strategy</w:t>
            </w:r>
          </w:p>
        </w:tc>
        <w:tc>
          <w:tcPr>
            <w:tcW w:w="400" w:type="dxa"/>
            <w:vAlign w:val="bottom"/>
          </w:tcPr>
          <w:p>
            <w:pPr>
              <w:jc w:val="right"/>
              <w:spacing w:after="0"/>
              <w:rPr>
                <w:sz w:val="20"/>
                <w:szCs w:val="20"/>
                <w:color w:val="auto"/>
              </w:rPr>
            </w:pPr>
            <w:r>
              <w:rPr>
                <w:rFonts w:ascii="Arial" w:cs="Arial" w:eastAsia="Arial" w:hAnsi="Arial"/>
                <w:sz w:val="16"/>
                <w:szCs w:val="16"/>
                <w:color w:val="auto"/>
              </w:rPr>
              <w:t>2 %</w:t>
            </w:r>
          </w:p>
        </w:tc>
        <w:tc>
          <w:tcPr>
            <w:tcW w:w="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5 %</w:t>
            </w:r>
          </w:p>
        </w:tc>
        <w:tc>
          <w:tcPr>
            <w:tcW w:w="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 %</w:t>
            </w:r>
          </w:p>
        </w:tc>
      </w:tr>
      <w:tr>
        <w:trPr>
          <w:trHeight w:val="235"/>
        </w:trPr>
        <w:tc>
          <w:tcPr>
            <w:tcW w:w="6980" w:type="dxa"/>
            <w:vAlign w:val="bottom"/>
            <w:gridSpan w:val="2"/>
          </w:tcPr>
          <w:p>
            <w:pPr>
              <w:ind w:left="220"/>
              <w:spacing w:after="0"/>
              <w:rPr>
                <w:sz w:val="20"/>
                <w:szCs w:val="20"/>
                <w:color w:val="auto"/>
              </w:rPr>
            </w:pPr>
            <w:r>
              <w:rPr>
                <w:rFonts w:ascii="Arial" w:cs="Arial" w:eastAsia="Arial" w:hAnsi="Arial"/>
                <w:sz w:val="16"/>
                <w:szCs w:val="16"/>
                <w:color w:val="auto"/>
              </w:rPr>
              <w:t>3 year high water mark</w:t>
            </w:r>
          </w:p>
        </w:tc>
        <w:tc>
          <w:tcPr>
            <w:tcW w:w="400" w:type="dxa"/>
            <w:vAlign w:val="bottom"/>
          </w:tcPr>
          <w:p>
            <w:pPr>
              <w:jc w:val="right"/>
              <w:spacing w:after="0"/>
              <w:rPr>
                <w:sz w:val="20"/>
                <w:szCs w:val="20"/>
                <w:color w:val="auto"/>
              </w:rPr>
            </w:pPr>
            <w:r>
              <w:rPr>
                <w:rFonts w:ascii="Arial" w:cs="Arial" w:eastAsia="Arial" w:hAnsi="Arial"/>
                <w:sz w:val="16"/>
                <w:szCs w:val="16"/>
                <w:color w:val="auto"/>
              </w:rPr>
              <w:t>13 %</w:t>
            </w:r>
          </w:p>
        </w:tc>
        <w:tc>
          <w:tcPr>
            <w:tcW w:w="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3 %</w:t>
            </w:r>
          </w:p>
        </w:tc>
        <w:tc>
          <w:tcPr>
            <w:tcW w:w="1200" w:type="dxa"/>
            <w:vAlign w:val="bottom"/>
            <w:gridSpan w:val="2"/>
          </w:tcPr>
          <w:p>
            <w:pPr>
              <w:jc w:val="right"/>
              <w:spacing w:after="0"/>
              <w:rPr>
                <w:sz w:val="20"/>
                <w:szCs w:val="20"/>
                <w:color w:val="auto"/>
              </w:rPr>
            </w:pPr>
            <w:r>
              <w:rPr>
                <w:rFonts w:ascii="Arial" w:cs="Arial" w:eastAsia="Arial" w:hAnsi="Arial"/>
                <w:sz w:val="16"/>
                <w:szCs w:val="16"/>
                <w:color w:val="auto"/>
              </w:rPr>
              <w:t>8 %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-897255</wp:posOffset>
            </wp:positionV>
            <wp:extent cx="6335395" cy="92138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47">
                      <a:extLst>
                        <a:ext uri="{28A0092B-C50C-407E-A947-70E740481C1C}"/>
                      </a:extLst>
                    </a:blip>
                    <a:srcRect/>
                    <a:stretch>
                      <a:fillRect/>
                    </a:stretch>
                  </pic:blipFill>
                  <pic:spPr bwMode="auto">
                    <a:xfrm>
                      <a:off x="0" y="0"/>
                      <a:ext cx="6335395" cy="921385"/>
                    </a:xfrm>
                    <a:prstGeom prst="rect">
                      <a:avLst/>
                    </a:prstGeom>
                    <a:noFill/>
                  </pic:spPr>
                </pic:pic>
              </a:graphicData>
            </a:graphic>
          </wp:anchor>
        </w:drawing>
      </w:r>
    </w:p>
    <w:p>
      <w:pPr>
        <w:spacing w:after="0" w:line="132" w:lineRule="exact"/>
        <w:rPr>
          <w:sz w:val="20"/>
          <w:szCs w:val="20"/>
          <w:color w:val="auto"/>
        </w:rPr>
      </w:pPr>
    </w:p>
    <w:p>
      <w:pPr>
        <w:jc w:val="both"/>
        <w:ind w:left="707" w:hanging="355"/>
        <w:spacing w:after="0" w:line="278" w:lineRule="auto"/>
        <w:tabs>
          <w:tab w:leader="none" w:pos="707" w:val="left"/>
        </w:tabs>
        <w:numPr>
          <w:ilvl w:val="0"/>
          <w:numId w:val="36"/>
        </w:numPr>
        <w:rPr>
          <w:rFonts w:ascii="Arial" w:cs="Arial" w:eastAsia="Arial" w:hAnsi="Arial"/>
          <w:sz w:val="19"/>
          <w:szCs w:val="19"/>
          <w:color w:val="auto"/>
        </w:rPr>
      </w:pPr>
      <w:r>
        <w:rPr>
          <w:rFonts w:ascii="Arial" w:cs="Arial" w:eastAsia="Arial" w:hAnsi="Arial"/>
          <w:sz w:val="19"/>
          <w:szCs w:val="19"/>
          <w:color w:val="auto"/>
        </w:rPr>
        <w:t>Actual amounts credited to contractholder fund balances may differ from the index appreciation due to contractual features in the indexed annuity contracts and certain IUL contracts (caps, spreads and participation rates), which allow us to manage the cost of the options purchased to fund the annual index credits.</w:t>
      </w:r>
    </w:p>
    <w:p>
      <w:pPr>
        <w:spacing w:after="0" w:line="44" w:lineRule="exact"/>
        <w:rPr>
          <w:rFonts w:ascii="Arial" w:cs="Arial" w:eastAsia="Arial" w:hAnsi="Arial"/>
          <w:sz w:val="19"/>
          <w:szCs w:val="19"/>
          <w:color w:val="auto"/>
        </w:rPr>
      </w:pPr>
    </w:p>
    <w:p>
      <w:pPr>
        <w:ind w:left="707" w:right="160" w:hanging="355"/>
        <w:spacing w:after="0" w:line="271" w:lineRule="auto"/>
        <w:tabs>
          <w:tab w:leader="none" w:pos="707" w:val="left"/>
        </w:tabs>
        <w:numPr>
          <w:ilvl w:val="0"/>
          <w:numId w:val="36"/>
        </w:numPr>
        <w:rPr>
          <w:rFonts w:ascii="Arial" w:cs="Arial" w:eastAsia="Arial" w:hAnsi="Arial"/>
          <w:sz w:val="20"/>
          <w:szCs w:val="20"/>
          <w:color w:val="auto"/>
        </w:rPr>
      </w:pPr>
      <w:r>
        <w:rPr>
          <w:rFonts w:ascii="Arial" w:cs="Arial" w:eastAsia="Arial" w:hAnsi="Arial"/>
          <w:sz w:val="20"/>
          <w:szCs w:val="20"/>
          <w:color w:val="auto"/>
        </w:rPr>
        <w:t>The credits for the periods presented were based on comparing the S&amp;P 500 Index on each issue date in the period to the same issue date in the respective prior year periods.</w:t>
      </w:r>
    </w:p>
    <w:p>
      <w:pPr>
        <w:spacing w:after="0" w:line="42" w:lineRule="exact"/>
        <w:rPr>
          <w:sz w:val="20"/>
          <w:szCs w:val="20"/>
          <w:color w:val="auto"/>
        </w:rPr>
      </w:pPr>
    </w:p>
    <w:p>
      <w:pPr>
        <w:ind w:left="7"/>
        <w:spacing w:after="0"/>
        <w:rPr>
          <w:sz w:val="20"/>
          <w:szCs w:val="20"/>
          <w:color w:val="auto"/>
        </w:rPr>
      </w:pPr>
      <w:r>
        <w:rPr>
          <w:rFonts w:ascii="Arial" w:cs="Arial" w:eastAsia="Arial" w:hAnsi="Arial"/>
          <w:sz w:val="20"/>
          <w:szCs w:val="20"/>
          <w:b w:val="1"/>
          <w:bCs w:val="1"/>
          <w:color w:val="auto"/>
        </w:rPr>
        <w:t>Benefits and expenses</w:t>
      </w:r>
    </w:p>
    <w:p>
      <w:pPr>
        <w:spacing w:after="0" w:line="182" w:lineRule="exact"/>
        <w:rPr>
          <w:sz w:val="20"/>
          <w:szCs w:val="20"/>
          <w:color w:val="auto"/>
        </w:rPr>
      </w:pPr>
    </w:p>
    <w:p>
      <w:pPr>
        <w:ind w:left="227"/>
        <w:spacing w:after="0"/>
        <w:rPr>
          <w:sz w:val="20"/>
          <w:szCs w:val="20"/>
          <w:color w:val="auto"/>
        </w:rPr>
      </w:pPr>
      <w:r>
        <w:rPr>
          <w:rFonts w:ascii="Arial" w:cs="Arial" w:eastAsia="Arial" w:hAnsi="Arial"/>
          <w:sz w:val="20"/>
          <w:szCs w:val="20"/>
          <w:b w:val="1"/>
          <w:bCs w:val="1"/>
          <w:color w:val="auto"/>
        </w:rPr>
        <w:t>Benefits and other changes in policy reserves</w:t>
      </w:r>
    </w:p>
    <w:p>
      <w:pPr>
        <w:spacing w:after="0" w:line="150" w:lineRule="exact"/>
        <w:rPr>
          <w:sz w:val="20"/>
          <w:szCs w:val="20"/>
          <w:color w:val="auto"/>
        </w:rPr>
      </w:pPr>
    </w:p>
    <w:p>
      <w:pPr>
        <w:ind w:left="347"/>
        <w:spacing w:after="0"/>
        <w:rPr>
          <w:sz w:val="20"/>
          <w:szCs w:val="20"/>
          <w:color w:val="auto"/>
        </w:rPr>
      </w:pPr>
      <w:r>
        <w:rPr>
          <w:rFonts w:ascii="Arial" w:cs="Arial" w:eastAsia="Arial" w:hAnsi="Arial"/>
          <w:sz w:val="20"/>
          <w:szCs w:val="20"/>
          <w:color w:val="auto"/>
        </w:rPr>
        <w:t>Below is a summary of the major components included in Benefits and other changes in policy reserves:</w:t>
      </w:r>
    </w:p>
    <w:p>
      <w:pPr>
        <w:spacing w:after="0" w:line="162" w:lineRule="exact"/>
        <w:rPr>
          <w:sz w:val="20"/>
          <w:szCs w:val="20"/>
          <w:color w:val="auto"/>
        </w:rPr>
      </w:pPr>
    </w:p>
    <w:tbl>
      <w:tblPr>
        <w:tblLayout w:type="fixed"/>
        <w:tblInd w:w="47" w:type="dxa"/>
        <w:tblCellMar>
          <w:top w:w="0" w:type="dxa"/>
          <w:left w:w="0" w:type="dxa"/>
          <w:bottom w:w="0" w:type="dxa"/>
          <w:right w:w="0" w:type="dxa"/>
        </w:tblCellMar>
      </w:tblPr>
      <w:tr>
        <w:trPr>
          <w:trHeight w:val="213"/>
        </w:trPr>
        <w:tc>
          <w:tcPr>
            <w:tcW w:w="6280" w:type="dxa"/>
            <w:vAlign w:val="bottom"/>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2080" w:type="dxa"/>
            <w:vAlign w:val="bottom"/>
            <w:tcBorders>
              <w:bottom w:val="single" w:sz="8" w:color="auto"/>
            </w:tcBorders>
            <w:gridSpan w:val="6"/>
          </w:tcPr>
          <w:p>
            <w:pPr>
              <w:jc w:val="right"/>
              <w:ind w:right="140"/>
              <w:spacing w:after="0"/>
              <w:rPr>
                <w:sz w:val="20"/>
                <w:szCs w:val="20"/>
                <w:color w:val="auto"/>
              </w:rPr>
            </w:pPr>
            <w:r>
              <w:rPr>
                <w:rFonts w:ascii="Arial" w:cs="Arial" w:eastAsia="Arial" w:hAnsi="Arial"/>
                <w:sz w:val="16"/>
                <w:szCs w:val="16"/>
                <w:b w:val="1"/>
                <w:bCs w:val="1"/>
                <w:color w:val="auto"/>
                <w:w w:val="97"/>
              </w:rPr>
              <w:t>Year Ended December 31,</w:t>
            </w:r>
          </w:p>
        </w:tc>
        <w:tc>
          <w:tcPr>
            <w:tcW w:w="840" w:type="dxa"/>
            <w:vAlign w:val="bottom"/>
            <w:tcBorders>
              <w:bottom w:val="single" w:sz="8" w:color="auto"/>
            </w:tcBorders>
          </w:tcPr>
          <w:p>
            <w:pPr>
              <w:spacing w:after="0"/>
              <w:rPr>
                <w:sz w:val="18"/>
                <w:szCs w:val="18"/>
                <w:color w:val="auto"/>
              </w:rPr>
            </w:pPr>
          </w:p>
        </w:tc>
      </w:tr>
      <w:tr>
        <w:trPr>
          <w:trHeight w:val="200"/>
        </w:trPr>
        <w:tc>
          <w:tcPr>
            <w:tcW w:w="6280" w:type="dxa"/>
            <w:vAlign w:val="bottom"/>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2025</w:t>
            </w:r>
          </w:p>
        </w:tc>
        <w:tc>
          <w:tcPr>
            <w:tcW w:w="4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382"/>
              <w:spacing w:after="0"/>
              <w:rPr>
                <w:sz w:val="20"/>
                <w:szCs w:val="20"/>
                <w:color w:val="auto"/>
              </w:rPr>
            </w:pPr>
            <w:r>
              <w:rPr>
                <w:rFonts w:ascii="Arial" w:cs="Arial" w:eastAsia="Arial" w:hAnsi="Arial"/>
                <w:sz w:val="16"/>
                <w:szCs w:val="16"/>
                <w:b w:val="1"/>
                <w:bCs w:val="1"/>
                <w:color w:val="auto"/>
              </w:rPr>
              <w:t>2024</w:t>
            </w:r>
          </w:p>
        </w:tc>
        <w:tc>
          <w:tcPr>
            <w:tcW w:w="8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22"/>
              <w:spacing w:after="0"/>
              <w:rPr>
                <w:sz w:val="20"/>
                <w:szCs w:val="20"/>
                <w:color w:val="auto"/>
              </w:rPr>
            </w:pPr>
            <w:r>
              <w:rPr>
                <w:rFonts w:ascii="Arial" w:cs="Arial" w:eastAsia="Arial" w:hAnsi="Arial"/>
                <w:sz w:val="16"/>
                <w:szCs w:val="16"/>
                <w:b w:val="1"/>
                <w:bCs w:val="1"/>
                <w:color w:val="auto"/>
              </w:rPr>
              <w:t>2023</w:t>
            </w:r>
          </w:p>
        </w:tc>
      </w:tr>
      <w:tr>
        <w:trPr>
          <w:trHeight w:val="206"/>
        </w:trPr>
        <w:tc>
          <w:tcPr>
            <w:tcW w:w="62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jc w:val="right"/>
              <w:ind w:right="162"/>
              <w:spacing w:after="0"/>
              <w:rPr>
                <w:sz w:val="20"/>
                <w:szCs w:val="20"/>
                <w:color w:val="auto"/>
              </w:rPr>
            </w:pPr>
            <w:r>
              <w:rPr>
                <w:rFonts w:ascii="Arial" w:cs="Arial" w:eastAsia="Arial" w:hAnsi="Arial"/>
                <w:sz w:val="16"/>
                <w:szCs w:val="16"/>
                <w:b w:val="1"/>
                <w:bCs w:val="1"/>
                <w:color w:val="auto"/>
                <w:w w:val="91"/>
              </w:rPr>
              <w:t>(In millions)</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23"/>
        </w:trPr>
        <w:tc>
          <w:tcPr>
            <w:tcW w:w="6280" w:type="dxa"/>
            <w:vAlign w:val="bottom"/>
          </w:tcPr>
          <w:p>
            <w:pPr>
              <w:spacing w:after="0"/>
              <w:rPr>
                <w:sz w:val="20"/>
                <w:szCs w:val="20"/>
                <w:color w:val="auto"/>
              </w:rPr>
            </w:pPr>
            <w:r>
              <w:rPr>
                <w:rFonts w:ascii="Arial" w:cs="Arial" w:eastAsia="Arial" w:hAnsi="Arial"/>
                <w:sz w:val="16"/>
                <w:szCs w:val="16"/>
                <w:color w:val="auto"/>
              </w:rPr>
              <w:t>PRT agreements</w:t>
            </w:r>
          </w:p>
        </w:tc>
        <w:tc>
          <w:tcPr>
            <w:tcW w:w="800" w:type="dxa"/>
            <w:vAlign w:val="bottom"/>
          </w:tcPr>
          <w:p>
            <w:pPr>
              <w:jc w:val="right"/>
              <w:ind w:right="582"/>
              <w:spacing w:after="0"/>
              <w:rPr>
                <w:sz w:val="20"/>
                <w:szCs w:val="20"/>
                <w:color w:val="auto"/>
              </w:rPr>
            </w:pPr>
            <w:r>
              <w:rPr>
                <w:rFonts w:ascii="Arial" w:cs="Arial" w:eastAsia="Arial" w:hAnsi="Arial"/>
                <w:sz w:val="16"/>
                <w:szCs w:val="16"/>
                <w:color w:val="auto"/>
              </w:rPr>
              <w:t>$</w:t>
            </w:r>
          </w:p>
        </w:tc>
        <w:tc>
          <w:tcPr>
            <w:tcW w:w="420" w:type="dxa"/>
            <w:vAlign w:val="bottom"/>
          </w:tcPr>
          <w:p>
            <w:pPr>
              <w:jc w:val="right"/>
              <w:spacing w:after="0"/>
              <w:rPr>
                <w:sz w:val="20"/>
                <w:szCs w:val="20"/>
                <w:color w:val="auto"/>
              </w:rPr>
            </w:pPr>
            <w:r>
              <w:rPr>
                <w:rFonts w:ascii="Arial" w:cs="Arial" w:eastAsia="Arial" w:hAnsi="Arial"/>
                <w:sz w:val="16"/>
                <w:szCs w:val="16"/>
                <w:color w:val="auto"/>
                <w:w w:val="84"/>
              </w:rPr>
              <w:t>2,194</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2,310</w:t>
            </w:r>
          </w:p>
        </w:tc>
        <w:tc>
          <w:tcPr>
            <w:tcW w:w="3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2,016</w:t>
            </w:r>
          </w:p>
        </w:tc>
      </w:tr>
      <w:tr>
        <w:trPr>
          <w:trHeight w:val="235"/>
        </w:trPr>
        <w:tc>
          <w:tcPr>
            <w:tcW w:w="6280" w:type="dxa"/>
            <w:vAlign w:val="bottom"/>
          </w:tcPr>
          <w:p>
            <w:pPr>
              <w:spacing w:after="0"/>
              <w:rPr>
                <w:sz w:val="20"/>
                <w:szCs w:val="20"/>
                <w:color w:val="auto"/>
              </w:rPr>
            </w:pPr>
            <w:r>
              <w:rPr>
                <w:rFonts w:ascii="Arial" w:cs="Arial" w:eastAsia="Arial" w:hAnsi="Arial"/>
                <w:sz w:val="16"/>
                <w:szCs w:val="16"/>
                <w:color w:val="auto"/>
              </w:rPr>
              <w:t>Indexed annuities/IUL market related liability movements</w:t>
            </w:r>
          </w:p>
        </w:tc>
        <w:tc>
          <w:tcPr>
            <w:tcW w:w="80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(56)</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(221)</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588</w:t>
            </w:r>
          </w:p>
        </w:tc>
      </w:tr>
      <w:tr>
        <w:trPr>
          <w:trHeight w:val="235"/>
        </w:trPr>
        <w:tc>
          <w:tcPr>
            <w:tcW w:w="6280" w:type="dxa"/>
            <w:vAlign w:val="bottom"/>
          </w:tcPr>
          <w:p>
            <w:pPr>
              <w:spacing w:after="0"/>
              <w:rPr>
                <w:sz w:val="20"/>
                <w:szCs w:val="20"/>
                <w:color w:val="auto"/>
              </w:rPr>
            </w:pPr>
            <w:r>
              <w:rPr>
                <w:rFonts w:ascii="Arial" w:cs="Arial" w:eastAsia="Arial" w:hAnsi="Arial"/>
                <w:sz w:val="16"/>
                <w:szCs w:val="16"/>
                <w:color w:val="auto"/>
              </w:rPr>
              <w:t>Index credits, interest credited and bonuses</w:t>
            </w:r>
          </w:p>
        </w:tc>
        <w:tc>
          <w:tcPr>
            <w:tcW w:w="80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w w:val="84"/>
              </w:rPr>
              <w:t>1,859</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1,696</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831</w:t>
            </w:r>
          </w:p>
        </w:tc>
      </w:tr>
      <w:tr>
        <w:trPr>
          <w:trHeight w:val="242"/>
        </w:trPr>
        <w:tc>
          <w:tcPr>
            <w:tcW w:w="6280" w:type="dxa"/>
            <w:vAlign w:val="bottom"/>
          </w:tcPr>
          <w:p>
            <w:pPr>
              <w:spacing w:after="0"/>
              <w:rPr>
                <w:sz w:val="20"/>
                <w:szCs w:val="20"/>
                <w:color w:val="auto"/>
              </w:rPr>
            </w:pPr>
            <w:r>
              <w:rPr>
                <w:rFonts w:ascii="Arial" w:cs="Arial" w:eastAsia="Arial" w:hAnsi="Arial"/>
                <w:sz w:val="16"/>
                <w:szCs w:val="16"/>
                <w:color w:val="auto"/>
              </w:rPr>
              <w:t>Other changes in policy reserves</w:t>
            </w:r>
          </w:p>
        </w:tc>
        <w:tc>
          <w:tcPr>
            <w:tcW w:w="80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w:t>
            </w:r>
          </w:p>
        </w:tc>
        <w:tc>
          <w:tcPr>
            <w:tcW w:w="8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w:t>
            </w:r>
          </w:p>
        </w:tc>
        <w:tc>
          <w:tcPr>
            <w:tcW w:w="8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118</w:t>
            </w:r>
          </w:p>
        </w:tc>
      </w:tr>
      <w:tr>
        <w:trPr>
          <w:trHeight w:val="196"/>
        </w:trPr>
        <w:tc>
          <w:tcPr>
            <w:tcW w:w="6280" w:type="dxa"/>
            <w:vAlign w:val="bottom"/>
          </w:tcPr>
          <w:p>
            <w:pPr>
              <w:ind w:left="240"/>
              <w:spacing w:after="0"/>
              <w:rPr>
                <w:sz w:val="20"/>
                <w:szCs w:val="20"/>
                <w:color w:val="auto"/>
              </w:rPr>
            </w:pPr>
            <w:r>
              <w:rPr>
                <w:rFonts w:ascii="Arial" w:cs="Arial" w:eastAsia="Arial" w:hAnsi="Arial"/>
                <w:sz w:val="16"/>
                <w:szCs w:val="16"/>
                <w:b w:val="1"/>
                <w:bCs w:val="1"/>
                <w:color w:val="auto"/>
              </w:rPr>
              <w:t>Benefits and other changes in policy reserves (a)</w:t>
            </w:r>
          </w:p>
        </w:tc>
        <w:tc>
          <w:tcPr>
            <w:tcW w:w="800" w:type="dxa"/>
            <w:vAlign w:val="bottom"/>
          </w:tcPr>
          <w:p>
            <w:pPr>
              <w:jc w:val="right"/>
              <w:ind w:right="582"/>
              <w:spacing w:after="0"/>
              <w:rPr>
                <w:sz w:val="20"/>
                <w:szCs w:val="20"/>
                <w:color w:val="auto"/>
              </w:rPr>
            </w:pPr>
            <w:r>
              <w:rPr>
                <w:rFonts w:ascii="Arial" w:cs="Arial" w:eastAsia="Arial" w:hAnsi="Arial"/>
                <w:sz w:val="16"/>
                <w:szCs w:val="16"/>
                <w:color w:val="auto"/>
              </w:rPr>
              <w:t>$</w:t>
            </w:r>
          </w:p>
        </w:tc>
        <w:tc>
          <w:tcPr>
            <w:tcW w:w="420" w:type="dxa"/>
            <w:vAlign w:val="bottom"/>
          </w:tcPr>
          <w:p>
            <w:pPr>
              <w:jc w:val="right"/>
              <w:spacing w:after="0"/>
              <w:rPr>
                <w:sz w:val="20"/>
                <w:szCs w:val="20"/>
                <w:color w:val="auto"/>
              </w:rPr>
            </w:pPr>
            <w:r>
              <w:rPr>
                <w:rFonts w:ascii="Arial" w:cs="Arial" w:eastAsia="Arial" w:hAnsi="Arial"/>
                <w:sz w:val="16"/>
                <w:szCs w:val="16"/>
                <w:color w:val="auto"/>
                <w:w w:val="84"/>
              </w:rPr>
              <w:t>3,963</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3,791</w:t>
            </w:r>
          </w:p>
        </w:tc>
        <w:tc>
          <w:tcPr>
            <w:tcW w:w="3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3,553</w:t>
            </w:r>
          </w:p>
        </w:tc>
      </w:tr>
      <w:tr>
        <w:trPr>
          <w:trHeight w:val="20"/>
        </w:trPr>
        <w:tc>
          <w:tcPr>
            <w:tcW w:w="62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-777875</wp:posOffset>
            </wp:positionV>
            <wp:extent cx="6410325" cy="78486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48">
                      <a:extLst>
                        <a:ext uri="{28A0092B-C50C-407E-A947-70E740481C1C}"/>
                      </a:extLst>
                    </a:blip>
                    <a:srcRect/>
                    <a:stretch>
                      <a:fillRect/>
                    </a:stretch>
                  </pic:blipFill>
                  <pic:spPr bwMode="auto">
                    <a:xfrm>
                      <a:off x="0" y="0"/>
                      <a:ext cx="6410325" cy="784860"/>
                    </a:xfrm>
                    <a:prstGeom prst="rect">
                      <a:avLst/>
                    </a:prstGeom>
                    <a:noFill/>
                  </pic:spPr>
                </pic:pic>
              </a:graphicData>
            </a:graphic>
          </wp:anchor>
        </w:drawing>
      </w:r>
    </w:p>
    <w:p>
      <w:pPr>
        <w:spacing w:after="0" w:line="97" w:lineRule="exact"/>
        <w:rPr>
          <w:sz w:val="20"/>
          <w:szCs w:val="20"/>
          <w:color w:val="auto"/>
        </w:rPr>
      </w:pPr>
    </w:p>
    <w:p>
      <w:pPr>
        <w:ind w:left="7" w:hanging="7"/>
        <w:spacing w:after="0" w:line="271" w:lineRule="auto"/>
        <w:tabs>
          <w:tab w:leader="none" w:pos="171" w:val="left"/>
        </w:tabs>
        <w:numPr>
          <w:ilvl w:val="0"/>
          <w:numId w:val="37"/>
        </w:numPr>
        <w:rPr>
          <w:rFonts w:ascii="Arial" w:cs="Arial" w:eastAsia="Arial" w:hAnsi="Arial"/>
          <w:sz w:val="16"/>
          <w:szCs w:val="16"/>
          <w:color w:val="auto"/>
        </w:rPr>
      </w:pPr>
      <w:r>
        <w:rPr>
          <w:rFonts w:ascii="Arial" w:cs="Arial" w:eastAsia="Arial" w:hAnsi="Arial"/>
          <w:sz w:val="16"/>
          <w:szCs w:val="16"/>
          <w:color w:val="auto"/>
        </w:rPr>
        <w:t>Reported net of ceded benefits and other changes in policy reserves of $234 million, $196 million, and $175 million for the years ended December 31, 2025, 2024, and 2023, respectively.</w:t>
      </w:r>
    </w:p>
    <w:p>
      <w:pPr>
        <w:spacing w:after="0" w:line="66" w:lineRule="exact"/>
        <w:rPr>
          <w:rFonts w:ascii="Arial" w:cs="Arial" w:eastAsia="Arial" w:hAnsi="Arial"/>
          <w:sz w:val="16"/>
          <w:szCs w:val="16"/>
          <w:color w:val="auto"/>
        </w:rPr>
      </w:pPr>
    </w:p>
    <w:p>
      <w:pPr>
        <w:jc w:val="both"/>
        <w:ind w:left="707" w:hanging="355"/>
        <w:spacing w:after="0" w:line="312" w:lineRule="auto"/>
        <w:tabs>
          <w:tab w:leader="none" w:pos="707" w:val="left"/>
        </w:tabs>
        <w:numPr>
          <w:ilvl w:val="1"/>
          <w:numId w:val="37"/>
        </w:numPr>
        <w:rPr>
          <w:rFonts w:ascii="Arial" w:cs="Arial" w:eastAsia="Arial" w:hAnsi="Arial"/>
          <w:sz w:val="17"/>
          <w:szCs w:val="17"/>
          <w:b w:val="1"/>
          <w:bCs w:val="1"/>
          <w:i w:val="1"/>
          <w:iCs w:val="1"/>
          <w:color w:val="auto"/>
        </w:rPr>
      </w:pPr>
      <w:r>
        <w:rPr>
          <w:rFonts w:ascii="Arial" w:cs="Arial" w:eastAsia="Arial" w:hAnsi="Arial"/>
          <w:sz w:val="17"/>
          <w:szCs w:val="17"/>
          <w:color w:val="auto"/>
        </w:rPr>
        <w:t>PRT agreements, primarily representing the change in reserves associated with PRT premiums during the periods, were modestly lower during the year ended December 31, 2025 compared to the year ended December 31, 2024, and increased for the year ended December 31, 2024 compared to the year ended December 31, 2023 reflecting the timing of PRT transactions. PRT transactions are subject to fluctuation period to period.</w:t>
      </w:r>
    </w:p>
    <w:p>
      <w:pPr>
        <w:spacing w:after="0" w:line="22" w:lineRule="exact"/>
        <w:rPr>
          <w:rFonts w:ascii="Arial" w:cs="Arial" w:eastAsia="Arial" w:hAnsi="Arial"/>
          <w:sz w:val="17"/>
          <w:szCs w:val="17"/>
          <w:b w:val="1"/>
          <w:bCs w:val="1"/>
          <w:i w:val="1"/>
          <w:iCs w:val="1"/>
          <w:color w:val="auto"/>
        </w:rPr>
      </w:pPr>
    </w:p>
    <w:p>
      <w:pPr>
        <w:jc w:val="both"/>
        <w:ind w:left="707" w:hanging="355"/>
        <w:spacing w:after="0" w:line="300" w:lineRule="auto"/>
        <w:tabs>
          <w:tab w:leader="none" w:pos="707" w:val="left"/>
        </w:tabs>
        <w:numPr>
          <w:ilvl w:val="1"/>
          <w:numId w:val="37"/>
        </w:numPr>
        <w:rPr>
          <w:rFonts w:ascii="Arial" w:cs="Arial" w:eastAsia="Arial" w:hAnsi="Arial"/>
          <w:sz w:val="17"/>
          <w:szCs w:val="17"/>
          <w:b w:val="1"/>
          <w:bCs w:val="1"/>
          <w:i w:val="1"/>
          <w:iCs w:val="1"/>
          <w:color w:val="auto"/>
        </w:rPr>
      </w:pPr>
      <w:r>
        <w:rPr>
          <w:rFonts w:ascii="Arial" w:cs="Arial" w:eastAsia="Arial" w:hAnsi="Arial"/>
          <w:sz w:val="17"/>
          <w:szCs w:val="17"/>
          <w:color w:val="auto"/>
        </w:rPr>
        <w:t>The indexed annuities/IUL market related liability movements for all periods presented are mainly driven by changes in the equity markets, non-performance spreads, and risk-free rates during the respective periods. The change in risk free rates and non-performance spreads increased (decreased) the indexed annuities market related liability by approximately $138 million, $(203) million, and $106 million during the years ended December 31, 2025, 2024, and 2023, respectively. The remaining changes in market value of the market related liability movements for all periods were primarily driven by equity market impacts. See “</w:t>
      </w:r>
      <w:r>
        <w:rPr>
          <w:rFonts w:ascii="Arial" w:cs="Arial" w:eastAsia="Arial" w:hAnsi="Arial"/>
          <w:sz w:val="17"/>
          <w:szCs w:val="17"/>
          <w:b w:val="1"/>
          <w:bCs w:val="1"/>
          <w:i w:val="1"/>
          <w:iCs w:val="1"/>
          <w:color w:val="auto"/>
        </w:rPr>
        <w:t>Revenues</w:t>
      </w:r>
      <w:r>
        <w:rPr>
          <w:rFonts w:ascii="Arial" w:cs="Arial" w:eastAsia="Arial" w:hAnsi="Arial"/>
          <w:sz w:val="17"/>
          <w:szCs w:val="17"/>
          <w:color w:val="auto"/>
        </w:rPr>
        <w:t xml:space="preserve"> — </w:t>
      </w:r>
      <w:r>
        <w:rPr>
          <w:rFonts w:ascii="Arial" w:cs="Arial" w:eastAsia="Arial" w:hAnsi="Arial"/>
          <w:sz w:val="17"/>
          <w:szCs w:val="17"/>
          <w:b w:val="1"/>
          <w:bCs w:val="1"/>
          <w:i w:val="1"/>
          <w:iCs w:val="1"/>
          <w:color w:val="auto"/>
        </w:rPr>
        <w:t>Recognized gains and losses, net”</w:t>
      </w:r>
      <w:r>
        <w:rPr>
          <w:rFonts w:ascii="Arial" w:cs="Arial" w:eastAsia="Arial" w:hAnsi="Arial"/>
          <w:sz w:val="17"/>
          <w:szCs w:val="17"/>
          <w:color w:val="auto"/>
        </w:rPr>
        <w:t xml:space="preserve"> above for summary and discussion of net unrealized gains (losses) on certain derivative instruments.</w:t>
      </w:r>
    </w:p>
    <w:p>
      <w:pPr>
        <w:spacing w:after="0" w:line="33" w:lineRule="exact"/>
        <w:rPr>
          <w:rFonts w:ascii="Arial" w:cs="Arial" w:eastAsia="Arial" w:hAnsi="Arial"/>
          <w:sz w:val="17"/>
          <w:szCs w:val="17"/>
          <w:b w:val="1"/>
          <w:bCs w:val="1"/>
          <w:i w:val="1"/>
          <w:iCs w:val="1"/>
          <w:color w:val="auto"/>
        </w:rPr>
      </w:pPr>
    </w:p>
    <w:p>
      <w:pPr>
        <w:ind w:left="707" w:hanging="355"/>
        <w:spacing w:after="0" w:line="271" w:lineRule="auto"/>
        <w:tabs>
          <w:tab w:leader="none" w:pos="707" w:val="left"/>
        </w:tabs>
        <w:numPr>
          <w:ilvl w:val="1"/>
          <w:numId w:val="37"/>
        </w:numPr>
        <w:rPr>
          <w:rFonts w:ascii="Arial" w:cs="Arial" w:eastAsia="Arial" w:hAnsi="Arial"/>
          <w:sz w:val="20"/>
          <w:szCs w:val="20"/>
          <w:color w:val="auto"/>
        </w:rPr>
      </w:pPr>
      <w:r>
        <w:rPr>
          <w:rFonts w:ascii="Arial" w:cs="Arial" w:eastAsia="Arial" w:hAnsi="Arial"/>
          <w:sz w:val="20"/>
          <w:szCs w:val="20"/>
          <w:color w:val="auto"/>
        </w:rPr>
        <w:t>Annually, typically in the third quarter, we review assumptions associated with reserves for policy benefits and product guarantees.</w:t>
      </w:r>
    </w:p>
    <w:p>
      <w:pPr>
        <w:spacing w:after="0" w:line="49" w:lineRule="exact"/>
        <w:rPr>
          <w:rFonts w:ascii="Arial" w:cs="Arial" w:eastAsia="Arial" w:hAnsi="Arial"/>
          <w:sz w:val="20"/>
          <w:szCs w:val="20"/>
          <w:color w:val="auto"/>
        </w:rPr>
      </w:pPr>
    </w:p>
    <w:p>
      <w:pPr>
        <w:jc w:val="both"/>
        <w:ind w:left="1407" w:hanging="349"/>
        <w:spacing w:after="0" w:line="250" w:lineRule="auto"/>
        <w:tabs>
          <w:tab w:leader="none" w:pos="1407" w:val="left"/>
        </w:tabs>
        <w:numPr>
          <w:ilvl w:val="2"/>
          <w:numId w:val="37"/>
        </w:numPr>
        <w:rPr>
          <w:rFonts w:ascii="Arial" w:cs="Arial" w:eastAsia="Arial" w:hAnsi="Arial"/>
          <w:sz w:val="20"/>
          <w:szCs w:val="20"/>
          <w:b w:val="1"/>
          <w:bCs w:val="1"/>
          <w:i w:val="1"/>
          <w:iCs w:val="1"/>
          <w:color w:val="auto"/>
        </w:rPr>
      </w:pPr>
      <w:r>
        <w:rPr>
          <w:rFonts w:ascii="Arial" w:cs="Arial" w:eastAsia="Arial" w:hAnsi="Arial"/>
          <w:sz w:val="20"/>
          <w:szCs w:val="20"/>
          <w:color w:val="auto"/>
        </w:rPr>
        <w:t>For the year ended December 31, 2025, based on policyholder behavior, experience and interest rate movements, we reflected updates to surrender assumptions for recent and expected near term policyholder behavior, as well as updated certain indexed annuities assumptions used to calculate the fair value of the embedded derivative component within Contractholder funds. These changes resulted in a decrease in total benefits and other changes in policy reserves of approximately $20 million for the year ended December 31, 2025.</w:t>
      </w:r>
    </w:p>
    <w:p>
      <w:pPr>
        <w:spacing w:after="0" w:line="71" w:lineRule="exact"/>
        <w:rPr>
          <w:rFonts w:ascii="Arial" w:cs="Arial" w:eastAsia="Arial" w:hAnsi="Arial"/>
          <w:sz w:val="20"/>
          <w:szCs w:val="20"/>
          <w:b w:val="1"/>
          <w:bCs w:val="1"/>
          <w:i w:val="1"/>
          <w:iCs w:val="1"/>
          <w:color w:val="auto"/>
        </w:rPr>
      </w:pPr>
    </w:p>
    <w:p>
      <w:pPr>
        <w:jc w:val="both"/>
        <w:ind w:left="1407" w:hanging="349"/>
        <w:spacing w:after="0" w:line="268" w:lineRule="auto"/>
        <w:tabs>
          <w:tab w:leader="none" w:pos="1407" w:val="left"/>
        </w:tabs>
        <w:numPr>
          <w:ilvl w:val="2"/>
          <w:numId w:val="37"/>
        </w:numPr>
        <w:rPr>
          <w:rFonts w:ascii="Arial" w:cs="Arial" w:eastAsia="Arial" w:hAnsi="Arial"/>
          <w:sz w:val="19"/>
          <w:szCs w:val="19"/>
          <w:b w:val="1"/>
          <w:bCs w:val="1"/>
          <w:i w:val="1"/>
          <w:iCs w:val="1"/>
          <w:color w:val="auto"/>
        </w:rPr>
      </w:pPr>
      <w:r>
        <w:rPr>
          <w:rFonts w:ascii="Arial" w:cs="Arial" w:eastAsia="Arial" w:hAnsi="Arial"/>
          <w:sz w:val="19"/>
          <w:szCs w:val="19"/>
          <w:color w:val="auto"/>
        </w:rPr>
        <w:t>For the year ended December 31, 2024, based on policyholder behavior, experience and interest rate movements, we reflected updates to surrender assumptions for recent and expected near term policyholder behavior, as well as updated certain indexed annuities assumptions used to calculate the fair value of the embedded derivative component within Contractholder funds. These changes resulted in a decrease in total benefits and other changes in policy reserves of approximately $89 million.</w:t>
      </w:r>
    </w:p>
    <w:p>
      <w:pPr>
        <w:sectPr>
          <w:pgSz w:w="11880" w:h="15480" w:orient="portrait"/>
          <w:cols w:equalWidth="0" w:num="1">
            <w:col w:w="10047"/>
          </w:cols>
          <w:pgMar w:left="913" w:top="772"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6"/>
        <w:spacing w:after="0"/>
        <w:rPr>
          <w:sz w:val="20"/>
          <w:szCs w:val="20"/>
          <w:color w:val="auto"/>
        </w:rPr>
      </w:pPr>
      <w:r>
        <w:rPr>
          <w:rFonts w:ascii="Arial" w:cs="Arial" w:eastAsia="Arial" w:hAnsi="Arial"/>
          <w:sz w:val="17"/>
          <w:szCs w:val="17"/>
          <w:color w:val="auto"/>
        </w:rPr>
        <w:t>77</w:t>
      </w:r>
    </w:p>
    <w:p>
      <w:pPr>
        <w:sectPr>
          <w:pgSz w:w="11880" w:h="15480" w:orient="portrait"/>
          <w:cols w:equalWidth="0" w:num="1">
            <w:col w:w="10047"/>
          </w:cols>
          <w:pgMar w:left="913" w:top="772" w:right="920" w:bottom="0" w:gutter="0" w:footer="0" w:header="0"/>
          <w:type w:val="continuous"/>
        </w:sectPr>
      </w:pPr>
    </w:p>
    <w:bookmarkStart w:id="89" w:name="page90"/>
    <w:bookmarkEnd w:id="89"/>
    <w:p>
      <w:pPr>
        <w:jc w:val="both"/>
        <w:ind w:left="1400" w:hanging="349"/>
        <w:spacing w:after="0" w:line="312" w:lineRule="auto"/>
        <w:tabs>
          <w:tab w:leader="none" w:pos="1400" w:val="left"/>
        </w:tabs>
        <w:numPr>
          <w:ilvl w:val="1"/>
          <w:numId w:val="38"/>
        </w:numPr>
        <w:rPr>
          <w:rFonts w:ascii="Arial" w:cs="Arial" w:eastAsia="Arial" w:hAnsi="Arial"/>
          <w:sz w:val="17"/>
          <w:szCs w:val="17"/>
          <w:b w:val="1"/>
          <w:bCs w:val="1"/>
          <w:i w:val="1"/>
          <w:iCs w:val="1"/>
          <w:color w:val="auto"/>
        </w:rPr>
      </w:pPr>
      <w:r>
        <w:rPr>
          <w:rFonts w:ascii="Arial" w:cs="Arial" w:eastAsia="Arial" w:hAnsi="Arial"/>
          <w:sz w:val="17"/>
          <w:szCs w:val="17"/>
          <w:color w:val="auto"/>
        </w:rPr>
        <w:t>For the year ended December 31, 2023, based on increases in interest rates and pricing changes, we updated certain indexed annuities assumptions used to calculate the fair value of the embedded derivative component within Contractholder funds and also aligned reserves to actual policyholder behavior. These changes resulted in a increase in total benefits and other changes in policy reserves of approximately $73 million.</w:t>
      </w:r>
    </w:p>
    <w:p>
      <w:pPr>
        <w:spacing w:after="0" w:line="41" w:lineRule="exact"/>
        <w:rPr>
          <w:rFonts w:ascii="Arial" w:cs="Arial" w:eastAsia="Arial" w:hAnsi="Arial"/>
          <w:sz w:val="17"/>
          <w:szCs w:val="17"/>
          <w:b w:val="1"/>
          <w:bCs w:val="1"/>
          <w:i w:val="1"/>
          <w:iCs w:val="1"/>
          <w:color w:val="auto"/>
        </w:rPr>
      </w:pPr>
    </w:p>
    <w:p>
      <w:pPr>
        <w:jc w:val="both"/>
        <w:ind w:left="700" w:hanging="355"/>
        <w:spacing w:after="0" w:line="325" w:lineRule="auto"/>
        <w:tabs>
          <w:tab w:leader="none" w:pos="700" w:val="left"/>
        </w:tabs>
        <w:numPr>
          <w:ilvl w:val="0"/>
          <w:numId w:val="38"/>
        </w:numPr>
        <w:rPr>
          <w:rFonts w:ascii="Arial" w:cs="Arial" w:eastAsia="Arial" w:hAnsi="Arial"/>
          <w:sz w:val="17"/>
          <w:szCs w:val="17"/>
          <w:b w:val="1"/>
          <w:bCs w:val="1"/>
          <w:i w:val="1"/>
          <w:iCs w:val="1"/>
          <w:color w:val="auto"/>
        </w:rPr>
      </w:pPr>
      <w:r>
        <w:rPr>
          <w:rFonts w:ascii="Arial" w:cs="Arial" w:eastAsia="Arial" w:hAnsi="Arial"/>
          <w:sz w:val="17"/>
          <w:szCs w:val="17"/>
          <w:color w:val="auto"/>
        </w:rPr>
        <w:t>Index credits, interest credited and bonuses were higher for the years ended December 31, 2025 and 2024, primarily reflecting higher index credits and interest credited on indexed annuities and other policies as a result of market movement during the respective periods and higher interest credited associated with the growth in PRT agreements.</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Market risk benefit losses (gains)</w:t>
      </w:r>
    </w:p>
    <w:p>
      <w:pPr>
        <w:spacing w:after="0" w:line="150" w:lineRule="exact"/>
        <w:rPr>
          <w:sz w:val="20"/>
          <w:szCs w:val="20"/>
          <w:color w:val="auto"/>
        </w:rPr>
      </w:pPr>
    </w:p>
    <w:p>
      <w:pPr>
        <w:ind w:left="340"/>
        <w:spacing w:after="0"/>
        <w:rPr>
          <w:sz w:val="20"/>
          <w:szCs w:val="20"/>
          <w:color w:val="auto"/>
        </w:rPr>
      </w:pPr>
      <w:r>
        <w:rPr>
          <w:rFonts w:ascii="Arial" w:cs="Arial" w:eastAsia="Arial" w:hAnsi="Arial"/>
          <w:sz w:val="20"/>
          <w:szCs w:val="20"/>
          <w:color w:val="auto"/>
        </w:rPr>
        <w:t>Below is a summary of market risk benefit losses (gains)</w:t>
      </w:r>
    </w:p>
    <w:p>
      <w:pPr>
        <w:spacing w:after="0" w:line="176" w:lineRule="exact"/>
        <w:rPr>
          <w:sz w:val="20"/>
          <w:szCs w:val="20"/>
          <w:color w:val="auto"/>
        </w:rPr>
      </w:pPr>
    </w:p>
    <w:p>
      <w:pPr>
        <w:jc w:val="center"/>
        <w:ind w:left="6720"/>
        <w:spacing w:after="0"/>
        <w:rPr>
          <w:sz w:val="20"/>
          <w:szCs w:val="20"/>
          <w:color w:val="auto"/>
        </w:rPr>
      </w:pPr>
      <w:r>
        <w:rPr>
          <w:rFonts w:ascii="Arial" w:cs="Arial" w:eastAsia="Arial" w:hAnsi="Arial"/>
          <w:sz w:val="16"/>
          <w:szCs w:val="16"/>
          <w:b w:val="1"/>
          <w:bCs w:val="1"/>
          <w:color w:val="auto"/>
        </w:rPr>
        <w:t>Year Ended December 31,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4260850</wp:posOffset>
                </wp:positionH>
                <wp:positionV relativeFrom="paragraph">
                  <wp:posOffset>24130</wp:posOffset>
                </wp:positionV>
                <wp:extent cx="2118995" cy="0"/>
                <wp:wrapNone/>
                <wp:docPr id="78" name="Shape 7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11899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78" o:spid="_x0000_s110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35.5pt,1.9pt" to="502.35pt,1.9pt" o:allowincell="f" strokecolor="#000000" strokeweight="1pt"/>
            </w:pict>
          </mc:Fallback>
        </mc:AlternateContent>
      </w:r>
    </w:p>
    <w:p>
      <w:pPr>
        <w:spacing w:after="0" w:line="17" w:lineRule="exact"/>
        <w:rPr>
          <w:sz w:val="20"/>
          <w:szCs w:val="20"/>
          <w:color w:val="auto"/>
        </w:rPr>
      </w:pPr>
    </w:p>
    <w:p>
      <w:pPr>
        <w:ind w:left="7100"/>
        <w:spacing w:after="0"/>
        <w:tabs>
          <w:tab w:leader="none" w:pos="8200" w:val="left"/>
          <w:tab w:leader="none" w:pos="9340" w:val="left"/>
        </w:tabs>
        <w:rPr>
          <w:sz w:val="20"/>
          <w:szCs w:val="20"/>
          <w:color w:val="auto"/>
        </w:rPr>
      </w:pPr>
      <w:r>
        <w:rPr>
          <w:rFonts w:ascii="Arial" w:cs="Arial" w:eastAsia="Arial" w:hAnsi="Arial"/>
          <w:sz w:val="16"/>
          <w:szCs w:val="16"/>
          <w:b w:val="1"/>
          <w:bCs w:val="1"/>
          <w:color w:val="auto"/>
        </w:rPr>
        <w:t>2025</w:t>
      </w:r>
      <w:r>
        <w:rPr>
          <w:sz w:val="20"/>
          <w:szCs w:val="20"/>
          <w:color w:val="auto"/>
        </w:rPr>
        <w:tab/>
      </w:r>
      <w:r>
        <w:rPr>
          <w:rFonts w:ascii="Arial" w:cs="Arial" w:eastAsia="Arial" w:hAnsi="Arial"/>
          <w:sz w:val="16"/>
          <w:szCs w:val="16"/>
          <w:b w:val="1"/>
          <w:bCs w:val="1"/>
          <w:color w:val="auto"/>
        </w:rPr>
        <w:t>2024</w:t>
      </w:r>
      <w:r>
        <w:rPr>
          <w:sz w:val="20"/>
          <w:szCs w:val="20"/>
          <w:color w:val="auto"/>
        </w:rPr>
        <w:tab/>
      </w:r>
      <w:r>
        <w:rPr>
          <w:rFonts w:ascii="Arial" w:cs="Arial" w:eastAsia="Arial" w:hAnsi="Arial"/>
          <w:sz w:val="13"/>
          <w:szCs w:val="13"/>
          <w:b w:val="1"/>
          <w:bCs w:val="1"/>
          <w:color w:val="auto"/>
        </w:rPr>
        <w:t>2023</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4260850</wp:posOffset>
                </wp:positionH>
                <wp:positionV relativeFrom="paragraph">
                  <wp:posOffset>24130</wp:posOffset>
                </wp:positionV>
                <wp:extent cx="2118995" cy="0"/>
                <wp:wrapNone/>
                <wp:docPr id="79" name="Shape 7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11899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79" o:spid="_x0000_s110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35.5pt,1.9pt" to="502.35pt,1.9pt" o:allowincell="f" strokecolor="#000000" strokeweight="1pt"/>
            </w:pict>
          </mc:Fallback>
        </mc:AlternateContent>
      </w:r>
    </w:p>
    <w:p>
      <w:pPr>
        <w:spacing w:after="0" w:line="31" w:lineRule="exact"/>
        <w:rPr>
          <w:sz w:val="20"/>
          <w:szCs w:val="20"/>
          <w:color w:val="auto"/>
        </w:rPr>
      </w:pPr>
    </w:p>
    <w:p>
      <w:pPr>
        <w:ind w:left="7960"/>
        <w:spacing w:after="0"/>
        <w:rPr>
          <w:sz w:val="20"/>
          <w:szCs w:val="20"/>
          <w:color w:val="auto"/>
        </w:rPr>
      </w:pPr>
      <w:r>
        <w:rPr>
          <w:rFonts w:ascii="Arial" w:cs="Arial" w:eastAsia="Arial" w:hAnsi="Arial"/>
          <w:sz w:val="16"/>
          <w:szCs w:val="16"/>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12065</wp:posOffset>
            </wp:positionV>
            <wp:extent cx="6410325" cy="17462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49">
                      <a:extLst>
                        <a:ext uri="{28A0092B-C50C-407E-A947-70E740481C1C}"/>
                      </a:extLst>
                    </a:blip>
                    <a:srcRect/>
                    <a:stretch>
                      <a:fillRect/>
                    </a:stretch>
                  </pic:blipFill>
                  <pic:spPr bwMode="auto">
                    <a:xfrm>
                      <a:off x="0" y="0"/>
                      <a:ext cx="6410325" cy="174625"/>
                    </a:xfrm>
                    <a:prstGeom prst="rect">
                      <a:avLst/>
                    </a:prstGeom>
                    <a:noFill/>
                  </pic:spPr>
                </pic:pic>
              </a:graphicData>
            </a:graphic>
          </wp:anchor>
        </w:drawing>
      </w:r>
    </w:p>
    <w:p>
      <w:pPr>
        <w:spacing w:after="0" w:line="33" w:lineRule="exact"/>
        <w:rPr>
          <w:sz w:val="20"/>
          <w:szCs w:val="20"/>
          <w:color w:val="auto"/>
        </w:rPr>
      </w:pPr>
    </w:p>
    <w:p>
      <w:pPr>
        <w:ind w:left="40"/>
        <w:spacing w:after="0"/>
        <w:tabs>
          <w:tab w:leader="none" w:pos="6740" w:val="left"/>
          <w:tab w:leader="none" w:pos="7460" w:val="left"/>
          <w:tab w:leader="none" w:pos="7880" w:val="left"/>
          <w:tab w:leader="none" w:pos="8620" w:val="left"/>
          <w:tab w:leader="none" w:pos="9000" w:val="left"/>
          <w:tab w:leader="none" w:pos="9800" w:val="left"/>
        </w:tabs>
        <w:rPr>
          <w:sz w:val="20"/>
          <w:szCs w:val="20"/>
          <w:color w:val="auto"/>
        </w:rPr>
      </w:pPr>
      <w:r>
        <w:rPr>
          <w:rFonts w:ascii="Arial" w:cs="Arial" w:eastAsia="Arial" w:hAnsi="Arial"/>
          <w:sz w:val="16"/>
          <w:szCs w:val="16"/>
          <w:color w:val="auto"/>
        </w:rPr>
        <w:t>Market risk benefit losses (gains)</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167</w:t>
        <w:tab/>
        <w:t>$</w:t>
      </w:r>
      <w:r>
        <w:rPr>
          <w:sz w:val="20"/>
          <w:szCs w:val="20"/>
          <w:color w:val="auto"/>
        </w:rPr>
        <w:tab/>
      </w:r>
      <w:r>
        <w:rPr>
          <w:rFonts w:ascii="Arial" w:cs="Arial" w:eastAsia="Arial" w:hAnsi="Arial"/>
          <w:sz w:val="16"/>
          <w:szCs w:val="16"/>
          <w:color w:val="auto"/>
        </w:rPr>
        <w:t>(25)</w:t>
        <w:tab/>
        <w:t>$</w:t>
      </w:r>
      <w:r>
        <w:rPr>
          <w:sz w:val="20"/>
          <w:szCs w:val="20"/>
          <w:color w:val="auto"/>
        </w:rPr>
        <w:tab/>
      </w:r>
      <w:r>
        <w:rPr>
          <w:rFonts w:ascii="Arial" w:cs="Arial" w:eastAsia="Arial" w:hAnsi="Arial"/>
          <w:sz w:val="13"/>
          <w:szCs w:val="13"/>
          <w:color w:val="auto"/>
        </w:rPr>
        <w:t>95</w:t>
      </w:r>
    </w:p>
    <w:p>
      <w:pPr>
        <w:spacing w:after="0" w:line="309" w:lineRule="exact"/>
        <w:rPr>
          <w:sz w:val="20"/>
          <w:szCs w:val="20"/>
          <w:color w:val="auto"/>
        </w:rPr>
      </w:pPr>
    </w:p>
    <w:p>
      <w:pPr>
        <w:jc w:val="both"/>
        <w:ind w:left="700" w:hanging="355"/>
        <w:spacing w:after="0" w:line="271" w:lineRule="auto"/>
        <w:tabs>
          <w:tab w:leader="none" w:pos="700" w:val="left"/>
        </w:tabs>
        <w:numPr>
          <w:ilvl w:val="0"/>
          <w:numId w:val="39"/>
        </w:numPr>
        <w:rPr>
          <w:rFonts w:ascii="Arial" w:cs="Arial" w:eastAsia="Arial" w:hAnsi="Arial"/>
          <w:sz w:val="19"/>
          <w:szCs w:val="19"/>
          <w:color w:val="auto"/>
        </w:rPr>
      </w:pPr>
      <w:r>
        <w:rPr>
          <w:rFonts w:ascii="Arial" w:cs="Arial" w:eastAsia="Arial" w:hAnsi="Arial"/>
          <w:sz w:val="19"/>
          <w:szCs w:val="19"/>
          <w:color w:val="auto"/>
        </w:rPr>
        <w:t>Market risk benefit losses (gains) is primarily driven by issuances, attributed fees collected, effects of market related movements (including changes in equity markets and risk-free rates), actual policyholder behavior as compared with expected, changes in assumptions during the periods. Market risk benefit (gains) losses are reported net of reinsurance, reflecting an amended reinsurance agreement effective July 1, 2024.</w:t>
      </w:r>
    </w:p>
    <w:p>
      <w:pPr>
        <w:spacing w:after="0" w:line="71" w:lineRule="exact"/>
        <w:rPr>
          <w:rFonts w:ascii="Arial" w:cs="Arial" w:eastAsia="Arial" w:hAnsi="Arial"/>
          <w:sz w:val="19"/>
          <w:szCs w:val="19"/>
          <w:color w:val="auto"/>
        </w:rPr>
      </w:pPr>
    </w:p>
    <w:p>
      <w:pPr>
        <w:jc w:val="both"/>
        <w:ind w:left="700" w:hanging="355"/>
        <w:spacing w:after="0" w:line="258" w:lineRule="auto"/>
        <w:tabs>
          <w:tab w:leader="none" w:pos="700" w:val="left"/>
        </w:tabs>
        <w:numPr>
          <w:ilvl w:val="0"/>
          <w:numId w:val="39"/>
        </w:numPr>
        <w:rPr>
          <w:rFonts w:ascii="Arial" w:cs="Arial" w:eastAsia="Arial" w:hAnsi="Arial"/>
          <w:sz w:val="20"/>
          <w:szCs w:val="20"/>
          <w:color w:val="auto"/>
        </w:rPr>
      </w:pPr>
      <w:r>
        <w:rPr>
          <w:rFonts w:ascii="Arial" w:cs="Arial" w:eastAsia="Arial" w:hAnsi="Arial"/>
          <w:sz w:val="20"/>
          <w:szCs w:val="20"/>
          <w:color w:val="auto"/>
        </w:rPr>
        <w:t>Changes in market risk benefit losses (gains) for the year ended December 31, 2025, compared to the year ended December 31, 2024, primarily reflect unfavorable market related movements and unfavorable actual policyholder behavior as compared to expected.</w:t>
      </w:r>
    </w:p>
    <w:p>
      <w:pPr>
        <w:spacing w:after="0" w:line="82" w:lineRule="exact"/>
        <w:rPr>
          <w:sz w:val="20"/>
          <w:szCs w:val="20"/>
          <w:color w:val="auto"/>
        </w:rPr>
      </w:pPr>
    </w:p>
    <w:p>
      <w:pPr>
        <w:jc w:val="both"/>
        <w:ind w:left="700" w:hanging="355"/>
        <w:spacing w:after="0" w:line="258" w:lineRule="auto"/>
        <w:tabs>
          <w:tab w:leader="none" w:pos="700" w:val="left"/>
        </w:tabs>
        <w:numPr>
          <w:ilvl w:val="0"/>
          <w:numId w:val="40"/>
        </w:numPr>
        <w:rPr>
          <w:rFonts w:ascii="Arial" w:cs="Arial" w:eastAsia="Arial" w:hAnsi="Arial"/>
          <w:sz w:val="20"/>
          <w:szCs w:val="20"/>
          <w:b w:val="1"/>
          <w:bCs w:val="1"/>
          <w:i w:val="1"/>
          <w:iCs w:val="1"/>
          <w:color w:val="auto"/>
        </w:rPr>
      </w:pPr>
      <w:r>
        <w:rPr>
          <w:rFonts w:ascii="Arial" w:cs="Arial" w:eastAsia="Arial" w:hAnsi="Arial"/>
          <w:sz w:val="20"/>
          <w:szCs w:val="20"/>
          <w:color w:val="auto"/>
        </w:rPr>
        <w:t>Changes in market risk benefit losses (gains) for the year ended December 31, 2024, compared to the year ended December 31, 2023, primarily reflect more favorable market related movements and favorable actual policyholder behavior as compared to expected.</w:t>
      </w:r>
    </w:p>
    <w:p>
      <w:pPr>
        <w:spacing w:after="0" w:line="7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Depreciation and amortization</w:t>
      </w:r>
    </w:p>
    <w:p>
      <w:pPr>
        <w:spacing w:after="0" w:line="110" w:lineRule="exact"/>
        <w:rPr>
          <w:sz w:val="20"/>
          <w:szCs w:val="20"/>
          <w:color w:val="auto"/>
        </w:rPr>
      </w:pPr>
    </w:p>
    <w:p>
      <w:pPr>
        <w:ind w:left="340"/>
        <w:spacing w:after="0"/>
        <w:rPr>
          <w:sz w:val="20"/>
          <w:szCs w:val="20"/>
          <w:color w:val="auto"/>
        </w:rPr>
      </w:pPr>
      <w:r>
        <w:rPr>
          <w:rFonts w:ascii="Arial" w:cs="Arial" w:eastAsia="Arial" w:hAnsi="Arial"/>
          <w:sz w:val="20"/>
          <w:szCs w:val="20"/>
          <w:color w:val="auto"/>
        </w:rPr>
        <w:t>Below is a summary of the major components included in depreciation and amortization:</w:t>
      </w:r>
    </w:p>
    <w:p>
      <w:pPr>
        <w:spacing w:after="0" w:line="181" w:lineRule="exact"/>
        <w:rPr>
          <w:sz w:val="20"/>
          <w:szCs w:val="20"/>
          <w:color w:val="auto"/>
        </w:rPr>
      </w:pPr>
    </w:p>
    <w:tbl>
      <w:tblPr>
        <w:tblLayout w:type="fixed"/>
        <w:tblInd w:w="400" w:type="dxa"/>
        <w:tblCellMar>
          <w:top w:w="0" w:type="dxa"/>
          <w:left w:w="0" w:type="dxa"/>
          <w:bottom w:w="0" w:type="dxa"/>
          <w:right w:w="0" w:type="dxa"/>
        </w:tblCellMar>
      </w:tblPr>
      <w:tr>
        <w:trPr>
          <w:trHeight w:val="213"/>
        </w:trPr>
        <w:tc>
          <w:tcPr>
            <w:tcW w:w="5800" w:type="dxa"/>
            <w:vAlign w:val="bottom"/>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2080" w:type="dxa"/>
            <w:vAlign w:val="bottom"/>
            <w:tcBorders>
              <w:bottom w:val="single" w:sz="8" w:color="auto"/>
            </w:tcBorders>
            <w:gridSpan w:val="6"/>
          </w:tcPr>
          <w:p>
            <w:pPr>
              <w:jc w:val="right"/>
              <w:ind w:right="120"/>
              <w:spacing w:after="0"/>
              <w:rPr>
                <w:sz w:val="20"/>
                <w:szCs w:val="20"/>
                <w:color w:val="auto"/>
              </w:rPr>
            </w:pPr>
            <w:r>
              <w:rPr>
                <w:rFonts w:ascii="Arial" w:cs="Arial" w:eastAsia="Arial" w:hAnsi="Arial"/>
                <w:sz w:val="16"/>
                <w:szCs w:val="16"/>
                <w:b w:val="1"/>
                <w:bCs w:val="1"/>
                <w:color w:val="auto"/>
                <w:w w:val="98"/>
              </w:rPr>
              <w:t>Year Ended December 31,</w:t>
            </w:r>
          </w:p>
        </w:tc>
        <w:tc>
          <w:tcPr>
            <w:tcW w:w="920" w:type="dxa"/>
            <w:vAlign w:val="bottom"/>
            <w:tcBorders>
              <w:bottom w:val="single" w:sz="8" w:color="auto"/>
            </w:tcBorders>
          </w:tcPr>
          <w:p>
            <w:pPr>
              <w:spacing w:after="0"/>
              <w:rPr>
                <w:sz w:val="18"/>
                <w:szCs w:val="18"/>
                <w:color w:val="auto"/>
              </w:rPr>
            </w:pPr>
          </w:p>
        </w:tc>
      </w:tr>
      <w:tr>
        <w:trPr>
          <w:trHeight w:val="201"/>
        </w:trPr>
        <w:tc>
          <w:tcPr>
            <w:tcW w:w="5800" w:type="dxa"/>
            <w:vAlign w:val="bottom"/>
          </w:tcPr>
          <w:p>
            <w:pPr>
              <w:spacing w:after="0"/>
              <w:rPr>
                <w:sz w:val="17"/>
                <w:szCs w:val="17"/>
                <w:color w:val="auto"/>
              </w:rPr>
            </w:pPr>
          </w:p>
        </w:tc>
        <w:tc>
          <w:tcPr>
            <w:tcW w:w="8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2025</w:t>
            </w:r>
          </w:p>
        </w:tc>
        <w:tc>
          <w:tcPr>
            <w:tcW w:w="380" w:type="dxa"/>
            <w:vAlign w:val="bottom"/>
            <w:tcBorders>
              <w:bottom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62"/>
              <w:spacing w:after="0"/>
              <w:rPr>
                <w:sz w:val="20"/>
                <w:szCs w:val="20"/>
                <w:color w:val="auto"/>
              </w:rPr>
            </w:pPr>
            <w:r>
              <w:rPr>
                <w:rFonts w:ascii="Arial" w:cs="Arial" w:eastAsia="Arial" w:hAnsi="Arial"/>
                <w:sz w:val="16"/>
                <w:szCs w:val="16"/>
                <w:b w:val="1"/>
                <w:bCs w:val="1"/>
                <w:color w:val="auto"/>
              </w:rPr>
              <w:t>2024</w:t>
            </w:r>
          </w:p>
        </w:tc>
        <w:tc>
          <w:tcPr>
            <w:tcW w:w="6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402"/>
              <w:spacing w:after="0"/>
              <w:rPr>
                <w:sz w:val="20"/>
                <w:szCs w:val="20"/>
                <w:color w:val="auto"/>
              </w:rPr>
            </w:pPr>
            <w:r>
              <w:rPr>
                <w:rFonts w:ascii="Arial" w:cs="Arial" w:eastAsia="Arial" w:hAnsi="Arial"/>
                <w:sz w:val="16"/>
                <w:szCs w:val="16"/>
                <w:b w:val="1"/>
                <w:bCs w:val="1"/>
                <w:color w:val="auto"/>
              </w:rPr>
              <w:t>2023</w:t>
            </w:r>
          </w:p>
        </w:tc>
      </w:tr>
      <w:tr>
        <w:trPr>
          <w:trHeight w:val="206"/>
        </w:trPr>
        <w:tc>
          <w:tcPr>
            <w:tcW w:w="58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jc w:val="right"/>
              <w:ind w:right="82"/>
              <w:spacing w:after="0"/>
              <w:rPr>
                <w:sz w:val="20"/>
                <w:szCs w:val="20"/>
                <w:color w:val="auto"/>
              </w:rPr>
            </w:pPr>
            <w:r>
              <w:rPr>
                <w:rFonts w:ascii="Arial" w:cs="Arial" w:eastAsia="Arial" w:hAnsi="Arial"/>
                <w:sz w:val="16"/>
                <w:szCs w:val="16"/>
                <w:b w:val="1"/>
                <w:bCs w:val="1"/>
                <w:color w:val="auto"/>
                <w:w w:val="95"/>
              </w:rPr>
              <w:t>(In millions)</w:t>
            </w:r>
          </w:p>
        </w:tc>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23"/>
        </w:trPr>
        <w:tc>
          <w:tcPr>
            <w:tcW w:w="5800" w:type="dxa"/>
            <w:vAlign w:val="bottom"/>
          </w:tcPr>
          <w:p>
            <w:pPr>
              <w:spacing w:after="0"/>
              <w:rPr>
                <w:sz w:val="20"/>
                <w:szCs w:val="20"/>
                <w:color w:val="auto"/>
              </w:rPr>
            </w:pPr>
            <w:r>
              <w:rPr>
                <w:rFonts w:ascii="Arial" w:cs="Arial" w:eastAsia="Arial" w:hAnsi="Arial"/>
                <w:sz w:val="16"/>
                <w:szCs w:val="16"/>
                <w:color w:val="auto"/>
              </w:rPr>
              <w:t>Amortization of DAC, VOBA and DSI</w:t>
            </w:r>
          </w:p>
        </w:tc>
        <w:tc>
          <w:tcPr>
            <w:tcW w:w="840" w:type="dxa"/>
            <w:vAlign w:val="bottom"/>
          </w:tcPr>
          <w:p>
            <w:pPr>
              <w:jc w:val="right"/>
              <w:ind w:right="642"/>
              <w:spacing w:after="0"/>
              <w:rPr>
                <w:sz w:val="20"/>
                <w:szCs w:val="20"/>
                <w:color w:val="auto"/>
              </w:rPr>
            </w:pPr>
            <w:r>
              <w:rPr>
                <w:rFonts w:ascii="Arial" w:cs="Arial" w:eastAsia="Arial" w:hAnsi="Arial"/>
                <w:sz w:val="16"/>
                <w:szCs w:val="16"/>
                <w:color w:val="auto"/>
              </w:rPr>
              <w:t>$</w:t>
            </w:r>
          </w:p>
        </w:tc>
        <w:tc>
          <w:tcPr>
            <w:tcW w:w="380" w:type="dxa"/>
            <w:vAlign w:val="bottom"/>
          </w:tcPr>
          <w:p>
            <w:pPr>
              <w:jc w:val="right"/>
              <w:ind w:right="2"/>
              <w:spacing w:after="0"/>
              <w:rPr>
                <w:sz w:val="20"/>
                <w:szCs w:val="20"/>
                <w:color w:val="auto"/>
              </w:rPr>
            </w:pPr>
            <w:r>
              <w:rPr>
                <w:rFonts w:ascii="Arial" w:cs="Arial" w:eastAsia="Arial" w:hAnsi="Arial"/>
                <w:sz w:val="16"/>
                <w:szCs w:val="16"/>
                <w:color w:val="auto"/>
              </w:rPr>
              <w:t>576</w:t>
            </w:r>
          </w:p>
        </w:tc>
        <w:tc>
          <w:tcPr>
            <w:tcW w:w="24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495</w:t>
            </w:r>
          </w:p>
        </w:tc>
        <w:tc>
          <w:tcPr>
            <w:tcW w:w="4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382</w:t>
            </w:r>
          </w:p>
        </w:tc>
      </w:tr>
      <w:tr>
        <w:trPr>
          <w:trHeight w:val="242"/>
        </w:trPr>
        <w:tc>
          <w:tcPr>
            <w:tcW w:w="5800" w:type="dxa"/>
            <w:vAlign w:val="bottom"/>
          </w:tcPr>
          <w:p>
            <w:pPr>
              <w:spacing w:after="0"/>
              <w:rPr>
                <w:sz w:val="20"/>
                <w:szCs w:val="20"/>
                <w:color w:val="auto"/>
              </w:rPr>
            </w:pPr>
            <w:r>
              <w:rPr>
                <w:rFonts w:ascii="Arial" w:cs="Arial" w:eastAsia="Arial" w:hAnsi="Arial"/>
                <w:sz w:val="16"/>
                <w:szCs w:val="16"/>
                <w:color w:val="auto"/>
              </w:rPr>
              <w:t>Amortization of other intangible assets and fixed asset depreciation</w:t>
            </w:r>
          </w:p>
        </w:tc>
        <w:tc>
          <w:tcPr>
            <w:tcW w:w="840" w:type="dxa"/>
            <w:vAlign w:val="bottom"/>
            <w:tcBorders>
              <w:bottom w:val="single" w:sz="8" w:color="auto"/>
            </w:tcBorders>
          </w:tcPr>
          <w:p>
            <w:pPr>
              <w:spacing w:after="0"/>
              <w:rPr>
                <w:sz w:val="21"/>
                <w:szCs w:val="21"/>
                <w:color w:val="auto"/>
              </w:rPr>
            </w:pPr>
          </w:p>
        </w:tc>
        <w:tc>
          <w:tcPr>
            <w:tcW w:w="3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89</w:t>
            </w:r>
          </w:p>
        </w:tc>
        <w:tc>
          <w:tcPr>
            <w:tcW w:w="6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w:t>
            </w:r>
          </w:p>
        </w:tc>
        <w:tc>
          <w:tcPr>
            <w:tcW w:w="6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w:t>
            </w:r>
          </w:p>
        </w:tc>
      </w:tr>
      <w:tr>
        <w:trPr>
          <w:trHeight w:val="196"/>
        </w:trPr>
        <w:tc>
          <w:tcPr>
            <w:tcW w:w="5800" w:type="dxa"/>
            <w:vAlign w:val="bottom"/>
          </w:tcPr>
          <w:p>
            <w:pPr>
              <w:ind w:left="220"/>
              <w:spacing w:after="0"/>
              <w:rPr>
                <w:sz w:val="20"/>
                <w:szCs w:val="20"/>
                <w:color w:val="auto"/>
              </w:rPr>
            </w:pPr>
            <w:r>
              <w:rPr>
                <w:rFonts w:ascii="Arial" w:cs="Arial" w:eastAsia="Arial" w:hAnsi="Arial"/>
                <w:sz w:val="16"/>
                <w:szCs w:val="16"/>
                <w:b w:val="1"/>
                <w:bCs w:val="1"/>
                <w:color w:val="auto"/>
              </w:rPr>
              <w:t>Depreciation and amortization</w:t>
            </w:r>
          </w:p>
        </w:tc>
        <w:tc>
          <w:tcPr>
            <w:tcW w:w="840" w:type="dxa"/>
            <w:vAlign w:val="bottom"/>
          </w:tcPr>
          <w:p>
            <w:pPr>
              <w:jc w:val="right"/>
              <w:ind w:right="642"/>
              <w:spacing w:after="0"/>
              <w:rPr>
                <w:sz w:val="20"/>
                <w:szCs w:val="20"/>
                <w:color w:val="auto"/>
              </w:rPr>
            </w:pPr>
            <w:r>
              <w:rPr>
                <w:rFonts w:ascii="Arial" w:cs="Arial" w:eastAsia="Arial" w:hAnsi="Arial"/>
                <w:sz w:val="16"/>
                <w:szCs w:val="16"/>
                <w:color w:val="auto"/>
              </w:rPr>
              <w:t>$</w:t>
            </w:r>
          </w:p>
        </w:tc>
        <w:tc>
          <w:tcPr>
            <w:tcW w:w="380" w:type="dxa"/>
            <w:vAlign w:val="bottom"/>
          </w:tcPr>
          <w:p>
            <w:pPr>
              <w:jc w:val="right"/>
              <w:ind w:right="2"/>
              <w:spacing w:after="0"/>
              <w:rPr>
                <w:sz w:val="20"/>
                <w:szCs w:val="20"/>
                <w:color w:val="auto"/>
              </w:rPr>
            </w:pPr>
            <w:r>
              <w:rPr>
                <w:rFonts w:ascii="Arial" w:cs="Arial" w:eastAsia="Arial" w:hAnsi="Arial"/>
                <w:sz w:val="16"/>
                <w:szCs w:val="16"/>
                <w:color w:val="auto"/>
              </w:rPr>
              <w:t>665</w:t>
            </w:r>
          </w:p>
        </w:tc>
        <w:tc>
          <w:tcPr>
            <w:tcW w:w="24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569</w:t>
            </w:r>
          </w:p>
        </w:tc>
        <w:tc>
          <w:tcPr>
            <w:tcW w:w="4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412</w:t>
            </w:r>
          </w:p>
        </w:tc>
      </w:tr>
      <w:tr>
        <w:trPr>
          <w:trHeight w:val="20"/>
        </w:trPr>
        <w:tc>
          <w:tcPr>
            <w:tcW w:w="58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-478790</wp:posOffset>
            </wp:positionV>
            <wp:extent cx="6186170" cy="48577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50">
                      <a:extLst>
                        <a:ext uri="{28A0092B-C50C-407E-A947-70E740481C1C}"/>
                      </a:extLst>
                    </a:blip>
                    <a:srcRect/>
                    <a:stretch>
                      <a:fillRect/>
                    </a:stretch>
                  </pic:blipFill>
                  <pic:spPr bwMode="auto">
                    <a:xfrm>
                      <a:off x="0" y="0"/>
                      <a:ext cx="6186170" cy="485775"/>
                    </a:xfrm>
                    <a:prstGeom prst="rect">
                      <a:avLst/>
                    </a:prstGeom>
                    <a:noFill/>
                  </pic:spPr>
                </pic:pic>
              </a:graphicData>
            </a:graphic>
          </wp:anchor>
        </w:drawing>
      </w:r>
    </w:p>
    <w:p>
      <w:pPr>
        <w:spacing w:after="0" w:line="105" w:lineRule="exact"/>
        <w:rPr>
          <w:sz w:val="20"/>
          <w:szCs w:val="20"/>
          <w:color w:val="auto"/>
        </w:rPr>
      </w:pPr>
    </w:p>
    <w:p>
      <w:pPr>
        <w:jc w:val="both"/>
        <w:ind w:left="700" w:hanging="355"/>
        <w:spacing w:after="0" w:line="303" w:lineRule="auto"/>
        <w:tabs>
          <w:tab w:leader="none" w:pos="700" w:val="left"/>
        </w:tabs>
        <w:numPr>
          <w:ilvl w:val="0"/>
          <w:numId w:val="41"/>
        </w:numPr>
        <w:rPr>
          <w:rFonts w:ascii="Arial" w:cs="Arial" w:eastAsia="Arial" w:hAnsi="Arial"/>
          <w:sz w:val="17"/>
          <w:szCs w:val="17"/>
          <w:color w:val="auto"/>
        </w:rPr>
      </w:pPr>
      <w:r>
        <w:rPr>
          <w:rFonts w:ascii="Arial" w:cs="Arial" w:eastAsia="Arial" w:hAnsi="Arial"/>
          <w:sz w:val="17"/>
          <w:szCs w:val="17"/>
          <w:color w:val="auto"/>
        </w:rPr>
        <w:t>DAC, VOBA and DSI are amortized on a constant level basis for the grouped contracts over the expected term of the related contracts to approximate straight-line amortization. Depreciation and amortization increased for the years ended December 31, 2025 and 2024, primarily reflecting increased DAC and DSI associated with the growth of the business. In addition, as a result of our annual actuarial assumption update process, amortization rates on some DAC and DSI balances increased primarily for indexed annuities. Amortization of VOBA also increased approximately $15 million for the year ended December 31, 2024, reflecting other actuarial model updates and refinements.</w:t>
      </w:r>
    </w:p>
    <w:p>
      <w:pPr>
        <w:spacing w:after="0" w:line="48" w:lineRule="exact"/>
        <w:rPr>
          <w:rFonts w:ascii="Arial" w:cs="Arial" w:eastAsia="Arial" w:hAnsi="Arial"/>
          <w:sz w:val="17"/>
          <w:szCs w:val="17"/>
          <w:color w:val="auto"/>
        </w:rPr>
      </w:pPr>
    </w:p>
    <w:p>
      <w:pPr>
        <w:jc w:val="both"/>
        <w:ind w:left="700" w:hanging="355"/>
        <w:spacing w:after="0" w:line="258" w:lineRule="auto"/>
        <w:tabs>
          <w:tab w:leader="none" w:pos="700" w:val="left"/>
        </w:tabs>
        <w:numPr>
          <w:ilvl w:val="0"/>
          <w:numId w:val="41"/>
        </w:numPr>
        <w:rPr>
          <w:rFonts w:ascii="Arial" w:cs="Arial" w:eastAsia="Arial" w:hAnsi="Arial"/>
          <w:sz w:val="20"/>
          <w:szCs w:val="20"/>
          <w:b w:val="1"/>
          <w:bCs w:val="1"/>
          <w:i w:val="1"/>
          <w:iCs w:val="1"/>
          <w:color w:val="auto"/>
        </w:rPr>
      </w:pPr>
      <w:r>
        <w:rPr>
          <w:rFonts w:ascii="Arial" w:cs="Arial" w:eastAsia="Arial" w:hAnsi="Arial"/>
          <w:sz w:val="20"/>
          <w:szCs w:val="20"/>
          <w:color w:val="auto"/>
        </w:rPr>
        <w:t>Amortization of other intangible assets and fixed asset depreciation for the year ended December 31, 2025 and 2024 included amortization of other intangible assets from our majority owned interests in Roar and PALH that were acquired in 2024.</w:t>
      </w:r>
    </w:p>
    <w:p>
      <w:pPr>
        <w:spacing w:after="0" w:line="7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Personnel costs and other operating expenses</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20"/>
          <w:szCs w:val="20"/>
          <w:color w:val="auto"/>
        </w:rPr>
        <w:t>Below is a summary of personnel costs and other operating expenses:</w:t>
      </w:r>
    </w:p>
    <w:p>
      <w:pPr>
        <w:spacing w:after="0" w:line="216" w:lineRule="exact"/>
        <w:rPr>
          <w:sz w:val="20"/>
          <w:szCs w:val="20"/>
          <w:color w:val="auto"/>
        </w:rPr>
      </w:pPr>
    </w:p>
    <w:tbl>
      <w:tblPr>
        <w:tblLayout w:type="fixed"/>
        <w:tblInd w:w="40" w:type="dxa"/>
        <w:tblCellMar>
          <w:top w:w="0" w:type="dxa"/>
          <w:left w:w="0" w:type="dxa"/>
          <w:bottom w:w="0" w:type="dxa"/>
          <w:right w:w="0" w:type="dxa"/>
        </w:tblCellMar>
      </w:tblPr>
      <w:tr>
        <w:trPr>
          <w:trHeight w:val="213"/>
        </w:trPr>
        <w:tc>
          <w:tcPr>
            <w:tcW w:w="6680" w:type="dxa"/>
            <w:vAlign w:val="bottom"/>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gridSpan w:val="6"/>
          </w:tcPr>
          <w:p>
            <w:pPr>
              <w:ind w:left="60"/>
              <w:spacing w:after="0"/>
              <w:rPr>
                <w:sz w:val="20"/>
                <w:szCs w:val="20"/>
                <w:color w:val="auto"/>
              </w:rPr>
            </w:pPr>
            <w:r>
              <w:rPr>
                <w:rFonts w:ascii="Arial" w:cs="Arial" w:eastAsia="Arial" w:hAnsi="Arial"/>
                <w:sz w:val="16"/>
                <w:szCs w:val="16"/>
                <w:b w:val="1"/>
                <w:bCs w:val="1"/>
                <w:color w:val="auto"/>
                <w:w w:val="90"/>
              </w:rPr>
              <w:t>Year Ended December 31,</w:t>
            </w:r>
          </w:p>
        </w:tc>
        <w:tc>
          <w:tcPr>
            <w:tcW w:w="740" w:type="dxa"/>
            <w:vAlign w:val="bottom"/>
            <w:tcBorders>
              <w:bottom w:val="single" w:sz="8" w:color="auto"/>
            </w:tcBorders>
          </w:tcPr>
          <w:p>
            <w:pPr>
              <w:spacing w:after="0"/>
              <w:rPr>
                <w:sz w:val="18"/>
                <w:szCs w:val="18"/>
                <w:color w:val="auto"/>
              </w:rPr>
            </w:pPr>
          </w:p>
        </w:tc>
      </w:tr>
      <w:tr>
        <w:trPr>
          <w:trHeight w:val="215"/>
        </w:trPr>
        <w:tc>
          <w:tcPr>
            <w:tcW w:w="6680" w:type="dxa"/>
            <w:vAlign w:val="bottom"/>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2025</w:t>
            </w:r>
          </w:p>
        </w:tc>
        <w:tc>
          <w:tcPr>
            <w:tcW w:w="34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02"/>
              <w:spacing w:after="0"/>
              <w:rPr>
                <w:sz w:val="20"/>
                <w:szCs w:val="20"/>
                <w:color w:val="auto"/>
              </w:rPr>
            </w:pPr>
            <w:r>
              <w:rPr>
                <w:rFonts w:ascii="Arial" w:cs="Arial" w:eastAsia="Arial" w:hAnsi="Arial"/>
                <w:sz w:val="16"/>
                <w:szCs w:val="16"/>
                <w:b w:val="1"/>
                <w:bCs w:val="1"/>
                <w:color w:val="auto"/>
              </w:rPr>
              <w:t>2024</w:t>
            </w:r>
          </w:p>
        </w:tc>
        <w:tc>
          <w:tcPr>
            <w:tcW w:w="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302"/>
              <w:spacing w:after="0"/>
              <w:rPr>
                <w:sz w:val="20"/>
                <w:szCs w:val="20"/>
                <w:color w:val="auto"/>
              </w:rPr>
            </w:pPr>
            <w:r>
              <w:rPr>
                <w:rFonts w:ascii="Arial" w:cs="Arial" w:eastAsia="Arial" w:hAnsi="Arial"/>
                <w:sz w:val="16"/>
                <w:szCs w:val="16"/>
                <w:b w:val="1"/>
                <w:bCs w:val="1"/>
                <w:color w:val="auto"/>
                <w:w w:val="95"/>
              </w:rPr>
              <w:t>2023</w:t>
            </w:r>
          </w:p>
        </w:tc>
      </w:tr>
      <w:tr>
        <w:trPr>
          <w:trHeight w:val="208"/>
        </w:trPr>
        <w:tc>
          <w:tcPr>
            <w:tcW w:w="66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gridSpan w:val="2"/>
          </w:tcPr>
          <w:p>
            <w:pPr>
              <w:jc w:val="right"/>
              <w:ind w:right="42"/>
              <w:spacing w:after="0"/>
              <w:rPr>
                <w:sz w:val="20"/>
                <w:szCs w:val="20"/>
                <w:color w:val="auto"/>
              </w:rPr>
            </w:pPr>
            <w:r>
              <w:rPr>
                <w:rFonts w:ascii="Arial" w:cs="Arial" w:eastAsia="Arial" w:hAnsi="Arial"/>
                <w:sz w:val="16"/>
                <w:szCs w:val="16"/>
                <w:b w:val="1"/>
                <w:bCs w:val="1"/>
                <w:color w:val="auto"/>
              </w:rPr>
              <w:t>(In millions)</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35"/>
        </w:trPr>
        <w:tc>
          <w:tcPr>
            <w:tcW w:w="6680" w:type="dxa"/>
            <w:vAlign w:val="bottom"/>
          </w:tcPr>
          <w:p>
            <w:pPr>
              <w:spacing w:after="0"/>
              <w:rPr>
                <w:sz w:val="20"/>
                <w:szCs w:val="20"/>
                <w:color w:val="auto"/>
              </w:rPr>
            </w:pPr>
            <w:r>
              <w:rPr>
                <w:rFonts w:ascii="Arial" w:cs="Arial" w:eastAsia="Arial" w:hAnsi="Arial"/>
                <w:sz w:val="16"/>
                <w:szCs w:val="16"/>
                <w:color w:val="auto"/>
              </w:rPr>
              <w:t>Personnel costs</w:t>
            </w:r>
          </w:p>
        </w:tc>
        <w:tc>
          <w:tcPr>
            <w:tcW w:w="720" w:type="dxa"/>
            <w:vAlign w:val="bottom"/>
          </w:tcPr>
          <w:p>
            <w:pPr>
              <w:jc w:val="right"/>
              <w:ind w:right="522"/>
              <w:spacing w:after="0"/>
              <w:rPr>
                <w:sz w:val="20"/>
                <w:szCs w:val="20"/>
                <w:color w:val="auto"/>
              </w:rPr>
            </w:pPr>
            <w:r>
              <w:rPr>
                <w:rFonts w:ascii="Arial" w:cs="Arial" w:eastAsia="Arial" w:hAnsi="Arial"/>
                <w:sz w:val="16"/>
                <w:szCs w:val="16"/>
                <w:color w:val="auto"/>
              </w:rPr>
              <w:t>$</w:t>
            </w:r>
          </w:p>
        </w:tc>
        <w:tc>
          <w:tcPr>
            <w:tcW w:w="340" w:type="dxa"/>
            <w:vAlign w:val="bottom"/>
          </w:tcPr>
          <w:p>
            <w:pPr>
              <w:ind w:left="40"/>
              <w:spacing w:after="0"/>
              <w:rPr>
                <w:sz w:val="20"/>
                <w:szCs w:val="20"/>
                <w:color w:val="auto"/>
              </w:rPr>
            </w:pPr>
            <w:r>
              <w:rPr>
                <w:rFonts w:ascii="Arial" w:cs="Arial" w:eastAsia="Arial" w:hAnsi="Arial"/>
                <w:sz w:val="16"/>
                <w:szCs w:val="16"/>
                <w:color w:val="auto"/>
              </w:rPr>
              <w:t>293</w:t>
            </w:r>
          </w:p>
        </w:tc>
        <w:tc>
          <w:tcPr>
            <w:tcW w:w="320" w:type="dxa"/>
            <w:vAlign w:val="bottom"/>
            <w:gridSpan w:val="2"/>
          </w:tcPr>
          <w:p>
            <w:pPr>
              <w:jc w:val="right"/>
              <w:ind w:right="42"/>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2"/>
              <w:spacing w:after="0"/>
              <w:rPr>
                <w:sz w:val="20"/>
                <w:szCs w:val="20"/>
                <w:color w:val="auto"/>
              </w:rPr>
            </w:pPr>
            <w:r>
              <w:rPr>
                <w:rFonts w:ascii="Arial" w:cs="Arial" w:eastAsia="Arial" w:hAnsi="Arial"/>
                <w:sz w:val="16"/>
                <w:szCs w:val="16"/>
                <w:color w:val="auto"/>
              </w:rPr>
              <w:t>296</w:t>
            </w:r>
          </w:p>
        </w:tc>
        <w:tc>
          <w:tcPr>
            <w:tcW w:w="3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232</w:t>
            </w:r>
          </w:p>
        </w:tc>
      </w:tr>
      <w:tr>
        <w:trPr>
          <w:trHeight w:val="242"/>
        </w:trPr>
        <w:tc>
          <w:tcPr>
            <w:tcW w:w="6680" w:type="dxa"/>
            <w:vAlign w:val="bottom"/>
          </w:tcPr>
          <w:p>
            <w:pPr>
              <w:spacing w:after="0"/>
              <w:rPr>
                <w:sz w:val="20"/>
                <w:szCs w:val="20"/>
                <w:color w:val="auto"/>
              </w:rPr>
            </w:pPr>
            <w:r>
              <w:rPr>
                <w:rFonts w:ascii="Arial" w:cs="Arial" w:eastAsia="Arial" w:hAnsi="Arial"/>
                <w:sz w:val="16"/>
                <w:szCs w:val="16"/>
                <w:color w:val="auto"/>
              </w:rPr>
              <w:t>Other operating expenses</w:t>
            </w:r>
          </w:p>
        </w:tc>
        <w:tc>
          <w:tcPr>
            <w:tcW w:w="72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156</w:t>
            </w:r>
          </w:p>
        </w:tc>
        <w:tc>
          <w:tcPr>
            <w:tcW w:w="6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203</w:t>
            </w:r>
          </w:p>
        </w:tc>
        <w:tc>
          <w:tcPr>
            <w:tcW w:w="6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146</w:t>
            </w:r>
          </w:p>
        </w:tc>
      </w:tr>
      <w:tr>
        <w:trPr>
          <w:trHeight w:val="196"/>
        </w:trPr>
        <w:tc>
          <w:tcPr>
            <w:tcW w:w="6680" w:type="dxa"/>
            <w:vAlign w:val="bottom"/>
          </w:tcPr>
          <w:p>
            <w:pPr>
              <w:ind w:left="240"/>
              <w:spacing w:after="0"/>
              <w:rPr>
                <w:sz w:val="20"/>
                <w:szCs w:val="20"/>
                <w:color w:val="auto"/>
              </w:rPr>
            </w:pPr>
            <w:r>
              <w:rPr>
                <w:rFonts w:ascii="Arial" w:cs="Arial" w:eastAsia="Arial" w:hAnsi="Arial"/>
                <w:sz w:val="16"/>
                <w:szCs w:val="16"/>
                <w:b w:val="1"/>
                <w:bCs w:val="1"/>
                <w:color w:val="auto"/>
              </w:rPr>
              <w:t>Total personnel costs and other operating expenses</w:t>
            </w:r>
          </w:p>
        </w:tc>
        <w:tc>
          <w:tcPr>
            <w:tcW w:w="720" w:type="dxa"/>
            <w:vAlign w:val="bottom"/>
          </w:tcPr>
          <w:p>
            <w:pPr>
              <w:jc w:val="right"/>
              <w:ind w:right="522"/>
              <w:spacing w:after="0"/>
              <w:rPr>
                <w:sz w:val="20"/>
                <w:szCs w:val="20"/>
                <w:color w:val="auto"/>
              </w:rPr>
            </w:pPr>
            <w:r>
              <w:rPr>
                <w:rFonts w:ascii="Arial" w:cs="Arial" w:eastAsia="Arial" w:hAnsi="Arial"/>
                <w:sz w:val="16"/>
                <w:szCs w:val="16"/>
                <w:color w:val="auto"/>
              </w:rPr>
              <w:t>$</w:t>
            </w:r>
          </w:p>
        </w:tc>
        <w:tc>
          <w:tcPr>
            <w:tcW w:w="340" w:type="dxa"/>
            <w:vAlign w:val="bottom"/>
          </w:tcPr>
          <w:p>
            <w:pPr>
              <w:ind w:left="40"/>
              <w:spacing w:after="0"/>
              <w:rPr>
                <w:sz w:val="20"/>
                <w:szCs w:val="20"/>
                <w:color w:val="auto"/>
              </w:rPr>
            </w:pPr>
            <w:r>
              <w:rPr>
                <w:rFonts w:ascii="Arial" w:cs="Arial" w:eastAsia="Arial" w:hAnsi="Arial"/>
                <w:sz w:val="16"/>
                <w:szCs w:val="16"/>
                <w:color w:val="auto"/>
              </w:rPr>
              <w:t>449</w:t>
            </w:r>
          </w:p>
        </w:tc>
        <w:tc>
          <w:tcPr>
            <w:tcW w:w="320" w:type="dxa"/>
            <w:vAlign w:val="bottom"/>
            <w:gridSpan w:val="2"/>
          </w:tcPr>
          <w:p>
            <w:pPr>
              <w:jc w:val="right"/>
              <w:ind w:right="42"/>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2"/>
              <w:spacing w:after="0"/>
              <w:rPr>
                <w:sz w:val="20"/>
                <w:szCs w:val="20"/>
                <w:color w:val="auto"/>
              </w:rPr>
            </w:pPr>
            <w:r>
              <w:rPr>
                <w:rFonts w:ascii="Arial" w:cs="Arial" w:eastAsia="Arial" w:hAnsi="Arial"/>
                <w:sz w:val="16"/>
                <w:szCs w:val="16"/>
                <w:color w:val="auto"/>
              </w:rPr>
              <w:t>499</w:t>
            </w:r>
          </w:p>
        </w:tc>
        <w:tc>
          <w:tcPr>
            <w:tcW w:w="3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378</w:t>
            </w:r>
          </w:p>
        </w:tc>
      </w:tr>
      <w:tr>
        <w:trPr>
          <w:trHeight w:val="20"/>
        </w:trPr>
        <w:tc>
          <w:tcPr>
            <w:tcW w:w="66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-478790</wp:posOffset>
            </wp:positionV>
            <wp:extent cx="6410325" cy="48577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51">
                      <a:extLst>
                        <a:ext uri="{28A0092B-C50C-407E-A947-70E740481C1C}"/>
                      </a:extLst>
                    </a:blip>
                    <a:srcRect/>
                    <a:stretch>
                      <a:fillRect/>
                    </a:stretch>
                  </pic:blipFill>
                  <pic:spPr bwMode="auto">
                    <a:xfrm>
                      <a:off x="0" y="0"/>
                      <a:ext cx="6410325" cy="485775"/>
                    </a:xfrm>
                    <a:prstGeom prst="rect">
                      <a:avLst/>
                    </a:prstGeom>
                    <a:noFill/>
                  </pic:spPr>
                </pic:pic>
              </a:graphicData>
            </a:graphic>
          </wp:anchor>
        </w:drawing>
      </w:r>
    </w:p>
    <w:p>
      <w:pPr>
        <w:sectPr>
          <w:pgSz w:w="11880" w:h="15480" w:orient="portrait"/>
          <w:cols w:equalWidth="0" w:num="1">
            <w:col w:w="10040"/>
          </w:cols>
          <w:pgMar w:left="920" w:top="772"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78</w:t>
      </w:r>
    </w:p>
    <w:p>
      <w:pPr>
        <w:sectPr>
          <w:pgSz w:w="11880" w:h="15480" w:orient="portrait"/>
          <w:cols w:equalWidth="0" w:num="1">
            <w:col w:w="10040"/>
          </w:cols>
          <w:pgMar w:left="920" w:top="772" w:right="920" w:bottom="0" w:gutter="0" w:footer="0" w:header="0"/>
          <w:type w:val="continuous"/>
        </w:sectPr>
      </w:pPr>
    </w:p>
    <w:bookmarkStart w:id="90" w:name="page91"/>
    <w:bookmarkEnd w:id="90"/>
    <w:p>
      <w:pPr>
        <w:jc w:val="both"/>
        <w:ind w:left="700" w:hanging="355"/>
        <w:spacing w:after="0" w:line="254" w:lineRule="auto"/>
        <w:tabs>
          <w:tab w:leader="none" w:pos="700" w:val="left"/>
        </w:tabs>
        <w:numPr>
          <w:ilvl w:val="0"/>
          <w:numId w:val="42"/>
        </w:numPr>
        <w:rPr>
          <w:rFonts w:ascii="Arial" w:cs="Arial" w:eastAsia="Arial" w:hAnsi="Arial"/>
          <w:sz w:val="20"/>
          <w:szCs w:val="20"/>
          <w:color w:val="auto"/>
        </w:rPr>
      </w:pPr>
      <w:r>
        <w:rPr>
          <w:rFonts w:ascii="Arial" w:cs="Arial" w:eastAsia="Arial" w:hAnsi="Arial"/>
          <w:sz w:val="20"/>
          <w:szCs w:val="20"/>
          <w:color w:val="auto"/>
        </w:rPr>
        <w:t>Personnel costs and other operating expenses decreased during the year ended December 31, 2025 compared to the year ended December 31, 2024 primarily reflecting costs in line with sales volumes and growth in assets, disciplined expense management, including one-time management actions taken in the second quarter of 2025, along with continued investments in our operating platform.</w:t>
      </w:r>
    </w:p>
    <w:p>
      <w:pPr>
        <w:spacing w:after="0" w:line="65" w:lineRule="exact"/>
        <w:rPr>
          <w:rFonts w:ascii="Arial" w:cs="Arial" w:eastAsia="Arial" w:hAnsi="Arial"/>
          <w:sz w:val="20"/>
          <w:szCs w:val="20"/>
          <w:color w:val="auto"/>
        </w:rPr>
      </w:pPr>
    </w:p>
    <w:p>
      <w:pPr>
        <w:jc w:val="both"/>
        <w:ind w:left="700" w:hanging="355"/>
        <w:spacing w:after="0" w:line="268" w:lineRule="auto"/>
        <w:tabs>
          <w:tab w:leader="none" w:pos="700" w:val="left"/>
        </w:tabs>
        <w:numPr>
          <w:ilvl w:val="0"/>
          <w:numId w:val="42"/>
        </w:numPr>
        <w:rPr>
          <w:rFonts w:ascii="Arial" w:cs="Arial" w:eastAsia="Arial" w:hAnsi="Arial"/>
          <w:sz w:val="19"/>
          <w:szCs w:val="19"/>
          <w:color w:val="auto"/>
        </w:rPr>
      </w:pPr>
      <w:r>
        <w:rPr>
          <w:rFonts w:ascii="Arial" w:cs="Arial" w:eastAsia="Arial" w:hAnsi="Arial"/>
          <w:sz w:val="19"/>
          <w:szCs w:val="19"/>
          <w:color w:val="auto"/>
        </w:rPr>
        <w:t>Personnel costs and other operating expenses increased for the year ended December 31, 2024 compared to the year ended December 31, 2023 primarily reflecting costs in line with sales volumes and growth in assets, along with continued investments in our operating platform. The increase for the year ended December 31, 2024 also included $39 million from our majority owned interests in Roar and PALH, $26 million related to the change in fair value of contingent consideration, and $19 million of guaranty fund assessments.</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Investment Portfolio</w:t>
      </w:r>
    </w:p>
    <w:p>
      <w:pPr>
        <w:spacing w:after="0" w:line="130" w:lineRule="exact"/>
        <w:rPr>
          <w:sz w:val="20"/>
          <w:szCs w:val="20"/>
          <w:color w:val="auto"/>
        </w:rPr>
      </w:pPr>
    </w:p>
    <w:p>
      <w:pPr>
        <w:jc w:val="both"/>
        <w:ind w:firstLine="353"/>
        <w:spacing w:after="0" w:line="271" w:lineRule="auto"/>
        <w:rPr>
          <w:sz w:val="20"/>
          <w:szCs w:val="20"/>
          <w:color w:val="auto"/>
        </w:rPr>
      </w:pPr>
      <w:r>
        <w:rPr>
          <w:rFonts w:ascii="Arial" w:cs="Arial" w:eastAsia="Arial" w:hAnsi="Arial"/>
          <w:sz w:val="19"/>
          <w:szCs w:val="19"/>
          <w:color w:val="auto"/>
        </w:rPr>
        <w:t>The types of assets in which we may invest are influenced by various state laws, which prescribe qualified investment assets applicable to insurance companies. Within the parameters of these laws, we invest in assets giving consideration to four primary investment objectives: (i) maintain robust absolute returns; (ii) provide reliable yield and investment income; (iii) preserve capital; and (iv) provide liquidity to meet policyholder and other corporate obligations.</w:t>
      </w:r>
    </w:p>
    <w:p>
      <w:pPr>
        <w:spacing w:after="0" w:line="72" w:lineRule="exact"/>
        <w:rPr>
          <w:sz w:val="20"/>
          <w:szCs w:val="20"/>
          <w:color w:val="auto"/>
        </w:rPr>
      </w:pPr>
    </w:p>
    <w:p>
      <w:pPr>
        <w:jc w:val="both"/>
        <w:ind w:firstLine="353"/>
        <w:spacing w:after="0" w:line="298" w:lineRule="auto"/>
        <w:rPr>
          <w:sz w:val="20"/>
          <w:szCs w:val="20"/>
          <w:color w:val="auto"/>
        </w:rPr>
      </w:pPr>
      <w:r>
        <w:rPr>
          <w:rFonts w:ascii="Arial" w:cs="Arial" w:eastAsia="Arial" w:hAnsi="Arial"/>
          <w:sz w:val="19"/>
          <w:szCs w:val="19"/>
          <w:color w:val="auto"/>
        </w:rPr>
        <w:t>Our investment portfolio is designed to contribute stable earnings, excluding short-term mark-to-market effects, and balance risk across diverse asset classes and is primarily invested in high quality fixed income securities.</w:t>
      </w:r>
    </w:p>
    <w:p>
      <w:pPr>
        <w:spacing w:after="0" w:line="45" w:lineRule="exact"/>
        <w:rPr>
          <w:sz w:val="20"/>
          <w:szCs w:val="20"/>
          <w:color w:val="auto"/>
        </w:rPr>
      </w:pPr>
    </w:p>
    <w:p>
      <w:pPr>
        <w:jc w:val="both"/>
        <w:ind w:firstLine="353"/>
        <w:spacing w:after="0" w:line="271" w:lineRule="auto"/>
        <w:rPr>
          <w:sz w:val="20"/>
          <w:szCs w:val="20"/>
          <w:color w:val="auto"/>
        </w:rPr>
      </w:pPr>
      <w:r>
        <w:rPr>
          <w:rFonts w:ascii="Arial" w:cs="Arial" w:eastAsia="Arial" w:hAnsi="Arial"/>
          <w:sz w:val="20"/>
          <w:szCs w:val="20"/>
          <w:color w:val="auto"/>
        </w:rPr>
        <w:t>Our investments include assets backing reserves as part of coinsurance with funds withheld agreements. The funds withheld invested assets are reported within their respective line items.</w:t>
      </w:r>
    </w:p>
    <w:p>
      <w:pPr>
        <w:sectPr>
          <w:pgSz w:w="11880" w:h="15480" w:orient="portrait"/>
          <w:cols w:equalWidth="0" w:num="1">
            <w:col w:w="10040"/>
          </w:cols>
          <w:pgMar w:left="920" w:top="772"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79</w:t>
      </w:r>
    </w:p>
    <w:p>
      <w:pPr>
        <w:sectPr>
          <w:pgSz w:w="11880" w:h="15480" w:orient="portrait"/>
          <w:cols w:equalWidth="0" w:num="1">
            <w:col w:w="10040"/>
          </w:cols>
          <w:pgMar w:left="920" w:top="772" w:right="920" w:bottom="0" w:gutter="0" w:footer="0" w:header="0"/>
          <w:type w:val="continuous"/>
        </w:sectPr>
      </w:pPr>
    </w:p>
    <w:bookmarkStart w:id="91" w:name="page92"/>
    <w:bookmarkEnd w:id="91"/>
    <w:p>
      <w:pPr>
        <w:ind w:left="7" w:firstLine="353"/>
        <w:spacing w:after="0" w:line="271" w:lineRule="auto"/>
        <w:rPr>
          <w:sz w:val="20"/>
          <w:szCs w:val="20"/>
          <w:color w:val="auto"/>
        </w:rPr>
      </w:pPr>
      <w:r>
        <w:rPr>
          <w:rFonts w:ascii="Arial" w:cs="Arial" w:eastAsia="Arial" w:hAnsi="Arial"/>
          <w:sz w:val="20"/>
          <w:szCs w:val="20"/>
          <w:color w:val="auto"/>
        </w:rPr>
        <w:t>As of December 31, 2025, and 2024, the fair value of our investment portfolio was approximately $69 billion and $60 billion, respectively, and was divided among the following asset classes and sectors:</w:t>
      </w:r>
    </w:p>
    <w:p>
      <w:pPr>
        <w:spacing w:after="0" w:line="181" w:lineRule="exact"/>
        <w:rPr>
          <w:sz w:val="20"/>
          <w:szCs w:val="20"/>
          <w:color w:val="auto"/>
        </w:rPr>
      </w:pPr>
    </w:p>
    <w:tbl>
      <w:tblPr>
        <w:tblLayout w:type="fixed"/>
        <w:tblInd w:w="47" w:type="dxa"/>
        <w:tblCellMar>
          <w:top w:w="0" w:type="dxa"/>
          <w:left w:w="0" w:type="dxa"/>
          <w:bottom w:w="0" w:type="dxa"/>
          <w:right w:w="0" w:type="dxa"/>
        </w:tblCellMar>
      </w:tblPr>
      <w:tr>
        <w:trPr>
          <w:trHeight w:val="213"/>
        </w:trPr>
        <w:tc>
          <w:tcPr>
            <w:tcW w:w="5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220" w:type="dxa"/>
            <w:vAlign w:val="bottom"/>
            <w:tcBorders>
              <w:bottom w:val="single" w:sz="8" w:color="auto"/>
            </w:tcBorders>
            <w:gridSpan w:val="3"/>
          </w:tcPr>
          <w:p>
            <w:pPr>
              <w:jc w:val="right"/>
              <w:ind w:right="482"/>
              <w:spacing w:after="0"/>
              <w:rPr>
                <w:sz w:val="20"/>
                <w:szCs w:val="20"/>
                <w:color w:val="auto"/>
              </w:rPr>
            </w:pPr>
            <w:r>
              <w:rPr>
                <w:rFonts w:ascii="Arial" w:cs="Arial" w:eastAsia="Arial" w:hAnsi="Arial"/>
                <w:sz w:val="16"/>
                <w:szCs w:val="16"/>
                <w:b w:val="1"/>
                <w:bCs w:val="1"/>
                <w:color w:val="auto"/>
              </w:rPr>
              <w:t>December 31, 2025</w:t>
            </w:r>
          </w:p>
        </w:tc>
        <w:tc>
          <w:tcPr>
            <w:tcW w:w="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240" w:type="dxa"/>
            <w:vAlign w:val="bottom"/>
            <w:tcBorders>
              <w:bottom w:val="single" w:sz="8" w:color="auto"/>
            </w:tcBorders>
            <w:gridSpan w:val="3"/>
          </w:tcPr>
          <w:p>
            <w:pPr>
              <w:jc w:val="right"/>
              <w:ind w:right="502"/>
              <w:spacing w:after="0"/>
              <w:rPr>
                <w:sz w:val="20"/>
                <w:szCs w:val="20"/>
                <w:color w:val="auto"/>
              </w:rPr>
            </w:pPr>
            <w:r>
              <w:rPr>
                <w:rFonts w:ascii="Arial" w:cs="Arial" w:eastAsia="Arial" w:hAnsi="Arial"/>
                <w:sz w:val="16"/>
                <w:szCs w:val="16"/>
                <w:b w:val="1"/>
                <w:bCs w:val="1"/>
                <w:color w:val="auto"/>
              </w:rPr>
              <w:t>December 31, 2024</w:t>
            </w:r>
          </w:p>
        </w:tc>
        <w:tc>
          <w:tcPr>
            <w:tcW w:w="0" w:type="dxa"/>
            <w:vAlign w:val="bottom"/>
          </w:tcPr>
          <w:p>
            <w:pPr>
              <w:spacing w:after="0"/>
              <w:rPr>
                <w:sz w:val="1"/>
                <w:szCs w:val="1"/>
                <w:color w:val="auto"/>
              </w:rPr>
            </w:pPr>
          </w:p>
        </w:tc>
      </w:tr>
      <w:tr>
        <w:trPr>
          <w:trHeight w:val="230"/>
        </w:trPr>
        <w:tc>
          <w:tcPr>
            <w:tcW w:w="5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62"/>
              <w:spacing w:after="0"/>
              <w:rPr>
                <w:sz w:val="20"/>
                <w:szCs w:val="20"/>
                <w:color w:val="auto"/>
              </w:rPr>
            </w:pPr>
            <w:r>
              <w:rPr>
                <w:rFonts w:ascii="Arial" w:cs="Arial" w:eastAsia="Arial" w:hAnsi="Arial"/>
                <w:sz w:val="16"/>
                <w:szCs w:val="16"/>
                <w:b w:val="1"/>
                <w:bCs w:val="1"/>
                <w:color w:val="auto"/>
                <w:w w:val="96"/>
              </w:rPr>
              <w:t>Fair Value</w:t>
            </w:r>
          </w:p>
        </w:tc>
        <w:tc>
          <w:tcPr>
            <w:tcW w:w="60" w:type="dxa"/>
            <w:vAlign w:val="bottom"/>
          </w:tcPr>
          <w:p>
            <w:pPr>
              <w:spacing w:after="0"/>
              <w:rPr>
                <w:sz w:val="19"/>
                <w:szCs w:val="19"/>
                <w:color w:val="auto"/>
              </w:rPr>
            </w:pPr>
          </w:p>
        </w:tc>
        <w:tc>
          <w:tcPr>
            <w:tcW w:w="1160" w:type="dxa"/>
            <w:vAlign w:val="bottom"/>
            <w:tcBorders>
              <w:bottom w:val="single" w:sz="8" w:color="auto"/>
            </w:tcBorders>
          </w:tcPr>
          <w:p>
            <w:pPr>
              <w:jc w:val="right"/>
              <w:ind w:right="222"/>
              <w:spacing w:after="0"/>
              <w:rPr>
                <w:sz w:val="20"/>
                <w:szCs w:val="20"/>
                <w:color w:val="auto"/>
              </w:rPr>
            </w:pPr>
            <w:r>
              <w:rPr>
                <w:rFonts w:ascii="Arial" w:cs="Arial" w:eastAsia="Arial" w:hAnsi="Arial"/>
                <w:sz w:val="16"/>
                <w:szCs w:val="16"/>
                <w:b w:val="1"/>
                <w:bCs w:val="1"/>
                <w:color w:val="auto"/>
              </w:rPr>
              <w:t>Percent</w:t>
            </w:r>
          </w:p>
        </w:tc>
        <w:tc>
          <w:tcPr>
            <w:tcW w:w="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62"/>
              <w:spacing w:after="0"/>
              <w:rPr>
                <w:sz w:val="20"/>
                <w:szCs w:val="20"/>
                <w:color w:val="auto"/>
              </w:rPr>
            </w:pPr>
            <w:r>
              <w:rPr>
                <w:rFonts w:ascii="Arial" w:cs="Arial" w:eastAsia="Arial" w:hAnsi="Arial"/>
                <w:sz w:val="16"/>
                <w:szCs w:val="16"/>
                <w:b w:val="1"/>
                <w:bCs w:val="1"/>
                <w:color w:val="auto"/>
                <w:w w:val="96"/>
              </w:rPr>
              <w:t>Fair Value</w:t>
            </w:r>
          </w:p>
        </w:tc>
        <w:tc>
          <w:tcPr>
            <w:tcW w:w="80" w:type="dxa"/>
            <w:vAlign w:val="bottom"/>
          </w:tcPr>
          <w:p>
            <w:pPr>
              <w:spacing w:after="0"/>
              <w:rPr>
                <w:sz w:val="19"/>
                <w:szCs w:val="19"/>
                <w:color w:val="auto"/>
              </w:rPr>
            </w:pPr>
          </w:p>
        </w:tc>
        <w:tc>
          <w:tcPr>
            <w:tcW w:w="1160" w:type="dxa"/>
            <w:vAlign w:val="bottom"/>
            <w:tcBorders>
              <w:bottom w:val="single" w:sz="8" w:color="auto"/>
            </w:tcBorders>
          </w:tcPr>
          <w:p>
            <w:pPr>
              <w:jc w:val="right"/>
              <w:ind w:right="222"/>
              <w:spacing w:after="0"/>
              <w:rPr>
                <w:sz w:val="20"/>
                <w:szCs w:val="20"/>
                <w:color w:val="auto"/>
              </w:rPr>
            </w:pPr>
            <w:r>
              <w:rPr>
                <w:rFonts w:ascii="Arial" w:cs="Arial" w:eastAsia="Arial" w:hAnsi="Arial"/>
                <w:sz w:val="16"/>
                <w:szCs w:val="16"/>
                <w:b w:val="1"/>
                <w:bCs w:val="1"/>
                <w:color w:val="auto"/>
              </w:rPr>
              <w:t>Percent</w:t>
            </w:r>
          </w:p>
        </w:tc>
        <w:tc>
          <w:tcPr>
            <w:tcW w:w="0" w:type="dxa"/>
            <w:vAlign w:val="bottom"/>
          </w:tcPr>
          <w:p>
            <w:pPr>
              <w:spacing w:after="0"/>
              <w:rPr>
                <w:sz w:val="1"/>
                <w:szCs w:val="1"/>
                <w:color w:val="auto"/>
              </w:rPr>
            </w:pPr>
          </w:p>
        </w:tc>
      </w:tr>
      <w:tr>
        <w:trPr>
          <w:trHeight w:val="223"/>
        </w:trPr>
        <w:tc>
          <w:tcPr>
            <w:tcW w:w="5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20" w:type="dxa"/>
            <w:vAlign w:val="bottom"/>
            <w:gridSpan w:val="4"/>
          </w:tcPr>
          <w:p>
            <w:pPr>
              <w:jc w:val="right"/>
              <w:ind w:right="462"/>
              <w:spacing w:after="0"/>
              <w:rPr>
                <w:sz w:val="20"/>
                <w:szCs w:val="20"/>
                <w:color w:val="auto"/>
              </w:rPr>
            </w:pPr>
            <w:r>
              <w:rPr>
                <w:rFonts w:ascii="Arial" w:cs="Arial" w:eastAsia="Arial" w:hAnsi="Arial"/>
                <w:sz w:val="16"/>
                <w:szCs w:val="16"/>
                <w:b w:val="1"/>
                <w:bCs w:val="1"/>
                <w:color w:val="auto"/>
              </w:rPr>
              <w:t>(Dollars in millions)</w:t>
            </w: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3"/>
        </w:trPr>
        <w:tc>
          <w:tcPr>
            <w:tcW w:w="5100" w:type="dxa"/>
            <w:vAlign w:val="bottom"/>
          </w:tcPr>
          <w:p>
            <w:pPr>
              <w:spacing w:after="0"/>
              <w:rPr>
                <w:sz w:val="20"/>
                <w:szCs w:val="20"/>
                <w:color w:val="auto"/>
              </w:rPr>
            </w:pPr>
            <w:r>
              <w:rPr>
                <w:rFonts w:ascii="Arial" w:cs="Arial" w:eastAsia="Arial" w:hAnsi="Arial"/>
                <w:sz w:val="16"/>
                <w:szCs w:val="16"/>
                <w:color w:val="auto"/>
              </w:rPr>
              <w:t>Fixed maturity securities, available for sale:</w:t>
            </w: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100" w:type="dxa"/>
            <w:vAlign w:val="bottom"/>
          </w:tcPr>
          <w:p>
            <w:pPr>
              <w:ind w:left="240"/>
              <w:spacing w:after="0"/>
              <w:rPr>
                <w:sz w:val="20"/>
                <w:szCs w:val="20"/>
                <w:color w:val="auto"/>
              </w:rPr>
            </w:pPr>
            <w:r>
              <w:rPr>
                <w:rFonts w:ascii="Arial" w:cs="Arial" w:eastAsia="Arial" w:hAnsi="Arial"/>
                <w:sz w:val="16"/>
                <w:szCs w:val="16"/>
                <w:color w:val="auto"/>
              </w:rPr>
              <w:t>United States Government full faith and credit</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2"/>
              <w:spacing w:after="0"/>
              <w:rPr>
                <w:sz w:val="20"/>
                <w:szCs w:val="20"/>
                <w:color w:val="auto"/>
              </w:rPr>
            </w:pPr>
            <w:r>
              <w:rPr>
                <w:rFonts w:ascii="Arial" w:cs="Arial" w:eastAsia="Arial" w:hAnsi="Arial"/>
                <w:sz w:val="16"/>
                <w:szCs w:val="16"/>
                <w:color w:val="auto"/>
              </w:rPr>
              <w:t>493</w:t>
            </w:r>
          </w:p>
        </w:tc>
        <w:tc>
          <w:tcPr>
            <w:tcW w:w="1220" w:type="dxa"/>
            <w:vAlign w:val="bottom"/>
            <w:gridSpan w:val="2"/>
          </w:tcPr>
          <w:p>
            <w:pPr>
              <w:jc w:val="right"/>
              <w:spacing w:after="0"/>
              <w:rPr>
                <w:sz w:val="20"/>
                <w:szCs w:val="20"/>
                <w:color w:val="auto"/>
              </w:rPr>
            </w:pPr>
            <w:r>
              <w:rPr>
                <w:rFonts w:ascii="Arial" w:cs="Arial" w:eastAsia="Arial" w:hAnsi="Arial"/>
                <w:sz w:val="16"/>
                <w:szCs w:val="16"/>
                <w:color w:val="auto"/>
              </w:rPr>
              <w:t>1 %</w:t>
            </w:r>
          </w:p>
        </w:tc>
        <w:tc>
          <w:tcPr>
            <w:tcW w:w="26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158</w:t>
            </w:r>
          </w:p>
        </w:tc>
        <w:tc>
          <w:tcPr>
            <w:tcW w:w="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 %</w:t>
            </w:r>
          </w:p>
        </w:tc>
        <w:tc>
          <w:tcPr>
            <w:tcW w:w="0" w:type="dxa"/>
            <w:vAlign w:val="bottom"/>
          </w:tcPr>
          <w:p>
            <w:pPr>
              <w:spacing w:after="0"/>
              <w:rPr>
                <w:sz w:val="1"/>
                <w:szCs w:val="1"/>
                <w:color w:val="auto"/>
              </w:rPr>
            </w:pPr>
          </w:p>
        </w:tc>
      </w:tr>
      <w:tr>
        <w:trPr>
          <w:trHeight w:val="250"/>
        </w:trPr>
        <w:tc>
          <w:tcPr>
            <w:tcW w:w="5100" w:type="dxa"/>
            <w:vAlign w:val="bottom"/>
          </w:tcPr>
          <w:p>
            <w:pPr>
              <w:ind w:left="240"/>
              <w:spacing w:after="0"/>
              <w:rPr>
                <w:sz w:val="20"/>
                <w:szCs w:val="20"/>
                <w:color w:val="auto"/>
              </w:rPr>
            </w:pPr>
            <w:r>
              <w:rPr>
                <w:rFonts w:ascii="Arial" w:cs="Arial" w:eastAsia="Arial" w:hAnsi="Arial"/>
                <w:sz w:val="16"/>
                <w:szCs w:val="16"/>
                <w:color w:val="auto"/>
              </w:rPr>
              <w:t>United States Government sponsored entities</w:t>
            </w:r>
          </w:p>
        </w:tc>
        <w:tc>
          <w:tcPr>
            <w:tcW w:w="180" w:type="dxa"/>
            <w:vAlign w:val="bottom"/>
          </w:tcPr>
          <w:p>
            <w:pPr>
              <w:spacing w:after="0"/>
              <w:rPr>
                <w:sz w:val="21"/>
                <w:szCs w:val="21"/>
                <w:color w:val="auto"/>
              </w:rPr>
            </w:pPr>
          </w:p>
        </w:tc>
        <w:tc>
          <w:tcPr>
            <w:tcW w:w="1000" w:type="dxa"/>
            <w:vAlign w:val="bottom"/>
          </w:tcPr>
          <w:p>
            <w:pPr>
              <w:jc w:val="right"/>
              <w:ind w:right="2"/>
              <w:spacing w:after="0"/>
              <w:rPr>
                <w:sz w:val="20"/>
                <w:szCs w:val="20"/>
                <w:color w:val="auto"/>
              </w:rPr>
            </w:pPr>
            <w:r>
              <w:rPr>
                <w:rFonts w:ascii="Arial" w:cs="Arial" w:eastAsia="Arial" w:hAnsi="Arial"/>
                <w:sz w:val="16"/>
                <w:szCs w:val="16"/>
                <w:color w:val="auto"/>
              </w:rPr>
              <w:t>196</w:t>
            </w:r>
          </w:p>
        </w:tc>
        <w:tc>
          <w:tcPr>
            <w:tcW w:w="60" w:type="dxa"/>
            <w:vAlign w:val="bottom"/>
          </w:tcPr>
          <w:p>
            <w:pPr>
              <w:spacing w:after="0"/>
              <w:rPr>
                <w:sz w:val="21"/>
                <w:szCs w:val="21"/>
                <w:color w:val="auto"/>
              </w:rPr>
            </w:pPr>
          </w:p>
        </w:tc>
        <w:tc>
          <w:tcPr>
            <w:tcW w:w="1160" w:type="dxa"/>
            <w:vAlign w:val="bottom"/>
          </w:tcPr>
          <w:p>
            <w:pPr>
              <w:jc w:val="right"/>
              <w:ind w:right="102"/>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95</w:t>
            </w:r>
          </w:p>
        </w:tc>
        <w:tc>
          <w:tcPr>
            <w:tcW w:w="80" w:type="dxa"/>
            <w:vAlign w:val="bottom"/>
          </w:tcPr>
          <w:p>
            <w:pPr>
              <w:spacing w:after="0"/>
              <w:rPr>
                <w:sz w:val="21"/>
                <w:szCs w:val="21"/>
                <w:color w:val="auto"/>
              </w:rPr>
            </w:pPr>
          </w:p>
        </w:tc>
        <w:tc>
          <w:tcPr>
            <w:tcW w:w="1160" w:type="dxa"/>
            <w:vAlign w:val="bottom"/>
          </w:tcPr>
          <w:p>
            <w:pPr>
              <w:jc w:val="right"/>
              <w:ind w:right="10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0"/>
        </w:trPr>
        <w:tc>
          <w:tcPr>
            <w:tcW w:w="5100" w:type="dxa"/>
            <w:vAlign w:val="bottom"/>
          </w:tcPr>
          <w:p>
            <w:pPr>
              <w:ind w:left="240"/>
              <w:spacing w:after="0"/>
              <w:rPr>
                <w:sz w:val="20"/>
                <w:szCs w:val="20"/>
                <w:color w:val="auto"/>
              </w:rPr>
            </w:pPr>
            <w:r>
              <w:rPr>
                <w:rFonts w:ascii="Arial" w:cs="Arial" w:eastAsia="Arial" w:hAnsi="Arial"/>
                <w:sz w:val="16"/>
                <w:szCs w:val="16"/>
                <w:color w:val="auto"/>
              </w:rPr>
              <w:t>United States municipalities, states and territories</w:t>
            </w:r>
          </w:p>
        </w:tc>
        <w:tc>
          <w:tcPr>
            <w:tcW w:w="180" w:type="dxa"/>
            <w:vAlign w:val="bottom"/>
          </w:tcPr>
          <w:p>
            <w:pPr>
              <w:spacing w:after="0"/>
              <w:rPr>
                <w:sz w:val="21"/>
                <w:szCs w:val="21"/>
                <w:color w:val="auto"/>
              </w:rPr>
            </w:pPr>
          </w:p>
        </w:tc>
        <w:tc>
          <w:tcPr>
            <w:tcW w:w="1000" w:type="dxa"/>
            <w:vAlign w:val="bottom"/>
          </w:tcPr>
          <w:p>
            <w:pPr>
              <w:jc w:val="right"/>
              <w:ind w:right="2"/>
              <w:spacing w:after="0"/>
              <w:rPr>
                <w:sz w:val="20"/>
                <w:szCs w:val="20"/>
                <w:color w:val="auto"/>
              </w:rPr>
            </w:pPr>
            <w:r>
              <w:rPr>
                <w:rFonts w:ascii="Arial" w:cs="Arial" w:eastAsia="Arial" w:hAnsi="Arial"/>
                <w:sz w:val="16"/>
                <w:szCs w:val="16"/>
                <w:color w:val="auto"/>
              </w:rPr>
              <w:t>1,355</w:t>
            </w:r>
          </w:p>
        </w:tc>
        <w:tc>
          <w:tcPr>
            <w:tcW w:w="1220" w:type="dxa"/>
            <w:vAlign w:val="bottom"/>
            <w:gridSpan w:val="2"/>
          </w:tcPr>
          <w:p>
            <w:pPr>
              <w:jc w:val="right"/>
              <w:ind w:right="102"/>
              <w:spacing w:after="0"/>
              <w:rPr>
                <w:sz w:val="20"/>
                <w:szCs w:val="20"/>
                <w:color w:val="auto"/>
              </w:rPr>
            </w:pPr>
            <w:r>
              <w:rPr>
                <w:rFonts w:ascii="Arial" w:cs="Arial" w:eastAsia="Arial" w:hAnsi="Arial"/>
                <w:sz w:val="16"/>
                <w:szCs w:val="16"/>
                <w:color w:val="auto"/>
              </w:rPr>
              <w:t>2</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1,346</w:t>
            </w:r>
          </w:p>
        </w:tc>
        <w:tc>
          <w:tcPr>
            <w:tcW w:w="1240" w:type="dxa"/>
            <w:vAlign w:val="bottom"/>
            <w:gridSpan w:val="2"/>
          </w:tcPr>
          <w:p>
            <w:pPr>
              <w:jc w:val="right"/>
              <w:ind w:right="102"/>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50"/>
        </w:trPr>
        <w:tc>
          <w:tcPr>
            <w:tcW w:w="5100" w:type="dxa"/>
            <w:vAlign w:val="bottom"/>
          </w:tcPr>
          <w:p>
            <w:pPr>
              <w:ind w:left="240"/>
              <w:spacing w:after="0"/>
              <w:rPr>
                <w:sz w:val="20"/>
                <w:szCs w:val="20"/>
                <w:color w:val="auto"/>
              </w:rPr>
            </w:pPr>
            <w:r>
              <w:rPr>
                <w:rFonts w:ascii="Arial" w:cs="Arial" w:eastAsia="Arial" w:hAnsi="Arial"/>
                <w:sz w:val="16"/>
                <w:szCs w:val="16"/>
                <w:color w:val="auto"/>
              </w:rPr>
              <w:t>Foreign Governments</w:t>
            </w:r>
          </w:p>
        </w:tc>
        <w:tc>
          <w:tcPr>
            <w:tcW w:w="180" w:type="dxa"/>
            <w:vAlign w:val="bottom"/>
          </w:tcPr>
          <w:p>
            <w:pPr>
              <w:spacing w:after="0"/>
              <w:rPr>
                <w:sz w:val="21"/>
                <w:szCs w:val="21"/>
                <w:color w:val="auto"/>
              </w:rPr>
            </w:pPr>
          </w:p>
        </w:tc>
        <w:tc>
          <w:tcPr>
            <w:tcW w:w="1000" w:type="dxa"/>
            <w:vAlign w:val="bottom"/>
          </w:tcPr>
          <w:p>
            <w:pPr>
              <w:jc w:val="right"/>
              <w:ind w:right="2"/>
              <w:spacing w:after="0"/>
              <w:rPr>
                <w:sz w:val="20"/>
                <w:szCs w:val="20"/>
                <w:color w:val="auto"/>
              </w:rPr>
            </w:pPr>
            <w:r>
              <w:rPr>
                <w:rFonts w:ascii="Arial" w:cs="Arial" w:eastAsia="Arial" w:hAnsi="Arial"/>
                <w:sz w:val="16"/>
                <w:szCs w:val="16"/>
                <w:color w:val="auto"/>
              </w:rPr>
              <w:t>261</w:t>
            </w:r>
          </w:p>
        </w:tc>
        <w:tc>
          <w:tcPr>
            <w:tcW w:w="60" w:type="dxa"/>
            <w:vAlign w:val="bottom"/>
          </w:tcPr>
          <w:p>
            <w:pPr>
              <w:spacing w:after="0"/>
              <w:rPr>
                <w:sz w:val="21"/>
                <w:szCs w:val="21"/>
                <w:color w:val="auto"/>
              </w:rPr>
            </w:pPr>
          </w:p>
        </w:tc>
        <w:tc>
          <w:tcPr>
            <w:tcW w:w="1160" w:type="dxa"/>
            <w:vAlign w:val="bottom"/>
          </w:tcPr>
          <w:p>
            <w:pPr>
              <w:jc w:val="right"/>
              <w:ind w:right="102"/>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186</w:t>
            </w:r>
          </w:p>
        </w:tc>
        <w:tc>
          <w:tcPr>
            <w:tcW w:w="80" w:type="dxa"/>
            <w:vAlign w:val="bottom"/>
          </w:tcPr>
          <w:p>
            <w:pPr>
              <w:spacing w:after="0"/>
              <w:rPr>
                <w:sz w:val="21"/>
                <w:szCs w:val="21"/>
                <w:color w:val="auto"/>
              </w:rPr>
            </w:pPr>
          </w:p>
        </w:tc>
        <w:tc>
          <w:tcPr>
            <w:tcW w:w="1160" w:type="dxa"/>
            <w:vAlign w:val="bottom"/>
          </w:tcPr>
          <w:p>
            <w:pPr>
              <w:jc w:val="right"/>
              <w:ind w:right="10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0"/>
        </w:trPr>
        <w:tc>
          <w:tcPr>
            <w:tcW w:w="5100" w:type="dxa"/>
            <w:vAlign w:val="bottom"/>
          </w:tcPr>
          <w:p>
            <w:pPr>
              <w:spacing w:after="0"/>
              <w:rPr>
                <w:sz w:val="20"/>
                <w:szCs w:val="20"/>
                <w:color w:val="auto"/>
              </w:rPr>
            </w:pPr>
            <w:r>
              <w:rPr>
                <w:rFonts w:ascii="Arial" w:cs="Arial" w:eastAsia="Arial" w:hAnsi="Arial"/>
                <w:sz w:val="16"/>
                <w:szCs w:val="16"/>
                <w:color w:val="auto"/>
              </w:rPr>
              <w:t>Corporate securities:</w:t>
            </w:r>
          </w:p>
        </w:tc>
        <w:tc>
          <w:tcPr>
            <w:tcW w:w="1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100" w:type="dxa"/>
            <w:vAlign w:val="bottom"/>
          </w:tcPr>
          <w:p>
            <w:pPr>
              <w:ind w:left="280"/>
              <w:spacing w:after="0"/>
              <w:rPr>
                <w:sz w:val="20"/>
                <w:szCs w:val="20"/>
                <w:color w:val="auto"/>
              </w:rPr>
            </w:pPr>
            <w:r>
              <w:rPr>
                <w:rFonts w:ascii="Arial" w:cs="Arial" w:eastAsia="Arial" w:hAnsi="Arial"/>
                <w:sz w:val="16"/>
                <w:szCs w:val="16"/>
                <w:color w:val="auto"/>
              </w:rPr>
              <w:t>Finance, insurance and real estate</w:t>
            </w:r>
          </w:p>
        </w:tc>
        <w:tc>
          <w:tcPr>
            <w:tcW w:w="180" w:type="dxa"/>
            <w:vAlign w:val="bottom"/>
          </w:tcPr>
          <w:p>
            <w:pPr>
              <w:spacing w:after="0"/>
              <w:rPr>
                <w:sz w:val="21"/>
                <w:szCs w:val="21"/>
                <w:color w:val="auto"/>
              </w:rPr>
            </w:pPr>
          </w:p>
        </w:tc>
        <w:tc>
          <w:tcPr>
            <w:tcW w:w="1000" w:type="dxa"/>
            <w:vAlign w:val="bottom"/>
          </w:tcPr>
          <w:p>
            <w:pPr>
              <w:jc w:val="right"/>
              <w:ind w:right="2"/>
              <w:spacing w:after="0"/>
              <w:rPr>
                <w:sz w:val="20"/>
                <w:szCs w:val="20"/>
                <w:color w:val="auto"/>
              </w:rPr>
            </w:pPr>
            <w:r>
              <w:rPr>
                <w:rFonts w:ascii="Arial" w:cs="Arial" w:eastAsia="Arial" w:hAnsi="Arial"/>
                <w:sz w:val="16"/>
                <w:szCs w:val="16"/>
                <w:color w:val="auto"/>
              </w:rPr>
              <w:t>9,309</w:t>
            </w:r>
          </w:p>
        </w:tc>
        <w:tc>
          <w:tcPr>
            <w:tcW w:w="1220" w:type="dxa"/>
            <w:vAlign w:val="bottom"/>
            <w:gridSpan w:val="2"/>
          </w:tcPr>
          <w:p>
            <w:pPr>
              <w:jc w:val="right"/>
              <w:ind w:right="102"/>
              <w:spacing w:after="0"/>
              <w:rPr>
                <w:sz w:val="20"/>
                <w:szCs w:val="20"/>
                <w:color w:val="auto"/>
              </w:rPr>
            </w:pPr>
            <w:r>
              <w:rPr>
                <w:rFonts w:ascii="Arial" w:cs="Arial" w:eastAsia="Arial" w:hAnsi="Arial"/>
                <w:sz w:val="16"/>
                <w:szCs w:val="16"/>
                <w:color w:val="auto"/>
              </w:rPr>
              <w:t>14</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8,611</w:t>
            </w:r>
          </w:p>
        </w:tc>
        <w:tc>
          <w:tcPr>
            <w:tcW w:w="1240" w:type="dxa"/>
            <w:vAlign w:val="bottom"/>
            <w:gridSpan w:val="2"/>
          </w:tcPr>
          <w:p>
            <w:pPr>
              <w:jc w:val="right"/>
              <w:ind w:right="102"/>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250"/>
        </w:trPr>
        <w:tc>
          <w:tcPr>
            <w:tcW w:w="5100" w:type="dxa"/>
            <w:vAlign w:val="bottom"/>
          </w:tcPr>
          <w:p>
            <w:pPr>
              <w:ind w:left="280"/>
              <w:spacing w:after="0"/>
              <w:rPr>
                <w:sz w:val="20"/>
                <w:szCs w:val="20"/>
                <w:color w:val="auto"/>
              </w:rPr>
            </w:pPr>
            <w:r>
              <w:rPr>
                <w:rFonts w:ascii="Arial" w:cs="Arial" w:eastAsia="Arial" w:hAnsi="Arial"/>
                <w:sz w:val="16"/>
                <w:szCs w:val="16"/>
                <w:color w:val="auto"/>
              </w:rPr>
              <w:t>Manufacturing, construction and mining</w:t>
            </w:r>
          </w:p>
        </w:tc>
        <w:tc>
          <w:tcPr>
            <w:tcW w:w="180" w:type="dxa"/>
            <w:vAlign w:val="bottom"/>
          </w:tcPr>
          <w:p>
            <w:pPr>
              <w:spacing w:after="0"/>
              <w:rPr>
                <w:sz w:val="21"/>
                <w:szCs w:val="21"/>
                <w:color w:val="auto"/>
              </w:rPr>
            </w:pPr>
          </w:p>
        </w:tc>
        <w:tc>
          <w:tcPr>
            <w:tcW w:w="1000" w:type="dxa"/>
            <w:vAlign w:val="bottom"/>
          </w:tcPr>
          <w:p>
            <w:pPr>
              <w:jc w:val="right"/>
              <w:ind w:right="2"/>
              <w:spacing w:after="0"/>
              <w:rPr>
                <w:sz w:val="20"/>
                <w:szCs w:val="20"/>
                <w:color w:val="auto"/>
              </w:rPr>
            </w:pPr>
            <w:r>
              <w:rPr>
                <w:rFonts w:ascii="Arial" w:cs="Arial" w:eastAsia="Arial" w:hAnsi="Arial"/>
                <w:sz w:val="16"/>
                <w:szCs w:val="16"/>
                <w:color w:val="auto"/>
              </w:rPr>
              <w:t>1,386</w:t>
            </w:r>
          </w:p>
        </w:tc>
        <w:tc>
          <w:tcPr>
            <w:tcW w:w="1220" w:type="dxa"/>
            <w:vAlign w:val="bottom"/>
            <w:gridSpan w:val="2"/>
          </w:tcPr>
          <w:p>
            <w:pPr>
              <w:jc w:val="right"/>
              <w:ind w:right="102"/>
              <w:spacing w:after="0"/>
              <w:rPr>
                <w:sz w:val="20"/>
                <w:szCs w:val="20"/>
                <w:color w:val="auto"/>
              </w:rPr>
            </w:pPr>
            <w:r>
              <w:rPr>
                <w:rFonts w:ascii="Arial" w:cs="Arial" w:eastAsia="Arial" w:hAnsi="Arial"/>
                <w:sz w:val="16"/>
                <w:szCs w:val="16"/>
                <w:color w:val="auto"/>
              </w:rPr>
              <w:t>2</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1,139</w:t>
            </w:r>
          </w:p>
        </w:tc>
        <w:tc>
          <w:tcPr>
            <w:tcW w:w="1240" w:type="dxa"/>
            <w:vAlign w:val="bottom"/>
            <w:gridSpan w:val="2"/>
          </w:tcPr>
          <w:p>
            <w:pPr>
              <w:jc w:val="right"/>
              <w:ind w:right="102"/>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50"/>
        </w:trPr>
        <w:tc>
          <w:tcPr>
            <w:tcW w:w="5100" w:type="dxa"/>
            <w:vAlign w:val="bottom"/>
          </w:tcPr>
          <w:p>
            <w:pPr>
              <w:ind w:left="280"/>
              <w:spacing w:after="0"/>
              <w:rPr>
                <w:sz w:val="20"/>
                <w:szCs w:val="20"/>
                <w:color w:val="auto"/>
              </w:rPr>
            </w:pPr>
            <w:r>
              <w:rPr>
                <w:rFonts w:ascii="Arial" w:cs="Arial" w:eastAsia="Arial" w:hAnsi="Arial"/>
                <w:sz w:val="16"/>
                <w:szCs w:val="16"/>
                <w:color w:val="auto"/>
              </w:rPr>
              <w:t>Utilities, energy and related sectors</w:t>
            </w:r>
          </w:p>
        </w:tc>
        <w:tc>
          <w:tcPr>
            <w:tcW w:w="180" w:type="dxa"/>
            <w:vAlign w:val="bottom"/>
          </w:tcPr>
          <w:p>
            <w:pPr>
              <w:spacing w:after="0"/>
              <w:rPr>
                <w:sz w:val="21"/>
                <w:szCs w:val="21"/>
                <w:color w:val="auto"/>
              </w:rPr>
            </w:pPr>
          </w:p>
        </w:tc>
        <w:tc>
          <w:tcPr>
            <w:tcW w:w="1000" w:type="dxa"/>
            <w:vAlign w:val="bottom"/>
          </w:tcPr>
          <w:p>
            <w:pPr>
              <w:jc w:val="right"/>
              <w:ind w:right="2"/>
              <w:spacing w:after="0"/>
              <w:rPr>
                <w:sz w:val="20"/>
                <w:szCs w:val="20"/>
                <w:color w:val="auto"/>
              </w:rPr>
            </w:pPr>
            <w:r>
              <w:rPr>
                <w:rFonts w:ascii="Arial" w:cs="Arial" w:eastAsia="Arial" w:hAnsi="Arial"/>
                <w:sz w:val="16"/>
                <w:szCs w:val="16"/>
                <w:color w:val="auto"/>
              </w:rPr>
              <w:t>3,681</w:t>
            </w:r>
          </w:p>
        </w:tc>
        <w:tc>
          <w:tcPr>
            <w:tcW w:w="1220" w:type="dxa"/>
            <w:vAlign w:val="bottom"/>
            <w:gridSpan w:val="2"/>
          </w:tcPr>
          <w:p>
            <w:pPr>
              <w:jc w:val="right"/>
              <w:ind w:right="102"/>
              <w:spacing w:after="0"/>
              <w:rPr>
                <w:sz w:val="20"/>
                <w:szCs w:val="20"/>
                <w:color w:val="auto"/>
              </w:rPr>
            </w:pPr>
            <w:r>
              <w:rPr>
                <w:rFonts w:ascii="Arial" w:cs="Arial" w:eastAsia="Arial" w:hAnsi="Arial"/>
                <w:sz w:val="16"/>
                <w:szCs w:val="16"/>
                <w:color w:val="auto"/>
              </w:rPr>
              <w:t>5</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2,971</w:t>
            </w:r>
          </w:p>
        </w:tc>
        <w:tc>
          <w:tcPr>
            <w:tcW w:w="1240" w:type="dxa"/>
            <w:vAlign w:val="bottom"/>
            <w:gridSpan w:val="2"/>
          </w:tcPr>
          <w:p>
            <w:pPr>
              <w:jc w:val="right"/>
              <w:ind w:right="102"/>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50"/>
        </w:trPr>
        <w:tc>
          <w:tcPr>
            <w:tcW w:w="5100" w:type="dxa"/>
            <w:vAlign w:val="bottom"/>
          </w:tcPr>
          <w:p>
            <w:pPr>
              <w:ind w:left="280"/>
              <w:spacing w:after="0"/>
              <w:rPr>
                <w:sz w:val="20"/>
                <w:szCs w:val="20"/>
                <w:color w:val="auto"/>
              </w:rPr>
            </w:pPr>
            <w:r>
              <w:rPr>
                <w:rFonts w:ascii="Arial" w:cs="Arial" w:eastAsia="Arial" w:hAnsi="Arial"/>
                <w:sz w:val="16"/>
                <w:szCs w:val="16"/>
                <w:color w:val="auto"/>
              </w:rPr>
              <w:t>Wholesale/retail trade</w:t>
            </w:r>
          </w:p>
        </w:tc>
        <w:tc>
          <w:tcPr>
            <w:tcW w:w="180" w:type="dxa"/>
            <w:vAlign w:val="bottom"/>
          </w:tcPr>
          <w:p>
            <w:pPr>
              <w:spacing w:after="0"/>
              <w:rPr>
                <w:sz w:val="21"/>
                <w:szCs w:val="21"/>
                <w:color w:val="auto"/>
              </w:rPr>
            </w:pPr>
          </w:p>
        </w:tc>
        <w:tc>
          <w:tcPr>
            <w:tcW w:w="1000" w:type="dxa"/>
            <w:vAlign w:val="bottom"/>
          </w:tcPr>
          <w:p>
            <w:pPr>
              <w:jc w:val="right"/>
              <w:ind w:right="2"/>
              <w:spacing w:after="0"/>
              <w:rPr>
                <w:sz w:val="20"/>
                <w:szCs w:val="20"/>
                <w:color w:val="auto"/>
              </w:rPr>
            </w:pPr>
            <w:r>
              <w:rPr>
                <w:rFonts w:ascii="Arial" w:cs="Arial" w:eastAsia="Arial" w:hAnsi="Arial"/>
                <w:sz w:val="16"/>
                <w:szCs w:val="16"/>
                <w:color w:val="auto"/>
              </w:rPr>
              <w:t>3,732</w:t>
            </w:r>
          </w:p>
        </w:tc>
        <w:tc>
          <w:tcPr>
            <w:tcW w:w="1220" w:type="dxa"/>
            <w:vAlign w:val="bottom"/>
            <w:gridSpan w:val="2"/>
          </w:tcPr>
          <w:p>
            <w:pPr>
              <w:jc w:val="right"/>
              <w:ind w:right="102"/>
              <w:spacing w:after="0"/>
              <w:rPr>
                <w:sz w:val="20"/>
                <w:szCs w:val="20"/>
                <w:color w:val="auto"/>
              </w:rPr>
            </w:pPr>
            <w:r>
              <w:rPr>
                <w:rFonts w:ascii="Arial" w:cs="Arial" w:eastAsia="Arial" w:hAnsi="Arial"/>
                <w:sz w:val="16"/>
                <w:szCs w:val="16"/>
                <w:color w:val="auto"/>
              </w:rPr>
              <w:t>5</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3,210</w:t>
            </w:r>
          </w:p>
        </w:tc>
        <w:tc>
          <w:tcPr>
            <w:tcW w:w="1240" w:type="dxa"/>
            <w:vAlign w:val="bottom"/>
            <w:gridSpan w:val="2"/>
          </w:tcPr>
          <w:p>
            <w:pPr>
              <w:jc w:val="right"/>
              <w:ind w:right="102"/>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50"/>
        </w:trPr>
        <w:tc>
          <w:tcPr>
            <w:tcW w:w="5100" w:type="dxa"/>
            <w:vAlign w:val="bottom"/>
          </w:tcPr>
          <w:p>
            <w:pPr>
              <w:ind w:left="280"/>
              <w:spacing w:after="0"/>
              <w:rPr>
                <w:sz w:val="20"/>
                <w:szCs w:val="20"/>
                <w:color w:val="auto"/>
              </w:rPr>
            </w:pPr>
            <w:r>
              <w:rPr>
                <w:rFonts w:ascii="Arial" w:cs="Arial" w:eastAsia="Arial" w:hAnsi="Arial"/>
                <w:sz w:val="16"/>
                <w:szCs w:val="16"/>
                <w:color w:val="auto"/>
              </w:rPr>
              <w:t>Services, media and other</w:t>
            </w:r>
          </w:p>
        </w:tc>
        <w:tc>
          <w:tcPr>
            <w:tcW w:w="180" w:type="dxa"/>
            <w:vAlign w:val="bottom"/>
          </w:tcPr>
          <w:p>
            <w:pPr>
              <w:spacing w:after="0"/>
              <w:rPr>
                <w:sz w:val="21"/>
                <w:szCs w:val="21"/>
                <w:color w:val="auto"/>
              </w:rPr>
            </w:pPr>
          </w:p>
        </w:tc>
        <w:tc>
          <w:tcPr>
            <w:tcW w:w="1000" w:type="dxa"/>
            <w:vAlign w:val="bottom"/>
          </w:tcPr>
          <w:p>
            <w:pPr>
              <w:jc w:val="right"/>
              <w:ind w:right="2"/>
              <w:spacing w:after="0"/>
              <w:rPr>
                <w:sz w:val="20"/>
                <w:szCs w:val="20"/>
                <w:color w:val="auto"/>
              </w:rPr>
            </w:pPr>
            <w:r>
              <w:rPr>
                <w:rFonts w:ascii="Arial" w:cs="Arial" w:eastAsia="Arial" w:hAnsi="Arial"/>
                <w:sz w:val="16"/>
                <w:szCs w:val="16"/>
                <w:color w:val="auto"/>
              </w:rPr>
              <w:t>5,142</w:t>
            </w:r>
          </w:p>
        </w:tc>
        <w:tc>
          <w:tcPr>
            <w:tcW w:w="1220" w:type="dxa"/>
            <w:vAlign w:val="bottom"/>
            <w:gridSpan w:val="2"/>
          </w:tcPr>
          <w:p>
            <w:pPr>
              <w:jc w:val="right"/>
              <w:ind w:right="102"/>
              <w:spacing w:after="0"/>
              <w:rPr>
                <w:sz w:val="20"/>
                <w:szCs w:val="20"/>
                <w:color w:val="auto"/>
              </w:rPr>
            </w:pPr>
            <w:r>
              <w:rPr>
                <w:rFonts w:ascii="Arial" w:cs="Arial" w:eastAsia="Arial" w:hAnsi="Arial"/>
                <w:sz w:val="16"/>
                <w:szCs w:val="16"/>
                <w:color w:val="auto"/>
              </w:rPr>
              <w:t>8</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4,547</w:t>
            </w:r>
          </w:p>
        </w:tc>
        <w:tc>
          <w:tcPr>
            <w:tcW w:w="1240" w:type="dxa"/>
            <w:vAlign w:val="bottom"/>
            <w:gridSpan w:val="2"/>
          </w:tcPr>
          <w:p>
            <w:pPr>
              <w:jc w:val="right"/>
              <w:ind w:right="102"/>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50"/>
        </w:trPr>
        <w:tc>
          <w:tcPr>
            <w:tcW w:w="5100" w:type="dxa"/>
            <w:vAlign w:val="bottom"/>
          </w:tcPr>
          <w:p>
            <w:pPr>
              <w:ind w:left="280"/>
              <w:spacing w:after="0"/>
              <w:rPr>
                <w:sz w:val="20"/>
                <w:szCs w:val="20"/>
                <w:color w:val="auto"/>
              </w:rPr>
            </w:pPr>
            <w:r>
              <w:rPr>
                <w:rFonts w:ascii="Arial" w:cs="Arial" w:eastAsia="Arial" w:hAnsi="Arial"/>
                <w:sz w:val="16"/>
                <w:szCs w:val="16"/>
                <w:color w:val="auto"/>
              </w:rPr>
              <w:t>Hybrid securities</w:t>
            </w:r>
          </w:p>
        </w:tc>
        <w:tc>
          <w:tcPr>
            <w:tcW w:w="180" w:type="dxa"/>
            <w:vAlign w:val="bottom"/>
          </w:tcPr>
          <w:p>
            <w:pPr>
              <w:spacing w:after="0"/>
              <w:rPr>
                <w:sz w:val="21"/>
                <w:szCs w:val="21"/>
                <w:color w:val="auto"/>
              </w:rPr>
            </w:pPr>
          </w:p>
        </w:tc>
        <w:tc>
          <w:tcPr>
            <w:tcW w:w="1000" w:type="dxa"/>
            <w:vAlign w:val="bottom"/>
          </w:tcPr>
          <w:p>
            <w:pPr>
              <w:jc w:val="right"/>
              <w:ind w:right="2"/>
              <w:spacing w:after="0"/>
              <w:rPr>
                <w:sz w:val="20"/>
                <w:szCs w:val="20"/>
                <w:color w:val="auto"/>
              </w:rPr>
            </w:pPr>
            <w:r>
              <w:rPr>
                <w:rFonts w:ascii="Arial" w:cs="Arial" w:eastAsia="Arial" w:hAnsi="Arial"/>
                <w:sz w:val="16"/>
                <w:szCs w:val="16"/>
                <w:color w:val="auto"/>
              </w:rPr>
              <w:t>609</w:t>
            </w:r>
          </w:p>
        </w:tc>
        <w:tc>
          <w:tcPr>
            <w:tcW w:w="1220" w:type="dxa"/>
            <w:vAlign w:val="bottom"/>
            <w:gridSpan w:val="2"/>
          </w:tcPr>
          <w:p>
            <w:pPr>
              <w:jc w:val="right"/>
              <w:ind w:right="102"/>
              <w:spacing w:after="0"/>
              <w:rPr>
                <w:sz w:val="20"/>
                <w:szCs w:val="20"/>
                <w:color w:val="auto"/>
              </w:rPr>
            </w:pPr>
            <w:r>
              <w:rPr>
                <w:rFonts w:ascii="Arial" w:cs="Arial" w:eastAsia="Arial" w:hAnsi="Arial"/>
                <w:sz w:val="16"/>
                <w:szCs w:val="16"/>
                <w:color w:val="auto"/>
              </w:rPr>
              <w:t>1</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581</w:t>
            </w:r>
          </w:p>
        </w:tc>
        <w:tc>
          <w:tcPr>
            <w:tcW w:w="1240" w:type="dxa"/>
            <w:vAlign w:val="bottom"/>
            <w:gridSpan w:val="2"/>
          </w:tcPr>
          <w:p>
            <w:pPr>
              <w:jc w:val="right"/>
              <w:ind w:right="102"/>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50"/>
        </w:trPr>
        <w:tc>
          <w:tcPr>
            <w:tcW w:w="5100" w:type="dxa"/>
            <w:vAlign w:val="bottom"/>
          </w:tcPr>
          <w:p>
            <w:pPr>
              <w:ind w:left="280"/>
              <w:spacing w:after="0"/>
              <w:rPr>
                <w:sz w:val="20"/>
                <w:szCs w:val="20"/>
                <w:color w:val="auto"/>
              </w:rPr>
            </w:pPr>
            <w:r>
              <w:rPr>
                <w:rFonts w:ascii="Arial" w:cs="Arial" w:eastAsia="Arial" w:hAnsi="Arial"/>
                <w:sz w:val="16"/>
                <w:szCs w:val="16"/>
                <w:color w:val="auto"/>
              </w:rPr>
              <w:t>Non-agency residential mortgage-backed securities</w:t>
            </w:r>
          </w:p>
        </w:tc>
        <w:tc>
          <w:tcPr>
            <w:tcW w:w="180" w:type="dxa"/>
            <w:vAlign w:val="bottom"/>
          </w:tcPr>
          <w:p>
            <w:pPr>
              <w:spacing w:after="0"/>
              <w:rPr>
                <w:sz w:val="21"/>
                <w:szCs w:val="21"/>
                <w:color w:val="auto"/>
              </w:rPr>
            </w:pPr>
          </w:p>
        </w:tc>
        <w:tc>
          <w:tcPr>
            <w:tcW w:w="1000" w:type="dxa"/>
            <w:vAlign w:val="bottom"/>
          </w:tcPr>
          <w:p>
            <w:pPr>
              <w:jc w:val="right"/>
              <w:ind w:right="2"/>
              <w:spacing w:after="0"/>
              <w:rPr>
                <w:sz w:val="20"/>
                <w:szCs w:val="20"/>
                <w:color w:val="auto"/>
              </w:rPr>
            </w:pPr>
            <w:r>
              <w:rPr>
                <w:rFonts w:ascii="Arial" w:cs="Arial" w:eastAsia="Arial" w:hAnsi="Arial"/>
                <w:sz w:val="16"/>
                <w:szCs w:val="16"/>
                <w:color w:val="auto"/>
              </w:rPr>
              <w:t>2,649</w:t>
            </w:r>
          </w:p>
        </w:tc>
        <w:tc>
          <w:tcPr>
            <w:tcW w:w="1220" w:type="dxa"/>
            <w:vAlign w:val="bottom"/>
            <w:gridSpan w:val="2"/>
          </w:tcPr>
          <w:p>
            <w:pPr>
              <w:jc w:val="right"/>
              <w:ind w:right="102"/>
              <w:spacing w:after="0"/>
              <w:rPr>
                <w:sz w:val="20"/>
                <w:szCs w:val="20"/>
                <w:color w:val="auto"/>
              </w:rPr>
            </w:pPr>
            <w:r>
              <w:rPr>
                <w:rFonts w:ascii="Arial" w:cs="Arial" w:eastAsia="Arial" w:hAnsi="Arial"/>
                <w:sz w:val="16"/>
                <w:szCs w:val="16"/>
                <w:color w:val="auto"/>
              </w:rPr>
              <w:t>4</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2,693</w:t>
            </w:r>
          </w:p>
        </w:tc>
        <w:tc>
          <w:tcPr>
            <w:tcW w:w="1240" w:type="dxa"/>
            <w:vAlign w:val="bottom"/>
            <w:gridSpan w:val="2"/>
          </w:tcPr>
          <w:p>
            <w:pPr>
              <w:jc w:val="right"/>
              <w:ind w:right="102"/>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50"/>
        </w:trPr>
        <w:tc>
          <w:tcPr>
            <w:tcW w:w="5100" w:type="dxa"/>
            <w:vAlign w:val="bottom"/>
          </w:tcPr>
          <w:p>
            <w:pPr>
              <w:ind w:left="280"/>
              <w:spacing w:after="0"/>
              <w:rPr>
                <w:sz w:val="20"/>
                <w:szCs w:val="20"/>
                <w:color w:val="auto"/>
              </w:rPr>
            </w:pPr>
            <w:r>
              <w:rPr>
                <w:rFonts w:ascii="Arial" w:cs="Arial" w:eastAsia="Arial" w:hAnsi="Arial"/>
                <w:sz w:val="16"/>
                <w:szCs w:val="16"/>
                <w:color w:val="auto"/>
              </w:rPr>
              <w:t>Commercial mortgage-backed securities (a)</w:t>
            </w:r>
          </w:p>
        </w:tc>
        <w:tc>
          <w:tcPr>
            <w:tcW w:w="180" w:type="dxa"/>
            <w:vAlign w:val="bottom"/>
          </w:tcPr>
          <w:p>
            <w:pPr>
              <w:spacing w:after="0"/>
              <w:rPr>
                <w:sz w:val="21"/>
                <w:szCs w:val="21"/>
                <w:color w:val="auto"/>
              </w:rPr>
            </w:pPr>
          </w:p>
        </w:tc>
        <w:tc>
          <w:tcPr>
            <w:tcW w:w="1000" w:type="dxa"/>
            <w:vAlign w:val="bottom"/>
          </w:tcPr>
          <w:p>
            <w:pPr>
              <w:jc w:val="right"/>
              <w:ind w:right="2"/>
              <w:spacing w:after="0"/>
              <w:rPr>
                <w:sz w:val="20"/>
                <w:szCs w:val="20"/>
                <w:color w:val="auto"/>
              </w:rPr>
            </w:pPr>
            <w:r>
              <w:rPr>
                <w:rFonts w:ascii="Arial" w:cs="Arial" w:eastAsia="Arial" w:hAnsi="Arial"/>
                <w:sz w:val="16"/>
                <w:szCs w:val="16"/>
                <w:color w:val="auto"/>
              </w:rPr>
              <w:t>5,155</w:t>
            </w:r>
          </w:p>
        </w:tc>
        <w:tc>
          <w:tcPr>
            <w:tcW w:w="1220" w:type="dxa"/>
            <w:vAlign w:val="bottom"/>
            <w:gridSpan w:val="2"/>
          </w:tcPr>
          <w:p>
            <w:pPr>
              <w:jc w:val="right"/>
              <w:ind w:right="102"/>
              <w:spacing w:after="0"/>
              <w:rPr>
                <w:sz w:val="20"/>
                <w:szCs w:val="20"/>
                <w:color w:val="auto"/>
              </w:rPr>
            </w:pPr>
            <w:r>
              <w:rPr>
                <w:rFonts w:ascii="Arial" w:cs="Arial" w:eastAsia="Arial" w:hAnsi="Arial"/>
                <w:sz w:val="16"/>
                <w:szCs w:val="16"/>
                <w:color w:val="auto"/>
              </w:rPr>
              <w:t>8</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5,131</w:t>
            </w:r>
          </w:p>
        </w:tc>
        <w:tc>
          <w:tcPr>
            <w:tcW w:w="1240" w:type="dxa"/>
            <w:vAlign w:val="bottom"/>
            <w:gridSpan w:val="2"/>
          </w:tcPr>
          <w:p>
            <w:pPr>
              <w:jc w:val="right"/>
              <w:ind w:right="102"/>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20"/>
        </w:trPr>
        <w:tc>
          <w:tcPr>
            <w:tcW w:w="5100" w:type="dxa"/>
            <w:vAlign w:val="bottom"/>
          </w:tcPr>
          <w:p>
            <w:pPr>
              <w:ind w:left="280"/>
              <w:spacing w:after="0"/>
              <w:rPr>
                <w:sz w:val="20"/>
                <w:szCs w:val="20"/>
                <w:color w:val="auto"/>
              </w:rPr>
            </w:pPr>
            <w:r>
              <w:rPr>
                <w:rFonts w:ascii="Arial" w:cs="Arial" w:eastAsia="Arial" w:hAnsi="Arial"/>
                <w:sz w:val="16"/>
                <w:szCs w:val="16"/>
                <w:color w:val="auto"/>
              </w:rPr>
              <w:t>Asset-backed securities ("ABS") (a)</w:t>
            </w:r>
          </w:p>
        </w:tc>
        <w:tc>
          <w:tcPr>
            <w:tcW w:w="180" w:type="dxa"/>
            <w:vAlign w:val="bottom"/>
          </w:tcPr>
          <w:p>
            <w:pPr>
              <w:spacing w:after="0"/>
              <w:rPr>
                <w:sz w:val="19"/>
                <w:szCs w:val="19"/>
                <w:color w:val="auto"/>
              </w:rPr>
            </w:pPr>
          </w:p>
        </w:tc>
        <w:tc>
          <w:tcPr>
            <w:tcW w:w="1000" w:type="dxa"/>
            <w:vAlign w:val="bottom"/>
          </w:tcPr>
          <w:p>
            <w:pPr>
              <w:jc w:val="right"/>
              <w:ind w:right="2"/>
              <w:spacing w:after="0"/>
              <w:rPr>
                <w:sz w:val="20"/>
                <w:szCs w:val="20"/>
                <w:color w:val="auto"/>
              </w:rPr>
            </w:pPr>
            <w:r>
              <w:rPr>
                <w:rFonts w:ascii="Arial" w:cs="Arial" w:eastAsia="Arial" w:hAnsi="Arial"/>
                <w:sz w:val="16"/>
                <w:szCs w:val="16"/>
                <w:color w:val="auto"/>
              </w:rPr>
              <w:t>7,842</w:t>
            </w:r>
          </w:p>
        </w:tc>
        <w:tc>
          <w:tcPr>
            <w:tcW w:w="1220" w:type="dxa"/>
            <w:vAlign w:val="bottom"/>
            <w:gridSpan w:val="2"/>
          </w:tcPr>
          <w:p>
            <w:pPr>
              <w:jc w:val="right"/>
              <w:ind w:right="102"/>
              <w:spacing w:after="0"/>
              <w:rPr>
                <w:sz w:val="20"/>
                <w:szCs w:val="20"/>
                <w:color w:val="auto"/>
              </w:rPr>
            </w:pPr>
            <w:r>
              <w:rPr>
                <w:rFonts w:ascii="Arial" w:cs="Arial" w:eastAsia="Arial" w:hAnsi="Arial"/>
                <w:sz w:val="16"/>
                <w:szCs w:val="16"/>
                <w:color w:val="auto"/>
              </w:rPr>
              <w:t>11</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10,270</w:t>
            </w:r>
          </w:p>
        </w:tc>
        <w:tc>
          <w:tcPr>
            <w:tcW w:w="1240" w:type="dxa"/>
            <w:vAlign w:val="bottom"/>
            <w:gridSpan w:val="2"/>
          </w:tcPr>
          <w:p>
            <w:pPr>
              <w:jc w:val="right"/>
              <w:ind w:right="102"/>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257"/>
        </w:trPr>
        <w:tc>
          <w:tcPr>
            <w:tcW w:w="5100" w:type="dxa"/>
            <w:vAlign w:val="bottom"/>
          </w:tcPr>
          <w:p>
            <w:pPr>
              <w:ind w:left="60"/>
              <w:spacing w:after="0"/>
              <w:rPr>
                <w:sz w:val="20"/>
                <w:szCs w:val="20"/>
                <w:color w:val="auto"/>
              </w:rPr>
            </w:pPr>
            <w:r>
              <w:rPr>
                <w:rFonts w:ascii="Arial" w:cs="Arial" w:eastAsia="Arial" w:hAnsi="Arial"/>
                <w:sz w:val="16"/>
                <w:szCs w:val="16"/>
                <w:color w:val="auto"/>
                <w:w w:val="96"/>
              </w:rPr>
              <w:t>Collateral loan obligations and loan backed-private obligations ("CLO") (a)</w:t>
            </w:r>
          </w:p>
        </w:tc>
        <w:tc>
          <w:tcPr>
            <w:tcW w:w="1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10,890</w:t>
            </w:r>
          </w:p>
        </w:tc>
        <w:tc>
          <w:tcPr>
            <w:tcW w:w="60" w:type="dxa"/>
            <w:vAlign w:val="bottom"/>
          </w:tcPr>
          <w:p>
            <w:pPr>
              <w:spacing w:after="0"/>
              <w:rPr>
                <w:sz w:val="22"/>
                <w:szCs w:val="22"/>
                <w:color w:val="auto"/>
              </w:rPr>
            </w:pPr>
          </w:p>
        </w:tc>
        <w:tc>
          <w:tcPr>
            <w:tcW w:w="1160" w:type="dxa"/>
            <w:vAlign w:val="bottom"/>
            <w:tcBorders>
              <w:bottom w:val="single" w:sz="8" w:color="auto"/>
            </w:tcBorders>
          </w:tcPr>
          <w:p>
            <w:pPr>
              <w:jc w:val="right"/>
              <w:ind w:right="102"/>
              <w:spacing w:after="0"/>
              <w:rPr>
                <w:sz w:val="20"/>
                <w:szCs w:val="20"/>
                <w:color w:val="auto"/>
              </w:rPr>
            </w:pPr>
            <w:r>
              <w:rPr>
                <w:rFonts w:ascii="Arial" w:cs="Arial" w:eastAsia="Arial" w:hAnsi="Arial"/>
                <w:sz w:val="16"/>
                <w:szCs w:val="16"/>
                <w:color w:val="auto"/>
              </w:rPr>
              <w:t>16</w:t>
            </w:r>
          </w:p>
        </w:tc>
        <w:tc>
          <w:tcPr>
            <w:tcW w:w="8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5,379</w:t>
            </w:r>
          </w:p>
        </w:tc>
        <w:tc>
          <w:tcPr>
            <w:tcW w:w="80" w:type="dxa"/>
            <w:vAlign w:val="bottom"/>
          </w:tcPr>
          <w:p>
            <w:pPr>
              <w:spacing w:after="0"/>
              <w:rPr>
                <w:sz w:val="22"/>
                <w:szCs w:val="22"/>
                <w:color w:val="auto"/>
              </w:rPr>
            </w:pPr>
          </w:p>
        </w:tc>
        <w:tc>
          <w:tcPr>
            <w:tcW w:w="1160" w:type="dxa"/>
            <w:vAlign w:val="bottom"/>
            <w:tcBorders>
              <w:bottom w:val="single" w:sz="8" w:color="auto"/>
            </w:tcBorders>
          </w:tcPr>
          <w:p>
            <w:pPr>
              <w:jc w:val="right"/>
              <w:ind w:right="102"/>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30"/>
        </w:trPr>
        <w:tc>
          <w:tcPr>
            <w:tcW w:w="5100" w:type="dxa"/>
            <w:vAlign w:val="bottom"/>
          </w:tcPr>
          <w:p>
            <w:pPr>
              <w:ind w:left="140"/>
              <w:spacing w:after="0"/>
              <w:rPr>
                <w:sz w:val="20"/>
                <w:szCs w:val="20"/>
                <w:color w:val="auto"/>
              </w:rPr>
            </w:pPr>
            <w:r>
              <w:rPr>
                <w:rFonts w:ascii="Arial" w:cs="Arial" w:eastAsia="Arial" w:hAnsi="Arial"/>
                <w:sz w:val="16"/>
                <w:szCs w:val="16"/>
                <w:b w:val="1"/>
                <w:bCs w:val="1"/>
                <w:color w:val="auto"/>
              </w:rPr>
              <w:t>Total fixed maturity available for sale securities</w:t>
            </w:r>
          </w:p>
        </w:tc>
        <w:tc>
          <w:tcPr>
            <w:tcW w:w="1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52,700</w:t>
            </w:r>
          </w:p>
        </w:tc>
        <w:tc>
          <w:tcPr>
            <w:tcW w:w="60" w:type="dxa"/>
            <w:vAlign w:val="bottom"/>
          </w:tcPr>
          <w:p>
            <w:pPr>
              <w:spacing w:after="0"/>
              <w:rPr>
                <w:sz w:val="19"/>
                <w:szCs w:val="19"/>
                <w:color w:val="auto"/>
              </w:rPr>
            </w:pPr>
          </w:p>
        </w:tc>
        <w:tc>
          <w:tcPr>
            <w:tcW w:w="1160" w:type="dxa"/>
            <w:vAlign w:val="bottom"/>
            <w:tcBorders>
              <w:bottom w:val="single" w:sz="8" w:color="auto"/>
            </w:tcBorders>
          </w:tcPr>
          <w:p>
            <w:pPr>
              <w:jc w:val="right"/>
              <w:ind w:right="102"/>
              <w:spacing w:after="0"/>
              <w:rPr>
                <w:sz w:val="20"/>
                <w:szCs w:val="20"/>
                <w:color w:val="auto"/>
              </w:rPr>
            </w:pPr>
            <w:r>
              <w:rPr>
                <w:rFonts w:ascii="Arial" w:cs="Arial" w:eastAsia="Arial" w:hAnsi="Arial"/>
                <w:sz w:val="16"/>
                <w:szCs w:val="16"/>
                <w:color w:val="auto"/>
              </w:rPr>
              <w:t>77</w:t>
            </w:r>
          </w:p>
        </w:tc>
        <w:tc>
          <w:tcPr>
            <w:tcW w:w="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46,317</w:t>
            </w:r>
          </w:p>
        </w:tc>
        <w:tc>
          <w:tcPr>
            <w:tcW w:w="80" w:type="dxa"/>
            <w:vAlign w:val="bottom"/>
          </w:tcPr>
          <w:p>
            <w:pPr>
              <w:spacing w:after="0"/>
              <w:rPr>
                <w:sz w:val="19"/>
                <w:szCs w:val="19"/>
                <w:color w:val="auto"/>
              </w:rPr>
            </w:pPr>
          </w:p>
        </w:tc>
        <w:tc>
          <w:tcPr>
            <w:tcW w:w="1160" w:type="dxa"/>
            <w:vAlign w:val="bottom"/>
            <w:tcBorders>
              <w:bottom w:val="single" w:sz="8" w:color="auto"/>
            </w:tcBorders>
          </w:tcPr>
          <w:p>
            <w:pPr>
              <w:jc w:val="right"/>
              <w:ind w:right="102"/>
              <w:spacing w:after="0"/>
              <w:rPr>
                <w:sz w:val="20"/>
                <w:szCs w:val="20"/>
                <w:color w:val="auto"/>
              </w:rPr>
            </w:pPr>
            <w:r>
              <w:rPr>
                <w:rFonts w:ascii="Arial" w:cs="Arial" w:eastAsia="Arial" w:hAnsi="Arial"/>
                <w:sz w:val="16"/>
                <w:szCs w:val="16"/>
                <w:color w:val="auto"/>
              </w:rPr>
              <w:t>77</w:t>
            </w:r>
          </w:p>
        </w:tc>
        <w:tc>
          <w:tcPr>
            <w:tcW w:w="0" w:type="dxa"/>
            <w:vAlign w:val="bottom"/>
          </w:tcPr>
          <w:p>
            <w:pPr>
              <w:spacing w:after="0"/>
              <w:rPr>
                <w:sz w:val="1"/>
                <w:szCs w:val="1"/>
                <w:color w:val="auto"/>
              </w:rPr>
            </w:pPr>
          </w:p>
        </w:tc>
      </w:tr>
      <w:tr>
        <w:trPr>
          <w:trHeight w:val="223"/>
        </w:trPr>
        <w:tc>
          <w:tcPr>
            <w:tcW w:w="5100" w:type="dxa"/>
            <w:vAlign w:val="bottom"/>
          </w:tcPr>
          <w:p>
            <w:pPr>
              <w:spacing w:after="0"/>
              <w:rPr>
                <w:sz w:val="20"/>
                <w:szCs w:val="20"/>
                <w:color w:val="auto"/>
              </w:rPr>
            </w:pPr>
            <w:r>
              <w:rPr>
                <w:rFonts w:ascii="Arial" w:cs="Arial" w:eastAsia="Arial" w:hAnsi="Arial"/>
                <w:sz w:val="16"/>
                <w:szCs w:val="16"/>
                <w:color w:val="auto"/>
              </w:rPr>
              <w:t>Equity securities (b)</w:t>
            </w:r>
          </w:p>
        </w:tc>
        <w:tc>
          <w:tcPr>
            <w:tcW w:w="180" w:type="dxa"/>
            <w:vAlign w:val="bottom"/>
          </w:tcPr>
          <w:p>
            <w:pPr>
              <w:spacing w:after="0"/>
              <w:rPr>
                <w:sz w:val="19"/>
                <w:szCs w:val="19"/>
                <w:color w:val="auto"/>
              </w:rPr>
            </w:pPr>
          </w:p>
        </w:tc>
        <w:tc>
          <w:tcPr>
            <w:tcW w:w="1000" w:type="dxa"/>
            <w:vAlign w:val="bottom"/>
          </w:tcPr>
          <w:p>
            <w:pPr>
              <w:jc w:val="right"/>
              <w:ind w:right="2"/>
              <w:spacing w:after="0"/>
              <w:rPr>
                <w:sz w:val="20"/>
                <w:szCs w:val="20"/>
                <w:color w:val="auto"/>
              </w:rPr>
            </w:pPr>
            <w:r>
              <w:rPr>
                <w:rFonts w:ascii="Arial" w:cs="Arial" w:eastAsia="Arial" w:hAnsi="Arial"/>
                <w:sz w:val="16"/>
                <w:szCs w:val="16"/>
                <w:color w:val="auto"/>
              </w:rPr>
              <w:t>341</w:t>
            </w:r>
          </w:p>
        </w:tc>
        <w:tc>
          <w:tcPr>
            <w:tcW w:w="1220" w:type="dxa"/>
            <w:vAlign w:val="bottom"/>
            <w:gridSpan w:val="2"/>
          </w:tcPr>
          <w:p>
            <w:pPr>
              <w:jc w:val="right"/>
              <w:ind w:right="102"/>
              <w:spacing w:after="0"/>
              <w:rPr>
                <w:sz w:val="20"/>
                <w:szCs w:val="20"/>
                <w:color w:val="auto"/>
              </w:rPr>
            </w:pPr>
            <w:r>
              <w:rPr>
                <w:rFonts w:ascii="Arial" w:cs="Arial" w:eastAsia="Arial" w:hAnsi="Arial"/>
                <w:sz w:val="16"/>
                <w:szCs w:val="16"/>
                <w:color w:val="auto"/>
              </w:rPr>
              <w:t>1</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415</w:t>
            </w:r>
          </w:p>
        </w:tc>
        <w:tc>
          <w:tcPr>
            <w:tcW w:w="1240" w:type="dxa"/>
            <w:vAlign w:val="bottom"/>
            <w:gridSpan w:val="2"/>
          </w:tcPr>
          <w:p>
            <w:pPr>
              <w:jc w:val="right"/>
              <w:ind w:right="102"/>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50"/>
        </w:trPr>
        <w:tc>
          <w:tcPr>
            <w:tcW w:w="5100" w:type="dxa"/>
            <w:vAlign w:val="bottom"/>
          </w:tcPr>
          <w:p>
            <w:pPr>
              <w:spacing w:after="0"/>
              <w:rPr>
                <w:sz w:val="20"/>
                <w:szCs w:val="20"/>
                <w:color w:val="auto"/>
              </w:rPr>
            </w:pPr>
            <w:r>
              <w:rPr>
                <w:rFonts w:ascii="Arial" w:cs="Arial" w:eastAsia="Arial" w:hAnsi="Arial"/>
                <w:sz w:val="16"/>
                <w:szCs w:val="16"/>
                <w:color w:val="auto"/>
              </w:rPr>
              <w:t>Limited partnerships:</w:t>
            </w:r>
          </w:p>
        </w:tc>
        <w:tc>
          <w:tcPr>
            <w:tcW w:w="1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100" w:type="dxa"/>
            <w:vAlign w:val="bottom"/>
          </w:tcPr>
          <w:p>
            <w:pPr>
              <w:ind w:left="240"/>
              <w:spacing w:after="0"/>
              <w:rPr>
                <w:sz w:val="20"/>
                <w:szCs w:val="20"/>
                <w:color w:val="auto"/>
              </w:rPr>
            </w:pPr>
            <w:r>
              <w:rPr>
                <w:rFonts w:ascii="Arial" w:cs="Arial" w:eastAsia="Arial" w:hAnsi="Arial"/>
                <w:sz w:val="16"/>
                <w:szCs w:val="16"/>
                <w:color w:val="auto"/>
              </w:rPr>
              <w:t>Private equity</w:t>
            </w:r>
          </w:p>
        </w:tc>
        <w:tc>
          <w:tcPr>
            <w:tcW w:w="180" w:type="dxa"/>
            <w:vAlign w:val="bottom"/>
          </w:tcPr>
          <w:p>
            <w:pPr>
              <w:spacing w:after="0"/>
              <w:rPr>
                <w:sz w:val="21"/>
                <w:szCs w:val="21"/>
                <w:color w:val="auto"/>
              </w:rPr>
            </w:pPr>
          </w:p>
        </w:tc>
        <w:tc>
          <w:tcPr>
            <w:tcW w:w="1000" w:type="dxa"/>
            <w:vAlign w:val="bottom"/>
          </w:tcPr>
          <w:p>
            <w:pPr>
              <w:jc w:val="right"/>
              <w:ind w:right="2"/>
              <w:spacing w:after="0"/>
              <w:rPr>
                <w:sz w:val="20"/>
                <w:szCs w:val="20"/>
                <w:color w:val="auto"/>
              </w:rPr>
            </w:pPr>
            <w:r>
              <w:rPr>
                <w:rFonts w:ascii="Arial" w:cs="Arial" w:eastAsia="Arial" w:hAnsi="Arial"/>
                <w:sz w:val="16"/>
                <w:szCs w:val="16"/>
                <w:color w:val="auto"/>
              </w:rPr>
              <w:t>2,079</w:t>
            </w:r>
          </w:p>
        </w:tc>
        <w:tc>
          <w:tcPr>
            <w:tcW w:w="1220" w:type="dxa"/>
            <w:vAlign w:val="bottom"/>
            <w:gridSpan w:val="2"/>
          </w:tcPr>
          <w:p>
            <w:pPr>
              <w:jc w:val="right"/>
              <w:ind w:right="102"/>
              <w:spacing w:after="0"/>
              <w:rPr>
                <w:sz w:val="20"/>
                <w:szCs w:val="20"/>
                <w:color w:val="auto"/>
              </w:rPr>
            </w:pPr>
            <w:r>
              <w:rPr>
                <w:rFonts w:ascii="Arial" w:cs="Arial" w:eastAsia="Arial" w:hAnsi="Arial"/>
                <w:sz w:val="16"/>
                <w:szCs w:val="16"/>
                <w:color w:val="auto"/>
              </w:rPr>
              <w:t>3</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1,830</w:t>
            </w:r>
          </w:p>
        </w:tc>
        <w:tc>
          <w:tcPr>
            <w:tcW w:w="1240" w:type="dxa"/>
            <w:vAlign w:val="bottom"/>
            <w:gridSpan w:val="2"/>
          </w:tcPr>
          <w:p>
            <w:pPr>
              <w:jc w:val="right"/>
              <w:ind w:right="102"/>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50"/>
        </w:trPr>
        <w:tc>
          <w:tcPr>
            <w:tcW w:w="5100" w:type="dxa"/>
            <w:vAlign w:val="bottom"/>
          </w:tcPr>
          <w:p>
            <w:pPr>
              <w:ind w:left="240"/>
              <w:spacing w:after="0"/>
              <w:rPr>
                <w:sz w:val="20"/>
                <w:szCs w:val="20"/>
                <w:color w:val="auto"/>
              </w:rPr>
            </w:pPr>
            <w:r>
              <w:rPr>
                <w:rFonts w:ascii="Arial" w:cs="Arial" w:eastAsia="Arial" w:hAnsi="Arial"/>
                <w:sz w:val="16"/>
                <w:szCs w:val="16"/>
                <w:color w:val="auto"/>
              </w:rPr>
              <w:t>Real assets</w:t>
            </w:r>
          </w:p>
        </w:tc>
        <w:tc>
          <w:tcPr>
            <w:tcW w:w="180" w:type="dxa"/>
            <w:vAlign w:val="bottom"/>
          </w:tcPr>
          <w:p>
            <w:pPr>
              <w:spacing w:after="0"/>
              <w:rPr>
                <w:sz w:val="21"/>
                <w:szCs w:val="21"/>
                <w:color w:val="auto"/>
              </w:rPr>
            </w:pPr>
          </w:p>
        </w:tc>
        <w:tc>
          <w:tcPr>
            <w:tcW w:w="1000" w:type="dxa"/>
            <w:vAlign w:val="bottom"/>
          </w:tcPr>
          <w:p>
            <w:pPr>
              <w:jc w:val="right"/>
              <w:ind w:right="2"/>
              <w:spacing w:after="0"/>
              <w:rPr>
                <w:sz w:val="20"/>
                <w:szCs w:val="20"/>
                <w:color w:val="auto"/>
              </w:rPr>
            </w:pPr>
            <w:r>
              <w:rPr>
                <w:rFonts w:ascii="Arial" w:cs="Arial" w:eastAsia="Arial" w:hAnsi="Arial"/>
                <w:sz w:val="16"/>
                <w:szCs w:val="16"/>
                <w:color w:val="auto"/>
              </w:rPr>
              <w:t>886</w:t>
            </w:r>
          </w:p>
        </w:tc>
        <w:tc>
          <w:tcPr>
            <w:tcW w:w="1220" w:type="dxa"/>
            <w:vAlign w:val="bottom"/>
            <w:gridSpan w:val="2"/>
          </w:tcPr>
          <w:p>
            <w:pPr>
              <w:jc w:val="right"/>
              <w:ind w:right="102"/>
              <w:spacing w:after="0"/>
              <w:rPr>
                <w:sz w:val="20"/>
                <w:szCs w:val="20"/>
                <w:color w:val="auto"/>
              </w:rPr>
            </w:pPr>
            <w:r>
              <w:rPr>
                <w:rFonts w:ascii="Arial" w:cs="Arial" w:eastAsia="Arial" w:hAnsi="Arial"/>
                <w:sz w:val="16"/>
                <w:szCs w:val="16"/>
                <w:color w:val="auto"/>
              </w:rPr>
              <w:t>1</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437</w:t>
            </w:r>
          </w:p>
        </w:tc>
        <w:tc>
          <w:tcPr>
            <w:tcW w:w="1240" w:type="dxa"/>
            <w:vAlign w:val="bottom"/>
            <w:gridSpan w:val="2"/>
          </w:tcPr>
          <w:p>
            <w:pPr>
              <w:jc w:val="right"/>
              <w:ind w:right="102"/>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57"/>
        </w:trPr>
        <w:tc>
          <w:tcPr>
            <w:tcW w:w="5100" w:type="dxa"/>
            <w:vAlign w:val="bottom"/>
          </w:tcPr>
          <w:p>
            <w:pPr>
              <w:ind w:left="240"/>
              <w:spacing w:after="0"/>
              <w:rPr>
                <w:sz w:val="20"/>
                <w:szCs w:val="20"/>
                <w:color w:val="auto"/>
              </w:rPr>
            </w:pPr>
            <w:r>
              <w:rPr>
                <w:rFonts w:ascii="Arial" w:cs="Arial" w:eastAsia="Arial" w:hAnsi="Arial"/>
                <w:sz w:val="16"/>
                <w:szCs w:val="16"/>
                <w:color w:val="auto"/>
              </w:rPr>
              <w:t>Credit</w:t>
            </w:r>
          </w:p>
        </w:tc>
        <w:tc>
          <w:tcPr>
            <w:tcW w:w="1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1,643</w:t>
            </w:r>
          </w:p>
        </w:tc>
        <w:tc>
          <w:tcPr>
            <w:tcW w:w="60" w:type="dxa"/>
            <w:vAlign w:val="bottom"/>
          </w:tcPr>
          <w:p>
            <w:pPr>
              <w:spacing w:after="0"/>
              <w:rPr>
                <w:sz w:val="22"/>
                <w:szCs w:val="22"/>
                <w:color w:val="auto"/>
              </w:rPr>
            </w:pPr>
          </w:p>
        </w:tc>
        <w:tc>
          <w:tcPr>
            <w:tcW w:w="1160" w:type="dxa"/>
            <w:vAlign w:val="bottom"/>
            <w:tcBorders>
              <w:bottom w:val="single" w:sz="8" w:color="auto"/>
            </w:tcBorders>
          </w:tcPr>
          <w:p>
            <w:pPr>
              <w:jc w:val="right"/>
              <w:ind w:right="102"/>
              <w:spacing w:after="0"/>
              <w:rPr>
                <w:sz w:val="20"/>
                <w:szCs w:val="20"/>
                <w:color w:val="auto"/>
              </w:rPr>
            </w:pPr>
            <w:r>
              <w:rPr>
                <w:rFonts w:ascii="Arial" w:cs="Arial" w:eastAsia="Arial" w:hAnsi="Arial"/>
                <w:sz w:val="16"/>
                <w:szCs w:val="16"/>
                <w:color w:val="auto"/>
              </w:rPr>
              <w:t>2</w:t>
            </w:r>
          </w:p>
        </w:tc>
        <w:tc>
          <w:tcPr>
            <w:tcW w:w="8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1,021</w:t>
            </w:r>
          </w:p>
        </w:tc>
        <w:tc>
          <w:tcPr>
            <w:tcW w:w="80" w:type="dxa"/>
            <w:vAlign w:val="bottom"/>
          </w:tcPr>
          <w:p>
            <w:pPr>
              <w:spacing w:after="0"/>
              <w:rPr>
                <w:sz w:val="22"/>
                <w:szCs w:val="22"/>
                <w:color w:val="auto"/>
              </w:rPr>
            </w:pPr>
          </w:p>
        </w:tc>
        <w:tc>
          <w:tcPr>
            <w:tcW w:w="1160" w:type="dxa"/>
            <w:vAlign w:val="bottom"/>
            <w:tcBorders>
              <w:bottom w:val="single" w:sz="8" w:color="auto"/>
            </w:tcBorders>
          </w:tcPr>
          <w:p>
            <w:pPr>
              <w:jc w:val="right"/>
              <w:ind w:right="102"/>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30"/>
        </w:trPr>
        <w:tc>
          <w:tcPr>
            <w:tcW w:w="5100" w:type="dxa"/>
            <w:vAlign w:val="bottom"/>
          </w:tcPr>
          <w:p>
            <w:pPr>
              <w:ind w:left="140"/>
              <w:spacing w:after="0"/>
              <w:rPr>
                <w:sz w:val="20"/>
                <w:szCs w:val="20"/>
                <w:color w:val="auto"/>
              </w:rPr>
            </w:pPr>
            <w:r>
              <w:rPr>
                <w:rFonts w:ascii="Arial" w:cs="Arial" w:eastAsia="Arial" w:hAnsi="Arial"/>
                <w:sz w:val="16"/>
                <w:szCs w:val="16"/>
                <w:b w:val="1"/>
                <w:bCs w:val="1"/>
                <w:color w:val="auto"/>
              </w:rPr>
              <w:t>Limited partnerships</w:t>
            </w:r>
          </w:p>
        </w:tc>
        <w:tc>
          <w:tcPr>
            <w:tcW w:w="1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4,608</w:t>
            </w:r>
          </w:p>
        </w:tc>
        <w:tc>
          <w:tcPr>
            <w:tcW w:w="60" w:type="dxa"/>
            <w:vAlign w:val="bottom"/>
          </w:tcPr>
          <w:p>
            <w:pPr>
              <w:spacing w:after="0"/>
              <w:rPr>
                <w:sz w:val="19"/>
                <w:szCs w:val="19"/>
                <w:color w:val="auto"/>
              </w:rPr>
            </w:pPr>
          </w:p>
        </w:tc>
        <w:tc>
          <w:tcPr>
            <w:tcW w:w="1160" w:type="dxa"/>
            <w:vAlign w:val="bottom"/>
            <w:tcBorders>
              <w:bottom w:val="single" w:sz="8" w:color="auto"/>
            </w:tcBorders>
          </w:tcPr>
          <w:p>
            <w:pPr>
              <w:jc w:val="right"/>
              <w:ind w:right="102"/>
              <w:spacing w:after="0"/>
              <w:rPr>
                <w:sz w:val="20"/>
                <w:szCs w:val="20"/>
                <w:color w:val="auto"/>
              </w:rPr>
            </w:pPr>
            <w:r>
              <w:rPr>
                <w:rFonts w:ascii="Arial" w:cs="Arial" w:eastAsia="Arial" w:hAnsi="Arial"/>
                <w:sz w:val="16"/>
                <w:szCs w:val="16"/>
                <w:color w:val="auto"/>
              </w:rPr>
              <w:t>6</w:t>
            </w:r>
          </w:p>
        </w:tc>
        <w:tc>
          <w:tcPr>
            <w:tcW w:w="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3,288</w:t>
            </w:r>
          </w:p>
        </w:tc>
        <w:tc>
          <w:tcPr>
            <w:tcW w:w="80" w:type="dxa"/>
            <w:vAlign w:val="bottom"/>
          </w:tcPr>
          <w:p>
            <w:pPr>
              <w:spacing w:after="0"/>
              <w:rPr>
                <w:sz w:val="19"/>
                <w:szCs w:val="19"/>
                <w:color w:val="auto"/>
              </w:rPr>
            </w:pPr>
          </w:p>
        </w:tc>
        <w:tc>
          <w:tcPr>
            <w:tcW w:w="1160" w:type="dxa"/>
            <w:vAlign w:val="bottom"/>
            <w:tcBorders>
              <w:bottom w:val="single" w:sz="8" w:color="auto"/>
            </w:tcBorders>
          </w:tcPr>
          <w:p>
            <w:pPr>
              <w:jc w:val="right"/>
              <w:ind w:right="102"/>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23"/>
        </w:trPr>
        <w:tc>
          <w:tcPr>
            <w:tcW w:w="5100" w:type="dxa"/>
            <w:vAlign w:val="bottom"/>
          </w:tcPr>
          <w:p>
            <w:pPr>
              <w:spacing w:after="0"/>
              <w:rPr>
                <w:sz w:val="20"/>
                <w:szCs w:val="20"/>
                <w:color w:val="auto"/>
              </w:rPr>
            </w:pPr>
            <w:r>
              <w:rPr>
                <w:rFonts w:ascii="Arial" w:cs="Arial" w:eastAsia="Arial" w:hAnsi="Arial"/>
                <w:sz w:val="16"/>
                <w:szCs w:val="16"/>
                <w:color w:val="auto"/>
              </w:rPr>
              <w:t>Commercial mortgage loans</w:t>
            </w:r>
          </w:p>
        </w:tc>
        <w:tc>
          <w:tcPr>
            <w:tcW w:w="180" w:type="dxa"/>
            <w:vAlign w:val="bottom"/>
          </w:tcPr>
          <w:p>
            <w:pPr>
              <w:spacing w:after="0"/>
              <w:rPr>
                <w:sz w:val="19"/>
                <w:szCs w:val="19"/>
                <w:color w:val="auto"/>
              </w:rPr>
            </w:pPr>
          </w:p>
        </w:tc>
        <w:tc>
          <w:tcPr>
            <w:tcW w:w="1000" w:type="dxa"/>
            <w:vAlign w:val="bottom"/>
          </w:tcPr>
          <w:p>
            <w:pPr>
              <w:jc w:val="right"/>
              <w:ind w:right="2"/>
              <w:spacing w:after="0"/>
              <w:rPr>
                <w:sz w:val="20"/>
                <w:szCs w:val="20"/>
                <w:color w:val="auto"/>
              </w:rPr>
            </w:pPr>
            <w:r>
              <w:rPr>
                <w:rFonts w:ascii="Arial" w:cs="Arial" w:eastAsia="Arial" w:hAnsi="Arial"/>
                <w:sz w:val="16"/>
                <w:szCs w:val="16"/>
                <w:color w:val="auto"/>
              </w:rPr>
              <w:t>3,025</w:t>
            </w:r>
          </w:p>
        </w:tc>
        <w:tc>
          <w:tcPr>
            <w:tcW w:w="1220" w:type="dxa"/>
            <w:vAlign w:val="bottom"/>
            <w:gridSpan w:val="2"/>
          </w:tcPr>
          <w:p>
            <w:pPr>
              <w:jc w:val="right"/>
              <w:ind w:right="102"/>
              <w:spacing w:after="0"/>
              <w:rPr>
                <w:sz w:val="20"/>
                <w:szCs w:val="20"/>
                <w:color w:val="auto"/>
              </w:rPr>
            </w:pPr>
            <w:r>
              <w:rPr>
                <w:rFonts w:ascii="Arial" w:cs="Arial" w:eastAsia="Arial" w:hAnsi="Arial"/>
                <w:sz w:val="16"/>
                <w:szCs w:val="16"/>
                <w:color w:val="auto"/>
              </w:rPr>
              <w:t>4</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2,404</w:t>
            </w:r>
          </w:p>
        </w:tc>
        <w:tc>
          <w:tcPr>
            <w:tcW w:w="1240" w:type="dxa"/>
            <w:vAlign w:val="bottom"/>
            <w:gridSpan w:val="2"/>
          </w:tcPr>
          <w:p>
            <w:pPr>
              <w:jc w:val="right"/>
              <w:ind w:right="102"/>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50"/>
        </w:trPr>
        <w:tc>
          <w:tcPr>
            <w:tcW w:w="5100" w:type="dxa"/>
            <w:vAlign w:val="bottom"/>
          </w:tcPr>
          <w:p>
            <w:pPr>
              <w:spacing w:after="0"/>
              <w:rPr>
                <w:sz w:val="20"/>
                <w:szCs w:val="20"/>
                <w:color w:val="auto"/>
              </w:rPr>
            </w:pPr>
            <w:r>
              <w:rPr>
                <w:rFonts w:ascii="Arial" w:cs="Arial" w:eastAsia="Arial" w:hAnsi="Arial"/>
                <w:sz w:val="16"/>
                <w:szCs w:val="16"/>
                <w:color w:val="auto"/>
              </w:rPr>
              <w:t>Residential mortgage loans</w:t>
            </w:r>
          </w:p>
        </w:tc>
        <w:tc>
          <w:tcPr>
            <w:tcW w:w="180" w:type="dxa"/>
            <w:vAlign w:val="bottom"/>
          </w:tcPr>
          <w:p>
            <w:pPr>
              <w:spacing w:after="0"/>
              <w:rPr>
                <w:sz w:val="21"/>
                <w:szCs w:val="21"/>
                <w:color w:val="auto"/>
              </w:rPr>
            </w:pPr>
          </w:p>
        </w:tc>
        <w:tc>
          <w:tcPr>
            <w:tcW w:w="1000" w:type="dxa"/>
            <w:vAlign w:val="bottom"/>
          </w:tcPr>
          <w:p>
            <w:pPr>
              <w:jc w:val="right"/>
              <w:ind w:right="2"/>
              <w:spacing w:after="0"/>
              <w:rPr>
                <w:sz w:val="20"/>
                <w:szCs w:val="20"/>
                <w:color w:val="auto"/>
              </w:rPr>
            </w:pPr>
            <w:r>
              <w:rPr>
                <w:rFonts w:ascii="Arial" w:cs="Arial" w:eastAsia="Arial" w:hAnsi="Arial"/>
                <w:sz w:val="16"/>
                <w:szCs w:val="16"/>
                <w:color w:val="auto"/>
              </w:rPr>
              <w:t>4,424</w:t>
            </w:r>
          </w:p>
        </w:tc>
        <w:tc>
          <w:tcPr>
            <w:tcW w:w="1220" w:type="dxa"/>
            <w:vAlign w:val="bottom"/>
            <w:gridSpan w:val="2"/>
          </w:tcPr>
          <w:p>
            <w:pPr>
              <w:jc w:val="right"/>
              <w:ind w:right="102"/>
              <w:spacing w:after="0"/>
              <w:rPr>
                <w:sz w:val="20"/>
                <w:szCs w:val="20"/>
                <w:color w:val="auto"/>
              </w:rPr>
            </w:pPr>
            <w:r>
              <w:rPr>
                <w:rFonts w:ascii="Arial" w:cs="Arial" w:eastAsia="Arial" w:hAnsi="Arial"/>
                <w:sz w:val="16"/>
                <w:szCs w:val="16"/>
                <w:color w:val="auto"/>
              </w:rPr>
              <w:t>6</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2,916</w:t>
            </w:r>
          </w:p>
        </w:tc>
        <w:tc>
          <w:tcPr>
            <w:tcW w:w="1240" w:type="dxa"/>
            <w:vAlign w:val="bottom"/>
            <w:gridSpan w:val="2"/>
          </w:tcPr>
          <w:p>
            <w:pPr>
              <w:jc w:val="right"/>
              <w:ind w:right="102"/>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82"/>
        </w:trPr>
        <w:tc>
          <w:tcPr>
            <w:tcW w:w="5100" w:type="dxa"/>
            <w:vAlign w:val="bottom"/>
          </w:tcPr>
          <w:p>
            <w:pPr>
              <w:spacing w:after="0"/>
              <w:rPr>
                <w:sz w:val="20"/>
                <w:szCs w:val="20"/>
                <w:color w:val="auto"/>
              </w:rPr>
            </w:pPr>
            <w:r>
              <w:rPr>
                <w:rFonts w:ascii="Arial" w:cs="Arial" w:eastAsia="Arial" w:hAnsi="Arial"/>
                <w:sz w:val="16"/>
                <w:szCs w:val="16"/>
                <w:color w:val="auto"/>
                <w:w w:val="90"/>
              </w:rPr>
              <w:t>Other (primarily derivatives, company owned life insurance and unconsolidated</w:t>
            </w:r>
          </w:p>
        </w:tc>
        <w:tc>
          <w:tcPr>
            <w:tcW w:w="180" w:type="dxa"/>
            <w:vAlign w:val="bottom"/>
          </w:tcPr>
          <w:p>
            <w:pPr>
              <w:spacing w:after="0"/>
              <w:rPr>
                <w:sz w:val="24"/>
                <w:szCs w:val="24"/>
                <w:color w:val="auto"/>
              </w:rPr>
            </w:pPr>
          </w:p>
        </w:tc>
        <w:tc>
          <w:tcPr>
            <w:tcW w:w="1000" w:type="dxa"/>
            <w:vAlign w:val="bottom"/>
            <w:vMerge w:val="restart"/>
          </w:tcPr>
          <w:p>
            <w:pPr>
              <w:jc w:val="right"/>
              <w:ind w:right="2"/>
              <w:spacing w:after="0"/>
              <w:rPr>
                <w:sz w:val="20"/>
                <w:szCs w:val="20"/>
                <w:color w:val="auto"/>
              </w:rPr>
            </w:pPr>
            <w:r>
              <w:rPr>
                <w:rFonts w:ascii="Arial" w:cs="Arial" w:eastAsia="Arial" w:hAnsi="Arial"/>
                <w:sz w:val="16"/>
                <w:szCs w:val="16"/>
                <w:color w:val="auto"/>
              </w:rPr>
              <w:t>2,859</w:t>
            </w:r>
          </w:p>
        </w:tc>
        <w:tc>
          <w:tcPr>
            <w:tcW w:w="1220" w:type="dxa"/>
            <w:vAlign w:val="bottom"/>
            <w:gridSpan w:val="2"/>
            <w:vMerge w:val="restart"/>
          </w:tcPr>
          <w:p>
            <w:pPr>
              <w:jc w:val="right"/>
              <w:ind w:right="102"/>
              <w:spacing w:after="0"/>
              <w:rPr>
                <w:sz w:val="20"/>
                <w:szCs w:val="20"/>
                <w:color w:val="auto"/>
              </w:rPr>
            </w:pPr>
            <w:r>
              <w:rPr>
                <w:rFonts w:ascii="Arial" w:cs="Arial" w:eastAsia="Arial" w:hAnsi="Arial"/>
                <w:sz w:val="16"/>
                <w:szCs w:val="16"/>
                <w:color w:val="auto"/>
              </w:rPr>
              <w:t>4</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vMerge w:val="restart"/>
          </w:tcPr>
          <w:p>
            <w:pPr>
              <w:jc w:val="right"/>
              <w:spacing w:after="0"/>
              <w:rPr>
                <w:sz w:val="20"/>
                <w:szCs w:val="20"/>
                <w:color w:val="auto"/>
              </w:rPr>
            </w:pPr>
            <w:r>
              <w:rPr>
                <w:rFonts w:ascii="Arial" w:cs="Arial" w:eastAsia="Arial" w:hAnsi="Arial"/>
                <w:sz w:val="16"/>
                <w:szCs w:val="16"/>
                <w:color w:val="auto"/>
              </w:rPr>
              <w:t>1,753</w:t>
            </w:r>
          </w:p>
        </w:tc>
        <w:tc>
          <w:tcPr>
            <w:tcW w:w="1240" w:type="dxa"/>
            <w:vAlign w:val="bottom"/>
            <w:gridSpan w:val="2"/>
            <w:vMerge w:val="restart"/>
          </w:tcPr>
          <w:p>
            <w:pPr>
              <w:jc w:val="right"/>
              <w:ind w:right="102"/>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04"/>
        </w:trPr>
        <w:tc>
          <w:tcPr>
            <w:tcW w:w="5100" w:type="dxa"/>
            <w:vAlign w:val="bottom"/>
          </w:tcPr>
          <w:p>
            <w:pPr>
              <w:spacing w:after="0"/>
              <w:rPr>
                <w:sz w:val="20"/>
                <w:szCs w:val="20"/>
                <w:color w:val="auto"/>
              </w:rPr>
            </w:pPr>
            <w:r>
              <w:rPr>
                <w:rFonts w:ascii="Arial" w:cs="Arial" w:eastAsia="Arial" w:hAnsi="Arial"/>
                <w:sz w:val="16"/>
                <w:szCs w:val="16"/>
                <w:color w:val="auto"/>
              </w:rPr>
              <w:t>owned distribution investments)</w:t>
            </w:r>
          </w:p>
        </w:tc>
        <w:tc>
          <w:tcPr>
            <w:tcW w:w="180" w:type="dxa"/>
            <w:vAlign w:val="bottom"/>
          </w:tcPr>
          <w:p>
            <w:pPr>
              <w:spacing w:after="0"/>
              <w:rPr>
                <w:sz w:val="17"/>
                <w:szCs w:val="17"/>
                <w:color w:val="auto"/>
              </w:rPr>
            </w:pPr>
          </w:p>
        </w:tc>
        <w:tc>
          <w:tcPr>
            <w:tcW w:w="1000" w:type="dxa"/>
            <w:vAlign w:val="bottom"/>
            <w:vMerge w:val="continue"/>
          </w:tcPr>
          <w:p>
            <w:pPr>
              <w:spacing w:after="0"/>
              <w:rPr>
                <w:sz w:val="17"/>
                <w:szCs w:val="17"/>
                <w:color w:val="auto"/>
              </w:rPr>
            </w:pPr>
          </w:p>
        </w:tc>
        <w:tc>
          <w:tcPr>
            <w:tcW w:w="1220" w:type="dxa"/>
            <w:vAlign w:val="bottom"/>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vMerge w:val="continue"/>
          </w:tcPr>
          <w:p>
            <w:pPr>
              <w:spacing w:after="0"/>
              <w:rPr>
                <w:sz w:val="17"/>
                <w:szCs w:val="17"/>
                <w:color w:val="auto"/>
              </w:rPr>
            </w:pPr>
          </w:p>
        </w:tc>
        <w:tc>
          <w:tcPr>
            <w:tcW w:w="124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5100" w:type="dxa"/>
            <w:vAlign w:val="bottom"/>
          </w:tcPr>
          <w:p>
            <w:pPr>
              <w:spacing w:after="0"/>
              <w:rPr>
                <w:sz w:val="20"/>
                <w:szCs w:val="20"/>
                <w:color w:val="auto"/>
              </w:rPr>
            </w:pPr>
            <w:r>
              <w:rPr>
                <w:rFonts w:ascii="Arial" w:cs="Arial" w:eastAsia="Arial" w:hAnsi="Arial"/>
                <w:sz w:val="16"/>
                <w:szCs w:val="16"/>
                <w:color w:val="auto"/>
              </w:rPr>
              <w:t>Short term investments</w:t>
            </w:r>
          </w:p>
        </w:tc>
        <w:tc>
          <w:tcPr>
            <w:tcW w:w="1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1,043</w:t>
            </w:r>
          </w:p>
        </w:tc>
        <w:tc>
          <w:tcPr>
            <w:tcW w:w="60" w:type="dxa"/>
            <w:vAlign w:val="bottom"/>
          </w:tcPr>
          <w:p>
            <w:pPr>
              <w:spacing w:after="0"/>
              <w:rPr>
                <w:sz w:val="22"/>
                <w:szCs w:val="22"/>
                <w:color w:val="auto"/>
              </w:rPr>
            </w:pPr>
          </w:p>
        </w:tc>
        <w:tc>
          <w:tcPr>
            <w:tcW w:w="1160" w:type="dxa"/>
            <w:vAlign w:val="bottom"/>
            <w:tcBorders>
              <w:bottom w:val="single" w:sz="8" w:color="auto"/>
            </w:tcBorders>
          </w:tcPr>
          <w:p>
            <w:pPr>
              <w:jc w:val="right"/>
              <w:ind w:right="102"/>
              <w:spacing w:after="0"/>
              <w:rPr>
                <w:sz w:val="20"/>
                <w:szCs w:val="20"/>
                <w:color w:val="auto"/>
              </w:rPr>
            </w:pPr>
            <w:r>
              <w:rPr>
                <w:rFonts w:ascii="Arial" w:cs="Arial" w:eastAsia="Arial" w:hAnsi="Arial"/>
                <w:sz w:val="16"/>
                <w:szCs w:val="16"/>
                <w:color w:val="auto"/>
              </w:rPr>
              <w:t>2</w:t>
            </w:r>
          </w:p>
        </w:tc>
        <w:tc>
          <w:tcPr>
            <w:tcW w:w="8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2,410</w:t>
            </w:r>
          </w:p>
        </w:tc>
        <w:tc>
          <w:tcPr>
            <w:tcW w:w="80" w:type="dxa"/>
            <w:vAlign w:val="bottom"/>
          </w:tcPr>
          <w:p>
            <w:pPr>
              <w:spacing w:after="0"/>
              <w:rPr>
                <w:sz w:val="22"/>
                <w:szCs w:val="22"/>
                <w:color w:val="auto"/>
              </w:rPr>
            </w:pPr>
          </w:p>
        </w:tc>
        <w:tc>
          <w:tcPr>
            <w:tcW w:w="1160" w:type="dxa"/>
            <w:vAlign w:val="bottom"/>
            <w:tcBorders>
              <w:bottom w:val="single" w:sz="8" w:color="auto"/>
            </w:tcBorders>
          </w:tcPr>
          <w:p>
            <w:pPr>
              <w:jc w:val="right"/>
              <w:ind w:right="102"/>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10"/>
        </w:trPr>
        <w:tc>
          <w:tcPr>
            <w:tcW w:w="5100" w:type="dxa"/>
            <w:vAlign w:val="bottom"/>
          </w:tcPr>
          <w:p>
            <w:pPr>
              <w:ind w:left="140"/>
              <w:spacing w:after="0"/>
              <w:rPr>
                <w:sz w:val="20"/>
                <w:szCs w:val="20"/>
                <w:color w:val="auto"/>
              </w:rPr>
            </w:pPr>
            <w:r>
              <w:rPr>
                <w:rFonts w:ascii="Arial" w:cs="Arial" w:eastAsia="Arial" w:hAnsi="Arial"/>
                <w:sz w:val="16"/>
                <w:szCs w:val="16"/>
                <w:b w:val="1"/>
                <w:bCs w:val="1"/>
                <w:color w:val="auto"/>
              </w:rPr>
              <w:t>Total investments</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2"/>
              <w:spacing w:after="0"/>
              <w:rPr>
                <w:sz w:val="20"/>
                <w:szCs w:val="20"/>
                <w:color w:val="auto"/>
              </w:rPr>
            </w:pPr>
            <w:r>
              <w:rPr>
                <w:rFonts w:ascii="Arial" w:cs="Arial" w:eastAsia="Arial" w:hAnsi="Arial"/>
                <w:sz w:val="16"/>
                <w:szCs w:val="16"/>
                <w:color w:val="auto"/>
              </w:rPr>
              <w:t>69,000</w:t>
            </w:r>
          </w:p>
        </w:tc>
        <w:tc>
          <w:tcPr>
            <w:tcW w:w="1220" w:type="dxa"/>
            <w:vAlign w:val="bottom"/>
            <w:gridSpan w:val="2"/>
          </w:tcPr>
          <w:p>
            <w:pPr>
              <w:jc w:val="right"/>
              <w:spacing w:after="0"/>
              <w:rPr>
                <w:sz w:val="20"/>
                <w:szCs w:val="20"/>
                <w:color w:val="auto"/>
              </w:rPr>
            </w:pPr>
            <w:r>
              <w:rPr>
                <w:rFonts w:ascii="Arial" w:cs="Arial" w:eastAsia="Arial" w:hAnsi="Arial"/>
                <w:sz w:val="16"/>
                <w:szCs w:val="16"/>
                <w:color w:val="auto"/>
              </w:rPr>
              <w:t>100 %</w:t>
            </w:r>
          </w:p>
        </w:tc>
        <w:tc>
          <w:tcPr>
            <w:tcW w:w="26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59,503</w:t>
            </w:r>
          </w:p>
        </w:tc>
        <w:tc>
          <w:tcPr>
            <w:tcW w:w="1240" w:type="dxa"/>
            <w:vAlign w:val="bottom"/>
            <w:gridSpan w:val="2"/>
          </w:tcPr>
          <w:p>
            <w:pPr>
              <w:jc w:val="right"/>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0"/>
        </w:trPr>
        <w:tc>
          <w:tcPr>
            <w:tcW w:w="5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-4446270</wp:posOffset>
            </wp:positionV>
            <wp:extent cx="6410325" cy="4453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52">
                      <a:extLst>
                        <a:ext uri="{28A0092B-C50C-407E-A947-70E740481C1C}"/>
                      </a:extLst>
                    </a:blip>
                    <a:srcRect/>
                    <a:stretch>
                      <a:fillRect/>
                    </a:stretch>
                  </pic:blipFill>
                  <pic:spPr bwMode="auto">
                    <a:xfrm>
                      <a:off x="0" y="0"/>
                      <a:ext cx="6410325" cy="4453255"/>
                    </a:xfrm>
                    <a:prstGeom prst="rect">
                      <a:avLst/>
                    </a:prstGeom>
                    <a:noFill/>
                  </pic:spPr>
                </pic:pic>
              </a:graphicData>
            </a:graphic>
          </wp:anchor>
        </w:drawing>
      </w:r>
    </w:p>
    <w:p>
      <w:pPr>
        <w:spacing w:after="0" w:line="144" w:lineRule="exact"/>
        <w:rPr>
          <w:sz w:val="20"/>
          <w:szCs w:val="20"/>
          <w:color w:val="auto"/>
        </w:rPr>
      </w:pPr>
    </w:p>
    <w:p>
      <w:pPr>
        <w:ind w:left="227" w:hanging="227"/>
        <w:spacing w:after="0"/>
        <w:tabs>
          <w:tab w:leader="none" w:pos="227" w:val="left"/>
        </w:tabs>
        <w:numPr>
          <w:ilvl w:val="0"/>
          <w:numId w:val="43"/>
        </w:numPr>
        <w:rPr>
          <w:rFonts w:ascii="Arial" w:cs="Arial" w:eastAsia="Arial" w:hAnsi="Arial"/>
          <w:sz w:val="15"/>
          <w:szCs w:val="15"/>
          <w:color w:val="auto"/>
        </w:rPr>
      </w:pPr>
      <w:r>
        <w:rPr>
          <w:rFonts w:ascii="Arial" w:cs="Arial" w:eastAsia="Arial" w:hAnsi="Arial"/>
          <w:sz w:val="15"/>
          <w:szCs w:val="15"/>
          <w:color w:val="auto"/>
        </w:rPr>
        <w:t>Balances at December 31, 2025 reflect classifications consistent with NAIC Principles Based Bond Definition Project effective January 1, 2025.</w:t>
      </w:r>
    </w:p>
    <w:p>
      <w:pPr>
        <w:spacing w:after="0" w:line="211" w:lineRule="exact"/>
        <w:rPr>
          <w:rFonts w:ascii="Arial" w:cs="Arial" w:eastAsia="Arial" w:hAnsi="Arial"/>
          <w:sz w:val="15"/>
          <w:szCs w:val="15"/>
          <w:color w:val="auto"/>
        </w:rPr>
      </w:pPr>
    </w:p>
    <w:p>
      <w:pPr>
        <w:ind w:left="227" w:hanging="227"/>
        <w:spacing w:after="0"/>
        <w:tabs>
          <w:tab w:leader="none" w:pos="227" w:val="left"/>
        </w:tabs>
        <w:numPr>
          <w:ilvl w:val="0"/>
          <w:numId w:val="43"/>
        </w:numPr>
        <w:rPr>
          <w:rFonts w:ascii="Arial" w:cs="Arial" w:eastAsia="Arial" w:hAnsi="Arial"/>
          <w:sz w:val="16"/>
          <w:szCs w:val="16"/>
          <w:color w:val="auto"/>
        </w:rPr>
      </w:pPr>
      <w:r>
        <w:rPr>
          <w:rFonts w:ascii="Arial" w:cs="Arial" w:eastAsia="Arial" w:hAnsi="Arial"/>
          <w:sz w:val="16"/>
          <w:szCs w:val="16"/>
          <w:color w:val="auto"/>
        </w:rPr>
        <w:t>Includes investment grade non-redeemable preferred stocks ($197 million and $222 million at December 31, 2025 and 2024, respectively).</w:t>
      </w:r>
    </w:p>
    <w:p>
      <w:pPr>
        <w:spacing w:after="0" w:line="110" w:lineRule="exact"/>
        <w:rPr>
          <w:sz w:val="20"/>
          <w:szCs w:val="20"/>
          <w:color w:val="auto"/>
        </w:rPr>
      </w:pPr>
    </w:p>
    <w:p>
      <w:pPr>
        <w:jc w:val="both"/>
        <w:ind w:left="7" w:firstLine="353"/>
        <w:spacing w:after="0" w:line="251" w:lineRule="auto"/>
        <w:rPr>
          <w:sz w:val="20"/>
          <w:szCs w:val="20"/>
          <w:color w:val="auto"/>
        </w:rPr>
      </w:pPr>
      <w:r>
        <w:rPr>
          <w:rFonts w:ascii="Arial" w:cs="Arial" w:eastAsia="Arial" w:hAnsi="Arial"/>
          <w:sz w:val="20"/>
          <w:szCs w:val="20"/>
          <w:color w:val="auto"/>
        </w:rPr>
        <w:t>Insurance statutes regulate the type of investments that our life insurance subsidiaries are permitted to make and limit the amount of funds that may be used for any one type of investment. In light of these statutes and regulations, and our business and investment strategy, we generally seek to invest in primarily high-grade fixed-income assets across a wide range of sectors, including Corporate securities, U.S. Government and government-sponsored agency securities, and Structured securities, among others.</w:t>
      </w:r>
    </w:p>
    <w:p>
      <w:pPr>
        <w:spacing w:after="0" w:line="91" w:lineRule="exact"/>
        <w:rPr>
          <w:sz w:val="20"/>
          <w:szCs w:val="20"/>
          <w:color w:val="auto"/>
        </w:rPr>
      </w:pPr>
    </w:p>
    <w:p>
      <w:pPr>
        <w:jc w:val="both"/>
        <w:ind w:left="7" w:firstLine="353"/>
        <w:spacing w:after="0" w:line="266" w:lineRule="auto"/>
        <w:rPr>
          <w:sz w:val="20"/>
          <w:szCs w:val="20"/>
          <w:color w:val="auto"/>
        </w:rPr>
      </w:pPr>
      <w:r>
        <w:rPr>
          <w:rFonts w:ascii="Arial" w:cs="Arial" w:eastAsia="Arial" w:hAnsi="Arial"/>
          <w:sz w:val="19"/>
          <w:szCs w:val="19"/>
          <w:color w:val="auto"/>
        </w:rPr>
        <w:t>The NAIC’s Securities Valuation Office (“SVO”) is responsible for the day-to-day credit quality assessment and valuation of securities owned by state regulated insurance companies. Insurance companies report ownership of securities to the SVO when such securities are eligible for regulatory filings. The SVO conducts credit analysis on these securities for the purpose of assigning an NAIC designation or unit price. Typically, if a security has been rated by a nationally recognized statistical rating organization (“NRSRO”), the SVO utilizes that rating and assigns an NAIC designation based upon the NAIC published comparison of NRSRO ratings to NAIC designations.</w:t>
      </w:r>
    </w:p>
    <w:p>
      <w:pPr>
        <w:spacing w:after="0" w:line="193" w:lineRule="exact"/>
        <w:rPr>
          <w:sz w:val="20"/>
          <w:szCs w:val="20"/>
          <w:color w:val="auto"/>
        </w:rPr>
      </w:pPr>
    </w:p>
    <w:p>
      <w:pPr>
        <w:jc w:val="both"/>
        <w:ind w:left="7" w:firstLine="353"/>
        <w:spacing w:after="0" w:line="312" w:lineRule="auto"/>
        <w:rPr>
          <w:sz w:val="20"/>
          <w:szCs w:val="20"/>
          <w:color w:val="auto"/>
        </w:rPr>
      </w:pPr>
      <w:r>
        <w:rPr>
          <w:rFonts w:ascii="Arial" w:cs="Arial" w:eastAsia="Arial" w:hAnsi="Arial"/>
          <w:sz w:val="17"/>
          <w:szCs w:val="17"/>
          <w:color w:val="auto"/>
        </w:rPr>
        <w:t>The NAIC determines ratings for non-agency Residential Mortgage-backed Securities (“RMBS”) and commercial mortgage-backed securities (“CMBS”) using modeling that estimates security level expected losses under a variety of economic scenarios. For such assets issued prior to January 1, 2013, an insurer’s amortized cost basis in applicable assets can impact the assigned rating. In the tables below, we present the rating of structured securities based on ratings from the NAIC rating</w:t>
      </w:r>
    </w:p>
    <w:p>
      <w:pPr>
        <w:sectPr>
          <w:pgSz w:w="11880" w:h="15480" w:orient="portrait"/>
          <w:cols w:equalWidth="0" w:num="1">
            <w:col w:w="10047"/>
          </w:cols>
          <w:pgMar w:left="913" w:top="772" w:right="920" w:bottom="0" w:gutter="0" w:footer="0" w:header="0"/>
        </w:sectPr>
      </w:pPr>
    </w:p>
    <w:p>
      <w:pPr>
        <w:spacing w:after="0" w:line="200" w:lineRule="exact"/>
        <w:rPr>
          <w:sz w:val="20"/>
          <w:szCs w:val="20"/>
          <w:color w:val="auto"/>
        </w:rPr>
      </w:pPr>
    </w:p>
    <w:p>
      <w:pPr>
        <w:spacing w:after="0" w:line="353" w:lineRule="exact"/>
        <w:rPr>
          <w:sz w:val="20"/>
          <w:szCs w:val="20"/>
          <w:color w:val="auto"/>
        </w:rPr>
      </w:pPr>
    </w:p>
    <w:p>
      <w:pPr>
        <w:jc w:val="center"/>
        <w:ind w:right="-6"/>
        <w:spacing w:after="0"/>
        <w:rPr>
          <w:sz w:val="20"/>
          <w:szCs w:val="20"/>
          <w:color w:val="auto"/>
        </w:rPr>
      </w:pPr>
      <w:r>
        <w:rPr>
          <w:rFonts w:ascii="Arial" w:cs="Arial" w:eastAsia="Arial" w:hAnsi="Arial"/>
          <w:sz w:val="17"/>
          <w:szCs w:val="17"/>
          <w:color w:val="auto"/>
        </w:rPr>
        <w:t>80</w:t>
      </w:r>
    </w:p>
    <w:p>
      <w:pPr>
        <w:sectPr>
          <w:pgSz w:w="11880" w:h="15480" w:orient="portrait"/>
          <w:cols w:equalWidth="0" w:num="1">
            <w:col w:w="10047"/>
          </w:cols>
          <w:pgMar w:left="913" w:top="772" w:right="920" w:bottom="0" w:gutter="0" w:footer="0" w:header="0"/>
          <w:type w:val="continuous"/>
        </w:sectPr>
      </w:pPr>
    </w:p>
    <w:bookmarkStart w:id="92" w:name="page93"/>
    <w:bookmarkEnd w:id="92"/>
    <w:p>
      <w:pPr>
        <w:spacing w:after="0" w:line="271" w:lineRule="auto"/>
        <w:rPr>
          <w:sz w:val="20"/>
          <w:szCs w:val="20"/>
          <w:color w:val="auto"/>
        </w:rPr>
      </w:pPr>
      <w:r>
        <w:rPr>
          <w:rFonts w:ascii="Arial" w:cs="Arial" w:eastAsia="Arial" w:hAnsi="Arial"/>
          <w:sz w:val="20"/>
          <w:szCs w:val="20"/>
          <w:color w:val="auto"/>
        </w:rPr>
        <w:t>methodologies described above (which in some cases do not correspond to rating agency designations). All NAIC designations (e.g., NAIC 1-6) are based on the NAIC methodologies.</w:t>
      </w:r>
    </w:p>
    <w:p>
      <w:pPr>
        <w:spacing w:after="0" w:line="186" w:lineRule="exact"/>
        <w:rPr>
          <w:sz w:val="20"/>
          <w:szCs w:val="20"/>
          <w:color w:val="auto"/>
        </w:rPr>
      </w:pPr>
    </w:p>
    <w:p>
      <w:pPr>
        <w:ind w:firstLine="353"/>
        <w:spacing w:after="0" w:line="271" w:lineRule="auto"/>
        <w:rPr>
          <w:sz w:val="20"/>
          <w:szCs w:val="20"/>
          <w:color w:val="auto"/>
        </w:rPr>
      </w:pPr>
      <w:r>
        <w:rPr>
          <w:rFonts w:ascii="Arial" w:cs="Arial" w:eastAsia="Arial" w:hAnsi="Arial"/>
          <w:sz w:val="20"/>
          <w:szCs w:val="20"/>
          <w:color w:val="auto"/>
        </w:rPr>
        <w:t>The following table summarizes the credit quality by NRSRO rating, or NAIC designation equivalent, of our fixed income portfolio (dollars in millions) at December 31, 2025, and 2024:</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16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6"/>
          </w:tcPr>
          <w:p>
            <w:pPr>
              <w:spacing w:after="0"/>
              <w:rPr>
                <w:sz w:val="20"/>
                <w:szCs w:val="20"/>
                <w:color w:val="auto"/>
              </w:rPr>
            </w:pPr>
            <w:r>
              <w:rPr>
                <w:rFonts w:ascii="Arial" w:cs="Arial" w:eastAsia="Arial" w:hAnsi="Arial"/>
                <w:sz w:val="16"/>
                <w:szCs w:val="16"/>
                <w:b w:val="1"/>
                <w:bCs w:val="1"/>
                <w:color w:val="auto"/>
                <w:w w:val="91"/>
              </w:rPr>
              <w:t>December 31, 2025</w:t>
            </w:r>
          </w:p>
        </w:tc>
        <w:tc>
          <w:tcPr>
            <w:tcW w:w="98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6"/>
          </w:tcPr>
          <w:p>
            <w:pPr>
              <w:spacing w:after="0"/>
              <w:rPr>
                <w:sz w:val="20"/>
                <w:szCs w:val="20"/>
                <w:color w:val="auto"/>
              </w:rPr>
            </w:pPr>
            <w:r>
              <w:rPr>
                <w:rFonts w:ascii="Arial" w:cs="Arial" w:eastAsia="Arial" w:hAnsi="Arial"/>
                <w:sz w:val="16"/>
                <w:szCs w:val="16"/>
                <w:b w:val="1"/>
                <w:bCs w:val="1"/>
                <w:color w:val="auto"/>
                <w:w w:val="91"/>
              </w:rPr>
              <w:t>December 31, 2024</w:t>
            </w:r>
          </w:p>
        </w:tc>
        <w:tc>
          <w:tcPr>
            <w:tcW w:w="9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7"/>
        </w:trPr>
        <w:tc>
          <w:tcPr>
            <w:tcW w:w="1600" w:type="dxa"/>
            <w:vAlign w:val="bottom"/>
          </w:tcPr>
          <w:p>
            <w:pPr>
              <w:ind w:left="680"/>
              <w:spacing w:after="0" w:line="167" w:lineRule="exact"/>
              <w:rPr>
                <w:sz w:val="20"/>
                <w:szCs w:val="20"/>
                <w:color w:val="auto"/>
              </w:rPr>
            </w:pPr>
            <w:r>
              <w:rPr>
                <w:rFonts w:ascii="Arial" w:cs="Arial" w:eastAsia="Arial" w:hAnsi="Arial"/>
                <w:sz w:val="16"/>
                <w:szCs w:val="16"/>
                <w:b w:val="1"/>
                <w:bCs w:val="1"/>
                <w:color w:val="auto"/>
              </w:rPr>
              <w:t>NRSRO</w:t>
            </w:r>
          </w:p>
        </w:tc>
        <w:tc>
          <w:tcPr>
            <w:tcW w:w="1720" w:type="dxa"/>
            <w:vAlign w:val="bottom"/>
            <w:vMerge w:val="restart"/>
          </w:tcPr>
          <w:p>
            <w:pPr>
              <w:jc w:val="center"/>
              <w:ind w:left="222"/>
              <w:spacing w:after="0"/>
              <w:rPr>
                <w:sz w:val="20"/>
                <w:szCs w:val="20"/>
                <w:color w:val="auto"/>
              </w:rPr>
            </w:pPr>
            <w:r>
              <w:rPr>
                <w:rFonts w:ascii="Arial" w:cs="Arial" w:eastAsia="Arial" w:hAnsi="Arial"/>
                <w:sz w:val="16"/>
                <w:szCs w:val="16"/>
                <w:b w:val="1"/>
                <w:bCs w:val="1"/>
                <w:color w:val="auto"/>
                <w:w w:val="90"/>
              </w:rPr>
              <w:t>NAIC Designation</w:t>
            </w:r>
          </w:p>
        </w:tc>
        <w:tc>
          <w:tcPr>
            <w:tcW w:w="140" w:type="dxa"/>
            <w:vAlign w:val="bottom"/>
          </w:tcPr>
          <w:p>
            <w:pPr>
              <w:spacing w:after="0"/>
              <w:rPr>
                <w:sz w:val="14"/>
                <w:szCs w:val="14"/>
                <w:color w:val="auto"/>
              </w:rPr>
            </w:pPr>
          </w:p>
        </w:tc>
        <w:tc>
          <w:tcPr>
            <w:tcW w:w="880" w:type="dxa"/>
            <w:vAlign w:val="bottom"/>
          </w:tcPr>
          <w:p>
            <w:pPr>
              <w:jc w:val="right"/>
              <w:ind w:right="62"/>
              <w:spacing w:after="0" w:line="167" w:lineRule="exact"/>
              <w:rPr>
                <w:sz w:val="20"/>
                <w:szCs w:val="20"/>
                <w:color w:val="auto"/>
              </w:rPr>
            </w:pPr>
            <w:r>
              <w:rPr>
                <w:rFonts w:ascii="Arial" w:cs="Arial" w:eastAsia="Arial" w:hAnsi="Arial"/>
                <w:sz w:val="16"/>
                <w:szCs w:val="16"/>
                <w:b w:val="1"/>
                <w:bCs w:val="1"/>
                <w:color w:val="auto"/>
                <w:w w:val="91"/>
              </w:rPr>
              <w:t>Amortized</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vMerge w:val="restart"/>
          </w:tcPr>
          <w:p>
            <w:pPr>
              <w:jc w:val="right"/>
              <w:ind w:right="102"/>
              <w:spacing w:after="0"/>
              <w:rPr>
                <w:sz w:val="20"/>
                <w:szCs w:val="20"/>
                <w:color w:val="auto"/>
              </w:rPr>
            </w:pPr>
            <w:r>
              <w:rPr>
                <w:rFonts w:ascii="Arial" w:cs="Arial" w:eastAsia="Arial" w:hAnsi="Arial"/>
                <w:sz w:val="16"/>
                <w:szCs w:val="16"/>
                <w:b w:val="1"/>
                <w:bCs w:val="1"/>
                <w:color w:val="auto"/>
                <w:w w:val="94"/>
              </w:rPr>
              <w:t>Fair Value</w:t>
            </w:r>
          </w:p>
        </w:tc>
        <w:tc>
          <w:tcPr>
            <w:tcW w:w="60" w:type="dxa"/>
            <w:vAlign w:val="bottom"/>
            <w:vMerge w:val="restart"/>
          </w:tcPr>
          <w:p>
            <w:pPr>
              <w:spacing w:after="0"/>
              <w:rPr>
                <w:sz w:val="14"/>
                <w:szCs w:val="14"/>
                <w:color w:val="auto"/>
              </w:rPr>
            </w:pPr>
          </w:p>
        </w:tc>
        <w:tc>
          <w:tcPr>
            <w:tcW w:w="100" w:type="dxa"/>
            <w:vAlign w:val="bottom"/>
            <w:vMerge w:val="restart"/>
          </w:tcPr>
          <w:p>
            <w:pPr>
              <w:spacing w:after="0"/>
              <w:rPr>
                <w:sz w:val="14"/>
                <w:szCs w:val="14"/>
                <w:color w:val="auto"/>
              </w:rPr>
            </w:pPr>
          </w:p>
        </w:tc>
        <w:tc>
          <w:tcPr>
            <w:tcW w:w="980" w:type="dxa"/>
            <w:vAlign w:val="bottom"/>
          </w:tcPr>
          <w:p>
            <w:pPr>
              <w:jc w:val="right"/>
              <w:ind w:right="102"/>
              <w:spacing w:after="0" w:line="167" w:lineRule="exact"/>
              <w:rPr>
                <w:sz w:val="20"/>
                <w:szCs w:val="20"/>
                <w:color w:val="auto"/>
              </w:rPr>
            </w:pPr>
            <w:r>
              <w:rPr>
                <w:rFonts w:ascii="Arial" w:cs="Arial" w:eastAsia="Arial" w:hAnsi="Arial"/>
                <w:sz w:val="16"/>
                <w:szCs w:val="16"/>
                <w:b w:val="1"/>
                <w:bCs w:val="1"/>
                <w:color w:val="auto"/>
              </w:rPr>
              <w:t>Fair Value</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jc w:val="right"/>
              <w:ind w:right="62"/>
              <w:spacing w:after="0" w:line="167" w:lineRule="exact"/>
              <w:rPr>
                <w:sz w:val="20"/>
                <w:szCs w:val="20"/>
                <w:color w:val="auto"/>
              </w:rPr>
            </w:pPr>
            <w:r>
              <w:rPr>
                <w:rFonts w:ascii="Arial" w:cs="Arial" w:eastAsia="Arial" w:hAnsi="Arial"/>
                <w:sz w:val="16"/>
                <w:szCs w:val="16"/>
                <w:b w:val="1"/>
                <w:bCs w:val="1"/>
                <w:color w:val="auto"/>
                <w:w w:val="91"/>
              </w:rPr>
              <w:t>Amortized</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vMerge w:val="restart"/>
          </w:tcPr>
          <w:p>
            <w:pPr>
              <w:jc w:val="right"/>
              <w:ind w:right="102"/>
              <w:spacing w:after="0"/>
              <w:rPr>
                <w:sz w:val="20"/>
                <w:szCs w:val="20"/>
                <w:color w:val="auto"/>
              </w:rPr>
            </w:pPr>
            <w:r>
              <w:rPr>
                <w:rFonts w:ascii="Arial" w:cs="Arial" w:eastAsia="Arial" w:hAnsi="Arial"/>
                <w:sz w:val="16"/>
                <w:szCs w:val="16"/>
                <w:b w:val="1"/>
                <w:bCs w:val="1"/>
                <w:color w:val="auto"/>
                <w:w w:val="94"/>
              </w:rPr>
              <w:t>Fair Value</w:t>
            </w:r>
          </w:p>
        </w:tc>
        <w:tc>
          <w:tcPr>
            <w:tcW w:w="60" w:type="dxa"/>
            <w:vAlign w:val="bottom"/>
            <w:vMerge w:val="restart"/>
          </w:tcPr>
          <w:p>
            <w:pPr>
              <w:spacing w:after="0"/>
              <w:rPr>
                <w:sz w:val="14"/>
                <w:szCs w:val="14"/>
                <w:color w:val="auto"/>
              </w:rPr>
            </w:pPr>
          </w:p>
        </w:tc>
        <w:tc>
          <w:tcPr>
            <w:tcW w:w="100" w:type="dxa"/>
            <w:vAlign w:val="bottom"/>
            <w:vMerge w:val="restart"/>
          </w:tcPr>
          <w:p>
            <w:pPr>
              <w:spacing w:after="0"/>
              <w:rPr>
                <w:sz w:val="14"/>
                <w:szCs w:val="14"/>
                <w:color w:val="auto"/>
              </w:rPr>
            </w:pPr>
          </w:p>
        </w:tc>
        <w:tc>
          <w:tcPr>
            <w:tcW w:w="960" w:type="dxa"/>
            <w:vAlign w:val="bottom"/>
          </w:tcPr>
          <w:p>
            <w:pPr>
              <w:jc w:val="right"/>
              <w:ind w:right="82"/>
              <w:spacing w:after="0" w:line="167" w:lineRule="exact"/>
              <w:rPr>
                <w:sz w:val="20"/>
                <w:szCs w:val="20"/>
                <w:color w:val="auto"/>
              </w:rPr>
            </w:pPr>
            <w:r>
              <w:rPr>
                <w:rFonts w:ascii="Arial" w:cs="Arial" w:eastAsia="Arial" w:hAnsi="Arial"/>
                <w:sz w:val="16"/>
                <w:szCs w:val="16"/>
                <w:b w:val="1"/>
                <w:bCs w:val="1"/>
                <w:color w:val="auto"/>
              </w:rPr>
              <w:t>Fair Value</w:t>
            </w:r>
          </w:p>
        </w:tc>
        <w:tc>
          <w:tcPr>
            <w:tcW w:w="0" w:type="dxa"/>
            <w:vAlign w:val="bottom"/>
          </w:tcPr>
          <w:p>
            <w:pPr>
              <w:spacing w:after="0"/>
              <w:rPr>
                <w:sz w:val="1"/>
                <w:szCs w:val="1"/>
                <w:color w:val="auto"/>
              </w:rPr>
            </w:pPr>
          </w:p>
        </w:tc>
      </w:tr>
      <w:tr>
        <w:trPr>
          <w:trHeight w:val="210"/>
        </w:trPr>
        <w:tc>
          <w:tcPr>
            <w:tcW w:w="1600" w:type="dxa"/>
            <w:vAlign w:val="bottom"/>
            <w:tcBorders>
              <w:bottom w:val="single" w:sz="8" w:color="auto"/>
            </w:tcBorders>
          </w:tcPr>
          <w:p>
            <w:pPr>
              <w:ind w:left="720"/>
              <w:spacing w:after="0"/>
              <w:rPr>
                <w:sz w:val="20"/>
                <w:szCs w:val="20"/>
                <w:color w:val="auto"/>
              </w:rPr>
            </w:pPr>
            <w:r>
              <w:rPr>
                <w:rFonts w:ascii="Arial" w:cs="Arial" w:eastAsia="Arial" w:hAnsi="Arial"/>
                <w:sz w:val="16"/>
                <w:szCs w:val="16"/>
                <w:b w:val="1"/>
                <w:bCs w:val="1"/>
                <w:color w:val="auto"/>
              </w:rPr>
              <w:t>Rating</w:t>
            </w:r>
          </w:p>
        </w:tc>
        <w:tc>
          <w:tcPr>
            <w:tcW w:w="1720" w:type="dxa"/>
            <w:vAlign w:val="bottom"/>
            <w:tcBorders>
              <w:bottom w:val="single" w:sz="8" w:color="auto"/>
            </w:tcBorders>
            <w:vMerge w:val="continue"/>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62"/>
              <w:spacing w:after="0"/>
              <w:rPr>
                <w:sz w:val="20"/>
                <w:szCs w:val="20"/>
                <w:color w:val="auto"/>
              </w:rPr>
            </w:pPr>
            <w:r>
              <w:rPr>
                <w:rFonts w:ascii="Arial" w:cs="Arial" w:eastAsia="Arial" w:hAnsi="Arial"/>
                <w:sz w:val="16"/>
                <w:szCs w:val="16"/>
                <w:b w:val="1"/>
                <w:bCs w:val="1"/>
                <w:color w:val="auto"/>
              </w:rPr>
              <w:t>Cost</w:t>
            </w:r>
          </w:p>
        </w:tc>
        <w:tc>
          <w:tcPr>
            <w:tcW w:w="4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vMerge w:val="continue"/>
          </w:tcPr>
          <w:p>
            <w:pPr>
              <w:spacing w:after="0"/>
              <w:rPr>
                <w:sz w:val="18"/>
                <w:szCs w:val="18"/>
                <w:color w:val="auto"/>
              </w:rPr>
            </w:pPr>
          </w:p>
        </w:tc>
        <w:tc>
          <w:tcPr>
            <w:tcW w:w="60" w:type="dxa"/>
            <w:vAlign w:val="bottom"/>
            <w:vMerge w:val="continue"/>
          </w:tcPr>
          <w:p>
            <w:pPr>
              <w:spacing w:after="0"/>
              <w:rPr>
                <w:sz w:val="18"/>
                <w:szCs w:val="18"/>
                <w:color w:val="auto"/>
              </w:rPr>
            </w:pPr>
          </w:p>
        </w:tc>
        <w:tc>
          <w:tcPr>
            <w:tcW w:w="100" w:type="dxa"/>
            <w:vAlign w:val="bottom"/>
            <w:tcBorders>
              <w:bottom w:val="single" w:sz="8" w:color="auto"/>
            </w:tcBorders>
            <w:vMerge w:val="continue"/>
          </w:tcPr>
          <w:p>
            <w:pPr>
              <w:spacing w:after="0"/>
              <w:rPr>
                <w:sz w:val="18"/>
                <w:szCs w:val="18"/>
                <w:color w:val="auto"/>
              </w:rPr>
            </w:pPr>
          </w:p>
        </w:tc>
        <w:tc>
          <w:tcPr>
            <w:tcW w:w="980" w:type="dxa"/>
            <w:vAlign w:val="bottom"/>
            <w:tcBorders>
              <w:bottom w:val="single" w:sz="8" w:color="auto"/>
            </w:tcBorders>
          </w:tcPr>
          <w:p>
            <w:pPr>
              <w:jc w:val="right"/>
              <w:ind w:right="202"/>
              <w:spacing w:after="0"/>
              <w:rPr>
                <w:sz w:val="20"/>
                <w:szCs w:val="20"/>
                <w:color w:val="auto"/>
              </w:rPr>
            </w:pPr>
            <w:r>
              <w:rPr>
                <w:rFonts w:ascii="Arial" w:cs="Arial" w:eastAsia="Arial" w:hAnsi="Arial"/>
                <w:sz w:val="16"/>
                <w:szCs w:val="16"/>
                <w:b w:val="1"/>
                <w:bCs w:val="1"/>
                <w:color w:val="auto"/>
              </w:rPr>
              <w:t>Percent</w:t>
            </w:r>
          </w:p>
        </w:tc>
        <w:tc>
          <w:tcPr>
            <w:tcW w:w="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62"/>
              <w:spacing w:after="0"/>
              <w:rPr>
                <w:sz w:val="20"/>
                <w:szCs w:val="20"/>
                <w:color w:val="auto"/>
              </w:rPr>
            </w:pPr>
            <w:r>
              <w:rPr>
                <w:rFonts w:ascii="Arial" w:cs="Arial" w:eastAsia="Arial" w:hAnsi="Arial"/>
                <w:sz w:val="16"/>
                <w:szCs w:val="16"/>
                <w:b w:val="1"/>
                <w:bCs w:val="1"/>
                <w:color w:val="auto"/>
              </w:rPr>
              <w:t>Cost</w:t>
            </w:r>
          </w:p>
        </w:tc>
        <w:tc>
          <w:tcPr>
            <w:tcW w:w="4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vMerge w:val="continue"/>
          </w:tcPr>
          <w:p>
            <w:pPr>
              <w:spacing w:after="0"/>
              <w:rPr>
                <w:sz w:val="18"/>
                <w:szCs w:val="18"/>
                <w:color w:val="auto"/>
              </w:rPr>
            </w:pPr>
          </w:p>
        </w:tc>
        <w:tc>
          <w:tcPr>
            <w:tcW w:w="60" w:type="dxa"/>
            <w:vAlign w:val="bottom"/>
            <w:vMerge w:val="continue"/>
          </w:tcPr>
          <w:p>
            <w:pPr>
              <w:spacing w:after="0"/>
              <w:rPr>
                <w:sz w:val="18"/>
                <w:szCs w:val="18"/>
                <w:color w:val="auto"/>
              </w:rPr>
            </w:pPr>
          </w:p>
        </w:tc>
        <w:tc>
          <w:tcPr>
            <w:tcW w:w="100" w:type="dxa"/>
            <w:vAlign w:val="bottom"/>
            <w:tcBorders>
              <w:bottom w:val="single" w:sz="8" w:color="auto"/>
            </w:tcBorders>
            <w:vMerge w:val="continue"/>
          </w:tcPr>
          <w:p>
            <w:pPr>
              <w:spacing w:after="0"/>
              <w:rPr>
                <w:sz w:val="18"/>
                <w:szCs w:val="18"/>
                <w:color w:val="auto"/>
              </w:rPr>
            </w:pPr>
          </w:p>
        </w:tc>
        <w:tc>
          <w:tcPr>
            <w:tcW w:w="960" w:type="dxa"/>
            <w:vAlign w:val="bottom"/>
            <w:tcBorders>
              <w:bottom w:val="single" w:sz="8" w:color="auto"/>
            </w:tcBorders>
          </w:tcPr>
          <w:p>
            <w:pPr>
              <w:jc w:val="right"/>
              <w:ind w:right="202"/>
              <w:spacing w:after="0"/>
              <w:rPr>
                <w:sz w:val="20"/>
                <w:szCs w:val="20"/>
                <w:color w:val="auto"/>
              </w:rPr>
            </w:pPr>
            <w:r>
              <w:rPr>
                <w:rFonts w:ascii="Arial" w:cs="Arial" w:eastAsia="Arial" w:hAnsi="Arial"/>
                <w:sz w:val="16"/>
                <w:szCs w:val="16"/>
                <w:b w:val="1"/>
                <w:bCs w:val="1"/>
                <w:color w:val="auto"/>
              </w:rPr>
              <w:t>Percent</w:t>
            </w:r>
          </w:p>
        </w:tc>
        <w:tc>
          <w:tcPr>
            <w:tcW w:w="0" w:type="dxa"/>
            <w:vAlign w:val="bottom"/>
          </w:tcPr>
          <w:p>
            <w:pPr>
              <w:spacing w:after="0"/>
              <w:rPr>
                <w:sz w:val="1"/>
                <w:szCs w:val="1"/>
                <w:color w:val="auto"/>
              </w:rPr>
            </w:pPr>
          </w:p>
        </w:tc>
      </w:tr>
      <w:tr>
        <w:trPr>
          <w:trHeight w:val="208"/>
        </w:trPr>
        <w:tc>
          <w:tcPr>
            <w:tcW w:w="1600" w:type="dxa"/>
            <w:vAlign w:val="bottom"/>
          </w:tcPr>
          <w:p>
            <w:pPr>
              <w:ind w:left="40"/>
              <w:spacing w:after="0"/>
              <w:rPr>
                <w:sz w:val="20"/>
                <w:szCs w:val="20"/>
                <w:color w:val="auto"/>
              </w:rPr>
            </w:pPr>
            <w:r>
              <w:rPr>
                <w:rFonts w:ascii="Arial" w:cs="Arial" w:eastAsia="Arial" w:hAnsi="Arial"/>
                <w:sz w:val="16"/>
                <w:szCs w:val="16"/>
                <w:color w:val="auto"/>
              </w:rPr>
              <w:t>AAA/AA/A</w:t>
            </w:r>
          </w:p>
        </w:tc>
        <w:tc>
          <w:tcPr>
            <w:tcW w:w="1720" w:type="dxa"/>
            <w:vAlign w:val="bottom"/>
          </w:tcPr>
          <w:p>
            <w:pPr>
              <w:jc w:val="center"/>
              <w:ind w:left="242"/>
              <w:spacing w:after="0"/>
              <w:rPr>
                <w:sz w:val="20"/>
                <w:szCs w:val="20"/>
                <w:color w:val="auto"/>
              </w:rPr>
            </w:pPr>
            <w:r>
              <w:rPr>
                <w:rFonts w:ascii="Arial" w:cs="Arial" w:eastAsia="Arial" w:hAnsi="Arial"/>
                <w:sz w:val="16"/>
                <w:szCs w:val="16"/>
                <w:color w:val="auto"/>
                <w:w w:val="89"/>
              </w:rPr>
              <w:t>1</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34,360</w:t>
            </w:r>
          </w:p>
        </w:tc>
        <w:tc>
          <w:tcPr>
            <w:tcW w:w="260" w:type="dxa"/>
            <w:vAlign w:val="bottom"/>
            <w:gridSpan w:val="3"/>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32,738</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62 %</w:t>
            </w:r>
          </w:p>
        </w:tc>
        <w:tc>
          <w:tcPr>
            <w:tcW w:w="20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31,258</w:t>
            </w:r>
          </w:p>
        </w:tc>
        <w:tc>
          <w:tcPr>
            <w:tcW w:w="260" w:type="dxa"/>
            <w:vAlign w:val="bottom"/>
            <w:gridSpan w:val="3"/>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2"/>
              <w:spacing w:after="0"/>
              <w:rPr>
                <w:sz w:val="20"/>
                <w:szCs w:val="20"/>
                <w:color w:val="auto"/>
              </w:rPr>
            </w:pPr>
            <w:r>
              <w:rPr>
                <w:rFonts w:ascii="Arial" w:cs="Arial" w:eastAsia="Arial" w:hAnsi="Arial"/>
                <w:sz w:val="16"/>
                <w:szCs w:val="16"/>
                <w:color w:val="auto"/>
              </w:rPr>
              <w:t>29,174</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63 %</w:t>
            </w:r>
          </w:p>
        </w:tc>
        <w:tc>
          <w:tcPr>
            <w:tcW w:w="0" w:type="dxa"/>
            <w:vAlign w:val="bottom"/>
          </w:tcPr>
          <w:p>
            <w:pPr>
              <w:spacing w:after="0"/>
              <w:rPr>
                <w:sz w:val="1"/>
                <w:szCs w:val="1"/>
                <w:color w:val="auto"/>
              </w:rPr>
            </w:pPr>
          </w:p>
        </w:tc>
      </w:tr>
      <w:tr>
        <w:trPr>
          <w:trHeight w:val="235"/>
        </w:trPr>
        <w:tc>
          <w:tcPr>
            <w:tcW w:w="1600" w:type="dxa"/>
            <w:vAlign w:val="bottom"/>
          </w:tcPr>
          <w:p>
            <w:pPr>
              <w:ind w:left="40"/>
              <w:spacing w:after="0"/>
              <w:rPr>
                <w:sz w:val="20"/>
                <w:szCs w:val="20"/>
                <w:color w:val="auto"/>
              </w:rPr>
            </w:pPr>
            <w:r>
              <w:rPr>
                <w:rFonts w:ascii="Arial" w:cs="Arial" w:eastAsia="Arial" w:hAnsi="Arial"/>
                <w:sz w:val="16"/>
                <w:szCs w:val="16"/>
                <w:color w:val="auto"/>
              </w:rPr>
              <w:t>BBB</w:t>
            </w:r>
          </w:p>
        </w:tc>
        <w:tc>
          <w:tcPr>
            <w:tcW w:w="1720" w:type="dxa"/>
            <w:vAlign w:val="bottom"/>
          </w:tcPr>
          <w:p>
            <w:pPr>
              <w:jc w:val="center"/>
              <w:ind w:left="242"/>
              <w:spacing w:after="0"/>
              <w:rPr>
                <w:sz w:val="20"/>
                <w:szCs w:val="20"/>
                <w:color w:val="auto"/>
              </w:rPr>
            </w:pPr>
            <w:r>
              <w:rPr>
                <w:rFonts w:ascii="Arial" w:cs="Arial" w:eastAsia="Arial" w:hAnsi="Arial"/>
                <w:sz w:val="16"/>
                <w:szCs w:val="16"/>
                <w:color w:val="auto"/>
                <w:w w:val="89"/>
              </w:rPr>
              <w:t>2</w:t>
            </w: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18,300</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17,524</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jc w:val="right"/>
              <w:ind w:right="122"/>
              <w:spacing w:after="0"/>
              <w:rPr>
                <w:sz w:val="20"/>
                <w:szCs w:val="20"/>
                <w:color w:val="auto"/>
              </w:rPr>
            </w:pPr>
            <w:r>
              <w:rPr>
                <w:rFonts w:ascii="Arial" w:cs="Arial" w:eastAsia="Arial" w:hAnsi="Arial"/>
                <w:sz w:val="16"/>
                <w:szCs w:val="16"/>
                <w:color w:val="auto"/>
              </w:rPr>
              <w:t>34</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16,254</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jc w:val="right"/>
              <w:ind w:right="2"/>
              <w:spacing w:after="0"/>
              <w:rPr>
                <w:sz w:val="20"/>
                <w:szCs w:val="20"/>
                <w:color w:val="auto"/>
              </w:rPr>
            </w:pPr>
            <w:r>
              <w:rPr>
                <w:rFonts w:ascii="Arial" w:cs="Arial" w:eastAsia="Arial" w:hAnsi="Arial"/>
                <w:sz w:val="16"/>
                <w:szCs w:val="16"/>
                <w:color w:val="auto"/>
              </w:rPr>
              <w:t>15,082</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jc w:val="right"/>
              <w:ind w:right="102"/>
              <w:spacing w:after="0"/>
              <w:rPr>
                <w:sz w:val="20"/>
                <w:szCs w:val="20"/>
                <w:color w:val="auto"/>
              </w:rPr>
            </w:pPr>
            <w:r>
              <w:rPr>
                <w:rFonts w:ascii="Arial" w:cs="Arial" w:eastAsia="Arial" w:hAnsi="Arial"/>
                <w:sz w:val="16"/>
                <w:szCs w:val="16"/>
                <w:color w:val="auto"/>
              </w:rPr>
              <w:t>33</w:t>
            </w:r>
          </w:p>
        </w:tc>
        <w:tc>
          <w:tcPr>
            <w:tcW w:w="0" w:type="dxa"/>
            <w:vAlign w:val="bottom"/>
          </w:tcPr>
          <w:p>
            <w:pPr>
              <w:spacing w:after="0"/>
              <w:rPr>
                <w:sz w:val="1"/>
                <w:szCs w:val="1"/>
                <w:color w:val="auto"/>
              </w:rPr>
            </w:pPr>
          </w:p>
        </w:tc>
      </w:tr>
      <w:tr>
        <w:trPr>
          <w:trHeight w:val="235"/>
        </w:trPr>
        <w:tc>
          <w:tcPr>
            <w:tcW w:w="1600" w:type="dxa"/>
            <w:vAlign w:val="bottom"/>
          </w:tcPr>
          <w:p>
            <w:pPr>
              <w:ind w:left="40"/>
              <w:spacing w:after="0"/>
              <w:rPr>
                <w:sz w:val="20"/>
                <w:szCs w:val="20"/>
                <w:color w:val="auto"/>
              </w:rPr>
            </w:pPr>
            <w:r>
              <w:rPr>
                <w:rFonts w:ascii="Arial" w:cs="Arial" w:eastAsia="Arial" w:hAnsi="Arial"/>
                <w:sz w:val="16"/>
                <w:szCs w:val="16"/>
                <w:color w:val="auto"/>
              </w:rPr>
              <w:t>BB</w:t>
            </w:r>
          </w:p>
        </w:tc>
        <w:tc>
          <w:tcPr>
            <w:tcW w:w="1720" w:type="dxa"/>
            <w:vAlign w:val="bottom"/>
          </w:tcPr>
          <w:p>
            <w:pPr>
              <w:jc w:val="center"/>
              <w:ind w:left="242"/>
              <w:spacing w:after="0"/>
              <w:rPr>
                <w:sz w:val="20"/>
                <w:szCs w:val="20"/>
                <w:color w:val="auto"/>
              </w:rPr>
            </w:pPr>
            <w:r>
              <w:rPr>
                <w:rFonts w:ascii="Arial" w:cs="Arial" w:eastAsia="Arial" w:hAnsi="Arial"/>
                <w:sz w:val="16"/>
                <w:szCs w:val="16"/>
                <w:color w:val="auto"/>
                <w:w w:val="89"/>
              </w:rPr>
              <w:t>3</w:t>
            </w: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1,705</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1,660</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jc w:val="right"/>
              <w:ind w:right="122"/>
              <w:spacing w:after="0"/>
              <w:rPr>
                <w:sz w:val="20"/>
                <w:szCs w:val="20"/>
                <w:color w:val="auto"/>
              </w:rPr>
            </w:pPr>
            <w:r>
              <w:rPr>
                <w:rFonts w:ascii="Arial" w:cs="Arial" w:eastAsia="Arial" w:hAnsi="Arial"/>
                <w:sz w:val="16"/>
                <w:szCs w:val="16"/>
                <w:color w:val="auto"/>
              </w:rPr>
              <w:t>3</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1,591</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jc w:val="right"/>
              <w:ind w:right="2"/>
              <w:spacing w:after="0"/>
              <w:rPr>
                <w:sz w:val="20"/>
                <w:szCs w:val="20"/>
                <w:color w:val="auto"/>
              </w:rPr>
            </w:pPr>
            <w:r>
              <w:rPr>
                <w:rFonts w:ascii="Arial" w:cs="Arial" w:eastAsia="Arial" w:hAnsi="Arial"/>
                <w:sz w:val="16"/>
                <w:szCs w:val="16"/>
                <w:color w:val="auto"/>
              </w:rPr>
              <w:t>1,538</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jc w:val="right"/>
              <w:ind w:right="102"/>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35"/>
        </w:trPr>
        <w:tc>
          <w:tcPr>
            <w:tcW w:w="1600" w:type="dxa"/>
            <w:vAlign w:val="bottom"/>
          </w:tcPr>
          <w:p>
            <w:pPr>
              <w:ind w:left="40"/>
              <w:spacing w:after="0"/>
              <w:rPr>
                <w:sz w:val="20"/>
                <w:szCs w:val="20"/>
                <w:color w:val="auto"/>
              </w:rPr>
            </w:pPr>
            <w:r>
              <w:rPr>
                <w:rFonts w:ascii="Arial" w:cs="Arial" w:eastAsia="Arial" w:hAnsi="Arial"/>
                <w:sz w:val="16"/>
                <w:szCs w:val="16"/>
                <w:color w:val="auto"/>
              </w:rPr>
              <w:t>B</w:t>
            </w:r>
          </w:p>
        </w:tc>
        <w:tc>
          <w:tcPr>
            <w:tcW w:w="1720" w:type="dxa"/>
            <w:vAlign w:val="bottom"/>
          </w:tcPr>
          <w:p>
            <w:pPr>
              <w:jc w:val="center"/>
              <w:ind w:left="242"/>
              <w:spacing w:after="0"/>
              <w:rPr>
                <w:sz w:val="20"/>
                <w:szCs w:val="20"/>
                <w:color w:val="auto"/>
              </w:rPr>
            </w:pPr>
            <w:r>
              <w:rPr>
                <w:rFonts w:ascii="Arial" w:cs="Arial" w:eastAsia="Arial" w:hAnsi="Arial"/>
                <w:sz w:val="16"/>
                <w:szCs w:val="16"/>
                <w:color w:val="auto"/>
                <w:w w:val="89"/>
              </w:rPr>
              <w:t>4</w:t>
            </w: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495</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464</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jc w:val="right"/>
              <w:ind w:right="122"/>
              <w:spacing w:after="0"/>
              <w:rPr>
                <w:sz w:val="20"/>
                <w:szCs w:val="20"/>
                <w:color w:val="auto"/>
              </w:rPr>
            </w:pPr>
            <w:r>
              <w:rPr>
                <w:rFonts w:ascii="Arial" w:cs="Arial" w:eastAsia="Arial" w:hAnsi="Arial"/>
                <w:sz w:val="16"/>
                <w:szCs w:val="16"/>
                <w:color w:val="auto"/>
              </w:rPr>
              <w:t>1</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375</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jc w:val="right"/>
              <w:ind w:right="2"/>
              <w:spacing w:after="0"/>
              <w:rPr>
                <w:sz w:val="20"/>
                <w:szCs w:val="20"/>
                <w:color w:val="auto"/>
              </w:rPr>
            </w:pPr>
            <w:r>
              <w:rPr>
                <w:rFonts w:ascii="Arial" w:cs="Arial" w:eastAsia="Arial" w:hAnsi="Arial"/>
                <w:sz w:val="16"/>
                <w:szCs w:val="16"/>
                <w:color w:val="auto"/>
              </w:rPr>
              <w:t>353</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jc w:val="right"/>
              <w:ind w:right="102"/>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35"/>
        </w:trPr>
        <w:tc>
          <w:tcPr>
            <w:tcW w:w="1600" w:type="dxa"/>
            <w:vAlign w:val="bottom"/>
          </w:tcPr>
          <w:p>
            <w:pPr>
              <w:ind w:left="40"/>
              <w:spacing w:after="0"/>
              <w:rPr>
                <w:sz w:val="20"/>
                <w:szCs w:val="20"/>
                <w:color w:val="auto"/>
              </w:rPr>
            </w:pPr>
            <w:r>
              <w:rPr>
                <w:rFonts w:ascii="Arial" w:cs="Arial" w:eastAsia="Arial" w:hAnsi="Arial"/>
                <w:sz w:val="16"/>
                <w:szCs w:val="16"/>
                <w:color w:val="auto"/>
              </w:rPr>
              <w:t>CCC</w:t>
            </w:r>
          </w:p>
        </w:tc>
        <w:tc>
          <w:tcPr>
            <w:tcW w:w="1720" w:type="dxa"/>
            <w:vAlign w:val="bottom"/>
          </w:tcPr>
          <w:p>
            <w:pPr>
              <w:jc w:val="center"/>
              <w:ind w:left="242"/>
              <w:spacing w:after="0"/>
              <w:rPr>
                <w:sz w:val="20"/>
                <w:szCs w:val="20"/>
                <w:color w:val="auto"/>
              </w:rPr>
            </w:pPr>
            <w:r>
              <w:rPr>
                <w:rFonts w:ascii="Arial" w:cs="Arial" w:eastAsia="Arial" w:hAnsi="Arial"/>
                <w:sz w:val="16"/>
                <w:szCs w:val="16"/>
                <w:color w:val="auto"/>
                <w:w w:val="89"/>
              </w:rPr>
              <w:t>5</w:t>
            </w: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127</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107</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jc w:val="right"/>
              <w:ind w:right="122"/>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100</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jc w:val="right"/>
              <w:ind w:right="2"/>
              <w:spacing w:after="0"/>
              <w:rPr>
                <w:sz w:val="20"/>
                <w:szCs w:val="20"/>
                <w:color w:val="auto"/>
              </w:rPr>
            </w:pPr>
            <w:r>
              <w:rPr>
                <w:rFonts w:ascii="Arial" w:cs="Arial" w:eastAsia="Arial" w:hAnsi="Arial"/>
                <w:sz w:val="16"/>
                <w:szCs w:val="16"/>
                <w:color w:val="auto"/>
              </w:rPr>
              <w:t>68</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jc w:val="right"/>
              <w:ind w:right="10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2"/>
        </w:trPr>
        <w:tc>
          <w:tcPr>
            <w:tcW w:w="1600" w:type="dxa"/>
            <w:vAlign w:val="bottom"/>
          </w:tcPr>
          <w:p>
            <w:pPr>
              <w:ind w:left="40"/>
              <w:spacing w:after="0"/>
              <w:rPr>
                <w:sz w:val="20"/>
                <w:szCs w:val="20"/>
                <w:color w:val="auto"/>
              </w:rPr>
            </w:pPr>
            <w:r>
              <w:rPr>
                <w:rFonts w:ascii="Arial" w:cs="Arial" w:eastAsia="Arial" w:hAnsi="Arial"/>
                <w:sz w:val="16"/>
                <w:szCs w:val="16"/>
                <w:color w:val="auto"/>
              </w:rPr>
              <w:t>CC and lower</w:t>
            </w:r>
          </w:p>
        </w:tc>
        <w:tc>
          <w:tcPr>
            <w:tcW w:w="1720" w:type="dxa"/>
            <w:vAlign w:val="bottom"/>
          </w:tcPr>
          <w:p>
            <w:pPr>
              <w:jc w:val="center"/>
              <w:ind w:left="242"/>
              <w:spacing w:after="0"/>
              <w:rPr>
                <w:sz w:val="20"/>
                <w:szCs w:val="20"/>
                <w:color w:val="auto"/>
              </w:rPr>
            </w:pPr>
            <w:r>
              <w:rPr>
                <w:rFonts w:ascii="Arial" w:cs="Arial" w:eastAsia="Arial" w:hAnsi="Arial"/>
                <w:sz w:val="16"/>
                <w:szCs w:val="16"/>
                <w:color w:val="auto"/>
                <w:w w:val="89"/>
              </w:rPr>
              <w:t>6</w:t>
            </w:r>
          </w:p>
        </w:tc>
        <w:tc>
          <w:tcPr>
            <w:tcW w:w="1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305</w:t>
            </w:r>
          </w:p>
        </w:tc>
        <w:tc>
          <w:tcPr>
            <w:tcW w:w="40" w:type="dxa"/>
            <w:vAlign w:val="bottom"/>
            <w:tcBorders>
              <w:bottom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207</w:t>
            </w:r>
          </w:p>
        </w:tc>
        <w:tc>
          <w:tcPr>
            <w:tcW w:w="6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122"/>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151</w:t>
            </w:r>
          </w:p>
        </w:tc>
        <w:tc>
          <w:tcPr>
            <w:tcW w:w="40" w:type="dxa"/>
            <w:vAlign w:val="bottom"/>
            <w:tcBorders>
              <w:bottom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102</w:t>
            </w:r>
          </w:p>
        </w:tc>
        <w:tc>
          <w:tcPr>
            <w:tcW w:w="6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10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6"/>
        </w:trPr>
        <w:tc>
          <w:tcPr>
            <w:tcW w:w="1600" w:type="dxa"/>
            <w:vAlign w:val="bottom"/>
          </w:tcPr>
          <w:p>
            <w:pPr>
              <w:ind w:left="120"/>
              <w:spacing w:after="0"/>
              <w:rPr>
                <w:sz w:val="20"/>
                <w:szCs w:val="20"/>
                <w:color w:val="auto"/>
              </w:rPr>
            </w:pPr>
            <w:r>
              <w:rPr>
                <w:rFonts w:ascii="Arial" w:cs="Arial" w:eastAsia="Arial" w:hAnsi="Arial"/>
                <w:sz w:val="16"/>
                <w:szCs w:val="16"/>
                <w:b w:val="1"/>
                <w:bCs w:val="1"/>
                <w:color w:val="auto"/>
              </w:rPr>
              <w:t>Total</w:t>
            </w:r>
          </w:p>
        </w:tc>
        <w:tc>
          <w:tcPr>
            <w:tcW w:w="17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55,292</w:t>
            </w:r>
          </w:p>
        </w:tc>
        <w:tc>
          <w:tcPr>
            <w:tcW w:w="260" w:type="dxa"/>
            <w:vAlign w:val="bottom"/>
            <w:gridSpan w:val="3"/>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52,700</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100 %</w:t>
            </w:r>
          </w:p>
        </w:tc>
        <w:tc>
          <w:tcPr>
            <w:tcW w:w="20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49,729</w:t>
            </w:r>
          </w:p>
        </w:tc>
        <w:tc>
          <w:tcPr>
            <w:tcW w:w="260" w:type="dxa"/>
            <w:vAlign w:val="bottom"/>
            <w:gridSpan w:val="3"/>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2"/>
              <w:spacing w:after="0"/>
              <w:rPr>
                <w:sz w:val="20"/>
                <w:szCs w:val="20"/>
                <w:color w:val="auto"/>
              </w:rPr>
            </w:pPr>
            <w:r>
              <w:rPr>
                <w:rFonts w:ascii="Arial" w:cs="Arial" w:eastAsia="Arial" w:hAnsi="Arial"/>
                <w:sz w:val="16"/>
                <w:szCs w:val="16"/>
                <w:color w:val="auto"/>
              </w:rPr>
              <w:t>46,317</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0"/>
        </w:trPr>
        <w:tc>
          <w:tcPr>
            <w:tcW w:w="16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-1076325</wp:posOffset>
            </wp:positionV>
            <wp:extent cx="6410325" cy="108331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53">
                      <a:extLst>
                        <a:ext uri="{28A0092B-C50C-407E-A947-70E740481C1C}"/>
                      </a:extLst>
                    </a:blip>
                    <a:srcRect/>
                    <a:stretch>
                      <a:fillRect/>
                    </a:stretch>
                  </pic:blipFill>
                  <pic:spPr bwMode="auto">
                    <a:xfrm>
                      <a:off x="0" y="0"/>
                      <a:ext cx="6410325" cy="1083310"/>
                    </a:xfrm>
                    <a:prstGeom prst="rect">
                      <a:avLst/>
                    </a:prstGeom>
                    <a:noFill/>
                  </pic:spPr>
                </pic:pic>
              </a:graphicData>
            </a:graphic>
          </wp:anchor>
        </w:drawing>
      </w:r>
    </w:p>
    <w:p>
      <w:pPr>
        <w:sectPr>
          <w:pgSz w:w="11880" w:h="15480" w:orient="portrait"/>
          <w:cols w:equalWidth="0" w:num="1">
            <w:col w:w="10040"/>
          </w:cols>
          <w:pgMar w:left="920" w:top="772"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81</w:t>
      </w:r>
    </w:p>
    <w:p>
      <w:pPr>
        <w:sectPr>
          <w:pgSz w:w="11880" w:h="15480" w:orient="portrait"/>
          <w:cols w:equalWidth="0" w:num="1">
            <w:col w:w="10040"/>
          </w:cols>
          <w:pgMar w:left="920" w:top="772" w:right="920" w:bottom="0" w:gutter="0" w:footer="0" w:header="0"/>
          <w:type w:val="continuous"/>
        </w:sectPr>
      </w:pPr>
    </w:p>
    <w:bookmarkStart w:id="93" w:name="page94"/>
    <w:bookmarkEnd w:id="93"/>
    <w:p>
      <w:pPr>
        <w:spacing w:after="0"/>
        <w:rPr>
          <w:sz w:val="20"/>
          <w:szCs w:val="20"/>
          <w:color w:val="auto"/>
        </w:rPr>
      </w:pPr>
      <w:r>
        <w:rPr>
          <w:rFonts w:ascii="Arial" w:cs="Arial" w:eastAsia="Arial" w:hAnsi="Arial"/>
          <w:sz w:val="20"/>
          <w:szCs w:val="20"/>
          <w:b w:val="1"/>
          <w:bCs w:val="1"/>
          <w:color w:val="auto"/>
        </w:rPr>
        <w:t>Investment Concentrations</w:t>
      </w:r>
    </w:p>
    <w:p>
      <w:pPr>
        <w:spacing w:after="0" w:line="248" w:lineRule="exact"/>
        <w:rPr>
          <w:sz w:val="20"/>
          <w:szCs w:val="20"/>
          <w:color w:val="auto"/>
        </w:rPr>
      </w:pPr>
    </w:p>
    <w:p>
      <w:pPr>
        <w:jc w:val="both"/>
        <w:ind w:firstLine="353"/>
        <w:spacing w:after="0" w:line="361" w:lineRule="auto"/>
        <w:rPr>
          <w:sz w:val="20"/>
          <w:szCs w:val="20"/>
          <w:color w:val="auto"/>
        </w:rPr>
      </w:pPr>
      <w:r>
        <w:rPr>
          <w:rFonts w:ascii="Arial" w:cs="Arial" w:eastAsia="Arial" w:hAnsi="Arial"/>
          <w:sz w:val="17"/>
          <w:szCs w:val="17"/>
          <w:color w:val="auto"/>
        </w:rPr>
        <w:t>The tables below present the top ten structured security and industry categories of our fixed maturity and equity securities including the fair value and percent of total fixed maturity and equity securities fair value as of December 31, 2025 and 2024:</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400" w:type="dxa"/>
            <w:vAlign w:val="bottom"/>
            <w:tcBorders>
              <w:bottom w:val="single" w:sz="8" w:color="auto"/>
            </w:tcBorders>
            <w:gridSpan w:val="3"/>
          </w:tcPr>
          <w:p>
            <w:pPr>
              <w:jc w:val="right"/>
              <w:ind w:right="602"/>
              <w:spacing w:after="0"/>
              <w:rPr>
                <w:sz w:val="20"/>
                <w:szCs w:val="20"/>
                <w:color w:val="auto"/>
              </w:rPr>
            </w:pPr>
            <w:r>
              <w:rPr>
                <w:rFonts w:ascii="Arial" w:cs="Arial" w:eastAsia="Arial" w:hAnsi="Arial"/>
                <w:sz w:val="16"/>
                <w:szCs w:val="16"/>
                <w:b w:val="1"/>
                <w:bCs w:val="1"/>
                <w:color w:val="auto"/>
              </w:rPr>
              <w:t>December 31, 2025</w:t>
            </w:r>
          </w:p>
        </w:tc>
        <w:tc>
          <w:tcPr>
            <w:tcW w:w="0" w:type="dxa"/>
            <w:vAlign w:val="bottom"/>
          </w:tcPr>
          <w:p>
            <w:pPr>
              <w:spacing w:after="0"/>
              <w:rPr>
                <w:sz w:val="1"/>
                <w:szCs w:val="1"/>
                <w:color w:val="auto"/>
              </w:rPr>
            </w:pPr>
          </w:p>
        </w:tc>
      </w:tr>
      <w:tr>
        <w:trPr>
          <w:trHeight w:val="167"/>
        </w:trPr>
        <w:tc>
          <w:tcPr>
            <w:tcW w:w="732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Top 10 Concentrations</w:t>
            </w:r>
          </w:p>
        </w:tc>
        <w:tc>
          <w:tcPr>
            <w:tcW w:w="80" w:type="dxa"/>
            <w:vAlign w:val="bottom"/>
            <w:vMerge w:val="restart"/>
          </w:tcPr>
          <w:p>
            <w:pPr>
              <w:spacing w:after="0"/>
              <w:rPr>
                <w:sz w:val="14"/>
                <w:szCs w:val="14"/>
                <w:color w:val="auto"/>
              </w:rPr>
            </w:pPr>
          </w:p>
        </w:tc>
        <w:tc>
          <w:tcPr>
            <w:tcW w:w="1280" w:type="dxa"/>
            <w:vAlign w:val="bottom"/>
            <w:gridSpan w:val="2"/>
          </w:tcPr>
          <w:p>
            <w:pPr>
              <w:jc w:val="right"/>
              <w:ind w:right="22"/>
              <w:spacing w:after="0" w:line="167" w:lineRule="exact"/>
              <w:rPr>
                <w:sz w:val="20"/>
                <w:szCs w:val="20"/>
                <w:color w:val="auto"/>
              </w:rPr>
            </w:pPr>
            <w:r>
              <w:rPr>
                <w:rFonts w:ascii="Arial" w:cs="Arial" w:eastAsia="Arial" w:hAnsi="Arial"/>
                <w:sz w:val="16"/>
                <w:szCs w:val="16"/>
                <w:b w:val="1"/>
                <w:bCs w:val="1"/>
                <w:color w:val="auto"/>
              </w:rPr>
              <w:t>Fair Value  (In</w:t>
            </w:r>
          </w:p>
        </w:tc>
        <w:tc>
          <w:tcPr>
            <w:tcW w:w="80" w:type="dxa"/>
            <w:vAlign w:val="bottom"/>
          </w:tcPr>
          <w:p>
            <w:pPr>
              <w:spacing w:after="0"/>
              <w:rPr>
                <w:sz w:val="14"/>
                <w:szCs w:val="14"/>
                <w:color w:val="auto"/>
              </w:rPr>
            </w:pPr>
          </w:p>
        </w:tc>
        <w:tc>
          <w:tcPr>
            <w:tcW w:w="1280" w:type="dxa"/>
            <w:vAlign w:val="bottom"/>
          </w:tcPr>
          <w:p>
            <w:pPr>
              <w:jc w:val="right"/>
              <w:ind w:right="22"/>
              <w:spacing w:after="0" w:line="167" w:lineRule="exact"/>
              <w:rPr>
                <w:sz w:val="20"/>
                <w:szCs w:val="20"/>
                <w:color w:val="auto"/>
              </w:rPr>
            </w:pPr>
            <w:r>
              <w:rPr>
                <w:rFonts w:ascii="Arial" w:cs="Arial" w:eastAsia="Arial" w:hAnsi="Arial"/>
                <w:sz w:val="16"/>
                <w:szCs w:val="16"/>
                <w:b w:val="1"/>
                <w:bCs w:val="1"/>
                <w:color w:val="auto"/>
                <w:w w:val="95"/>
              </w:rPr>
              <w:t>Percent of Total</w:t>
            </w:r>
          </w:p>
        </w:tc>
        <w:tc>
          <w:tcPr>
            <w:tcW w:w="0" w:type="dxa"/>
            <w:vAlign w:val="bottom"/>
          </w:tcPr>
          <w:p>
            <w:pPr>
              <w:spacing w:after="0"/>
              <w:rPr>
                <w:sz w:val="1"/>
                <w:szCs w:val="1"/>
                <w:color w:val="auto"/>
              </w:rPr>
            </w:pPr>
          </w:p>
        </w:tc>
      </w:tr>
      <w:tr>
        <w:trPr>
          <w:trHeight w:val="210"/>
        </w:trPr>
        <w:tc>
          <w:tcPr>
            <w:tcW w:w="7320" w:type="dxa"/>
            <w:vAlign w:val="bottom"/>
            <w:tcBorders>
              <w:bottom w:val="single" w:sz="8" w:color="auto"/>
            </w:tcBorders>
            <w:vMerge w:val="continue"/>
          </w:tcPr>
          <w:p>
            <w:pPr>
              <w:spacing w:after="0"/>
              <w:rPr>
                <w:sz w:val="18"/>
                <w:szCs w:val="18"/>
                <w:color w:val="auto"/>
              </w:rPr>
            </w:pPr>
          </w:p>
        </w:tc>
        <w:tc>
          <w:tcPr>
            <w:tcW w:w="80" w:type="dxa"/>
            <w:vAlign w:val="bottom"/>
            <w:vMerge w:val="continue"/>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262"/>
              <w:spacing w:after="0"/>
              <w:rPr>
                <w:sz w:val="20"/>
                <w:szCs w:val="20"/>
                <w:color w:val="auto"/>
              </w:rPr>
            </w:pPr>
            <w:r>
              <w:rPr>
                <w:rFonts w:ascii="Arial" w:cs="Arial" w:eastAsia="Arial" w:hAnsi="Arial"/>
                <w:sz w:val="16"/>
                <w:szCs w:val="16"/>
                <w:b w:val="1"/>
                <w:bCs w:val="1"/>
                <w:color w:val="auto"/>
              </w:rPr>
              <w:t>millions)</w:t>
            </w:r>
          </w:p>
        </w:tc>
        <w:tc>
          <w:tcPr>
            <w:tcW w:w="80" w:type="dxa"/>
            <w:vAlign w:val="bottom"/>
          </w:tcPr>
          <w:p>
            <w:pPr>
              <w:spacing w:after="0"/>
              <w:rPr>
                <w:sz w:val="18"/>
                <w:szCs w:val="18"/>
                <w:color w:val="auto"/>
              </w:rPr>
            </w:pPr>
          </w:p>
        </w:tc>
        <w:tc>
          <w:tcPr>
            <w:tcW w:w="1280" w:type="dxa"/>
            <w:vAlign w:val="bottom"/>
            <w:tcBorders>
              <w:bottom w:val="single" w:sz="8" w:color="auto"/>
            </w:tcBorders>
          </w:tcPr>
          <w:p>
            <w:pPr>
              <w:jc w:val="right"/>
              <w:ind w:right="202"/>
              <w:spacing w:after="0"/>
              <w:rPr>
                <w:sz w:val="20"/>
                <w:szCs w:val="20"/>
                <w:color w:val="auto"/>
              </w:rPr>
            </w:pPr>
            <w:r>
              <w:rPr>
                <w:rFonts w:ascii="Arial" w:cs="Arial" w:eastAsia="Arial" w:hAnsi="Arial"/>
                <w:sz w:val="16"/>
                <w:szCs w:val="16"/>
                <w:b w:val="1"/>
                <w:bCs w:val="1"/>
                <w:color w:val="auto"/>
              </w:rPr>
              <w:t>Fair Value</w:t>
            </w:r>
          </w:p>
        </w:tc>
        <w:tc>
          <w:tcPr>
            <w:tcW w:w="0" w:type="dxa"/>
            <w:vAlign w:val="bottom"/>
          </w:tcPr>
          <w:p>
            <w:pPr>
              <w:spacing w:after="0"/>
              <w:rPr>
                <w:sz w:val="1"/>
                <w:szCs w:val="1"/>
                <w:color w:val="auto"/>
              </w:rPr>
            </w:pPr>
          </w:p>
        </w:tc>
      </w:tr>
      <w:tr>
        <w:trPr>
          <w:trHeight w:val="208"/>
        </w:trPr>
        <w:tc>
          <w:tcPr>
            <w:tcW w:w="7400" w:type="dxa"/>
            <w:vAlign w:val="bottom"/>
            <w:gridSpan w:val="2"/>
          </w:tcPr>
          <w:p>
            <w:pPr>
              <w:ind w:left="40"/>
              <w:spacing w:after="0"/>
              <w:rPr>
                <w:sz w:val="20"/>
                <w:szCs w:val="20"/>
                <w:color w:val="auto"/>
              </w:rPr>
            </w:pPr>
            <w:r>
              <w:rPr>
                <w:rFonts w:ascii="Arial" w:cs="Arial" w:eastAsia="Arial" w:hAnsi="Arial"/>
                <w:sz w:val="16"/>
                <w:szCs w:val="16"/>
                <w:color w:val="auto"/>
              </w:rPr>
              <w:t>CLO (a)</w:t>
            </w:r>
          </w:p>
        </w:tc>
        <w:tc>
          <w:tcPr>
            <w:tcW w:w="24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10,890</w:t>
            </w:r>
          </w:p>
        </w:tc>
        <w:tc>
          <w:tcPr>
            <w:tcW w:w="1360" w:type="dxa"/>
            <w:vAlign w:val="bottom"/>
            <w:gridSpan w:val="2"/>
          </w:tcPr>
          <w:p>
            <w:pPr>
              <w:jc w:val="right"/>
              <w:spacing w:after="0"/>
              <w:rPr>
                <w:sz w:val="20"/>
                <w:szCs w:val="20"/>
                <w:color w:val="auto"/>
              </w:rPr>
            </w:pPr>
            <w:r>
              <w:rPr>
                <w:rFonts w:ascii="Arial" w:cs="Arial" w:eastAsia="Arial" w:hAnsi="Arial"/>
                <w:sz w:val="16"/>
                <w:szCs w:val="16"/>
                <w:color w:val="auto"/>
              </w:rPr>
              <w:t>21 %</w:t>
            </w:r>
          </w:p>
        </w:tc>
        <w:tc>
          <w:tcPr>
            <w:tcW w:w="0" w:type="dxa"/>
            <w:vAlign w:val="bottom"/>
          </w:tcPr>
          <w:p>
            <w:pPr>
              <w:spacing w:after="0"/>
              <w:rPr>
                <w:sz w:val="1"/>
                <w:szCs w:val="1"/>
                <w:color w:val="auto"/>
              </w:rPr>
            </w:pPr>
          </w:p>
        </w:tc>
      </w:tr>
      <w:tr>
        <w:trPr>
          <w:trHeight w:val="235"/>
        </w:trPr>
        <w:tc>
          <w:tcPr>
            <w:tcW w:w="7400" w:type="dxa"/>
            <w:vAlign w:val="bottom"/>
            <w:gridSpan w:val="2"/>
          </w:tcPr>
          <w:p>
            <w:pPr>
              <w:ind w:left="40"/>
              <w:spacing w:after="0"/>
              <w:rPr>
                <w:sz w:val="20"/>
                <w:szCs w:val="20"/>
                <w:color w:val="auto"/>
              </w:rPr>
            </w:pPr>
            <w:r>
              <w:rPr>
                <w:rFonts w:ascii="Arial" w:cs="Arial" w:eastAsia="Arial" w:hAnsi="Arial"/>
                <w:sz w:val="16"/>
                <w:szCs w:val="16"/>
                <w:color w:val="auto"/>
              </w:rPr>
              <w:t>ABS (a)</w:t>
            </w:r>
          </w:p>
        </w:tc>
        <w:tc>
          <w:tcPr>
            <w:tcW w:w="2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7,842</w:t>
            </w:r>
          </w:p>
        </w:tc>
        <w:tc>
          <w:tcPr>
            <w:tcW w:w="1360" w:type="dxa"/>
            <w:vAlign w:val="bottom"/>
            <w:gridSpan w:val="2"/>
          </w:tcPr>
          <w:p>
            <w:pPr>
              <w:jc w:val="right"/>
              <w:ind w:right="102"/>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235"/>
        </w:trPr>
        <w:tc>
          <w:tcPr>
            <w:tcW w:w="7400" w:type="dxa"/>
            <w:vAlign w:val="bottom"/>
            <w:gridSpan w:val="2"/>
          </w:tcPr>
          <w:p>
            <w:pPr>
              <w:ind w:left="40"/>
              <w:spacing w:after="0"/>
              <w:rPr>
                <w:sz w:val="20"/>
                <w:szCs w:val="20"/>
                <w:color w:val="auto"/>
              </w:rPr>
            </w:pPr>
            <w:r>
              <w:rPr>
                <w:rFonts w:ascii="Arial" w:cs="Arial" w:eastAsia="Arial" w:hAnsi="Arial"/>
                <w:sz w:val="16"/>
                <w:szCs w:val="16"/>
                <w:color w:val="auto"/>
              </w:rPr>
              <w:t>Commercial mortgage-backed securities</w:t>
            </w:r>
          </w:p>
        </w:tc>
        <w:tc>
          <w:tcPr>
            <w:tcW w:w="2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5,155</w:t>
            </w:r>
          </w:p>
        </w:tc>
        <w:tc>
          <w:tcPr>
            <w:tcW w:w="1360" w:type="dxa"/>
            <w:vAlign w:val="bottom"/>
            <w:gridSpan w:val="2"/>
          </w:tcPr>
          <w:p>
            <w:pPr>
              <w:jc w:val="right"/>
              <w:ind w:right="102"/>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35"/>
        </w:trPr>
        <w:tc>
          <w:tcPr>
            <w:tcW w:w="7400" w:type="dxa"/>
            <w:vAlign w:val="bottom"/>
            <w:gridSpan w:val="2"/>
          </w:tcPr>
          <w:p>
            <w:pPr>
              <w:ind w:left="40"/>
              <w:spacing w:after="0"/>
              <w:rPr>
                <w:sz w:val="20"/>
                <w:szCs w:val="20"/>
                <w:color w:val="auto"/>
              </w:rPr>
            </w:pPr>
            <w:r>
              <w:rPr>
                <w:rFonts w:ascii="Arial" w:cs="Arial" w:eastAsia="Arial" w:hAnsi="Arial"/>
                <w:sz w:val="16"/>
                <w:szCs w:val="16"/>
                <w:color w:val="auto"/>
              </w:rPr>
              <w:t>Diversified financial services</w:t>
            </w:r>
          </w:p>
        </w:tc>
        <w:tc>
          <w:tcPr>
            <w:tcW w:w="2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4,161</w:t>
            </w:r>
          </w:p>
        </w:tc>
        <w:tc>
          <w:tcPr>
            <w:tcW w:w="1360" w:type="dxa"/>
            <w:vAlign w:val="bottom"/>
            <w:gridSpan w:val="2"/>
          </w:tcPr>
          <w:p>
            <w:pPr>
              <w:jc w:val="right"/>
              <w:ind w:right="102"/>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35"/>
        </w:trPr>
        <w:tc>
          <w:tcPr>
            <w:tcW w:w="7400" w:type="dxa"/>
            <w:vAlign w:val="bottom"/>
            <w:gridSpan w:val="2"/>
          </w:tcPr>
          <w:p>
            <w:pPr>
              <w:ind w:left="40"/>
              <w:spacing w:after="0"/>
              <w:rPr>
                <w:sz w:val="20"/>
                <w:szCs w:val="20"/>
                <w:color w:val="auto"/>
              </w:rPr>
            </w:pPr>
            <w:r>
              <w:rPr>
                <w:rFonts w:ascii="Arial" w:cs="Arial" w:eastAsia="Arial" w:hAnsi="Arial"/>
                <w:sz w:val="16"/>
                <w:szCs w:val="16"/>
                <w:color w:val="auto"/>
              </w:rPr>
              <w:t>Whole loan collateralized mortgage obligation</w:t>
            </w:r>
          </w:p>
        </w:tc>
        <w:tc>
          <w:tcPr>
            <w:tcW w:w="2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2,630</w:t>
            </w:r>
          </w:p>
        </w:tc>
        <w:tc>
          <w:tcPr>
            <w:tcW w:w="1360" w:type="dxa"/>
            <w:vAlign w:val="bottom"/>
            <w:gridSpan w:val="2"/>
          </w:tcPr>
          <w:p>
            <w:pPr>
              <w:jc w:val="right"/>
              <w:ind w:right="102"/>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35"/>
        </w:trPr>
        <w:tc>
          <w:tcPr>
            <w:tcW w:w="7400" w:type="dxa"/>
            <w:vAlign w:val="bottom"/>
            <w:gridSpan w:val="2"/>
          </w:tcPr>
          <w:p>
            <w:pPr>
              <w:ind w:left="40"/>
              <w:spacing w:after="0"/>
              <w:rPr>
                <w:sz w:val="20"/>
                <w:szCs w:val="20"/>
                <w:color w:val="auto"/>
              </w:rPr>
            </w:pPr>
            <w:r>
              <w:rPr>
                <w:rFonts w:ascii="Arial" w:cs="Arial" w:eastAsia="Arial" w:hAnsi="Arial"/>
                <w:sz w:val="16"/>
                <w:szCs w:val="16"/>
                <w:color w:val="auto"/>
              </w:rPr>
              <w:t>Banking</w:t>
            </w:r>
          </w:p>
        </w:tc>
        <w:tc>
          <w:tcPr>
            <w:tcW w:w="2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2,246</w:t>
            </w:r>
          </w:p>
        </w:tc>
        <w:tc>
          <w:tcPr>
            <w:tcW w:w="1360" w:type="dxa"/>
            <w:vAlign w:val="bottom"/>
            <w:gridSpan w:val="2"/>
          </w:tcPr>
          <w:p>
            <w:pPr>
              <w:jc w:val="right"/>
              <w:ind w:right="102"/>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35"/>
        </w:trPr>
        <w:tc>
          <w:tcPr>
            <w:tcW w:w="7400" w:type="dxa"/>
            <w:vAlign w:val="bottom"/>
            <w:gridSpan w:val="2"/>
          </w:tcPr>
          <w:p>
            <w:pPr>
              <w:ind w:left="40"/>
              <w:spacing w:after="0"/>
              <w:rPr>
                <w:sz w:val="20"/>
                <w:szCs w:val="20"/>
                <w:color w:val="auto"/>
              </w:rPr>
            </w:pPr>
            <w:r>
              <w:rPr>
                <w:rFonts w:ascii="Arial" w:cs="Arial" w:eastAsia="Arial" w:hAnsi="Arial"/>
                <w:sz w:val="16"/>
                <w:szCs w:val="16"/>
                <w:color w:val="auto"/>
              </w:rPr>
              <w:t>Insurance</w:t>
            </w:r>
          </w:p>
        </w:tc>
        <w:tc>
          <w:tcPr>
            <w:tcW w:w="2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1,902</w:t>
            </w:r>
          </w:p>
        </w:tc>
        <w:tc>
          <w:tcPr>
            <w:tcW w:w="1360" w:type="dxa"/>
            <w:vAlign w:val="bottom"/>
            <w:gridSpan w:val="2"/>
          </w:tcPr>
          <w:p>
            <w:pPr>
              <w:jc w:val="right"/>
              <w:ind w:right="102"/>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35"/>
        </w:trPr>
        <w:tc>
          <w:tcPr>
            <w:tcW w:w="7400" w:type="dxa"/>
            <w:vAlign w:val="bottom"/>
            <w:gridSpan w:val="2"/>
          </w:tcPr>
          <w:p>
            <w:pPr>
              <w:ind w:left="80"/>
              <w:spacing w:after="0"/>
              <w:rPr>
                <w:sz w:val="20"/>
                <w:szCs w:val="20"/>
                <w:color w:val="auto"/>
              </w:rPr>
            </w:pPr>
            <w:r>
              <w:rPr>
                <w:rFonts w:ascii="Arial" w:cs="Arial" w:eastAsia="Arial" w:hAnsi="Arial"/>
                <w:sz w:val="16"/>
                <w:szCs w:val="16"/>
                <w:color w:val="auto"/>
              </w:rPr>
              <w:t>Electric</w:t>
            </w:r>
          </w:p>
        </w:tc>
        <w:tc>
          <w:tcPr>
            <w:tcW w:w="2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1,413</w:t>
            </w:r>
          </w:p>
        </w:tc>
        <w:tc>
          <w:tcPr>
            <w:tcW w:w="1360" w:type="dxa"/>
            <w:vAlign w:val="bottom"/>
            <w:gridSpan w:val="2"/>
          </w:tcPr>
          <w:p>
            <w:pPr>
              <w:jc w:val="right"/>
              <w:ind w:right="102"/>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35"/>
        </w:trPr>
        <w:tc>
          <w:tcPr>
            <w:tcW w:w="7400" w:type="dxa"/>
            <w:vAlign w:val="bottom"/>
            <w:gridSpan w:val="2"/>
          </w:tcPr>
          <w:p>
            <w:pPr>
              <w:ind w:left="80"/>
              <w:spacing w:after="0"/>
              <w:rPr>
                <w:sz w:val="20"/>
                <w:szCs w:val="20"/>
                <w:color w:val="auto"/>
              </w:rPr>
            </w:pPr>
            <w:r>
              <w:rPr>
                <w:rFonts w:ascii="Arial" w:cs="Arial" w:eastAsia="Arial" w:hAnsi="Arial"/>
                <w:sz w:val="16"/>
                <w:szCs w:val="16"/>
                <w:color w:val="auto"/>
              </w:rPr>
              <w:t>Municipal</w:t>
            </w:r>
          </w:p>
        </w:tc>
        <w:tc>
          <w:tcPr>
            <w:tcW w:w="2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1,355</w:t>
            </w:r>
          </w:p>
        </w:tc>
        <w:tc>
          <w:tcPr>
            <w:tcW w:w="1360" w:type="dxa"/>
            <w:vAlign w:val="bottom"/>
            <w:gridSpan w:val="2"/>
          </w:tcPr>
          <w:p>
            <w:pPr>
              <w:jc w:val="right"/>
              <w:ind w:right="102"/>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42"/>
        </w:trPr>
        <w:tc>
          <w:tcPr>
            <w:tcW w:w="7400" w:type="dxa"/>
            <w:vAlign w:val="bottom"/>
            <w:gridSpan w:val="2"/>
          </w:tcPr>
          <w:p>
            <w:pPr>
              <w:ind w:left="40"/>
              <w:spacing w:after="0"/>
              <w:rPr>
                <w:sz w:val="20"/>
                <w:szCs w:val="20"/>
                <w:color w:val="auto"/>
              </w:rPr>
            </w:pPr>
            <w:r>
              <w:rPr>
                <w:rFonts w:ascii="Arial" w:cs="Arial" w:eastAsia="Arial" w:hAnsi="Arial"/>
                <w:sz w:val="16"/>
                <w:szCs w:val="16"/>
                <w:color w:val="auto"/>
              </w:rPr>
              <w:t>Pipelines</w:t>
            </w:r>
          </w:p>
        </w:tc>
        <w:tc>
          <w:tcPr>
            <w:tcW w:w="2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945</w:t>
            </w:r>
          </w:p>
        </w:tc>
        <w:tc>
          <w:tcPr>
            <w:tcW w:w="80" w:type="dxa"/>
            <w:vAlign w:val="bottom"/>
          </w:tcPr>
          <w:p>
            <w:pPr>
              <w:spacing w:after="0"/>
              <w:rPr>
                <w:sz w:val="21"/>
                <w:szCs w:val="21"/>
                <w:color w:val="auto"/>
              </w:rPr>
            </w:pPr>
          </w:p>
        </w:tc>
        <w:tc>
          <w:tcPr>
            <w:tcW w:w="1280" w:type="dxa"/>
            <w:vAlign w:val="bottom"/>
            <w:tcBorders>
              <w:bottom w:val="single" w:sz="8" w:color="auto"/>
            </w:tcBorders>
          </w:tcPr>
          <w:p>
            <w:pPr>
              <w:jc w:val="right"/>
              <w:ind w:right="102"/>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196"/>
        </w:trPr>
        <w:tc>
          <w:tcPr>
            <w:tcW w:w="7400" w:type="dxa"/>
            <w:vAlign w:val="bottom"/>
            <w:gridSpan w:val="2"/>
          </w:tcPr>
          <w:p>
            <w:pPr>
              <w:ind w:left="180"/>
              <w:spacing w:after="0"/>
              <w:rPr>
                <w:sz w:val="20"/>
                <w:szCs w:val="20"/>
                <w:color w:val="auto"/>
              </w:rPr>
            </w:pPr>
            <w:r>
              <w:rPr>
                <w:rFonts w:ascii="Arial" w:cs="Arial" w:eastAsia="Arial" w:hAnsi="Arial"/>
                <w:sz w:val="16"/>
                <w:szCs w:val="16"/>
                <w:b w:val="1"/>
                <w:bCs w:val="1"/>
                <w:color w:val="auto"/>
              </w:rPr>
              <w:t>Total</w:t>
            </w:r>
          </w:p>
        </w:tc>
        <w:tc>
          <w:tcPr>
            <w:tcW w:w="24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38,539</w:t>
            </w:r>
          </w:p>
        </w:tc>
        <w:tc>
          <w:tcPr>
            <w:tcW w:w="1360" w:type="dxa"/>
            <w:vAlign w:val="bottom"/>
            <w:gridSpan w:val="2"/>
          </w:tcPr>
          <w:p>
            <w:pPr>
              <w:jc w:val="right"/>
              <w:spacing w:after="0"/>
              <w:rPr>
                <w:sz w:val="20"/>
                <w:szCs w:val="20"/>
                <w:color w:val="auto"/>
              </w:rPr>
            </w:pPr>
            <w:r>
              <w:rPr>
                <w:rFonts w:ascii="Arial" w:cs="Arial" w:eastAsia="Arial" w:hAnsi="Arial"/>
                <w:sz w:val="16"/>
                <w:szCs w:val="16"/>
                <w:color w:val="auto"/>
              </w:rPr>
              <w:t>74 %</w:t>
            </w:r>
          </w:p>
        </w:tc>
        <w:tc>
          <w:tcPr>
            <w:tcW w:w="0" w:type="dxa"/>
            <w:vAlign w:val="bottom"/>
          </w:tcPr>
          <w:p>
            <w:pPr>
              <w:spacing w:after="0"/>
              <w:rPr>
                <w:sz w:val="1"/>
                <w:szCs w:val="1"/>
                <w:color w:val="auto"/>
              </w:rPr>
            </w:pPr>
          </w:p>
        </w:tc>
      </w:tr>
      <w:tr>
        <w:trPr>
          <w:trHeight w:val="20"/>
        </w:trPr>
        <w:tc>
          <w:tcPr>
            <w:tcW w:w="7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-1673860</wp:posOffset>
            </wp:positionV>
            <wp:extent cx="6410325" cy="16808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54">
                      <a:extLst>
                        <a:ext uri="{28A0092B-C50C-407E-A947-70E740481C1C}"/>
                      </a:extLst>
                    </a:blip>
                    <a:srcRect/>
                    <a:stretch>
                      <a:fillRect/>
                    </a:stretch>
                  </pic:blipFill>
                  <pic:spPr bwMode="auto">
                    <a:xfrm>
                      <a:off x="0" y="0"/>
                      <a:ext cx="6410325" cy="1680845"/>
                    </a:xfrm>
                    <a:prstGeom prst="rect">
                      <a:avLst/>
                    </a:prstGeom>
                    <a:noFill/>
                  </pic:spPr>
                </pic:pic>
              </a:graphicData>
            </a:graphic>
          </wp:anchor>
        </w:drawing>
      </w:r>
    </w:p>
    <w:p>
      <w:pPr>
        <w:spacing w:after="0" w:line="234" w:lineRule="exact"/>
        <w:rPr>
          <w:sz w:val="20"/>
          <w:szCs w:val="20"/>
          <w:color w:val="auto"/>
        </w:rPr>
      </w:pPr>
    </w:p>
    <w:p>
      <w:pPr>
        <w:spacing w:after="0"/>
        <w:rPr>
          <w:sz w:val="20"/>
          <w:szCs w:val="20"/>
          <w:color w:val="auto"/>
        </w:rPr>
      </w:pPr>
      <w:r>
        <w:rPr>
          <w:rFonts w:ascii="Arial" w:cs="Arial" w:eastAsia="Arial" w:hAnsi="Arial"/>
          <w:sz w:val="15"/>
          <w:szCs w:val="15"/>
          <w:color w:val="auto"/>
        </w:rPr>
        <w:t>(a) Balances at December 31, 2025, reflect classifications consistent with the NAIC Principles Bond Definition Project effective January 1, 2025.</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380" w:type="dxa"/>
            <w:vAlign w:val="bottom"/>
            <w:tcBorders>
              <w:bottom w:val="single" w:sz="8" w:color="auto"/>
            </w:tcBorders>
            <w:gridSpan w:val="3"/>
          </w:tcPr>
          <w:p>
            <w:pPr>
              <w:jc w:val="right"/>
              <w:ind w:right="582"/>
              <w:spacing w:after="0"/>
              <w:rPr>
                <w:sz w:val="20"/>
                <w:szCs w:val="20"/>
                <w:color w:val="auto"/>
              </w:rPr>
            </w:pPr>
            <w:r>
              <w:rPr>
                <w:rFonts w:ascii="Arial" w:cs="Arial" w:eastAsia="Arial" w:hAnsi="Arial"/>
                <w:sz w:val="16"/>
                <w:szCs w:val="16"/>
                <w:b w:val="1"/>
                <w:bCs w:val="1"/>
                <w:color w:val="auto"/>
              </w:rPr>
              <w:t>December 31, 2024</w:t>
            </w:r>
          </w:p>
        </w:tc>
        <w:tc>
          <w:tcPr>
            <w:tcW w:w="0" w:type="dxa"/>
            <w:vAlign w:val="bottom"/>
          </w:tcPr>
          <w:p>
            <w:pPr>
              <w:spacing w:after="0"/>
              <w:rPr>
                <w:sz w:val="1"/>
                <w:szCs w:val="1"/>
                <w:color w:val="auto"/>
              </w:rPr>
            </w:pPr>
          </w:p>
        </w:tc>
      </w:tr>
      <w:tr>
        <w:trPr>
          <w:trHeight w:val="167"/>
        </w:trPr>
        <w:tc>
          <w:tcPr>
            <w:tcW w:w="738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Top 10 Concentrations</w:t>
            </w:r>
          </w:p>
        </w:tc>
        <w:tc>
          <w:tcPr>
            <w:tcW w:w="60" w:type="dxa"/>
            <w:vAlign w:val="bottom"/>
            <w:vMerge w:val="restart"/>
          </w:tcPr>
          <w:p>
            <w:pPr>
              <w:spacing w:after="0"/>
              <w:rPr>
                <w:sz w:val="14"/>
                <w:szCs w:val="14"/>
                <w:color w:val="auto"/>
              </w:rPr>
            </w:pPr>
          </w:p>
        </w:tc>
        <w:tc>
          <w:tcPr>
            <w:tcW w:w="1260" w:type="dxa"/>
            <w:vAlign w:val="bottom"/>
            <w:gridSpan w:val="2"/>
          </w:tcPr>
          <w:p>
            <w:pPr>
              <w:jc w:val="right"/>
              <w:ind w:right="22"/>
              <w:spacing w:after="0" w:line="167" w:lineRule="exact"/>
              <w:rPr>
                <w:sz w:val="20"/>
                <w:szCs w:val="20"/>
                <w:color w:val="auto"/>
              </w:rPr>
            </w:pPr>
            <w:r>
              <w:rPr>
                <w:rFonts w:ascii="Arial" w:cs="Arial" w:eastAsia="Arial" w:hAnsi="Arial"/>
                <w:sz w:val="16"/>
                <w:szCs w:val="16"/>
                <w:b w:val="1"/>
                <w:bCs w:val="1"/>
                <w:color w:val="auto"/>
              </w:rPr>
              <w:t>Fair Value  (In</w:t>
            </w:r>
          </w:p>
        </w:tc>
        <w:tc>
          <w:tcPr>
            <w:tcW w:w="60" w:type="dxa"/>
            <w:vAlign w:val="bottom"/>
          </w:tcPr>
          <w:p>
            <w:pPr>
              <w:spacing w:after="0"/>
              <w:rPr>
                <w:sz w:val="14"/>
                <w:szCs w:val="14"/>
                <w:color w:val="auto"/>
              </w:rPr>
            </w:pPr>
          </w:p>
        </w:tc>
        <w:tc>
          <w:tcPr>
            <w:tcW w:w="1280" w:type="dxa"/>
            <w:vAlign w:val="bottom"/>
          </w:tcPr>
          <w:p>
            <w:pPr>
              <w:jc w:val="right"/>
              <w:ind w:right="22"/>
              <w:spacing w:after="0" w:line="167" w:lineRule="exact"/>
              <w:rPr>
                <w:sz w:val="20"/>
                <w:szCs w:val="20"/>
                <w:color w:val="auto"/>
              </w:rPr>
            </w:pPr>
            <w:r>
              <w:rPr>
                <w:rFonts w:ascii="Arial" w:cs="Arial" w:eastAsia="Arial" w:hAnsi="Arial"/>
                <w:sz w:val="16"/>
                <w:szCs w:val="16"/>
                <w:b w:val="1"/>
                <w:bCs w:val="1"/>
                <w:color w:val="auto"/>
                <w:w w:val="95"/>
              </w:rPr>
              <w:t>Percent of Total</w:t>
            </w:r>
          </w:p>
        </w:tc>
        <w:tc>
          <w:tcPr>
            <w:tcW w:w="0" w:type="dxa"/>
            <w:vAlign w:val="bottom"/>
          </w:tcPr>
          <w:p>
            <w:pPr>
              <w:spacing w:after="0"/>
              <w:rPr>
                <w:sz w:val="1"/>
                <w:szCs w:val="1"/>
                <w:color w:val="auto"/>
              </w:rPr>
            </w:pPr>
          </w:p>
        </w:tc>
      </w:tr>
      <w:tr>
        <w:trPr>
          <w:trHeight w:val="210"/>
        </w:trPr>
        <w:tc>
          <w:tcPr>
            <w:tcW w:w="7380" w:type="dxa"/>
            <w:vAlign w:val="bottom"/>
            <w:tcBorders>
              <w:bottom w:val="single" w:sz="8" w:color="auto"/>
            </w:tcBorders>
            <w:vMerge w:val="continue"/>
          </w:tcPr>
          <w:p>
            <w:pPr>
              <w:spacing w:after="0"/>
              <w:rPr>
                <w:sz w:val="18"/>
                <w:szCs w:val="18"/>
                <w:color w:val="auto"/>
              </w:rPr>
            </w:pPr>
          </w:p>
        </w:tc>
        <w:tc>
          <w:tcPr>
            <w:tcW w:w="60" w:type="dxa"/>
            <w:vAlign w:val="bottom"/>
            <w:vMerge w:val="continue"/>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262"/>
              <w:spacing w:after="0"/>
              <w:rPr>
                <w:sz w:val="20"/>
                <w:szCs w:val="20"/>
                <w:color w:val="auto"/>
              </w:rPr>
            </w:pPr>
            <w:r>
              <w:rPr>
                <w:rFonts w:ascii="Arial" w:cs="Arial" w:eastAsia="Arial" w:hAnsi="Arial"/>
                <w:sz w:val="16"/>
                <w:szCs w:val="16"/>
                <w:b w:val="1"/>
                <w:bCs w:val="1"/>
                <w:color w:val="auto"/>
              </w:rPr>
              <w:t>millions)</w:t>
            </w:r>
          </w:p>
        </w:tc>
        <w:tc>
          <w:tcPr>
            <w:tcW w:w="60" w:type="dxa"/>
            <w:vAlign w:val="bottom"/>
          </w:tcPr>
          <w:p>
            <w:pPr>
              <w:spacing w:after="0"/>
              <w:rPr>
                <w:sz w:val="18"/>
                <w:szCs w:val="18"/>
                <w:color w:val="auto"/>
              </w:rPr>
            </w:pPr>
          </w:p>
        </w:tc>
        <w:tc>
          <w:tcPr>
            <w:tcW w:w="1280" w:type="dxa"/>
            <w:vAlign w:val="bottom"/>
            <w:tcBorders>
              <w:bottom w:val="single" w:sz="8" w:color="auto"/>
            </w:tcBorders>
          </w:tcPr>
          <w:p>
            <w:pPr>
              <w:jc w:val="right"/>
              <w:ind w:right="202"/>
              <w:spacing w:after="0"/>
              <w:rPr>
                <w:sz w:val="20"/>
                <w:szCs w:val="20"/>
                <w:color w:val="auto"/>
              </w:rPr>
            </w:pPr>
            <w:r>
              <w:rPr>
                <w:rFonts w:ascii="Arial" w:cs="Arial" w:eastAsia="Arial" w:hAnsi="Arial"/>
                <w:sz w:val="16"/>
                <w:szCs w:val="16"/>
                <w:b w:val="1"/>
                <w:bCs w:val="1"/>
                <w:color w:val="auto"/>
              </w:rPr>
              <w:t>Fair Value</w:t>
            </w:r>
          </w:p>
        </w:tc>
        <w:tc>
          <w:tcPr>
            <w:tcW w:w="0" w:type="dxa"/>
            <w:vAlign w:val="bottom"/>
          </w:tcPr>
          <w:p>
            <w:pPr>
              <w:spacing w:after="0"/>
              <w:rPr>
                <w:sz w:val="1"/>
                <w:szCs w:val="1"/>
                <w:color w:val="auto"/>
              </w:rPr>
            </w:pPr>
          </w:p>
        </w:tc>
      </w:tr>
      <w:tr>
        <w:trPr>
          <w:trHeight w:val="208"/>
        </w:trPr>
        <w:tc>
          <w:tcPr>
            <w:tcW w:w="7440" w:type="dxa"/>
            <w:vAlign w:val="bottom"/>
            <w:gridSpan w:val="2"/>
          </w:tcPr>
          <w:p>
            <w:pPr>
              <w:ind w:left="40"/>
              <w:spacing w:after="0"/>
              <w:rPr>
                <w:sz w:val="20"/>
                <w:szCs w:val="20"/>
                <w:color w:val="auto"/>
              </w:rPr>
            </w:pPr>
            <w:r>
              <w:rPr>
                <w:rFonts w:ascii="Arial" w:cs="Arial" w:eastAsia="Arial" w:hAnsi="Arial"/>
                <w:sz w:val="16"/>
                <w:szCs w:val="16"/>
                <w:color w:val="auto"/>
              </w:rPr>
              <w:t>ABS</w:t>
            </w:r>
          </w:p>
        </w:tc>
        <w:tc>
          <w:tcPr>
            <w:tcW w:w="22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10,270</w:t>
            </w:r>
          </w:p>
        </w:tc>
        <w:tc>
          <w:tcPr>
            <w:tcW w:w="1340" w:type="dxa"/>
            <w:vAlign w:val="bottom"/>
            <w:gridSpan w:val="2"/>
          </w:tcPr>
          <w:p>
            <w:pPr>
              <w:jc w:val="right"/>
              <w:spacing w:after="0"/>
              <w:rPr>
                <w:sz w:val="20"/>
                <w:szCs w:val="20"/>
                <w:color w:val="auto"/>
              </w:rPr>
            </w:pPr>
            <w:r>
              <w:rPr>
                <w:rFonts w:ascii="Arial" w:cs="Arial" w:eastAsia="Arial" w:hAnsi="Arial"/>
                <w:sz w:val="16"/>
                <w:szCs w:val="16"/>
                <w:color w:val="auto"/>
              </w:rPr>
              <w:t>22 %</w:t>
            </w:r>
          </w:p>
        </w:tc>
        <w:tc>
          <w:tcPr>
            <w:tcW w:w="0" w:type="dxa"/>
            <w:vAlign w:val="bottom"/>
          </w:tcPr>
          <w:p>
            <w:pPr>
              <w:spacing w:after="0"/>
              <w:rPr>
                <w:sz w:val="1"/>
                <w:szCs w:val="1"/>
                <w:color w:val="auto"/>
              </w:rPr>
            </w:pPr>
          </w:p>
        </w:tc>
      </w:tr>
      <w:tr>
        <w:trPr>
          <w:trHeight w:val="235"/>
        </w:trPr>
        <w:tc>
          <w:tcPr>
            <w:tcW w:w="7440" w:type="dxa"/>
            <w:vAlign w:val="bottom"/>
            <w:gridSpan w:val="2"/>
          </w:tcPr>
          <w:p>
            <w:pPr>
              <w:ind w:left="40"/>
              <w:spacing w:after="0"/>
              <w:rPr>
                <w:sz w:val="20"/>
                <w:szCs w:val="20"/>
                <w:color w:val="auto"/>
              </w:rPr>
            </w:pPr>
            <w:r>
              <w:rPr>
                <w:rFonts w:ascii="Arial" w:cs="Arial" w:eastAsia="Arial" w:hAnsi="Arial"/>
                <w:sz w:val="16"/>
                <w:szCs w:val="16"/>
                <w:color w:val="auto"/>
              </w:rPr>
              <w:t>CLO</w:t>
            </w:r>
          </w:p>
        </w:tc>
        <w:tc>
          <w:tcPr>
            <w:tcW w:w="2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5,379</w:t>
            </w:r>
          </w:p>
        </w:tc>
        <w:tc>
          <w:tcPr>
            <w:tcW w:w="1340" w:type="dxa"/>
            <w:vAlign w:val="bottom"/>
            <w:gridSpan w:val="2"/>
          </w:tcPr>
          <w:p>
            <w:pPr>
              <w:jc w:val="right"/>
              <w:ind w:right="102"/>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35"/>
        </w:trPr>
        <w:tc>
          <w:tcPr>
            <w:tcW w:w="7440" w:type="dxa"/>
            <w:vAlign w:val="bottom"/>
            <w:gridSpan w:val="2"/>
          </w:tcPr>
          <w:p>
            <w:pPr>
              <w:ind w:left="40"/>
              <w:spacing w:after="0"/>
              <w:rPr>
                <w:sz w:val="20"/>
                <w:szCs w:val="20"/>
                <w:color w:val="auto"/>
              </w:rPr>
            </w:pPr>
            <w:r>
              <w:rPr>
                <w:rFonts w:ascii="Arial" w:cs="Arial" w:eastAsia="Arial" w:hAnsi="Arial"/>
                <w:sz w:val="16"/>
                <w:szCs w:val="16"/>
                <w:color w:val="auto"/>
              </w:rPr>
              <w:t>Commercial mortgage-backed securities</w:t>
            </w:r>
          </w:p>
        </w:tc>
        <w:tc>
          <w:tcPr>
            <w:tcW w:w="2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5,131</w:t>
            </w:r>
          </w:p>
        </w:tc>
        <w:tc>
          <w:tcPr>
            <w:tcW w:w="1340" w:type="dxa"/>
            <w:vAlign w:val="bottom"/>
            <w:gridSpan w:val="2"/>
          </w:tcPr>
          <w:p>
            <w:pPr>
              <w:jc w:val="right"/>
              <w:ind w:right="102"/>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35"/>
        </w:trPr>
        <w:tc>
          <w:tcPr>
            <w:tcW w:w="7440" w:type="dxa"/>
            <w:vAlign w:val="bottom"/>
            <w:gridSpan w:val="2"/>
          </w:tcPr>
          <w:p>
            <w:pPr>
              <w:ind w:left="40"/>
              <w:spacing w:after="0"/>
              <w:rPr>
                <w:sz w:val="20"/>
                <w:szCs w:val="20"/>
                <w:color w:val="auto"/>
              </w:rPr>
            </w:pPr>
            <w:r>
              <w:rPr>
                <w:rFonts w:ascii="Arial" w:cs="Arial" w:eastAsia="Arial" w:hAnsi="Arial"/>
                <w:sz w:val="16"/>
                <w:szCs w:val="16"/>
                <w:color w:val="auto"/>
              </w:rPr>
              <w:t>Diversified financial services</w:t>
            </w:r>
          </w:p>
        </w:tc>
        <w:tc>
          <w:tcPr>
            <w:tcW w:w="2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4,271</w:t>
            </w:r>
          </w:p>
        </w:tc>
        <w:tc>
          <w:tcPr>
            <w:tcW w:w="1340" w:type="dxa"/>
            <w:vAlign w:val="bottom"/>
            <w:gridSpan w:val="2"/>
          </w:tcPr>
          <w:p>
            <w:pPr>
              <w:jc w:val="right"/>
              <w:ind w:right="102"/>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35"/>
        </w:trPr>
        <w:tc>
          <w:tcPr>
            <w:tcW w:w="7440" w:type="dxa"/>
            <w:vAlign w:val="bottom"/>
            <w:gridSpan w:val="2"/>
          </w:tcPr>
          <w:p>
            <w:pPr>
              <w:ind w:left="40"/>
              <w:spacing w:after="0"/>
              <w:rPr>
                <w:sz w:val="20"/>
                <w:szCs w:val="20"/>
                <w:color w:val="auto"/>
              </w:rPr>
            </w:pPr>
            <w:r>
              <w:rPr>
                <w:rFonts w:ascii="Arial" w:cs="Arial" w:eastAsia="Arial" w:hAnsi="Arial"/>
                <w:sz w:val="16"/>
                <w:szCs w:val="16"/>
                <w:color w:val="auto"/>
              </w:rPr>
              <w:t>Whole loan collateralized mortgage obligation</w:t>
            </w:r>
          </w:p>
        </w:tc>
        <w:tc>
          <w:tcPr>
            <w:tcW w:w="2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2,635</w:t>
            </w:r>
          </w:p>
        </w:tc>
        <w:tc>
          <w:tcPr>
            <w:tcW w:w="1340" w:type="dxa"/>
            <w:vAlign w:val="bottom"/>
            <w:gridSpan w:val="2"/>
          </w:tcPr>
          <w:p>
            <w:pPr>
              <w:jc w:val="right"/>
              <w:ind w:right="102"/>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35"/>
        </w:trPr>
        <w:tc>
          <w:tcPr>
            <w:tcW w:w="7440" w:type="dxa"/>
            <w:vAlign w:val="bottom"/>
            <w:gridSpan w:val="2"/>
          </w:tcPr>
          <w:p>
            <w:pPr>
              <w:ind w:left="40"/>
              <w:spacing w:after="0"/>
              <w:rPr>
                <w:sz w:val="20"/>
                <w:szCs w:val="20"/>
                <w:color w:val="auto"/>
              </w:rPr>
            </w:pPr>
            <w:r>
              <w:rPr>
                <w:rFonts w:ascii="Arial" w:cs="Arial" w:eastAsia="Arial" w:hAnsi="Arial"/>
                <w:sz w:val="16"/>
                <w:szCs w:val="16"/>
                <w:color w:val="auto"/>
              </w:rPr>
              <w:t>Banking</w:t>
            </w:r>
          </w:p>
        </w:tc>
        <w:tc>
          <w:tcPr>
            <w:tcW w:w="2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1,988</w:t>
            </w:r>
          </w:p>
        </w:tc>
        <w:tc>
          <w:tcPr>
            <w:tcW w:w="1340" w:type="dxa"/>
            <w:vAlign w:val="bottom"/>
            <w:gridSpan w:val="2"/>
          </w:tcPr>
          <w:p>
            <w:pPr>
              <w:jc w:val="right"/>
              <w:ind w:right="102"/>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35"/>
        </w:trPr>
        <w:tc>
          <w:tcPr>
            <w:tcW w:w="7440" w:type="dxa"/>
            <w:vAlign w:val="bottom"/>
            <w:gridSpan w:val="2"/>
          </w:tcPr>
          <w:p>
            <w:pPr>
              <w:ind w:left="40"/>
              <w:spacing w:after="0"/>
              <w:rPr>
                <w:sz w:val="20"/>
                <w:szCs w:val="20"/>
                <w:color w:val="auto"/>
              </w:rPr>
            </w:pPr>
            <w:r>
              <w:rPr>
                <w:rFonts w:ascii="Arial" w:cs="Arial" w:eastAsia="Arial" w:hAnsi="Arial"/>
                <w:sz w:val="16"/>
                <w:szCs w:val="16"/>
                <w:color w:val="auto"/>
              </w:rPr>
              <w:t>Insurance</w:t>
            </w:r>
          </w:p>
        </w:tc>
        <w:tc>
          <w:tcPr>
            <w:tcW w:w="2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1,761</w:t>
            </w:r>
          </w:p>
        </w:tc>
        <w:tc>
          <w:tcPr>
            <w:tcW w:w="1340" w:type="dxa"/>
            <w:vAlign w:val="bottom"/>
            <w:gridSpan w:val="2"/>
          </w:tcPr>
          <w:p>
            <w:pPr>
              <w:jc w:val="right"/>
              <w:ind w:right="102"/>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35"/>
        </w:trPr>
        <w:tc>
          <w:tcPr>
            <w:tcW w:w="7440" w:type="dxa"/>
            <w:vAlign w:val="bottom"/>
            <w:gridSpan w:val="2"/>
          </w:tcPr>
          <w:p>
            <w:pPr>
              <w:ind w:left="40"/>
              <w:spacing w:after="0"/>
              <w:rPr>
                <w:sz w:val="20"/>
                <w:szCs w:val="20"/>
                <w:color w:val="auto"/>
              </w:rPr>
            </w:pPr>
            <w:r>
              <w:rPr>
                <w:rFonts w:ascii="Arial" w:cs="Arial" w:eastAsia="Arial" w:hAnsi="Arial"/>
                <w:sz w:val="16"/>
                <w:szCs w:val="16"/>
                <w:color w:val="auto"/>
              </w:rPr>
              <w:t>Municipal</w:t>
            </w:r>
          </w:p>
        </w:tc>
        <w:tc>
          <w:tcPr>
            <w:tcW w:w="2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1,363</w:t>
            </w:r>
          </w:p>
        </w:tc>
        <w:tc>
          <w:tcPr>
            <w:tcW w:w="1340" w:type="dxa"/>
            <w:vAlign w:val="bottom"/>
            <w:gridSpan w:val="2"/>
          </w:tcPr>
          <w:p>
            <w:pPr>
              <w:jc w:val="right"/>
              <w:ind w:right="102"/>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35"/>
        </w:trPr>
        <w:tc>
          <w:tcPr>
            <w:tcW w:w="7440" w:type="dxa"/>
            <w:vAlign w:val="bottom"/>
            <w:gridSpan w:val="2"/>
          </w:tcPr>
          <w:p>
            <w:pPr>
              <w:ind w:left="40"/>
              <w:spacing w:after="0"/>
              <w:rPr>
                <w:sz w:val="20"/>
                <w:szCs w:val="20"/>
                <w:color w:val="auto"/>
              </w:rPr>
            </w:pPr>
            <w:r>
              <w:rPr>
                <w:rFonts w:ascii="Arial" w:cs="Arial" w:eastAsia="Arial" w:hAnsi="Arial"/>
                <w:sz w:val="16"/>
                <w:szCs w:val="16"/>
                <w:color w:val="auto"/>
              </w:rPr>
              <w:t>Electric</w:t>
            </w:r>
          </w:p>
        </w:tc>
        <w:tc>
          <w:tcPr>
            <w:tcW w:w="2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1,229</w:t>
            </w:r>
          </w:p>
        </w:tc>
        <w:tc>
          <w:tcPr>
            <w:tcW w:w="1340" w:type="dxa"/>
            <w:vAlign w:val="bottom"/>
            <w:gridSpan w:val="2"/>
          </w:tcPr>
          <w:p>
            <w:pPr>
              <w:jc w:val="right"/>
              <w:ind w:right="102"/>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42"/>
        </w:trPr>
        <w:tc>
          <w:tcPr>
            <w:tcW w:w="7440" w:type="dxa"/>
            <w:vAlign w:val="bottom"/>
            <w:gridSpan w:val="2"/>
          </w:tcPr>
          <w:p>
            <w:pPr>
              <w:ind w:left="40"/>
              <w:spacing w:after="0"/>
              <w:rPr>
                <w:sz w:val="20"/>
                <w:szCs w:val="20"/>
                <w:color w:val="auto"/>
              </w:rPr>
            </w:pPr>
            <w:r>
              <w:rPr>
                <w:rFonts w:ascii="Arial" w:cs="Arial" w:eastAsia="Arial" w:hAnsi="Arial"/>
                <w:sz w:val="16"/>
                <w:szCs w:val="16"/>
                <w:color w:val="auto"/>
              </w:rPr>
              <w:t>Pharmaceuticals</w:t>
            </w:r>
          </w:p>
        </w:tc>
        <w:tc>
          <w:tcPr>
            <w:tcW w:w="2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738</w:t>
            </w:r>
          </w:p>
        </w:tc>
        <w:tc>
          <w:tcPr>
            <w:tcW w:w="60" w:type="dxa"/>
            <w:vAlign w:val="bottom"/>
          </w:tcPr>
          <w:p>
            <w:pPr>
              <w:spacing w:after="0"/>
              <w:rPr>
                <w:sz w:val="21"/>
                <w:szCs w:val="21"/>
                <w:color w:val="auto"/>
              </w:rPr>
            </w:pPr>
          </w:p>
        </w:tc>
        <w:tc>
          <w:tcPr>
            <w:tcW w:w="1280" w:type="dxa"/>
            <w:vAlign w:val="bottom"/>
            <w:tcBorders>
              <w:bottom w:val="single" w:sz="8" w:color="auto"/>
            </w:tcBorders>
          </w:tcPr>
          <w:p>
            <w:pPr>
              <w:jc w:val="right"/>
              <w:ind w:right="102"/>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196"/>
        </w:trPr>
        <w:tc>
          <w:tcPr>
            <w:tcW w:w="7440" w:type="dxa"/>
            <w:vAlign w:val="bottom"/>
            <w:gridSpan w:val="2"/>
          </w:tcPr>
          <w:p>
            <w:pPr>
              <w:ind w:left="40"/>
              <w:spacing w:after="0"/>
              <w:rPr>
                <w:sz w:val="20"/>
                <w:szCs w:val="20"/>
                <w:color w:val="auto"/>
              </w:rPr>
            </w:pPr>
            <w:r>
              <w:rPr>
                <w:rFonts w:ascii="Arial" w:cs="Arial" w:eastAsia="Arial" w:hAnsi="Arial"/>
                <w:sz w:val="16"/>
                <w:szCs w:val="16"/>
                <w:b w:val="1"/>
                <w:bCs w:val="1"/>
                <w:color w:val="auto"/>
              </w:rPr>
              <w:t>Total</w:t>
            </w:r>
          </w:p>
        </w:tc>
        <w:tc>
          <w:tcPr>
            <w:tcW w:w="22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34,765</w:t>
            </w:r>
          </w:p>
        </w:tc>
        <w:tc>
          <w:tcPr>
            <w:tcW w:w="1340" w:type="dxa"/>
            <w:vAlign w:val="bottom"/>
            <w:gridSpan w:val="2"/>
          </w:tcPr>
          <w:p>
            <w:pPr>
              <w:jc w:val="right"/>
              <w:spacing w:after="0"/>
              <w:rPr>
                <w:sz w:val="20"/>
                <w:szCs w:val="20"/>
                <w:color w:val="auto"/>
              </w:rPr>
            </w:pPr>
            <w:r>
              <w:rPr>
                <w:rFonts w:ascii="Arial" w:cs="Arial" w:eastAsia="Arial" w:hAnsi="Arial"/>
                <w:sz w:val="16"/>
                <w:szCs w:val="16"/>
                <w:color w:val="auto"/>
              </w:rPr>
              <w:t>74 %</w:t>
            </w:r>
          </w:p>
        </w:tc>
        <w:tc>
          <w:tcPr>
            <w:tcW w:w="0" w:type="dxa"/>
            <w:vAlign w:val="bottom"/>
          </w:tcPr>
          <w:p>
            <w:pPr>
              <w:spacing w:after="0"/>
              <w:rPr>
                <w:sz w:val="1"/>
                <w:szCs w:val="1"/>
                <w:color w:val="auto"/>
              </w:rPr>
            </w:pPr>
          </w:p>
        </w:tc>
      </w:tr>
      <w:tr>
        <w:trPr>
          <w:trHeight w:val="20"/>
        </w:trPr>
        <w:tc>
          <w:tcPr>
            <w:tcW w:w="7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-1673860</wp:posOffset>
            </wp:positionV>
            <wp:extent cx="6410325" cy="16808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55">
                      <a:extLst>
                        <a:ext uri="{28A0092B-C50C-407E-A947-70E740481C1C}"/>
                      </a:extLst>
                    </a:blip>
                    <a:srcRect/>
                    <a:stretch>
                      <a:fillRect/>
                    </a:stretch>
                  </pic:blipFill>
                  <pic:spPr bwMode="auto">
                    <a:xfrm>
                      <a:off x="0" y="0"/>
                      <a:ext cx="6410325" cy="1680845"/>
                    </a:xfrm>
                    <a:prstGeom prst="rect">
                      <a:avLst/>
                    </a:prstGeom>
                    <a:noFill/>
                  </pic:spPr>
                </pic:pic>
              </a:graphicData>
            </a:graphic>
          </wp:anchor>
        </w:drawing>
      </w:r>
    </w:p>
    <w:p>
      <w:pPr>
        <w:spacing w:after="0" w:line="125" w:lineRule="exact"/>
        <w:rPr>
          <w:sz w:val="20"/>
          <w:szCs w:val="20"/>
          <w:color w:val="auto"/>
        </w:rPr>
      </w:pPr>
    </w:p>
    <w:p>
      <w:pPr>
        <w:jc w:val="both"/>
        <w:ind w:firstLine="353"/>
        <w:spacing w:after="0" w:line="258" w:lineRule="auto"/>
        <w:rPr>
          <w:sz w:val="20"/>
          <w:szCs w:val="20"/>
          <w:color w:val="auto"/>
        </w:rPr>
      </w:pPr>
      <w:r>
        <w:rPr>
          <w:rFonts w:ascii="Arial" w:cs="Arial" w:eastAsia="Arial" w:hAnsi="Arial"/>
          <w:sz w:val="20"/>
          <w:szCs w:val="20"/>
          <w:color w:val="auto"/>
        </w:rPr>
        <w:t>The amortized cost and fair value of fixed maturity AFS securities by contractual maturities as of December 31, 2025 are shown below. Actual maturities may differ from contractual maturities because issuers may have the right to call or prepay obligations.</w:t>
      </w:r>
    </w:p>
    <w:p>
      <w:pPr>
        <w:spacing w:after="0" w:line="150" w:lineRule="exact"/>
        <w:rPr>
          <w:sz w:val="20"/>
          <w:szCs w:val="20"/>
          <w:color w:val="auto"/>
        </w:rPr>
      </w:pPr>
    </w:p>
    <w:p>
      <w:pPr>
        <w:ind w:left="8180"/>
        <w:spacing w:after="0"/>
        <w:rPr>
          <w:sz w:val="20"/>
          <w:szCs w:val="20"/>
          <w:color w:val="auto"/>
        </w:rPr>
      </w:pPr>
      <w:r>
        <w:rPr>
          <w:rFonts w:ascii="Arial" w:cs="Arial" w:eastAsia="Arial" w:hAnsi="Arial"/>
          <w:sz w:val="16"/>
          <w:szCs w:val="16"/>
          <w:b w:val="1"/>
          <w:bCs w:val="1"/>
          <w:color w:val="auto"/>
        </w:rPr>
        <w:t>December 31, 2025</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4820920</wp:posOffset>
                </wp:positionH>
                <wp:positionV relativeFrom="paragraph">
                  <wp:posOffset>24130</wp:posOffset>
                </wp:positionV>
                <wp:extent cx="1558925" cy="0"/>
                <wp:wrapNone/>
                <wp:docPr id="87" name="Shape 8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5892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87" o:spid="_x0000_s111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79.6pt,1.9pt" to="502.35pt,1.9pt" o:allowincell="f" strokecolor="#000000" strokeweight="1pt"/>
            </w:pict>
          </mc:Fallback>
        </mc:AlternateContent>
      </w:r>
    </w:p>
    <w:p>
      <w:pPr>
        <w:spacing w:after="0" w:line="31" w:lineRule="exact"/>
        <w:rPr>
          <w:sz w:val="20"/>
          <w:szCs w:val="20"/>
          <w:color w:val="auto"/>
        </w:rPr>
      </w:pPr>
    </w:p>
    <w:p>
      <w:pPr>
        <w:ind w:left="7660"/>
        <w:spacing w:after="0"/>
        <w:tabs>
          <w:tab w:leader="none" w:pos="9080" w:val="left"/>
        </w:tabs>
        <w:rPr>
          <w:sz w:val="20"/>
          <w:szCs w:val="20"/>
          <w:color w:val="auto"/>
        </w:rPr>
      </w:pPr>
      <w:r>
        <w:rPr>
          <w:rFonts w:ascii="Arial" w:cs="Arial" w:eastAsia="Arial" w:hAnsi="Arial"/>
          <w:sz w:val="16"/>
          <w:szCs w:val="16"/>
          <w:b w:val="1"/>
          <w:bCs w:val="1"/>
          <w:color w:val="auto"/>
        </w:rPr>
        <w:t>Amortized Cost</w:t>
      </w:r>
      <w:r>
        <w:rPr>
          <w:sz w:val="20"/>
          <w:szCs w:val="20"/>
          <w:color w:val="auto"/>
        </w:rPr>
        <w:tab/>
      </w:r>
      <w:r>
        <w:rPr>
          <w:rFonts w:ascii="Arial" w:cs="Arial" w:eastAsia="Arial" w:hAnsi="Arial"/>
          <w:sz w:val="15"/>
          <w:szCs w:val="15"/>
          <w:b w:val="1"/>
          <w:bCs w:val="1"/>
          <w:color w:val="auto"/>
        </w:rPr>
        <w:t>Fair Value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4820920</wp:posOffset>
                </wp:positionH>
                <wp:positionV relativeFrom="paragraph">
                  <wp:posOffset>24130</wp:posOffset>
                </wp:positionV>
                <wp:extent cx="756285" cy="0"/>
                <wp:wrapNone/>
                <wp:docPr id="88" name="Shape 8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5628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88" o:spid="_x0000_s111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79.6pt,1.9pt" to="439.15pt,1.9pt" o:allowincell="f" strokecolor="#000000" strokeweight="1pt"/>
            </w:pict>
          </mc:Fallback>
        </mc:AlternateContent>
        <mc:AlternateContent>
          <mc:Choice Requires="wps">
            <w:drawing>
              <wp:anchor simplePos="0" relativeHeight="251657728" behindDoc="1" locked="0" layoutInCell="0" allowOverlap="1">
                <wp:simplePos x="0" y="0"/>
                <wp:positionH relativeFrom="column">
                  <wp:posOffset>5623560</wp:posOffset>
                </wp:positionH>
                <wp:positionV relativeFrom="paragraph">
                  <wp:posOffset>24130</wp:posOffset>
                </wp:positionV>
                <wp:extent cx="756285" cy="0"/>
                <wp:wrapNone/>
                <wp:docPr id="89" name="Shape 8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5628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89" o:spid="_x0000_s111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42.8pt,1.9pt" to="502.35pt,1.9pt" o:allowincell="f" strokecolor="#000000" strokeweight="1pt"/>
            </w:pict>
          </mc:Fallback>
        </mc:AlternateContent>
      </w:r>
    </w:p>
    <w:p>
      <w:pPr>
        <w:spacing w:after="0" w:line="46" w:lineRule="exact"/>
        <w:rPr>
          <w:sz w:val="20"/>
          <w:szCs w:val="20"/>
          <w:color w:val="auto"/>
        </w:rPr>
      </w:pPr>
    </w:p>
    <w:p>
      <w:pPr>
        <w:ind w:left="8400"/>
        <w:spacing w:after="0"/>
        <w:rPr>
          <w:sz w:val="20"/>
          <w:szCs w:val="20"/>
          <w:color w:val="auto"/>
        </w:rPr>
      </w:pPr>
      <w:r>
        <w:rPr>
          <w:rFonts w:ascii="Arial" w:cs="Arial" w:eastAsia="Arial" w:hAnsi="Arial"/>
          <w:sz w:val="16"/>
          <w:szCs w:val="16"/>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12065</wp:posOffset>
            </wp:positionV>
            <wp:extent cx="6410325" cy="183007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56">
                      <a:extLst>
                        <a:ext uri="{28A0092B-C50C-407E-A947-70E740481C1C}"/>
                      </a:extLst>
                    </a:blip>
                    <a:srcRect/>
                    <a:stretch>
                      <a:fillRect/>
                    </a:stretch>
                  </pic:blipFill>
                  <pic:spPr bwMode="auto">
                    <a:xfrm>
                      <a:off x="0" y="0"/>
                      <a:ext cx="6410325" cy="1830070"/>
                    </a:xfrm>
                    <a:prstGeom prst="rect">
                      <a:avLst/>
                    </a:prstGeom>
                    <a:noFill/>
                  </pic:spPr>
                </pic:pic>
              </a:graphicData>
            </a:graphic>
          </wp:anchor>
        </w:drawing>
      </w:r>
    </w:p>
    <w:p>
      <w:pPr>
        <w:spacing w:after="0" w:line="31" w:lineRule="exact"/>
        <w:rPr>
          <w:sz w:val="20"/>
          <w:szCs w:val="20"/>
          <w:color w:val="auto"/>
        </w:rPr>
      </w:pPr>
    </w:p>
    <w:tbl>
      <w:tblPr>
        <w:tblLayout w:type="fixed"/>
        <w:tblInd w:w="40" w:type="dxa"/>
        <w:tblCellMar>
          <w:top w:w="0" w:type="dxa"/>
          <w:left w:w="0" w:type="dxa"/>
          <w:bottom w:w="0" w:type="dxa"/>
          <w:right w:w="0" w:type="dxa"/>
        </w:tblCellMar>
      </w:tblPr>
      <w:tr>
        <w:trPr>
          <w:trHeight w:val="206"/>
        </w:trPr>
        <w:tc>
          <w:tcPr>
            <w:tcW w:w="7560" w:type="dxa"/>
            <w:vAlign w:val="bottom"/>
          </w:tcPr>
          <w:p>
            <w:pPr>
              <w:spacing w:after="0"/>
              <w:rPr>
                <w:sz w:val="20"/>
                <w:szCs w:val="20"/>
                <w:color w:val="auto"/>
              </w:rPr>
            </w:pPr>
            <w:r>
              <w:rPr>
                <w:rFonts w:ascii="Arial" w:cs="Arial" w:eastAsia="Arial" w:hAnsi="Arial"/>
                <w:sz w:val="16"/>
                <w:szCs w:val="16"/>
                <w:b w:val="1"/>
                <w:bCs w:val="1"/>
                <w:color w:val="auto"/>
              </w:rPr>
              <w:t>Corporate, Non-structured Hybrids, Municipal, Foreign and U.S. Government securities:</w:t>
            </w:r>
          </w:p>
        </w:tc>
        <w:tc>
          <w:tcPr>
            <w:tcW w:w="4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35"/>
        </w:trPr>
        <w:tc>
          <w:tcPr>
            <w:tcW w:w="7560" w:type="dxa"/>
            <w:vAlign w:val="bottom"/>
          </w:tcPr>
          <w:p>
            <w:pPr>
              <w:spacing w:after="0"/>
              <w:rPr>
                <w:sz w:val="20"/>
                <w:szCs w:val="20"/>
                <w:color w:val="auto"/>
              </w:rPr>
            </w:pPr>
            <w:r>
              <w:rPr>
                <w:rFonts w:ascii="Arial" w:cs="Arial" w:eastAsia="Arial" w:hAnsi="Arial"/>
                <w:sz w:val="16"/>
                <w:szCs w:val="16"/>
                <w:color w:val="auto"/>
              </w:rPr>
              <w:t>Due in one year or less</w:t>
            </w:r>
          </w:p>
        </w:tc>
        <w:tc>
          <w:tcPr>
            <w:tcW w:w="400" w:type="dxa"/>
            <w:vAlign w:val="bottom"/>
          </w:tcPr>
          <w:p>
            <w:pPr>
              <w:jc w:val="right"/>
              <w:ind w:right="202"/>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331</w:t>
            </w:r>
          </w:p>
        </w:tc>
        <w:tc>
          <w:tcPr>
            <w:tcW w:w="48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330</w:t>
            </w:r>
          </w:p>
        </w:tc>
      </w:tr>
      <w:tr>
        <w:trPr>
          <w:trHeight w:val="235"/>
        </w:trPr>
        <w:tc>
          <w:tcPr>
            <w:tcW w:w="7560" w:type="dxa"/>
            <w:vAlign w:val="bottom"/>
          </w:tcPr>
          <w:p>
            <w:pPr>
              <w:spacing w:after="0"/>
              <w:rPr>
                <w:sz w:val="20"/>
                <w:szCs w:val="20"/>
                <w:color w:val="auto"/>
              </w:rPr>
            </w:pPr>
            <w:r>
              <w:rPr>
                <w:rFonts w:ascii="Arial" w:cs="Arial" w:eastAsia="Arial" w:hAnsi="Arial"/>
                <w:sz w:val="16"/>
                <w:szCs w:val="16"/>
                <w:color w:val="auto"/>
              </w:rPr>
              <w:t>Due after one year through five years</w:t>
            </w:r>
          </w:p>
        </w:tc>
        <w:tc>
          <w:tcPr>
            <w:tcW w:w="4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4,552</w:t>
            </w: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4,586</w:t>
            </w:r>
          </w:p>
        </w:tc>
      </w:tr>
      <w:tr>
        <w:trPr>
          <w:trHeight w:val="235"/>
        </w:trPr>
        <w:tc>
          <w:tcPr>
            <w:tcW w:w="7560" w:type="dxa"/>
            <w:vAlign w:val="bottom"/>
          </w:tcPr>
          <w:p>
            <w:pPr>
              <w:spacing w:after="0"/>
              <w:rPr>
                <w:sz w:val="20"/>
                <w:szCs w:val="20"/>
                <w:color w:val="auto"/>
              </w:rPr>
            </w:pPr>
            <w:r>
              <w:rPr>
                <w:rFonts w:ascii="Arial" w:cs="Arial" w:eastAsia="Arial" w:hAnsi="Arial"/>
                <w:sz w:val="16"/>
                <w:szCs w:val="16"/>
                <w:color w:val="auto"/>
              </w:rPr>
              <w:t>Due after five years through ten years</w:t>
            </w:r>
          </w:p>
        </w:tc>
        <w:tc>
          <w:tcPr>
            <w:tcW w:w="4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5,398</w:t>
            </w: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5,394</w:t>
            </w:r>
          </w:p>
        </w:tc>
      </w:tr>
      <w:tr>
        <w:trPr>
          <w:trHeight w:val="242"/>
        </w:trPr>
        <w:tc>
          <w:tcPr>
            <w:tcW w:w="7560" w:type="dxa"/>
            <w:vAlign w:val="bottom"/>
          </w:tcPr>
          <w:p>
            <w:pPr>
              <w:spacing w:after="0"/>
              <w:rPr>
                <w:sz w:val="20"/>
                <w:szCs w:val="20"/>
                <w:color w:val="auto"/>
              </w:rPr>
            </w:pPr>
            <w:r>
              <w:rPr>
                <w:rFonts w:ascii="Arial" w:cs="Arial" w:eastAsia="Arial" w:hAnsi="Arial"/>
                <w:sz w:val="16"/>
                <w:szCs w:val="16"/>
                <w:color w:val="auto"/>
              </w:rPr>
              <w:t>Due after ten years</w:t>
            </w:r>
          </w:p>
        </w:tc>
        <w:tc>
          <w:tcPr>
            <w:tcW w:w="40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18,026</w:t>
            </w:r>
          </w:p>
        </w:tc>
        <w:tc>
          <w:tcPr>
            <w:tcW w:w="8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15,658</w:t>
            </w:r>
          </w:p>
        </w:tc>
      </w:tr>
      <w:tr>
        <w:trPr>
          <w:trHeight w:val="208"/>
        </w:trPr>
        <w:tc>
          <w:tcPr>
            <w:tcW w:w="7560" w:type="dxa"/>
            <w:vAlign w:val="bottom"/>
          </w:tcPr>
          <w:p>
            <w:pPr>
              <w:ind w:left="220"/>
              <w:spacing w:after="0"/>
              <w:rPr>
                <w:sz w:val="20"/>
                <w:szCs w:val="20"/>
                <w:color w:val="auto"/>
              </w:rPr>
            </w:pPr>
            <w:r>
              <w:rPr>
                <w:rFonts w:ascii="Arial" w:cs="Arial" w:eastAsia="Arial" w:hAnsi="Arial"/>
                <w:sz w:val="16"/>
                <w:szCs w:val="16"/>
                <w:color w:val="auto"/>
              </w:rPr>
              <w:t>Subtotal</w:t>
            </w:r>
          </w:p>
        </w:tc>
        <w:tc>
          <w:tcPr>
            <w:tcW w:w="4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28,307</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25,968</w:t>
            </w:r>
          </w:p>
        </w:tc>
      </w:tr>
      <w:tr>
        <w:trPr>
          <w:trHeight w:val="235"/>
        </w:trPr>
        <w:tc>
          <w:tcPr>
            <w:tcW w:w="7560" w:type="dxa"/>
            <w:vAlign w:val="bottom"/>
          </w:tcPr>
          <w:p>
            <w:pPr>
              <w:spacing w:after="0"/>
              <w:rPr>
                <w:sz w:val="20"/>
                <w:szCs w:val="20"/>
                <w:color w:val="auto"/>
              </w:rPr>
            </w:pPr>
            <w:r>
              <w:rPr>
                <w:rFonts w:ascii="Arial" w:cs="Arial" w:eastAsia="Arial" w:hAnsi="Arial"/>
                <w:sz w:val="16"/>
                <w:szCs w:val="16"/>
                <w:b w:val="1"/>
                <w:bCs w:val="1"/>
                <w:color w:val="auto"/>
              </w:rPr>
              <w:t>Other securities, which provide for periodic payments</w:t>
            </w:r>
          </w:p>
        </w:tc>
        <w:tc>
          <w:tcPr>
            <w:tcW w:w="4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235"/>
        </w:trPr>
        <w:tc>
          <w:tcPr>
            <w:tcW w:w="7560" w:type="dxa"/>
            <w:vAlign w:val="bottom"/>
          </w:tcPr>
          <w:p>
            <w:pPr>
              <w:spacing w:after="0"/>
              <w:rPr>
                <w:sz w:val="20"/>
                <w:szCs w:val="20"/>
                <w:color w:val="auto"/>
              </w:rPr>
            </w:pPr>
            <w:r>
              <w:rPr>
                <w:rFonts w:ascii="Arial" w:cs="Arial" w:eastAsia="Arial" w:hAnsi="Arial"/>
                <w:sz w:val="16"/>
                <w:szCs w:val="16"/>
                <w:color w:val="auto"/>
              </w:rPr>
              <w:t>Asset-backed securities</w:t>
            </w:r>
          </w:p>
        </w:tc>
        <w:tc>
          <w:tcPr>
            <w:tcW w:w="400" w:type="dxa"/>
            <w:vAlign w:val="bottom"/>
          </w:tcPr>
          <w:p>
            <w:pPr>
              <w:jc w:val="right"/>
              <w:ind w:right="202"/>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18,847</w:t>
            </w:r>
          </w:p>
        </w:tc>
        <w:tc>
          <w:tcPr>
            <w:tcW w:w="48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18,732</w:t>
            </w:r>
          </w:p>
        </w:tc>
      </w:tr>
      <w:tr>
        <w:trPr>
          <w:trHeight w:val="235"/>
        </w:trPr>
        <w:tc>
          <w:tcPr>
            <w:tcW w:w="7560" w:type="dxa"/>
            <w:vAlign w:val="bottom"/>
          </w:tcPr>
          <w:p>
            <w:pPr>
              <w:spacing w:after="0"/>
              <w:rPr>
                <w:sz w:val="20"/>
                <w:szCs w:val="20"/>
                <w:color w:val="auto"/>
              </w:rPr>
            </w:pPr>
            <w:r>
              <w:rPr>
                <w:rFonts w:ascii="Arial" w:cs="Arial" w:eastAsia="Arial" w:hAnsi="Arial"/>
                <w:sz w:val="16"/>
                <w:szCs w:val="16"/>
                <w:color w:val="auto"/>
              </w:rPr>
              <w:t>Commercial mortgage-backed securities</w:t>
            </w:r>
          </w:p>
        </w:tc>
        <w:tc>
          <w:tcPr>
            <w:tcW w:w="4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5,298</w:t>
            </w: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5,155</w:t>
            </w:r>
          </w:p>
        </w:tc>
      </w:tr>
      <w:tr>
        <w:trPr>
          <w:trHeight w:val="242"/>
        </w:trPr>
        <w:tc>
          <w:tcPr>
            <w:tcW w:w="7560" w:type="dxa"/>
            <w:vAlign w:val="bottom"/>
          </w:tcPr>
          <w:p>
            <w:pPr>
              <w:spacing w:after="0"/>
              <w:rPr>
                <w:sz w:val="20"/>
                <w:szCs w:val="20"/>
                <w:color w:val="auto"/>
              </w:rPr>
            </w:pPr>
            <w:r>
              <w:rPr>
                <w:rFonts w:ascii="Arial" w:cs="Arial" w:eastAsia="Arial" w:hAnsi="Arial"/>
                <w:sz w:val="16"/>
                <w:szCs w:val="16"/>
                <w:color w:val="auto"/>
              </w:rPr>
              <w:t>Residential mortgage-backed securities</w:t>
            </w:r>
          </w:p>
        </w:tc>
        <w:tc>
          <w:tcPr>
            <w:tcW w:w="40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2,840</w:t>
            </w:r>
          </w:p>
        </w:tc>
        <w:tc>
          <w:tcPr>
            <w:tcW w:w="8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2,845</w:t>
            </w:r>
          </w:p>
        </w:tc>
      </w:tr>
      <w:tr>
        <w:trPr>
          <w:trHeight w:val="215"/>
        </w:trPr>
        <w:tc>
          <w:tcPr>
            <w:tcW w:w="7560" w:type="dxa"/>
            <w:vAlign w:val="bottom"/>
          </w:tcPr>
          <w:p>
            <w:pPr>
              <w:ind w:left="100"/>
              <w:spacing w:after="0"/>
              <w:rPr>
                <w:sz w:val="20"/>
                <w:szCs w:val="20"/>
                <w:color w:val="auto"/>
              </w:rPr>
            </w:pPr>
            <w:r>
              <w:rPr>
                <w:rFonts w:ascii="Arial" w:cs="Arial" w:eastAsia="Arial" w:hAnsi="Arial"/>
                <w:sz w:val="16"/>
                <w:szCs w:val="16"/>
                <w:color w:val="auto"/>
              </w:rPr>
              <w:t>Subtotal</w:t>
            </w:r>
          </w:p>
        </w:tc>
        <w:tc>
          <w:tcPr>
            <w:tcW w:w="4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26,985</w:t>
            </w:r>
          </w:p>
        </w:tc>
        <w:tc>
          <w:tcPr>
            <w:tcW w:w="8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26,732</w:t>
            </w:r>
          </w:p>
        </w:tc>
      </w:tr>
      <w:tr>
        <w:trPr>
          <w:trHeight w:val="196"/>
        </w:trPr>
        <w:tc>
          <w:tcPr>
            <w:tcW w:w="7560" w:type="dxa"/>
            <w:vAlign w:val="bottom"/>
          </w:tcPr>
          <w:p>
            <w:pPr>
              <w:ind w:left="120"/>
              <w:spacing w:after="0"/>
              <w:rPr>
                <w:sz w:val="20"/>
                <w:szCs w:val="20"/>
                <w:color w:val="auto"/>
              </w:rPr>
            </w:pPr>
            <w:r>
              <w:rPr>
                <w:rFonts w:ascii="Arial" w:cs="Arial" w:eastAsia="Arial" w:hAnsi="Arial"/>
                <w:sz w:val="16"/>
                <w:szCs w:val="16"/>
                <w:b w:val="1"/>
                <w:bCs w:val="1"/>
                <w:color w:val="auto"/>
              </w:rPr>
              <w:t>Total fixed maturity available-for-sale securities</w:t>
            </w:r>
          </w:p>
        </w:tc>
        <w:tc>
          <w:tcPr>
            <w:tcW w:w="400" w:type="dxa"/>
            <w:vAlign w:val="bottom"/>
          </w:tcPr>
          <w:p>
            <w:pPr>
              <w:jc w:val="right"/>
              <w:ind w:right="202"/>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55,292</w:t>
            </w:r>
          </w:p>
        </w:tc>
        <w:tc>
          <w:tcPr>
            <w:tcW w:w="48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52,700</w:t>
            </w:r>
          </w:p>
        </w:tc>
      </w:tr>
      <w:tr>
        <w:trPr>
          <w:trHeight w:val="20"/>
        </w:trPr>
        <w:tc>
          <w:tcPr>
            <w:tcW w:w="75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880" w:h="15480" w:orient="portrait"/>
          <w:cols w:equalWidth="0" w:num="1">
            <w:col w:w="10040"/>
          </w:cols>
          <w:pgMar w:left="920" w:top="765"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82</w:t>
      </w:r>
    </w:p>
    <w:p>
      <w:pPr>
        <w:sectPr>
          <w:pgSz w:w="11880" w:h="15480" w:orient="portrait"/>
          <w:cols w:equalWidth="0" w:num="1">
            <w:col w:w="10040"/>
          </w:cols>
          <w:pgMar w:left="920" w:top="765" w:right="920" w:bottom="0" w:gutter="0" w:footer="0" w:header="0"/>
          <w:type w:val="continuous"/>
        </w:sectPr>
      </w:pPr>
    </w:p>
    <w:bookmarkStart w:id="94" w:name="page95"/>
    <w:bookmarkEnd w:id="94"/>
    <w:p>
      <w:pPr>
        <w:spacing w:after="0"/>
        <w:rPr>
          <w:sz w:val="20"/>
          <w:szCs w:val="20"/>
          <w:color w:val="auto"/>
        </w:rPr>
      </w:pPr>
      <w:r>
        <w:rPr>
          <w:rFonts w:ascii="Arial" w:cs="Arial" w:eastAsia="Arial" w:hAnsi="Arial"/>
          <w:sz w:val="20"/>
          <w:szCs w:val="20"/>
          <w:b w:val="1"/>
          <w:bCs w:val="1"/>
          <w:color w:val="auto"/>
        </w:rPr>
        <w:t>Non-Agency RMBS Exposure</w:t>
      </w:r>
    </w:p>
    <w:p>
      <w:pPr>
        <w:spacing w:after="0" w:line="107" w:lineRule="exact"/>
        <w:rPr>
          <w:sz w:val="20"/>
          <w:szCs w:val="20"/>
          <w:color w:val="auto"/>
        </w:rPr>
      </w:pPr>
    </w:p>
    <w:p>
      <w:pPr>
        <w:jc w:val="both"/>
        <w:ind w:firstLine="353"/>
        <w:spacing w:after="0" w:line="278" w:lineRule="auto"/>
        <w:rPr>
          <w:sz w:val="20"/>
          <w:szCs w:val="20"/>
          <w:color w:val="auto"/>
        </w:rPr>
      </w:pPr>
      <w:r>
        <w:rPr>
          <w:rFonts w:ascii="Arial" w:cs="Arial" w:eastAsia="Arial" w:hAnsi="Arial"/>
          <w:sz w:val="19"/>
          <w:szCs w:val="19"/>
          <w:color w:val="auto"/>
        </w:rPr>
        <w:t>Our investment in non-agency RMBS securities is predicated on the conservative and adequate cushion between purchase price and NAIC 1 rating, general lack of sensitivity to interest rates, positive convexity to prepayment rates and correlation between the price of the securities and the unfolding recovery of the housing market.</w:t>
      </w:r>
    </w:p>
    <w:p>
      <w:pPr>
        <w:spacing w:after="0" w:line="84" w:lineRule="exact"/>
        <w:rPr>
          <w:sz w:val="20"/>
          <w:szCs w:val="20"/>
          <w:color w:val="auto"/>
        </w:rPr>
      </w:pPr>
    </w:p>
    <w:p>
      <w:pPr>
        <w:jc w:val="both"/>
        <w:ind w:firstLine="353"/>
        <w:spacing w:after="0" w:line="254" w:lineRule="auto"/>
        <w:rPr>
          <w:sz w:val="20"/>
          <w:szCs w:val="20"/>
          <w:color w:val="auto"/>
        </w:rPr>
      </w:pPr>
      <w:r>
        <w:rPr>
          <w:rFonts w:ascii="Arial" w:cs="Arial" w:eastAsia="Arial" w:hAnsi="Arial"/>
          <w:sz w:val="20"/>
          <w:szCs w:val="20"/>
          <w:color w:val="auto"/>
        </w:rPr>
        <w:t>The fair value of our investments in subprime securities and Alt-A RMBS securities were $4 million and $48 million as of December 31, 2025, respectively, and $29 million and $44 million as of December 31, 2024, respectively. As of December 31, 2025 and 2024, approximately 92% and 93%, respectively, of the subprime and Alt-A RMBS exposures were rated NAIC 2 or higher.</w:t>
      </w:r>
    </w:p>
    <w:p>
      <w:pPr>
        <w:spacing w:after="0" w:line="9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ABS and CLO Exposures</w:t>
      </w:r>
    </w:p>
    <w:p>
      <w:pPr>
        <w:spacing w:after="0" w:line="110" w:lineRule="exact"/>
        <w:rPr>
          <w:sz w:val="20"/>
          <w:szCs w:val="20"/>
          <w:color w:val="auto"/>
        </w:rPr>
      </w:pPr>
    </w:p>
    <w:p>
      <w:pPr>
        <w:jc w:val="both"/>
        <w:ind w:firstLine="353"/>
        <w:spacing w:after="0" w:line="271" w:lineRule="auto"/>
        <w:rPr>
          <w:sz w:val="20"/>
          <w:szCs w:val="20"/>
          <w:color w:val="auto"/>
        </w:rPr>
      </w:pPr>
      <w:r>
        <w:rPr>
          <w:rFonts w:ascii="Arial" w:cs="Arial" w:eastAsia="Arial" w:hAnsi="Arial"/>
          <w:sz w:val="20"/>
          <w:szCs w:val="20"/>
          <w:color w:val="auto"/>
        </w:rPr>
        <w:t>Our ABS exposures are largely diversified by underlying collateral and issuer type. Our CLO exposures are generally senior tranches of CLOs which have leveraged loans as their underlying collateral.</w:t>
      </w:r>
    </w:p>
    <w:p>
      <w:pPr>
        <w:spacing w:after="0" w:line="88" w:lineRule="exact"/>
        <w:rPr>
          <w:sz w:val="20"/>
          <w:szCs w:val="20"/>
          <w:color w:val="auto"/>
        </w:rPr>
      </w:pPr>
    </w:p>
    <w:p>
      <w:pPr>
        <w:jc w:val="both"/>
        <w:ind w:firstLine="353"/>
        <w:spacing w:after="0" w:line="258" w:lineRule="auto"/>
        <w:rPr>
          <w:sz w:val="20"/>
          <w:szCs w:val="20"/>
          <w:color w:val="auto"/>
        </w:rPr>
      </w:pPr>
      <w:r>
        <w:rPr>
          <w:rFonts w:ascii="Arial" w:cs="Arial" w:eastAsia="Arial" w:hAnsi="Arial"/>
          <w:sz w:val="20"/>
          <w:szCs w:val="20"/>
          <w:color w:val="auto"/>
        </w:rPr>
        <w:t>As of December 31, 2025, the CLO and ABS positions were trading at a net unrealized gain of $42 million and a net unrealized loss of $133 million, respectively. As of December 31, 2024, the CLO and ABS positions were trading at a net unrealized gain of $92 million and a net unrealized loss of $207 million, respectively.</w:t>
      </w:r>
    </w:p>
    <w:p>
      <w:pPr>
        <w:spacing w:after="0" w:line="101" w:lineRule="exact"/>
        <w:rPr>
          <w:sz w:val="20"/>
          <w:szCs w:val="20"/>
          <w:color w:val="auto"/>
        </w:rPr>
      </w:pPr>
    </w:p>
    <w:p>
      <w:pPr>
        <w:jc w:val="both"/>
        <w:ind w:firstLine="353"/>
        <w:spacing w:after="0" w:line="258" w:lineRule="auto"/>
        <w:rPr>
          <w:sz w:val="20"/>
          <w:szCs w:val="20"/>
          <w:color w:val="auto"/>
        </w:rPr>
      </w:pPr>
      <w:r>
        <w:rPr>
          <w:rFonts w:ascii="Arial" w:cs="Arial" w:eastAsia="Arial" w:hAnsi="Arial"/>
          <w:sz w:val="20"/>
          <w:szCs w:val="20"/>
          <w:color w:val="auto"/>
        </w:rPr>
        <w:t>The following table summarizes the credit quality by NRSRO rating, or NAIC designation equivalent, of our AFS ABS portfolio at December 31, 2025, and 2024. Balances at December 31, 2025 reflect classifications consistent with the NAIC Principles Based Bond Definition Project effective January 1, 2025.</w:t>
      </w:r>
    </w:p>
    <w:p>
      <w:pPr>
        <w:spacing w:after="0" w:line="189" w:lineRule="exact"/>
        <w:rPr>
          <w:sz w:val="20"/>
          <w:szCs w:val="20"/>
          <w:color w:val="auto"/>
        </w:rPr>
      </w:pPr>
    </w:p>
    <w:tbl>
      <w:tblPr>
        <w:tblLayout w:type="fixed"/>
        <w:tblInd w:w="400" w:type="dxa"/>
        <w:tblCellMar>
          <w:top w:w="0" w:type="dxa"/>
          <w:left w:w="0" w:type="dxa"/>
          <w:bottom w:w="0" w:type="dxa"/>
          <w:right w:w="0" w:type="dxa"/>
        </w:tblCellMar>
      </w:tblPr>
      <w:tr>
        <w:trPr>
          <w:trHeight w:val="213"/>
        </w:trPr>
        <w:tc>
          <w:tcPr>
            <w:tcW w:w="232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040" w:type="dxa"/>
            <w:vAlign w:val="bottom"/>
            <w:tcBorders>
              <w:bottom w:val="single" w:sz="8" w:color="auto"/>
            </w:tcBorders>
            <w:gridSpan w:val="3"/>
          </w:tcPr>
          <w:p>
            <w:pPr>
              <w:jc w:val="right"/>
              <w:ind w:right="382"/>
              <w:spacing w:after="0"/>
              <w:rPr>
                <w:sz w:val="20"/>
                <w:szCs w:val="20"/>
                <w:color w:val="auto"/>
              </w:rPr>
            </w:pPr>
            <w:r>
              <w:rPr>
                <w:rFonts w:ascii="Arial" w:cs="Arial" w:eastAsia="Arial" w:hAnsi="Arial"/>
                <w:sz w:val="16"/>
                <w:szCs w:val="16"/>
                <w:b w:val="1"/>
                <w:bCs w:val="1"/>
                <w:color w:val="auto"/>
              </w:rPr>
              <w:t>December 31, 2025</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040" w:type="dxa"/>
            <w:vAlign w:val="bottom"/>
            <w:tcBorders>
              <w:bottom w:val="single" w:sz="8" w:color="auto"/>
            </w:tcBorders>
            <w:gridSpan w:val="3"/>
          </w:tcPr>
          <w:p>
            <w:pPr>
              <w:jc w:val="right"/>
              <w:ind w:right="382"/>
              <w:spacing w:after="0"/>
              <w:rPr>
                <w:sz w:val="20"/>
                <w:szCs w:val="20"/>
                <w:color w:val="auto"/>
              </w:rPr>
            </w:pPr>
            <w:r>
              <w:rPr>
                <w:rFonts w:ascii="Arial" w:cs="Arial" w:eastAsia="Arial" w:hAnsi="Arial"/>
                <w:sz w:val="16"/>
                <w:szCs w:val="16"/>
                <w:b w:val="1"/>
                <w:bCs w:val="1"/>
                <w:color w:val="auto"/>
              </w:rPr>
              <w:t>December 31, 2024</w:t>
            </w:r>
          </w:p>
        </w:tc>
      </w:tr>
      <w:tr>
        <w:trPr>
          <w:trHeight w:val="230"/>
        </w:trPr>
        <w:tc>
          <w:tcPr>
            <w:tcW w:w="2320" w:type="dxa"/>
            <w:vAlign w:val="bottom"/>
          </w:tcPr>
          <w:p>
            <w:pPr>
              <w:spacing w:after="0"/>
              <w:rPr>
                <w:sz w:val="19"/>
                <w:szCs w:val="19"/>
                <w:color w:val="auto"/>
              </w:rPr>
            </w:pPr>
          </w:p>
        </w:tc>
        <w:tc>
          <w:tcPr>
            <w:tcW w:w="28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02"/>
              <w:spacing w:after="0"/>
              <w:rPr>
                <w:sz w:val="20"/>
                <w:szCs w:val="20"/>
                <w:color w:val="auto"/>
              </w:rPr>
            </w:pPr>
            <w:r>
              <w:rPr>
                <w:rFonts w:ascii="Arial" w:cs="Arial" w:eastAsia="Arial" w:hAnsi="Arial"/>
                <w:sz w:val="16"/>
                <w:szCs w:val="16"/>
                <w:b w:val="1"/>
                <w:bCs w:val="1"/>
                <w:color w:val="auto"/>
                <w:w w:val="94"/>
              </w:rPr>
              <w:t>Fair Value</w:t>
            </w:r>
          </w:p>
        </w:tc>
        <w:tc>
          <w:tcPr>
            <w:tcW w:w="60" w:type="dxa"/>
            <w:vAlign w:val="bottom"/>
          </w:tcPr>
          <w:p>
            <w:pPr>
              <w:spacing w:after="0"/>
              <w:rPr>
                <w:sz w:val="19"/>
                <w:szCs w:val="19"/>
                <w:color w:val="auto"/>
              </w:rPr>
            </w:pPr>
          </w:p>
        </w:tc>
        <w:tc>
          <w:tcPr>
            <w:tcW w:w="1060" w:type="dxa"/>
            <w:vAlign w:val="bottom"/>
            <w:tcBorders>
              <w:bottom w:val="single" w:sz="8" w:color="auto"/>
            </w:tcBorders>
          </w:tcPr>
          <w:p>
            <w:pPr>
              <w:jc w:val="right"/>
              <w:ind w:right="202"/>
              <w:spacing w:after="0"/>
              <w:rPr>
                <w:sz w:val="20"/>
                <w:szCs w:val="20"/>
                <w:color w:val="auto"/>
              </w:rPr>
            </w:pPr>
            <w:r>
              <w:rPr>
                <w:rFonts w:ascii="Arial" w:cs="Arial" w:eastAsia="Arial" w:hAnsi="Arial"/>
                <w:sz w:val="16"/>
                <w:szCs w:val="16"/>
                <w:b w:val="1"/>
                <w:bCs w:val="1"/>
                <w:color w:val="auto"/>
              </w:rPr>
              <w:t>Percent</w:t>
            </w: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02"/>
              <w:spacing w:after="0"/>
              <w:rPr>
                <w:sz w:val="20"/>
                <w:szCs w:val="20"/>
                <w:color w:val="auto"/>
              </w:rPr>
            </w:pPr>
            <w:r>
              <w:rPr>
                <w:rFonts w:ascii="Arial" w:cs="Arial" w:eastAsia="Arial" w:hAnsi="Arial"/>
                <w:sz w:val="16"/>
                <w:szCs w:val="16"/>
                <w:b w:val="1"/>
                <w:bCs w:val="1"/>
                <w:color w:val="auto"/>
                <w:w w:val="94"/>
              </w:rPr>
              <w:t>Fair Value</w:t>
            </w:r>
          </w:p>
        </w:tc>
        <w:tc>
          <w:tcPr>
            <w:tcW w:w="60" w:type="dxa"/>
            <w:vAlign w:val="bottom"/>
          </w:tcPr>
          <w:p>
            <w:pPr>
              <w:spacing w:after="0"/>
              <w:rPr>
                <w:sz w:val="19"/>
                <w:szCs w:val="19"/>
                <w:color w:val="auto"/>
              </w:rPr>
            </w:pPr>
          </w:p>
        </w:tc>
        <w:tc>
          <w:tcPr>
            <w:tcW w:w="1060" w:type="dxa"/>
            <w:vAlign w:val="bottom"/>
            <w:tcBorders>
              <w:bottom w:val="single" w:sz="8" w:color="auto"/>
            </w:tcBorders>
          </w:tcPr>
          <w:p>
            <w:pPr>
              <w:jc w:val="right"/>
              <w:ind w:right="202"/>
              <w:spacing w:after="0"/>
              <w:rPr>
                <w:sz w:val="20"/>
                <w:szCs w:val="20"/>
                <w:color w:val="auto"/>
              </w:rPr>
            </w:pPr>
            <w:r>
              <w:rPr>
                <w:rFonts w:ascii="Arial" w:cs="Arial" w:eastAsia="Arial" w:hAnsi="Arial"/>
                <w:sz w:val="16"/>
                <w:szCs w:val="16"/>
                <w:b w:val="1"/>
                <w:bCs w:val="1"/>
                <w:color w:val="auto"/>
              </w:rPr>
              <w:t>Percent</w:t>
            </w:r>
          </w:p>
        </w:tc>
      </w:tr>
      <w:tr>
        <w:trPr>
          <w:trHeight w:val="223"/>
        </w:trPr>
        <w:tc>
          <w:tcPr>
            <w:tcW w:w="2320" w:type="dxa"/>
            <w:vAlign w:val="bottom"/>
          </w:tcPr>
          <w:p>
            <w:pPr>
              <w:spacing w:after="0"/>
              <w:rPr>
                <w:sz w:val="19"/>
                <w:szCs w:val="19"/>
                <w:color w:val="auto"/>
              </w:rPr>
            </w:pPr>
          </w:p>
        </w:tc>
        <w:tc>
          <w:tcPr>
            <w:tcW w:w="2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60" w:type="dxa"/>
            <w:vAlign w:val="bottom"/>
            <w:gridSpan w:val="4"/>
          </w:tcPr>
          <w:p>
            <w:pPr>
              <w:jc w:val="right"/>
              <w:ind w:right="382"/>
              <w:spacing w:after="0"/>
              <w:rPr>
                <w:sz w:val="20"/>
                <w:szCs w:val="20"/>
                <w:color w:val="auto"/>
              </w:rPr>
            </w:pPr>
            <w:r>
              <w:rPr>
                <w:rFonts w:ascii="Arial" w:cs="Arial" w:eastAsia="Arial" w:hAnsi="Arial"/>
                <w:sz w:val="16"/>
                <w:szCs w:val="16"/>
                <w:b w:val="1"/>
                <w:bCs w:val="1"/>
                <w:color w:val="auto"/>
              </w:rPr>
              <w:t>(Dollars in millions)</w:t>
            </w:r>
          </w:p>
        </w:tc>
        <w:tc>
          <w:tcPr>
            <w:tcW w:w="6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50"/>
        </w:trPr>
        <w:tc>
          <w:tcPr>
            <w:tcW w:w="2320" w:type="dxa"/>
            <w:vAlign w:val="bottom"/>
          </w:tcPr>
          <w:p>
            <w:pPr>
              <w:spacing w:after="0"/>
              <w:rPr>
                <w:sz w:val="20"/>
                <w:szCs w:val="20"/>
                <w:color w:val="auto"/>
              </w:rPr>
            </w:pPr>
            <w:r>
              <w:rPr>
                <w:rFonts w:ascii="Arial" w:cs="Arial" w:eastAsia="Arial" w:hAnsi="Arial"/>
                <w:sz w:val="16"/>
                <w:szCs w:val="16"/>
                <w:b w:val="1"/>
                <w:bCs w:val="1"/>
                <w:color w:val="auto"/>
              </w:rPr>
              <w:t>NRSRO Rating</w:t>
            </w:r>
          </w:p>
        </w:tc>
        <w:tc>
          <w:tcPr>
            <w:tcW w:w="2800" w:type="dxa"/>
            <w:vAlign w:val="bottom"/>
          </w:tcPr>
          <w:p>
            <w:pPr>
              <w:jc w:val="center"/>
              <w:ind w:left="902"/>
              <w:spacing w:after="0"/>
              <w:rPr>
                <w:sz w:val="20"/>
                <w:szCs w:val="20"/>
                <w:color w:val="auto"/>
              </w:rPr>
            </w:pPr>
            <w:r>
              <w:rPr>
                <w:rFonts w:ascii="Arial" w:cs="Arial" w:eastAsia="Arial" w:hAnsi="Arial"/>
                <w:sz w:val="16"/>
                <w:szCs w:val="16"/>
                <w:b w:val="1"/>
                <w:bCs w:val="1"/>
                <w:color w:val="auto"/>
                <w:w w:val="90"/>
              </w:rPr>
              <w:t>NAIC Designation</w:t>
            </w:r>
          </w:p>
        </w:tc>
        <w:tc>
          <w:tcPr>
            <w:tcW w:w="1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20"/>
        </w:trPr>
        <w:tc>
          <w:tcPr>
            <w:tcW w:w="2320" w:type="dxa"/>
            <w:vAlign w:val="bottom"/>
          </w:tcPr>
          <w:p>
            <w:pPr>
              <w:ind w:left="80"/>
              <w:spacing w:after="0"/>
              <w:rPr>
                <w:sz w:val="20"/>
                <w:szCs w:val="20"/>
                <w:color w:val="auto"/>
              </w:rPr>
            </w:pPr>
            <w:r>
              <w:rPr>
                <w:rFonts w:ascii="Arial" w:cs="Arial" w:eastAsia="Arial" w:hAnsi="Arial"/>
                <w:sz w:val="16"/>
                <w:szCs w:val="16"/>
                <w:color w:val="auto"/>
              </w:rPr>
              <w:t>AAA/AA/A</w:t>
            </w:r>
          </w:p>
        </w:tc>
        <w:tc>
          <w:tcPr>
            <w:tcW w:w="2800" w:type="dxa"/>
            <w:vAlign w:val="bottom"/>
          </w:tcPr>
          <w:p>
            <w:pPr>
              <w:jc w:val="center"/>
              <w:ind w:left="882"/>
              <w:spacing w:after="0"/>
              <w:rPr>
                <w:sz w:val="20"/>
                <w:szCs w:val="20"/>
                <w:color w:val="auto"/>
              </w:rPr>
            </w:pPr>
            <w:r>
              <w:rPr>
                <w:rFonts w:ascii="Arial" w:cs="Arial" w:eastAsia="Arial" w:hAnsi="Arial"/>
                <w:sz w:val="16"/>
                <w:szCs w:val="16"/>
                <w:color w:val="auto"/>
                <w:w w:val="89"/>
              </w:rPr>
              <w:t>1</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2"/>
              <w:spacing w:after="0"/>
              <w:rPr>
                <w:sz w:val="20"/>
                <w:szCs w:val="20"/>
                <w:color w:val="auto"/>
              </w:rPr>
            </w:pPr>
            <w:r>
              <w:rPr>
                <w:rFonts w:ascii="Arial" w:cs="Arial" w:eastAsia="Arial" w:hAnsi="Arial"/>
                <w:sz w:val="16"/>
                <w:szCs w:val="16"/>
                <w:color w:val="auto"/>
              </w:rPr>
              <w:t>5,457</w:t>
            </w:r>
          </w:p>
        </w:tc>
        <w:tc>
          <w:tcPr>
            <w:tcW w:w="1120" w:type="dxa"/>
            <w:vAlign w:val="bottom"/>
            <w:gridSpan w:val="2"/>
          </w:tcPr>
          <w:p>
            <w:pPr>
              <w:jc w:val="right"/>
              <w:ind w:right="42"/>
              <w:spacing w:after="0"/>
              <w:rPr>
                <w:sz w:val="20"/>
                <w:szCs w:val="20"/>
                <w:color w:val="auto"/>
              </w:rPr>
            </w:pPr>
            <w:r>
              <w:rPr>
                <w:rFonts w:ascii="Arial" w:cs="Arial" w:eastAsia="Arial" w:hAnsi="Arial"/>
                <w:sz w:val="16"/>
                <w:szCs w:val="16"/>
                <w:color w:val="auto"/>
              </w:rPr>
              <w:t>70%</w:t>
            </w:r>
          </w:p>
        </w:tc>
        <w:tc>
          <w:tcPr>
            <w:tcW w:w="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2"/>
              <w:spacing w:after="0"/>
              <w:rPr>
                <w:sz w:val="20"/>
                <w:szCs w:val="20"/>
                <w:color w:val="auto"/>
              </w:rPr>
            </w:pPr>
            <w:r>
              <w:rPr>
                <w:rFonts w:ascii="Arial" w:cs="Arial" w:eastAsia="Arial" w:hAnsi="Arial"/>
                <w:sz w:val="16"/>
                <w:szCs w:val="16"/>
                <w:color w:val="auto"/>
              </w:rPr>
              <w:t>7,963</w:t>
            </w:r>
          </w:p>
        </w:tc>
        <w:tc>
          <w:tcPr>
            <w:tcW w:w="1120" w:type="dxa"/>
            <w:vAlign w:val="bottom"/>
            <w:gridSpan w:val="2"/>
          </w:tcPr>
          <w:p>
            <w:pPr>
              <w:jc w:val="right"/>
              <w:ind w:right="42"/>
              <w:spacing w:after="0"/>
              <w:rPr>
                <w:sz w:val="20"/>
                <w:szCs w:val="20"/>
                <w:color w:val="auto"/>
              </w:rPr>
            </w:pPr>
            <w:r>
              <w:rPr>
                <w:rFonts w:ascii="Arial" w:cs="Arial" w:eastAsia="Arial" w:hAnsi="Arial"/>
                <w:sz w:val="16"/>
                <w:szCs w:val="16"/>
                <w:color w:val="auto"/>
              </w:rPr>
              <w:t>78%</w:t>
            </w:r>
          </w:p>
        </w:tc>
      </w:tr>
      <w:tr>
        <w:trPr>
          <w:trHeight w:val="220"/>
        </w:trPr>
        <w:tc>
          <w:tcPr>
            <w:tcW w:w="2320" w:type="dxa"/>
            <w:vAlign w:val="bottom"/>
          </w:tcPr>
          <w:p>
            <w:pPr>
              <w:ind w:left="80"/>
              <w:spacing w:after="0"/>
              <w:rPr>
                <w:sz w:val="20"/>
                <w:szCs w:val="20"/>
                <w:color w:val="auto"/>
              </w:rPr>
            </w:pPr>
            <w:r>
              <w:rPr>
                <w:rFonts w:ascii="Arial" w:cs="Arial" w:eastAsia="Arial" w:hAnsi="Arial"/>
                <w:sz w:val="16"/>
                <w:szCs w:val="16"/>
                <w:color w:val="auto"/>
              </w:rPr>
              <w:t>BBB</w:t>
            </w:r>
          </w:p>
        </w:tc>
        <w:tc>
          <w:tcPr>
            <w:tcW w:w="2800" w:type="dxa"/>
            <w:vAlign w:val="bottom"/>
          </w:tcPr>
          <w:p>
            <w:pPr>
              <w:jc w:val="center"/>
              <w:ind w:left="882"/>
              <w:spacing w:after="0"/>
              <w:rPr>
                <w:sz w:val="20"/>
                <w:szCs w:val="20"/>
                <w:color w:val="auto"/>
              </w:rPr>
            </w:pPr>
            <w:r>
              <w:rPr>
                <w:rFonts w:ascii="Arial" w:cs="Arial" w:eastAsia="Arial" w:hAnsi="Arial"/>
                <w:sz w:val="16"/>
                <w:szCs w:val="16"/>
                <w:color w:val="auto"/>
                <w:w w:val="89"/>
              </w:rPr>
              <w:t>2</w:t>
            </w: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2,018</w:t>
            </w:r>
          </w:p>
        </w:tc>
        <w:tc>
          <w:tcPr>
            <w:tcW w:w="1120" w:type="dxa"/>
            <w:vAlign w:val="bottom"/>
            <w:gridSpan w:val="2"/>
          </w:tcPr>
          <w:p>
            <w:pPr>
              <w:jc w:val="right"/>
              <w:ind w:right="42"/>
              <w:spacing w:after="0"/>
              <w:rPr>
                <w:sz w:val="20"/>
                <w:szCs w:val="20"/>
                <w:color w:val="auto"/>
              </w:rPr>
            </w:pPr>
            <w:r>
              <w:rPr>
                <w:rFonts w:ascii="Arial" w:cs="Arial" w:eastAsia="Arial" w:hAnsi="Arial"/>
                <w:sz w:val="16"/>
                <w:szCs w:val="16"/>
                <w:color w:val="auto"/>
              </w:rPr>
              <w:t>26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1,633</w:t>
            </w:r>
          </w:p>
        </w:tc>
        <w:tc>
          <w:tcPr>
            <w:tcW w:w="1120" w:type="dxa"/>
            <w:vAlign w:val="bottom"/>
            <w:gridSpan w:val="2"/>
          </w:tcPr>
          <w:p>
            <w:pPr>
              <w:jc w:val="right"/>
              <w:ind w:right="42"/>
              <w:spacing w:after="0"/>
              <w:rPr>
                <w:sz w:val="20"/>
                <w:szCs w:val="20"/>
                <w:color w:val="auto"/>
              </w:rPr>
            </w:pPr>
            <w:r>
              <w:rPr>
                <w:rFonts w:ascii="Arial" w:cs="Arial" w:eastAsia="Arial" w:hAnsi="Arial"/>
                <w:sz w:val="16"/>
                <w:szCs w:val="16"/>
                <w:color w:val="auto"/>
              </w:rPr>
              <w:t>16</w:t>
            </w:r>
          </w:p>
        </w:tc>
      </w:tr>
      <w:tr>
        <w:trPr>
          <w:trHeight w:val="220"/>
        </w:trPr>
        <w:tc>
          <w:tcPr>
            <w:tcW w:w="2320" w:type="dxa"/>
            <w:vAlign w:val="bottom"/>
          </w:tcPr>
          <w:p>
            <w:pPr>
              <w:ind w:left="80"/>
              <w:spacing w:after="0"/>
              <w:rPr>
                <w:sz w:val="20"/>
                <w:szCs w:val="20"/>
                <w:color w:val="auto"/>
              </w:rPr>
            </w:pPr>
            <w:r>
              <w:rPr>
                <w:rFonts w:ascii="Arial" w:cs="Arial" w:eastAsia="Arial" w:hAnsi="Arial"/>
                <w:sz w:val="16"/>
                <w:szCs w:val="16"/>
                <w:color w:val="auto"/>
              </w:rPr>
              <w:t>BB</w:t>
            </w:r>
          </w:p>
        </w:tc>
        <w:tc>
          <w:tcPr>
            <w:tcW w:w="2800" w:type="dxa"/>
            <w:vAlign w:val="bottom"/>
          </w:tcPr>
          <w:p>
            <w:pPr>
              <w:jc w:val="center"/>
              <w:ind w:left="882"/>
              <w:spacing w:after="0"/>
              <w:rPr>
                <w:sz w:val="20"/>
                <w:szCs w:val="20"/>
                <w:color w:val="auto"/>
              </w:rPr>
            </w:pPr>
            <w:r>
              <w:rPr>
                <w:rFonts w:ascii="Arial" w:cs="Arial" w:eastAsia="Arial" w:hAnsi="Arial"/>
                <w:sz w:val="16"/>
                <w:szCs w:val="16"/>
                <w:color w:val="auto"/>
                <w:w w:val="89"/>
              </w:rPr>
              <w:t>3</w:t>
            </w: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190</w:t>
            </w:r>
          </w:p>
        </w:tc>
        <w:tc>
          <w:tcPr>
            <w:tcW w:w="1120" w:type="dxa"/>
            <w:vAlign w:val="bottom"/>
            <w:gridSpan w:val="2"/>
          </w:tcPr>
          <w:p>
            <w:pPr>
              <w:jc w:val="right"/>
              <w:ind w:right="42"/>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445</w:t>
            </w:r>
          </w:p>
        </w:tc>
        <w:tc>
          <w:tcPr>
            <w:tcW w:w="1120" w:type="dxa"/>
            <w:vAlign w:val="bottom"/>
            <w:gridSpan w:val="2"/>
          </w:tcPr>
          <w:p>
            <w:pPr>
              <w:jc w:val="right"/>
              <w:ind w:right="42"/>
              <w:spacing w:after="0"/>
              <w:rPr>
                <w:sz w:val="20"/>
                <w:szCs w:val="20"/>
                <w:color w:val="auto"/>
              </w:rPr>
            </w:pPr>
            <w:r>
              <w:rPr>
                <w:rFonts w:ascii="Arial" w:cs="Arial" w:eastAsia="Arial" w:hAnsi="Arial"/>
                <w:sz w:val="16"/>
                <w:szCs w:val="16"/>
                <w:color w:val="auto"/>
              </w:rPr>
              <w:t>4</w:t>
            </w:r>
          </w:p>
        </w:tc>
      </w:tr>
      <w:tr>
        <w:trPr>
          <w:trHeight w:val="221"/>
        </w:trPr>
        <w:tc>
          <w:tcPr>
            <w:tcW w:w="2320" w:type="dxa"/>
            <w:vAlign w:val="bottom"/>
          </w:tcPr>
          <w:p>
            <w:pPr>
              <w:ind w:left="80"/>
              <w:spacing w:after="0"/>
              <w:rPr>
                <w:sz w:val="20"/>
                <w:szCs w:val="20"/>
                <w:color w:val="auto"/>
              </w:rPr>
            </w:pPr>
            <w:r>
              <w:rPr>
                <w:rFonts w:ascii="Arial" w:cs="Arial" w:eastAsia="Arial" w:hAnsi="Arial"/>
                <w:sz w:val="16"/>
                <w:szCs w:val="16"/>
                <w:color w:val="auto"/>
              </w:rPr>
              <w:t>B</w:t>
            </w:r>
          </w:p>
        </w:tc>
        <w:tc>
          <w:tcPr>
            <w:tcW w:w="2800" w:type="dxa"/>
            <w:vAlign w:val="bottom"/>
          </w:tcPr>
          <w:p>
            <w:pPr>
              <w:jc w:val="center"/>
              <w:ind w:left="882"/>
              <w:spacing w:after="0"/>
              <w:rPr>
                <w:sz w:val="20"/>
                <w:szCs w:val="20"/>
                <w:color w:val="auto"/>
              </w:rPr>
            </w:pPr>
            <w:r>
              <w:rPr>
                <w:rFonts w:ascii="Arial" w:cs="Arial" w:eastAsia="Arial" w:hAnsi="Arial"/>
                <w:sz w:val="16"/>
                <w:szCs w:val="16"/>
                <w:color w:val="auto"/>
                <w:w w:val="89"/>
              </w:rPr>
              <w:t>4</w:t>
            </w: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17</w:t>
            </w:r>
          </w:p>
        </w:tc>
        <w:tc>
          <w:tcPr>
            <w:tcW w:w="60" w:type="dxa"/>
            <w:vAlign w:val="bottom"/>
          </w:tcPr>
          <w:p>
            <w:pPr>
              <w:spacing w:after="0"/>
              <w:rPr>
                <w:sz w:val="19"/>
                <w:szCs w:val="19"/>
                <w:color w:val="auto"/>
              </w:rPr>
            </w:pPr>
          </w:p>
        </w:tc>
        <w:tc>
          <w:tcPr>
            <w:tcW w:w="106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183</w:t>
            </w:r>
          </w:p>
        </w:tc>
        <w:tc>
          <w:tcPr>
            <w:tcW w:w="1120" w:type="dxa"/>
            <w:vAlign w:val="bottom"/>
            <w:gridSpan w:val="2"/>
          </w:tcPr>
          <w:p>
            <w:pPr>
              <w:jc w:val="right"/>
              <w:ind w:right="42"/>
              <w:spacing w:after="0"/>
              <w:rPr>
                <w:sz w:val="20"/>
                <w:szCs w:val="20"/>
                <w:color w:val="auto"/>
              </w:rPr>
            </w:pPr>
            <w:r>
              <w:rPr>
                <w:rFonts w:ascii="Arial" w:cs="Arial" w:eastAsia="Arial" w:hAnsi="Arial"/>
                <w:sz w:val="16"/>
                <w:szCs w:val="16"/>
                <w:color w:val="auto"/>
              </w:rPr>
              <w:t>2</w:t>
            </w:r>
          </w:p>
        </w:tc>
      </w:tr>
      <w:tr>
        <w:trPr>
          <w:trHeight w:val="220"/>
        </w:trPr>
        <w:tc>
          <w:tcPr>
            <w:tcW w:w="2320" w:type="dxa"/>
            <w:vAlign w:val="bottom"/>
          </w:tcPr>
          <w:p>
            <w:pPr>
              <w:ind w:left="80"/>
              <w:spacing w:after="0"/>
              <w:rPr>
                <w:sz w:val="20"/>
                <w:szCs w:val="20"/>
                <w:color w:val="auto"/>
              </w:rPr>
            </w:pPr>
            <w:r>
              <w:rPr>
                <w:rFonts w:ascii="Arial" w:cs="Arial" w:eastAsia="Arial" w:hAnsi="Arial"/>
                <w:sz w:val="16"/>
                <w:szCs w:val="16"/>
                <w:color w:val="auto"/>
              </w:rPr>
              <w:t>CCC</w:t>
            </w:r>
          </w:p>
        </w:tc>
        <w:tc>
          <w:tcPr>
            <w:tcW w:w="2800" w:type="dxa"/>
            <w:vAlign w:val="bottom"/>
          </w:tcPr>
          <w:p>
            <w:pPr>
              <w:jc w:val="center"/>
              <w:ind w:left="882"/>
              <w:spacing w:after="0"/>
              <w:rPr>
                <w:sz w:val="20"/>
                <w:szCs w:val="20"/>
                <w:color w:val="auto"/>
              </w:rPr>
            </w:pPr>
            <w:r>
              <w:rPr>
                <w:rFonts w:ascii="Arial" w:cs="Arial" w:eastAsia="Arial" w:hAnsi="Arial"/>
                <w:sz w:val="16"/>
                <w:szCs w:val="16"/>
                <w:color w:val="auto"/>
                <w:w w:val="89"/>
              </w:rPr>
              <w:t>5</w:t>
            </w: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10</w:t>
            </w:r>
          </w:p>
        </w:tc>
        <w:tc>
          <w:tcPr>
            <w:tcW w:w="60" w:type="dxa"/>
            <w:vAlign w:val="bottom"/>
          </w:tcPr>
          <w:p>
            <w:pPr>
              <w:spacing w:after="0"/>
              <w:rPr>
                <w:sz w:val="19"/>
                <w:szCs w:val="19"/>
                <w:color w:val="auto"/>
              </w:rPr>
            </w:pPr>
          </w:p>
        </w:tc>
        <w:tc>
          <w:tcPr>
            <w:tcW w:w="106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8</w:t>
            </w:r>
          </w:p>
        </w:tc>
        <w:tc>
          <w:tcPr>
            <w:tcW w:w="60" w:type="dxa"/>
            <w:vAlign w:val="bottom"/>
          </w:tcPr>
          <w:p>
            <w:pPr>
              <w:spacing w:after="0"/>
              <w:rPr>
                <w:sz w:val="19"/>
                <w:szCs w:val="19"/>
                <w:color w:val="auto"/>
              </w:rPr>
            </w:pPr>
          </w:p>
        </w:tc>
        <w:tc>
          <w:tcPr>
            <w:tcW w:w="1060" w:type="dxa"/>
            <w:vAlign w:val="bottom"/>
          </w:tcPr>
          <w:p>
            <w:pPr>
              <w:jc w:val="right"/>
              <w:ind w:right="42"/>
              <w:spacing w:after="0"/>
              <w:rPr>
                <w:sz w:val="20"/>
                <w:szCs w:val="20"/>
                <w:color w:val="auto"/>
              </w:rPr>
            </w:pPr>
            <w:r>
              <w:rPr>
                <w:rFonts w:ascii="Arial" w:cs="Arial" w:eastAsia="Arial" w:hAnsi="Arial"/>
                <w:sz w:val="16"/>
                <w:szCs w:val="16"/>
                <w:color w:val="auto"/>
              </w:rPr>
              <w:t>—</w:t>
            </w:r>
          </w:p>
        </w:tc>
      </w:tr>
      <w:tr>
        <w:trPr>
          <w:trHeight w:val="228"/>
        </w:trPr>
        <w:tc>
          <w:tcPr>
            <w:tcW w:w="2320" w:type="dxa"/>
            <w:vAlign w:val="bottom"/>
          </w:tcPr>
          <w:p>
            <w:pPr>
              <w:ind w:left="80"/>
              <w:spacing w:after="0"/>
              <w:rPr>
                <w:sz w:val="20"/>
                <w:szCs w:val="20"/>
                <w:color w:val="auto"/>
              </w:rPr>
            </w:pPr>
            <w:r>
              <w:rPr>
                <w:rFonts w:ascii="Arial" w:cs="Arial" w:eastAsia="Arial" w:hAnsi="Arial"/>
                <w:sz w:val="16"/>
                <w:szCs w:val="16"/>
                <w:color w:val="auto"/>
              </w:rPr>
              <w:t>CC and lower</w:t>
            </w:r>
          </w:p>
        </w:tc>
        <w:tc>
          <w:tcPr>
            <w:tcW w:w="2800" w:type="dxa"/>
            <w:vAlign w:val="bottom"/>
          </w:tcPr>
          <w:p>
            <w:pPr>
              <w:jc w:val="center"/>
              <w:ind w:left="882"/>
              <w:spacing w:after="0"/>
              <w:rPr>
                <w:sz w:val="20"/>
                <w:szCs w:val="20"/>
                <w:color w:val="auto"/>
              </w:rPr>
            </w:pPr>
            <w:r>
              <w:rPr>
                <w:rFonts w:ascii="Arial" w:cs="Arial" w:eastAsia="Arial" w:hAnsi="Arial"/>
                <w:sz w:val="16"/>
                <w:szCs w:val="16"/>
                <w:color w:val="auto"/>
                <w:w w:val="89"/>
              </w:rPr>
              <w:t>6</w:t>
            </w: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150</w:t>
            </w:r>
          </w:p>
        </w:tc>
        <w:tc>
          <w:tcPr>
            <w:tcW w:w="1120" w:type="dxa"/>
            <w:vAlign w:val="bottom"/>
            <w:gridSpan w:val="2"/>
          </w:tcPr>
          <w:p>
            <w:pPr>
              <w:jc w:val="right"/>
              <w:ind w:right="42"/>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38</w:t>
            </w:r>
          </w:p>
        </w:tc>
        <w:tc>
          <w:tcPr>
            <w:tcW w:w="60" w:type="dxa"/>
            <w:vAlign w:val="bottom"/>
          </w:tcPr>
          <w:p>
            <w:pPr>
              <w:spacing w:after="0"/>
              <w:rPr>
                <w:sz w:val="19"/>
                <w:szCs w:val="19"/>
                <w:color w:val="auto"/>
              </w:rPr>
            </w:pPr>
          </w:p>
        </w:tc>
        <w:tc>
          <w:tcPr>
            <w:tcW w:w="1060" w:type="dxa"/>
            <w:vAlign w:val="bottom"/>
          </w:tcPr>
          <w:p>
            <w:pPr>
              <w:jc w:val="right"/>
              <w:ind w:right="42"/>
              <w:spacing w:after="0"/>
              <w:rPr>
                <w:sz w:val="20"/>
                <w:szCs w:val="20"/>
                <w:color w:val="auto"/>
              </w:rPr>
            </w:pPr>
            <w:r>
              <w:rPr>
                <w:rFonts w:ascii="Arial" w:cs="Arial" w:eastAsia="Arial" w:hAnsi="Arial"/>
                <w:sz w:val="16"/>
                <w:szCs w:val="16"/>
                <w:color w:val="auto"/>
              </w:rPr>
              <w:t>—</w:t>
            </w:r>
          </w:p>
        </w:tc>
      </w:tr>
      <w:tr>
        <w:trPr>
          <w:trHeight w:val="181"/>
        </w:trPr>
        <w:tc>
          <w:tcPr>
            <w:tcW w:w="2320" w:type="dxa"/>
            <w:vAlign w:val="bottom"/>
          </w:tcPr>
          <w:p>
            <w:pPr>
              <w:spacing w:after="0" w:line="181" w:lineRule="exact"/>
              <w:rPr>
                <w:sz w:val="20"/>
                <w:szCs w:val="20"/>
                <w:color w:val="auto"/>
              </w:rPr>
            </w:pPr>
            <w:r>
              <w:rPr>
                <w:rFonts w:ascii="Arial" w:cs="Arial" w:eastAsia="Arial" w:hAnsi="Arial"/>
                <w:sz w:val="16"/>
                <w:szCs w:val="16"/>
                <w:b w:val="1"/>
                <w:bCs w:val="1"/>
                <w:color w:val="auto"/>
              </w:rPr>
              <w:t>Total</w:t>
            </w:r>
          </w:p>
        </w:tc>
        <w:tc>
          <w:tcPr>
            <w:tcW w:w="2800" w:type="dxa"/>
            <w:vAlign w:val="bottom"/>
          </w:tcPr>
          <w:p>
            <w:pPr>
              <w:spacing w:after="0"/>
              <w:rPr>
                <w:sz w:val="15"/>
                <w:szCs w:val="15"/>
                <w:color w:val="auto"/>
              </w:rPr>
            </w:pPr>
          </w:p>
        </w:tc>
        <w:tc>
          <w:tcPr>
            <w:tcW w:w="160" w:type="dxa"/>
            <w:vAlign w:val="bottom"/>
            <w:tcBorders>
              <w:top w:val="single" w:sz="8" w:color="auto"/>
              <w:bottom w:val="single" w:sz="8" w:color="auto"/>
            </w:tcBorders>
          </w:tcPr>
          <w:p>
            <w:pPr>
              <w:jc w:val="right"/>
              <w:spacing w:after="0" w:line="181" w:lineRule="exact"/>
              <w:rPr>
                <w:sz w:val="20"/>
                <w:szCs w:val="20"/>
                <w:color w:val="auto"/>
              </w:rPr>
            </w:pPr>
            <w:r>
              <w:rPr>
                <w:rFonts w:ascii="Arial" w:cs="Arial" w:eastAsia="Arial" w:hAnsi="Arial"/>
                <w:sz w:val="16"/>
                <w:szCs w:val="16"/>
                <w:color w:val="auto"/>
              </w:rPr>
              <w:t>$</w:t>
            </w:r>
          </w:p>
        </w:tc>
        <w:tc>
          <w:tcPr>
            <w:tcW w:w="920" w:type="dxa"/>
            <w:vAlign w:val="bottom"/>
            <w:tcBorders>
              <w:top w:val="single" w:sz="8" w:color="auto"/>
              <w:bottom w:val="single" w:sz="8" w:color="auto"/>
            </w:tcBorders>
          </w:tcPr>
          <w:p>
            <w:pPr>
              <w:jc w:val="right"/>
              <w:ind w:right="2"/>
              <w:spacing w:after="0" w:line="181" w:lineRule="exact"/>
              <w:rPr>
                <w:sz w:val="20"/>
                <w:szCs w:val="20"/>
                <w:color w:val="auto"/>
              </w:rPr>
            </w:pPr>
            <w:r>
              <w:rPr>
                <w:rFonts w:ascii="Arial" w:cs="Arial" w:eastAsia="Arial" w:hAnsi="Arial"/>
                <w:sz w:val="16"/>
                <w:szCs w:val="16"/>
                <w:color w:val="auto"/>
              </w:rPr>
              <w:t>7,842</w:t>
            </w:r>
          </w:p>
        </w:tc>
        <w:tc>
          <w:tcPr>
            <w:tcW w:w="60" w:type="dxa"/>
            <w:vAlign w:val="bottom"/>
          </w:tcPr>
          <w:p>
            <w:pPr>
              <w:spacing w:after="0"/>
              <w:rPr>
                <w:sz w:val="15"/>
                <w:szCs w:val="15"/>
                <w:color w:val="auto"/>
              </w:rPr>
            </w:pPr>
          </w:p>
        </w:tc>
        <w:tc>
          <w:tcPr>
            <w:tcW w:w="1060" w:type="dxa"/>
            <w:vAlign w:val="bottom"/>
            <w:tcBorders>
              <w:top w:val="single" w:sz="8" w:color="auto"/>
              <w:bottom w:val="single" w:sz="8" w:color="auto"/>
            </w:tcBorders>
          </w:tcPr>
          <w:p>
            <w:pPr>
              <w:jc w:val="right"/>
              <w:ind w:right="42"/>
              <w:spacing w:after="0" w:line="181" w:lineRule="exact"/>
              <w:rPr>
                <w:sz w:val="20"/>
                <w:szCs w:val="20"/>
                <w:color w:val="auto"/>
              </w:rPr>
            </w:pPr>
            <w:r>
              <w:rPr>
                <w:rFonts w:ascii="Arial" w:cs="Arial" w:eastAsia="Arial" w:hAnsi="Arial"/>
                <w:sz w:val="16"/>
                <w:szCs w:val="16"/>
                <w:color w:val="auto"/>
              </w:rPr>
              <w:t>100%</w:t>
            </w:r>
          </w:p>
        </w:tc>
        <w:tc>
          <w:tcPr>
            <w:tcW w:w="120" w:type="dxa"/>
            <w:vAlign w:val="bottom"/>
          </w:tcPr>
          <w:p>
            <w:pPr>
              <w:spacing w:after="0"/>
              <w:rPr>
                <w:sz w:val="15"/>
                <w:szCs w:val="15"/>
                <w:color w:val="auto"/>
              </w:rPr>
            </w:pPr>
          </w:p>
        </w:tc>
        <w:tc>
          <w:tcPr>
            <w:tcW w:w="160" w:type="dxa"/>
            <w:vAlign w:val="bottom"/>
            <w:tcBorders>
              <w:top w:val="single" w:sz="8" w:color="auto"/>
              <w:bottom w:val="single" w:sz="8" w:color="auto"/>
            </w:tcBorders>
          </w:tcPr>
          <w:p>
            <w:pPr>
              <w:jc w:val="right"/>
              <w:spacing w:after="0" w:line="181" w:lineRule="exact"/>
              <w:rPr>
                <w:sz w:val="20"/>
                <w:szCs w:val="20"/>
                <w:color w:val="auto"/>
              </w:rPr>
            </w:pPr>
            <w:r>
              <w:rPr>
                <w:rFonts w:ascii="Arial" w:cs="Arial" w:eastAsia="Arial" w:hAnsi="Arial"/>
                <w:sz w:val="16"/>
                <w:szCs w:val="16"/>
                <w:color w:val="auto"/>
              </w:rPr>
              <w:t>$</w:t>
            </w:r>
          </w:p>
        </w:tc>
        <w:tc>
          <w:tcPr>
            <w:tcW w:w="920" w:type="dxa"/>
            <w:vAlign w:val="bottom"/>
            <w:tcBorders>
              <w:top w:val="single" w:sz="8" w:color="auto"/>
              <w:bottom w:val="single" w:sz="8" w:color="auto"/>
            </w:tcBorders>
          </w:tcPr>
          <w:p>
            <w:pPr>
              <w:jc w:val="right"/>
              <w:ind w:right="2"/>
              <w:spacing w:after="0" w:line="181" w:lineRule="exact"/>
              <w:rPr>
                <w:sz w:val="20"/>
                <w:szCs w:val="20"/>
                <w:color w:val="auto"/>
              </w:rPr>
            </w:pPr>
            <w:r>
              <w:rPr>
                <w:rFonts w:ascii="Arial" w:cs="Arial" w:eastAsia="Arial" w:hAnsi="Arial"/>
                <w:sz w:val="16"/>
                <w:szCs w:val="16"/>
                <w:color w:val="auto"/>
              </w:rPr>
              <w:t>10,270</w:t>
            </w:r>
          </w:p>
        </w:tc>
        <w:tc>
          <w:tcPr>
            <w:tcW w:w="60" w:type="dxa"/>
            <w:vAlign w:val="bottom"/>
          </w:tcPr>
          <w:p>
            <w:pPr>
              <w:spacing w:after="0"/>
              <w:rPr>
                <w:sz w:val="15"/>
                <w:szCs w:val="15"/>
                <w:color w:val="auto"/>
              </w:rPr>
            </w:pPr>
          </w:p>
        </w:tc>
        <w:tc>
          <w:tcPr>
            <w:tcW w:w="1060" w:type="dxa"/>
            <w:vAlign w:val="bottom"/>
            <w:tcBorders>
              <w:top w:val="single" w:sz="8" w:color="auto"/>
              <w:bottom w:val="single" w:sz="8" w:color="auto"/>
            </w:tcBorders>
          </w:tcPr>
          <w:p>
            <w:pPr>
              <w:jc w:val="right"/>
              <w:ind w:right="42"/>
              <w:spacing w:after="0" w:line="181" w:lineRule="exact"/>
              <w:rPr>
                <w:sz w:val="20"/>
                <w:szCs w:val="20"/>
                <w:color w:val="auto"/>
              </w:rPr>
            </w:pPr>
            <w:r>
              <w:rPr>
                <w:rFonts w:ascii="Arial" w:cs="Arial" w:eastAsia="Arial" w:hAnsi="Arial"/>
                <w:sz w:val="16"/>
                <w:szCs w:val="16"/>
                <w:color w:val="auto"/>
              </w:rPr>
              <w:t>100%</w:t>
            </w:r>
          </w:p>
        </w:tc>
      </w:tr>
      <w:tr>
        <w:trPr>
          <w:trHeight w:val="20"/>
        </w:trPr>
        <w:tc>
          <w:tcPr>
            <w:tcW w:w="232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-1010920</wp:posOffset>
            </wp:positionV>
            <wp:extent cx="6186170" cy="101790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57">
                      <a:extLst>
                        <a:ext uri="{28A0092B-C50C-407E-A947-70E740481C1C}"/>
                      </a:extLst>
                    </a:blip>
                    <a:srcRect/>
                    <a:stretch>
                      <a:fillRect/>
                    </a:stretch>
                  </pic:blipFill>
                  <pic:spPr bwMode="auto">
                    <a:xfrm>
                      <a:off x="0" y="0"/>
                      <a:ext cx="6186170" cy="1017905"/>
                    </a:xfrm>
                    <a:prstGeom prst="rect">
                      <a:avLst/>
                    </a:prstGeom>
                    <a:noFill/>
                  </pic:spPr>
                </pic:pic>
              </a:graphicData>
            </a:graphic>
          </wp:anchor>
        </w:drawing>
      </w:r>
    </w:p>
    <w:p>
      <w:pPr>
        <w:spacing w:after="0" w:line="125" w:lineRule="exact"/>
        <w:rPr>
          <w:sz w:val="20"/>
          <w:szCs w:val="20"/>
          <w:color w:val="auto"/>
        </w:rPr>
      </w:pPr>
    </w:p>
    <w:p>
      <w:pPr>
        <w:jc w:val="both"/>
        <w:ind w:firstLine="353"/>
        <w:spacing w:after="0" w:line="258" w:lineRule="auto"/>
        <w:rPr>
          <w:sz w:val="20"/>
          <w:szCs w:val="20"/>
          <w:color w:val="auto"/>
        </w:rPr>
      </w:pPr>
      <w:r>
        <w:rPr>
          <w:rFonts w:ascii="Arial" w:cs="Arial" w:eastAsia="Arial" w:hAnsi="Arial"/>
          <w:sz w:val="20"/>
          <w:szCs w:val="20"/>
          <w:color w:val="auto"/>
        </w:rPr>
        <w:t>The following table summarizes the credit quality by NRSRO rating, or NAIC designation equivalent, of our AFS CLO portfolio at December 31, 2025, and 2024. Balances at December 31, 2025 reflect classifications consistent with the NAIC Principles Based Bond Definition Project effective January 1, 2025.</w:t>
      </w:r>
    </w:p>
    <w:p>
      <w:pPr>
        <w:spacing w:after="0" w:line="189" w:lineRule="exact"/>
        <w:rPr>
          <w:sz w:val="20"/>
          <w:szCs w:val="20"/>
          <w:color w:val="auto"/>
        </w:rPr>
      </w:pPr>
    </w:p>
    <w:tbl>
      <w:tblPr>
        <w:tblLayout w:type="fixed"/>
        <w:tblInd w:w="400" w:type="dxa"/>
        <w:tblCellMar>
          <w:top w:w="0" w:type="dxa"/>
          <w:left w:w="0" w:type="dxa"/>
          <w:bottom w:w="0" w:type="dxa"/>
          <w:right w:w="0" w:type="dxa"/>
        </w:tblCellMar>
      </w:tblPr>
      <w:tr>
        <w:trPr>
          <w:trHeight w:val="213"/>
        </w:trPr>
        <w:tc>
          <w:tcPr>
            <w:tcW w:w="232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020" w:type="dxa"/>
            <w:vAlign w:val="bottom"/>
            <w:tcBorders>
              <w:bottom w:val="single" w:sz="8" w:color="auto"/>
            </w:tcBorders>
            <w:gridSpan w:val="3"/>
          </w:tcPr>
          <w:p>
            <w:pPr>
              <w:jc w:val="right"/>
              <w:ind w:right="382"/>
              <w:spacing w:after="0"/>
              <w:rPr>
                <w:sz w:val="20"/>
                <w:szCs w:val="20"/>
                <w:color w:val="auto"/>
              </w:rPr>
            </w:pPr>
            <w:r>
              <w:rPr>
                <w:rFonts w:ascii="Arial" w:cs="Arial" w:eastAsia="Arial" w:hAnsi="Arial"/>
                <w:sz w:val="16"/>
                <w:szCs w:val="16"/>
                <w:b w:val="1"/>
                <w:bCs w:val="1"/>
                <w:color w:val="auto"/>
              </w:rPr>
              <w:t>December 31, 2025</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080" w:type="dxa"/>
            <w:vAlign w:val="bottom"/>
            <w:tcBorders>
              <w:bottom w:val="single" w:sz="8" w:color="auto"/>
            </w:tcBorders>
            <w:gridSpan w:val="3"/>
          </w:tcPr>
          <w:p>
            <w:pPr>
              <w:jc w:val="right"/>
              <w:ind w:right="402"/>
              <w:spacing w:after="0"/>
              <w:rPr>
                <w:sz w:val="20"/>
                <w:szCs w:val="20"/>
                <w:color w:val="auto"/>
              </w:rPr>
            </w:pPr>
            <w:r>
              <w:rPr>
                <w:rFonts w:ascii="Arial" w:cs="Arial" w:eastAsia="Arial" w:hAnsi="Arial"/>
                <w:sz w:val="16"/>
                <w:szCs w:val="16"/>
                <w:b w:val="1"/>
                <w:bCs w:val="1"/>
                <w:color w:val="auto"/>
              </w:rPr>
              <w:t>December 31, 2024</w:t>
            </w:r>
          </w:p>
        </w:tc>
      </w:tr>
      <w:tr>
        <w:trPr>
          <w:trHeight w:val="230"/>
        </w:trPr>
        <w:tc>
          <w:tcPr>
            <w:tcW w:w="2320" w:type="dxa"/>
            <w:vAlign w:val="bottom"/>
          </w:tcPr>
          <w:p>
            <w:pPr>
              <w:spacing w:after="0"/>
              <w:rPr>
                <w:sz w:val="19"/>
                <w:szCs w:val="19"/>
                <w:color w:val="auto"/>
              </w:rPr>
            </w:pPr>
          </w:p>
        </w:tc>
        <w:tc>
          <w:tcPr>
            <w:tcW w:w="28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02"/>
              <w:spacing w:after="0"/>
              <w:rPr>
                <w:sz w:val="20"/>
                <w:szCs w:val="20"/>
                <w:color w:val="auto"/>
              </w:rPr>
            </w:pPr>
            <w:r>
              <w:rPr>
                <w:rFonts w:ascii="Arial" w:cs="Arial" w:eastAsia="Arial" w:hAnsi="Arial"/>
                <w:sz w:val="16"/>
                <w:szCs w:val="16"/>
                <w:b w:val="1"/>
                <w:bCs w:val="1"/>
                <w:color w:val="auto"/>
                <w:w w:val="94"/>
              </w:rPr>
              <w:t>Fair Value</w:t>
            </w:r>
          </w:p>
        </w:tc>
        <w:tc>
          <w:tcPr>
            <w:tcW w:w="60" w:type="dxa"/>
            <w:vAlign w:val="bottom"/>
          </w:tcPr>
          <w:p>
            <w:pPr>
              <w:spacing w:after="0"/>
              <w:rPr>
                <w:sz w:val="19"/>
                <w:szCs w:val="19"/>
                <w:color w:val="auto"/>
              </w:rPr>
            </w:pPr>
          </w:p>
        </w:tc>
        <w:tc>
          <w:tcPr>
            <w:tcW w:w="1040" w:type="dxa"/>
            <w:vAlign w:val="bottom"/>
            <w:tcBorders>
              <w:bottom w:val="single" w:sz="8" w:color="auto"/>
            </w:tcBorders>
          </w:tcPr>
          <w:p>
            <w:pPr>
              <w:jc w:val="right"/>
              <w:ind w:right="182"/>
              <w:spacing w:after="0"/>
              <w:rPr>
                <w:sz w:val="20"/>
                <w:szCs w:val="20"/>
                <w:color w:val="auto"/>
              </w:rPr>
            </w:pPr>
            <w:r>
              <w:rPr>
                <w:rFonts w:ascii="Arial" w:cs="Arial" w:eastAsia="Arial" w:hAnsi="Arial"/>
                <w:sz w:val="16"/>
                <w:szCs w:val="16"/>
                <w:b w:val="1"/>
                <w:bCs w:val="1"/>
                <w:color w:val="auto"/>
              </w:rPr>
              <w:t>Percent</w:t>
            </w: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02"/>
              <w:spacing w:after="0"/>
              <w:rPr>
                <w:sz w:val="20"/>
                <w:szCs w:val="20"/>
                <w:color w:val="auto"/>
              </w:rPr>
            </w:pPr>
            <w:r>
              <w:rPr>
                <w:rFonts w:ascii="Arial" w:cs="Arial" w:eastAsia="Arial" w:hAnsi="Arial"/>
                <w:sz w:val="16"/>
                <w:szCs w:val="16"/>
                <w:b w:val="1"/>
                <w:bCs w:val="1"/>
                <w:color w:val="auto"/>
                <w:w w:val="94"/>
              </w:rPr>
              <w:t>Fair Value</w:t>
            </w:r>
          </w:p>
        </w:tc>
        <w:tc>
          <w:tcPr>
            <w:tcW w:w="60" w:type="dxa"/>
            <w:vAlign w:val="bottom"/>
          </w:tcPr>
          <w:p>
            <w:pPr>
              <w:spacing w:after="0"/>
              <w:rPr>
                <w:sz w:val="19"/>
                <w:szCs w:val="19"/>
                <w:color w:val="auto"/>
              </w:rPr>
            </w:pPr>
          </w:p>
        </w:tc>
        <w:tc>
          <w:tcPr>
            <w:tcW w:w="1100" w:type="dxa"/>
            <w:vAlign w:val="bottom"/>
            <w:tcBorders>
              <w:bottom w:val="single" w:sz="8" w:color="auto"/>
            </w:tcBorders>
          </w:tcPr>
          <w:p>
            <w:pPr>
              <w:jc w:val="right"/>
              <w:ind w:right="202"/>
              <w:spacing w:after="0"/>
              <w:rPr>
                <w:sz w:val="20"/>
                <w:szCs w:val="20"/>
                <w:color w:val="auto"/>
              </w:rPr>
            </w:pPr>
            <w:r>
              <w:rPr>
                <w:rFonts w:ascii="Arial" w:cs="Arial" w:eastAsia="Arial" w:hAnsi="Arial"/>
                <w:sz w:val="16"/>
                <w:szCs w:val="16"/>
                <w:b w:val="1"/>
                <w:bCs w:val="1"/>
                <w:color w:val="auto"/>
              </w:rPr>
              <w:t>Percent</w:t>
            </w:r>
          </w:p>
        </w:tc>
      </w:tr>
      <w:tr>
        <w:trPr>
          <w:trHeight w:val="223"/>
        </w:trPr>
        <w:tc>
          <w:tcPr>
            <w:tcW w:w="2320" w:type="dxa"/>
            <w:vAlign w:val="bottom"/>
          </w:tcPr>
          <w:p>
            <w:pPr>
              <w:spacing w:after="0"/>
              <w:rPr>
                <w:sz w:val="19"/>
                <w:szCs w:val="19"/>
                <w:color w:val="auto"/>
              </w:rPr>
            </w:pPr>
          </w:p>
        </w:tc>
        <w:tc>
          <w:tcPr>
            <w:tcW w:w="2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20" w:type="dxa"/>
            <w:vAlign w:val="bottom"/>
            <w:gridSpan w:val="4"/>
          </w:tcPr>
          <w:p>
            <w:pPr>
              <w:jc w:val="right"/>
              <w:ind w:right="342"/>
              <w:spacing w:after="0"/>
              <w:rPr>
                <w:sz w:val="20"/>
                <w:szCs w:val="20"/>
                <w:color w:val="auto"/>
              </w:rPr>
            </w:pPr>
            <w:r>
              <w:rPr>
                <w:rFonts w:ascii="Arial" w:cs="Arial" w:eastAsia="Arial" w:hAnsi="Arial"/>
                <w:sz w:val="16"/>
                <w:szCs w:val="16"/>
                <w:b w:val="1"/>
                <w:bCs w:val="1"/>
                <w:color w:val="auto"/>
              </w:rPr>
              <w:t>(Dollars in millions)</w:t>
            </w:r>
          </w:p>
        </w:tc>
        <w:tc>
          <w:tcPr>
            <w:tcW w:w="6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50"/>
        </w:trPr>
        <w:tc>
          <w:tcPr>
            <w:tcW w:w="2320" w:type="dxa"/>
            <w:vAlign w:val="bottom"/>
          </w:tcPr>
          <w:p>
            <w:pPr>
              <w:spacing w:after="0"/>
              <w:rPr>
                <w:sz w:val="20"/>
                <w:szCs w:val="20"/>
                <w:color w:val="auto"/>
              </w:rPr>
            </w:pPr>
            <w:r>
              <w:rPr>
                <w:rFonts w:ascii="Arial" w:cs="Arial" w:eastAsia="Arial" w:hAnsi="Arial"/>
                <w:sz w:val="16"/>
                <w:szCs w:val="16"/>
                <w:b w:val="1"/>
                <w:bCs w:val="1"/>
                <w:color w:val="auto"/>
              </w:rPr>
              <w:t>NRSRO Rating</w:t>
            </w:r>
          </w:p>
        </w:tc>
        <w:tc>
          <w:tcPr>
            <w:tcW w:w="2800" w:type="dxa"/>
            <w:vAlign w:val="bottom"/>
          </w:tcPr>
          <w:p>
            <w:pPr>
              <w:jc w:val="center"/>
              <w:ind w:left="902"/>
              <w:spacing w:after="0"/>
              <w:rPr>
                <w:sz w:val="20"/>
                <w:szCs w:val="20"/>
                <w:color w:val="auto"/>
              </w:rPr>
            </w:pPr>
            <w:r>
              <w:rPr>
                <w:rFonts w:ascii="Arial" w:cs="Arial" w:eastAsia="Arial" w:hAnsi="Arial"/>
                <w:sz w:val="16"/>
                <w:szCs w:val="16"/>
                <w:b w:val="1"/>
                <w:bCs w:val="1"/>
                <w:color w:val="auto"/>
                <w:w w:val="90"/>
              </w:rPr>
              <w:t>NAIC Designation</w:t>
            </w:r>
          </w:p>
        </w:tc>
        <w:tc>
          <w:tcPr>
            <w:tcW w:w="1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50"/>
        </w:trPr>
        <w:tc>
          <w:tcPr>
            <w:tcW w:w="2320" w:type="dxa"/>
            <w:vAlign w:val="bottom"/>
          </w:tcPr>
          <w:p>
            <w:pPr>
              <w:ind w:left="80"/>
              <w:spacing w:after="0"/>
              <w:rPr>
                <w:sz w:val="20"/>
                <w:szCs w:val="20"/>
                <w:color w:val="auto"/>
              </w:rPr>
            </w:pPr>
            <w:r>
              <w:rPr>
                <w:rFonts w:ascii="Arial" w:cs="Arial" w:eastAsia="Arial" w:hAnsi="Arial"/>
                <w:sz w:val="16"/>
                <w:szCs w:val="16"/>
                <w:color w:val="auto"/>
              </w:rPr>
              <w:t>AAA/AA/A</w:t>
            </w:r>
          </w:p>
        </w:tc>
        <w:tc>
          <w:tcPr>
            <w:tcW w:w="2800" w:type="dxa"/>
            <w:vAlign w:val="bottom"/>
          </w:tcPr>
          <w:p>
            <w:pPr>
              <w:jc w:val="center"/>
              <w:ind w:left="882"/>
              <w:spacing w:after="0"/>
              <w:rPr>
                <w:sz w:val="20"/>
                <w:szCs w:val="20"/>
                <w:color w:val="auto"/>
              </w:rPr>
            </w:pPr>
            <w:r>
              <w:rPr>
                <w:rFonts w:ascii="Arial" w:cs="Arial" w:eastAsia="Arial" w:hAnsi="Arial"/>
                <w:sz w:val="16"/>
                <w:szCs w:val="16"/>
                <w:color w:val="auto"/>
                <w:w w:val="89"/>
              </w:rPr>
              <w:t>1</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2"/>
              <w:spacing w:after="0"/>
              <w:rPr>
                <w:sz w:val="20"/>
                <w:szCs w:val="20"/>
                <w:color w:val="auto"/>
              </w:rPr>
            </w:pPr>
            <w:r>
              <w:rPr>
                <w:rFonts w:ascii="Arial" w:cs="Arial" w:eastAsia="Arial" w:hAnsi="Arial"/>
                <w:sz w:val="16"/>
                <w:szCs w:val="16"/>
                <w:color w:val="auto"/>
              </w:rPr>
              <w:t>7,366</w:t>
            </w:r>
          </w:p>
        </w:tc>
        <w:tc>
          <w:tcPr>
            <w:tcW w:w="1100" w:type="dxa"/>
            <w:vAlign w:val="bottom"/>
            <w:gridSpan w:val="2"/>
          </w:tcPr>
          <w:p>
            <w:pPr>
              <w:jc w:val="right"/>
              <w:ind w:right="62"/>
              <w:spacing w:after="0"/>
              <w:rPr>
                <w:sz w:val="20"/>
                <w:szCs w:val="20"/>
                <w:color w:val="auto"/>
              </w:rPr>
            </w:pPr>
            <w:r>
              <w:rPr>
                <w:rFonts w:ascii="Arial" w:cs="Arial" w:eastAsia="Arial" w:hAnsi="Arial"/>
                <w:sz w:val="16"/>
                <w:szCs w:val="16"/>
                <w:color w:val="auto"/>
              </w:rPr>
              <w:t>67%</w:t>
            </w:r>
          </w:p>
        </w:tc>
        <w:tc>
          <w:tcPr>
            <w:tcW w:w="26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3,411</w:t>
            </w:r>
          </w:p>
        </w:tc>
        <w:tc>
          <w:tcPr>
            <w:tcW w:w="1160" w:type="dxa"/>
            <w:vAlign w:val="bottom"/>
            <w:gridSpan w:val="2"/>
          </w:tcPr>
          <w:p>
            <w:pPr>
              <w:jc w:val="right"/>
              <w:ind w:right="42"/>
              <w:spacing w:after="0"/>
              <w:rPr>
                <w:sz w:val="20"/>
                <w:szCs w:val="20"/>
                <w:color w:val="auto"/>
              </w:rPr>
            </w:pPr>
            <w:r>
              <w:rPr>
                <w:rFonts w:ascii="Arial" w:cs="Arial" w:eastAsia="Arial" w:hAnsi="Arial"/>
                <w:sz w:val="16"/>
                <w:szCs w:val="16"/>
                <w:color w:val="auto"/>
              </w:rPr>
              <w:t>63%</w:t>
            </w:r>
          </w:p>
        </w:tc>
      </w:tr>
      <w:tr>
        <w:trPr>
          <w:trHeight w:val="250"/>
        </w:trPr>
        <w:tc>
          <w:tcPr>
            <w:tcW w:w="2320" w:type="dxa"/>
            <w:vAlign w:val="bottom"/>
          </w:tcPr>
          <w:p>
            <w:pPr>
              <w:ind w:left="80"/>
              <w:spacing w:after="0"/>
              <w:rPr>
                <w:sz w:val="20"/>
                <w:szCs w:val="20"/>
                <w:color w:val="auto"/>
              </w:rPr>
            </w:pPr>
            <w:r>
              <w:rPr>
                <w:rFonts w:ascii="Arial" w:cs="Arial" w:eastAsia="Arial" w:hAnsi="Arial"/>
                <w:sz w:val="16"/>
                <w:szCs w:val="16"/>
                <w:color w:val="auto"/>
              </w:rPr>
              <w:t>BBB</w:t>
            </w:r>
          </w:p>
        </w:tc>
        <w:tc>
          <w:tcPr>
            <w:tcW w:w="2800" w:type="dxa"/>
            <w:vAlign w:val="bottom"/>
          </w:tcPr>
          <w:p>
            <w:pPr>
              <w:jc w:val="center"/>
              <w:ind w:left="882"/>
              <w:spacing w:after="0"/>
              <w:rPr>
                <w:sz w:val="20"/>
                <w:szCs w:val="20"/>
                <w:color w:val="auto"/>
              </w:rPr>
            </w:pPr>
            <w:r>
              <w:rPr>
                <w:rFonts w:ascii="Arial" w:cs="Arial" w:eastAsia="Arial" w:hAnsi="Arial"/>
                <w:sz w:val="16"/>
                <w:szCs w:val="16"/>
                <w:color w:val="auto"/>
                <w:w w:val="89"/>
              </w:rPr>
              <w:t>2</w:t>
            </w:r>
          </w:p>
        </w:tc>
        <w:tc>
          <w:tcPr>
            <w:tcW w:w="1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2,466</w:t>
            </w:r>
          </w:p>
        </w:tc>
        <w:tc>
          <w:tcPr>
            <w:tcW w:w="1100" w:type="dxa"/>
            <w:vAlign w:val="bottom"/>
            <w:gridSpan w:val="2"/>
          </w:tcPr>
          <w:p>
            <w:pPr>
              <w:jc w:val="right"/>
              <w:ind w:right="62"/>
              <w:spacing w:after="0"/>
              <w:rPr>
                <w:sz w:val="20"/>
                <w:szCs w:val="20"/>
                <w:color w:val="auto"/>
              </w:rPr>
            </w:pPr>
            <w:r>
              <w:rPr>
                <w:rFonts w:ascii="Arial" w:cs="Arial" w:eastAsia="Arial" w:hAnsi="Arial"/>
                <w:sz w:val="16"/>
                <w:szCs w:val="16"/>
                <w:color w:val="auto"/>
              </w:rPr>
              <w:t>23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1,396</w:t>
            </w:r>
          </w:p>
        </w:tc>
        <w:tc>
          <w:tcPr>
            <w:tcW w:w="1160" w:type="dxa"/>
            <w:vAlign w:val="bottom"/>
            <w:gridSpan w:val="2"/>
          </w:tcPr>
          <w:p>
            <w:pPr>
              <w:jc w:val="right"/>
              <w:ind w:right="42"/>
              <w:spacing w:after="0"/>
              <w:rPr>
                <w:sz w:val="20"/>
                <w:szCs w:val="20"/>
                <w:color w:val="auto"/>
              </w:rPr>
            </w:pPr>
            <w:r>
              <w:rPr>
                <w:rFonts w:ascii="Arial" w:cs="Arial" w:eastAsia="Arial" w:hAnsi="Arial"/>
                <w:sz w:val="16"/>
                <w:szCs w:val="16"/>
                <w:color w:val="auto"/>
              </w:rPr>
              <w:t>26</w:t>
            </w:r>
          </w:p>
        </w:tc>
      </w:tr>
      <w:tr>
        <w:trPr>
          <w:trHeight w:val="250"/>
        </w:trPr>
        <w:tc>
          <w:tcPr>
            <w:tcW w:w="2320" w:type="dxa"/>
            <w:vAlign w:val="bottom"/>
          </w:tcPr>
          <w:p>
            <w:pPr>
              <w:ind w:left="80"/>
              <w:spacing w:after="0"/>
              <w:rPr>
                <w:sz w:val="20"/>
                <w:szCs w:val="20"/>
                <w:color w:val="auto"/>
              </w:rPr>
            </w:pPr>
            <w:r>
              <w:rPr>
                <w:rFonts w:ascii="Arial" w:cs="Arial" w:eastAsia="Arial" w:hAnsi="Arial"/>
                <w:sz w:val="16"/>
                <w:szCs w:val="16"/>
                <w:color w:val="auto"/>
              </w:rPr>
              <w:t>BB</w:t>
            </w:r>
          </w:p>
        </w:tc>
        <w:tc>
          <w:tcPr>
            <w:tcW w:w="2800" w:type="dxa"/>
            <w:vAlign w:val="bottom"/>
          </w:tcPr>
          <w:p>
            <w:pPr>
              <w:jc w:val="center"/>
              <w:ind w:left="882"/>
              <w:spacing w:after="0"/>
              <w:rPr>
                <w:sz w:val="20"/>
                <w:szCs w:val="20"/>
                <w:color w:val="auto"/>
              </w:rPr>
            </w:pPr>
            <w:r>
              <w:rPr>
                <w:rFonts w:ascii="Arial" w:cs="Arial" w:eastAsia="Arial" w:hAnsi="Arial"/>
                <w:sz w:val="16"/>
                <w:szCs w:val="16"/>
                <w:color w:val="auto"/>
                <w:w w:val="89"/>
              </w:rPr>
              <w:t>3</w:t>
            </w:r>
          </w:p>
        </w:tc>
        <w:tc>
          <w:tcPr>
            <w:tcW w:w="1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835</w:t>
            </w:r>
          </w:p>
        </w:tc>
        <w:tc>
          <w:tcPr>
            <w:tcW w:w="1100" w:type="dxa"/>
            <w:vAlign w:val="bottom"/>
            <w:gridSpan w:val="2"/>
          </w:tcPr>
          <w:p>
            <w:pPr>
              <w:jc w:val="right"/>
              <w:ind w:right="62"/>
              <w:spacing w:after="0"/>
              <w:rPr>
                <w:sz w:val="20"/>
                <w:szCs w:val="20"/>
                <w:color w:val="auto"/>
              </w:rPr>
            </w:pPr>
            <w:r>
              <w:rPr>
                <w:rFonts w:ascii="Arial" w:cs="Arial" w:eastAsia="Arial" w:hAnsi="Arial"/>
                <w:sz w:val="16"/>
                <w:szCs w:val="16"/>
                <w:color w:val="auto"/>
              </w:rPr>
              <w:t>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524</w:t>
            </w:r>
          </w:p>
        </w:tc>
        <w:tc>
          <w:tcPr>
            <w:tcW w:w="1160" w:type="dxa"/>
            <w:vAlign w:val="bottom"/>
            <w:gridSpan w:val="2"/>
          </w:tcPr>
          <w:p>
            <w:pPr>
              <w:jc w:val="right"/>
              <w:ind w:right="42"/>
              <w:spacing w:after="0"/>
              <w:rPr>
                <w:sz w:val="20"/>
                <w:szCs w:val="20"/>
                <w:color w:val="auto"/>
              </w:rPr>
            </w:pPr>
            <w:r>
              <w:rPr>
                <w:rFonts w:ascii="Arial" w:cs="Arial" w:eastAsia="Arial" w:hAnsi="Arial"/>
                <w:sz w:val="16"/>
                <w:szCs w:val="16"/>
                <w:color w:val="auto"/>
              </w:rPr>
              <w:t>10</w:t>
            </w:r>
          </w:p>
        </w:tc>
      </w:tr>
      <w:tr>
        <w:trPr>
          <w:trHeight w:val="250"/>
        </w:trPr>
        <w:tc>
          <w:tcPr>
            <w:tcW w:w="2320" w:type="dxa"/>
            <w:vAlign w:val="bottom"/>
          </w:tcPr>
          <w:p>
            <w:pPr>
              <w:ind w:left="80"/>
              <w:spacing w:after="0"/>
              <w:rPr>
                <w:sz w:val="20"/>
                <w:szCs w:val="20"/>
                <w:color w:val="auto"/>
              </w:rPr>
            </w:pPr>
            <w:r>
              <w:rPr>
                <w:rFonts w:ascii="Arial" w:cs="Arial" w:eastAsia="Arial" w:hAnsi="Arial"/>
                <w:sz w:val="16"/>
                <w:szCs w:val="16"/>
                <w:color w:val="auto"/>
              </w:rPr>
              <w:t>B</w:t>
            </w:r>
          </w:p>
        </w:tc>
        <w:tc>
          <w:tcPr>
            <w:tcW w:w="2800" w:type="dxa"/>
            <w:vAlign w:val="bottom"/>
          </w:tcPr>
          <w:p>
            <w:pPr>
              <w:jc w:val="center"/>
              <w:ind w:left="882"/>
              <w:spacing w:after="0"/>
              <w:rPr>
                <w:sz w:val="20"/>
                <w:szCs w:val="20"/>
                <w:color w:val="auto"/>
              </w:rPr>
            </w:pPr>
            <w:r>
              <w:rPr>
                <w:rFonts w:ascii="Arial" w:cs="Arial" w:eastAsia="Arial" w:hAnsi="Arial"/>
                <w:sz w:val="16"/>
                <w:szCs w:val="16"/>
                <w:color w:val="auto"/>
                <w:w w:val="89"/>
              </w:rPr>
              <w:t>4</w:t>
            </w:r>
          </w:p>
        </w:tc>
        <w:tc>
          <w:tcPr>
            <w:tcW w:w="1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196</w:t>
            </w:r>
          </w:p>
        </w:tc>
        <w:tc>
          <w:tcPr>
            <w:tcW w:w="1100" w:type="dxa"/>
            <w:vAlign w:val="bottom"/>
            <w:gridSpan w:val="2"/>
          </w:tcPr>
          <w:p>
            <w:pPr>
              <w:jc w:val="right"/>
              <w:ind w:right="62"/>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10</w:t>
            </w:r>
          </w:p>
        </w:tc>
        <w:tc>
          <w:tcPr>
            <w:tcW w:w="60" w:type="dxa"/>
            <w:vAlign w:val="bottom"/>
          </w:tcPr>
          <w:p>
            <w:pPr>
              <w:spacing w:after="0"/>
              <w:rPr>
                <w:sz w:val="21"/>
                <w:szCs w:val="21"/>
                <w:color w:val="auto"/>
              </w:rPr>
            </w:pPr>
          </w:p>
        </w:tc>
        <w:tc>
          <w:tcPr>
            <w:tcW w:w="1100" w:type="dxa"/>
            <w:vAlign w:val="bottom"/>
          </w:tcPr>
          <w:p>
            <w:pPr>
              <w:jc w:val="right"/>
              <w:ind w:right="42"/>
              <w:spacing w:after="0"/>
              <w:rPr>
                <w:sz w:val="20"/>
                <w:szCs w:val="20"/>
                <w:color w:val="auto"/>
              </w:rPr>
            </w:pPr>
            <w:r>
              <w:rPr>
                <w:rFonts w:ascii="Arial" w:cs="Arial" w:eastAsia="Arial" w:hAnsi="Arial"/>
                <w:sz w:val="16"/>
                <w:szCs w:val="16"/>
                <w:color w:val="auto"/>
              </w:rPr>
              <w:t>—</w:t>
            </w:r>
          </w:p>
        </w:tc>
      </w:tr>
      <w:tr>
        <w:trPr>
          <w:trHeight w:val="250"/>
        </w:trPr>
        <w:tc>
          <w:tcPr>
            <w:tcW w:w="2320" w:type="dxa"/>
            <w:vAlign w:val="bottom"/>
          </w:tcPr>
          <w:p>
            <w:pPr>
              <w:ind w:left="80"/>
              <w:spacing w:after="0"/>
              <w:rPr>
                <w:sz w:val="20"/>
                <w:szCs w:val="20"/>
                <w:color w:val="auto"/>
              </w:rPr>
            </w:pPr>
            <w:r>
              <w:rPr>
                <w:rFonts w:ascii="Arial" w:cs="Arial" w:eastAsia="Arial" w:hAnsi="Arial"/>
                <w:sz w:val="16"/>
                <w:szCs w:val="16"/>
                <w:color w:val="auto"/>
              </w:rPr>
              <w:t>CCC</w:t>
            </w:r>
          </w:p>
        </w:tc>
        <w:tc>
          <w:tcPr>
            <w:tcW w:w="2800" w:type="dxa"/>
            <w:vAlign w:val="bottom"/>
          </w:tcPr>
          <w:p>
            <w:pPr>
              <w:jc w:val="center"/>
              <w:ind w:left="882"/>
              <w:spacing w:after="0"/>
              <w:rPr>
                <w:sz w:val="20"/>
                <w:szCs w:val="20"/>
                <w:color w:val="auto"/>
              </w:rPr>
            </w:pPr>
            <w:r>
              <w:rPr>
                <w:rFonts w:ascii="Arial" w:cs="Arial" w:eastAsia="Arial" w:hAnsi="Arial"/>
                <w:sz w:val="16"/>
                <w:szCs w:val="16"/>
                <w:color w:val="auto"/>
                <w:w w:val="89"/>
              </w:rPr>
              <w:t>5</w:t>
            </w:r>
          </w:p>
        </w:tc>
        <w:tc>
          <w:tcPr>
            <w:tcW w:w="1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1"/>
                <w:szCs w:val="21"/>
                <w:color w:val="auto"/>
              </w:rPr>
            </w:pPr>
          </w:p>
        </w:tc>
        <w:tc>
          <w:tcPr>
            <w:tcW w:w="1040" w:type="dxa"/>
            <w:vAlign w:val="bottom"/>
          </w:tcPr>
          <w:p>
            <w:pPr>
              <w:jc w:val="right"/>
              <w:ind w:right="62"/>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1"/>
                <w:szCs w:val="21"/>
                <w:color w:val="auto"/>
              </w:rPr>
            </w:pPr>
          </w:p>
        </w:tc>
        <w:tc>
          <w:tcPr>
            <w:tcW w:w="1100" w:type="dxa"/>
            <w:vAlign w:val="bottom"/>
          </w:tcPr>
          <w:p>
            <w:pPr>
              <w:jc w:val="right"/>
              <w:ind w:right="42"/>
              <w:spacing w:after="0"/>
              <w:rPr>
                <w:sz w:val="20"/>
                <w:szCs w:val="20"/>
                <w:color w:val="auto"/>
              </w:rPr>
            </w:pPr>
            <w:r>
              <w:rPr>
                <w:rFonts w:ascii="Arial" w:cs="Arial" w:eastAsia="Arial" w:hAnsi="Arial"/>
                <w:sz w:val="16"/>
                <w:szCs w:val="16"/>
                <w:color w:val="auto"/>
              </w:rPr>
              <w:t>—</w:t>
            </w:r>
          </w:p>
        </w:tc>
      </w:tr>
      <w:tr>
        <w:trPr>
          <w:trHeight w:val="257"/>
        </w:trPr>
        <w:tc>
          <w:tcPr>
            <w:tcW w:w="2320" w:type="dxa"/>
            <w:vAlign w:val="bottom"/>
          </w:tcPr>
          <w:p>
            <w:pPr>
              <w:ind w:left="80"/>
              <w:spacing w:after="0"/>
              <w:rPr>
                <w:sz w:val="20"/>
                <w:szCs w:val="20"/>
                <w:color w:val="auto"/>
              </w:rPr>
            </w:pPr>
            <w:r>
              <w:rPr>
                <w:rFonts w:ascii="Arial" w:cs="Arial" w:eastAsia="Arial" w:hAnsi="Arial"/>
                <w:sz w:val="16"/>
                <w:szCs w:val="16"/>
                <w:color w:val="auto"/>
              </w:rPr>
              <w:t>CC and lower</w:t>
            </w:r>
          </w:p>
        </w:tc>
        <w:tc>
          <w:tcPr>
            <w:tcW w:w="2800" w:type="dxa"/>
            <w:vAlign w:val="bottom"/>
          </w:tcPr>
          <w:p>
            <w:pPr>
              <w:jc w:val="center"/>
              <w:ind w:left="882"/>
              <w:spacing w:after="0"/>
              <w:rPr>
                <w:sz w:val="20"/>
                <w:szCs w:val="20"/>
                <w:color w:val="auto"/>
              </w:rPr>
            </w:pPr>
            <w:r>
              <w:rPr>
                <w:rFonts w:ascii="Arial" w:cs="Arial" w:eastAsia="Arial" w:hAnsi="Arial"/>
                <w:sz w:val="16"/>
                <w:szCs w:val="16"/>
                <w:color w:val="auto"/>
                <w:w w:val="89"/>
              </w:rPr>
              <w:t>6</w:t>
            </w:r>
          </w:p>
        </w:tc>
        <w:tc>
          <w:tcPr>
            <w:tcW w:w="1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w:t>
            </w:r>
          </w:p>
        </w:tc>
        <w:tc>
          <w:tcPr>
            <w:tcW w:w="60" w:type="dxa"/>
            <w:vAlign w:val="bottom"/>
          </w:tcPr>
          <w:p>
            <w:pPr>
              <w:spacing w:after="0"/>
              <w:rPr>
                <w:sz w:val="22"/>
                <w:szCs w:val="22"/>
                <w:color w:val="auto"/>
              </w:rPr>
            </w:pPr>
          </w:p>
        </w:tc>
        <w:tc>
          <w:tcPr>
            <w:tcW w:w="104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w:t>
            </w:r>
          </w:p>
        </w:tc>
        <w:tc>
          <w:tcPr>
            <w:tcW w:w="60" w:type="dxa"/>
            <w:vAlign w:val="bottom"/>
          </w:tcPr>
          <w:p>
            <w:pPr>
              <w:spacing w:after="0"/>
              <w:rPr>
                <w:sz w:val="22"/>
                <w:szCs w:val="22"/>
                <w:color w:val="auto"/>
              </w:rPr>
            </w:pPr>
          </w:p>
        </w:tc>
        <w:tc>
          <w:tcPr>
            <w:tcW w:w="110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1</w:t>
            </w:r>
          </w:p>
        </w:tc>
      </w:tr>
      <w:tr>
        <w:trPr>
          <w:trHeight w:val="210"/>
        </w:trPr>
        <w:tc>
          <w:tcPr>
            <w:tcW w:w="2320" w:type="dxa"/>
            <w:vAlign w:val="bottom"/>
          </w:tcPr>
          <w:p>
            <w:pPr>
              <w:spacing w:after="0"/>
              <w:rPr>
                <w:sz w:val="20"/>
                <w:szCs w:val="20"/>
                <w:color w:val="auto"/>
              </w:rPr>
            </w:pPr>
            <w:r>
              <w:rPr>
                <w:rFonts w:ascii="Arial" w:cs="Arial" w:eastAsia="Arial" w:hAnsi="Arial"/>
                <w:sz w:val="16"/>
                <w:szCs w:val="16"/>
                <w:b w:val="1"/>
                <w:bCs w:val="1"/>
                <w:color w:val="auto"/>
              </w:rPr>
              <w:t>Total</w:t>
            </w:r>
          </w:p>
        </w:tc>
        <w:tc>
          <w:tcPr>
            <w:tcW w:w="28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2"/>
              <w:spacing w:after="0"/>
              <w:rPr>
                <w:sz w:val="20"/>
                <w:szCs w:val="20"/>
                <w:color w:val="auto"/>
              </w:rPr>
            </w:pPr>
            <w:r>
              <w:rPr>
                <w:rFonts w:ascii="Arial" w:cs="Arial" w:eastAsia="Arial" w:hAnsi="Arial"/>
                <w:sz w:val="16"/>
                <w:szCs w:val="16"/>
                <w:color w:val="auto"/>
              </w:rPr>
              <w:t>10,890</w:t>
            </w:r>
          </w:p>
        </w:tc>
        <w:tc>
          <w:tcPr>
            <w:tcW w:w="1100" w:type="dxa"/>
            <w:vAlign w:val="bottom"/>
            <w:gridSpan w:val="2"/>
          </w:tcPr>
          <w:p>
            <w:pPr>
              <w:jc w:val="right"/>
              <w:ind w:right="62"/>
              <w:spacing w:after="0"/>
              <w:rPr>
                <w:sz w:val="20"/>
                <w:szCs w:val="20"/>
                <w:color w:val="auto"/>
              </w:rPr>
            </w:pPr>
            <w:r>
              <w:rPr>
                <w:rFonts w:ascii="Arial" w:cs="Arial" w:eastAsia="Arial" w:hAnsi="Arial"/>
                <w:sz w:val="16"/>
                <w:szCs w:val="16"/>
                <w:color w:val="auto"/>
              </w:rPr>
              <w:t>100%</w:t>
            </w:r>
          </w:p>
        </w:tc>
        <w:tc>
          <w:tcPr>
            <w:tcW w:w="26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5,379</w:t>
            </w:r>
          </w:p>
        </w:tc>
        <w:tc>
          <w:tcPr>
            <w:tcW w:w="1160" w:type="dxa"/>
            <w:vAlign w:val="bottom"/>
            <w:gridSpan w:val="2"/>
          </w:tcPr>
          <w:p>
            <w:pPr>
              <w:jc w:val="right"/>
              <w:ind w:right="42"/>
              <w:spacing w:after="0"/>
              <w:rPr>
                <w:sz w:val="20"/>
                <w:szCs w:val="20"/>
                <w:color w:val="auto"/>
              </w:rPr>
            </w:pPr>
            <w:r>
              <w:rPr>
                <w:rFonts w:ascii="Arial" w:cs="Arial" w:eastAsia="Arial" w:hAnsi="Arial"/>
                <w:sz w:val="16"/>
                <w:szCs w:val="16"/>
                <w:color w:val="auto"/>
              </w:rPr>
              <w:t>100%</w:t>
            </w:r>
          </w:p>
        </w:tc>
      </w:tr>
      <w:tr>
        <w:trPr>
          <w:trHeight w:val="20"/>
        </w:trPr>
        <w:tc>
          <w:tcPr>
            <w:tcW w:w="232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-1141730</wp:posOffset>
            </wp:positionV>
            <wp:extent cx="6186170" cy="114871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58">
                      <a:extLst>
                        <a:ext uri="{28A0092B-C50C-407E-A947-70E740481C1C}"/>
                      </a:extLst>
                    </a:blip>
                    <a:srcRect/>
                    <a:stretch>
                      <a:fillRect/>
                    </a:stretch>
                  </pic:blipFill>
                  <pic:spPr bwMode="auto">
                    <a:xfrm>
                      <a:off x="0" y="0"/>
                      <a:ext cx="6186170" cy="1148715"/>
                    </a:xfrm>
                    <a:prstGeom prst="rect">
                      <a:avLst/>
                    </a:prstGeom>
                    <a:noFill/>
                  </pic:spPr>
                </pic:pic>
              </a:graphicData>
            </a:graphic>
          </wp:anchor>
        </w:drawing>
      </w:r>
    </w:p>
    <w:p>
      <w:pPr>
        <w:sectPr>
          <w:pgSz w:w="11880" w:h="15480" w:orient="portrait"/>
          <w:cols w:equalWidth="0" w:num="1">
            <w:col w:w="10040"/>
          </w:cols>
          <w:pgMar w:left="920" w:top="768"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83</w:t>
      </w:r>
    </w:p>
    <w:p>
      <w:pPr>
        <w:sectPr>
          <w:pgSz w:w="11880" w:h="15480" w:orient="portrait"/>
          <w:cols w:equalWidth="0" w:num="1">
            <w:col w:w="10040"/>
          </w:cols>
          <w:pgMar w:left="920" w:top="768" w:right="920" w:bottom="0" w:gutter="0" w:footer="0" w:header="0"/>
          <w:type w:val="continuous"/>
        </w:sectPr>
      </w:pPr>
    </w:p>
    <w:bookmarkStart w:id="95" w:name="page96"/>
    <w:bookmarkEnd w:id="95"/>
    <w:p>
      <w:pPr>
        <w:spacing w:after="0"/>
        <w:rPr>
          <w:sz w:val="20"/>
          <w:szCs w:val="20"/>
          <w:color w:val="auto"/>
        </w:rPr>
      </w:pPr>
      <w:r>
        <w:rPr>
          <w:rFonts w:ascii="Arial" w:cs="Arial" w:eastAsia="Arial" w:hAnsi="Arial"/>
          <w:sz w:val="20"/>
          <w:szCs w:val="20"/>
          <w:b w:val="1"/>
          <w:bCs w:val="1"/>
          <w:color w:val="auto"/>
        </w:rPr>
        <w:t>Municipal Bond Exposure</w:t>
      </w:r>
    </w:p>
    <w:p>
      <w:pPr>
        <w:spacing w:after="0" w:line="150" w:lineRule="exact"/>
        <w:rPr>
          <w:sz w:val="20"/>
          <w:szCs w:val="20"/>
          <w:color w:val="auto"/>
        </w:rPr>
      </w:pPr>
    </w:p>
    <w:p>
      <w:pPr>
        <w:ind w:left="340"/>
        <w:spacing w:after="0"/>
        <w:rPr>
          <w:sz w:val="20"/>
          <w:szCs w:val="20"/>
          <w:color w:val="auto"/>
        </w:rPr>
      </w:pPr>
      <w:r>
        <w:rPr>
          <w:rFonts w:ascii="Arial" w:cs="Arial" w:eastAsia="Arial" w:hAnsi="Arial"/>
          <w:sz w:val="20"/>
          <w:szCs w:val="20"/>
          <w:color w:val="auto"/>
        </w:rPr>
        <w:t>The following table summarizes our municipal bond exposure as of December 31, 2025 and 2024.</w:t>
      </w:r>
    </w:p>
    <w:p>
      <w:pPr>
        <w:spacing w:after="0" w:line="196" w:lineRule="exact"/>
        <w:rPr>
          <w:sz w:val="20"/>
          <w:szCs w:val="20"/>
          <w:color w:val="auto"/>
        </w:rPr>
      </w:pPr>
    </w:p>
    <w:tbl>
      <w:tblPr>
        <w:tblLayout w:type="fixed"/>
        <w:tblInd w:w="480" w:type="dxa"/>
        <w:tblCellMar>
          <w:top w:w="0" w:type="dxa"/>
          <w:left w:w="0" w:type="dxa"/>
          <w:bottom w:w="0" w:type="dxa"/>
          <w:right w:w="0" w:type="dxa"/>
        </w:tblCellMar>
      </w:tblPr>
      <w:tr>
        <w:trPr>
          <w:trHeight w:val="213"/>
        </w:trPr>
        <w:tc>
          <w:tcPr>
            <w:tcW w:w="4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40" w:type="dxa"/>
            <w:vAlign w:val="bottom"/>
            <w:gridSpan w:val="4"/>
          </w:tcPr>
          <w:p>
            <w:pPr>
              <w:jc w:val="right"/>
              <w:ind w:right="602"/>
              <w:spacing w:after="0"/>
              <w:rPr>
                <w:sz w:val="20"/>
                <w:szCs w:val="20"/>
                <w:color w:val="auto"/>
              </w:rPr>
            </w:pPr>
            <w:r>
              <w:rPr>
                <w:rFonts w:ascii="Arial" w:cs="Arial" w:eastAsia="Arial" w:hAnsi="Arial"/>
                <w:sz w:val="16"/>
                <w:szCs w:val="16"/>
                <w:b w:val="1"/>
                <w:bCs w:val="1"/>
                <w:color w:val="auto"/>
              </w:rPr>
              <w:t>December 31, 2025</w:t>
            </w: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100" w:type="dxa"/>
            <w:vAlign w:val="bottom"/>
            <w:gridSpan w:val="4"/>
          </w:tcPr>
          <w:p>
            <w:pPr>
              <w:jc w:val="right"/>
              <w:ind w:right="602"/>
              <w:spacing w:after="0"/>
              <w:rPr>
                <w:sz w:val="20"/>
                <w:szCs w:val="20"/>
                <w:color w:val="auto"/>
              </w:rPr>
            </w:pPr>
            <w:r>
              <w:rPr>
                <w:rFonts w:ascii="Arial" w:cs="Arial" w:eastAsia="Arial" w:hAnsi="Arial"/>
                <w:sz w:val="16"/>
                <w:szCs w:val="16"/>
                <w:b w:val="1"/>
                <w:bCs w:val="1"/>
                <w:color w:val="auto"/>
                <w:w w:val="97"/>
              </w:rPr>
              <w:t>December 31, 2024</w:t>
            </w:r>
          </w:p>
        </w:tc>
      </w:tr>
      <w:tr>
        <w:trPr>
          <w:trHeight w:val="215"/>
        </w:trPr>
        <w:tc>
          <w:tcPr>
            <w:tcW w:w="4220" w:type="dxa"/>
            <w:vAlign w:val="bottom"/>
          </w:tcPr>
          <w:p>
            <w:pPr>
              <w:spacing w:after="0"/>
              <w:rPr>
                <w:sz w:val="18"/>
                <w:szCs w:val="18"/>
                <w:color w:val="auto"/>
              </w:rPr>
            </w:pPr>
          </w:p>
        </w:tc>
        <w:tc>
          <w:tcPr>
            <w:tcW w:w="1300" w:type="dxa"/>
            <w:vAlign w:val="bottom"/>
            <w:tcBorders>
              <w:top w:val="single" w:sz="8" w:color="auto"/>
              <w:bottom w:val="single" w:sz="8" w:color="auto"/>
            </w:tcBorders>
            <w:gridSpan w:val="2"/>
          </w:tcPr>
          <w:p>
            <w:pPr>
              <w:jc w:val="right"/>
              <w:ind w:right="42"/>
              <w:spacing w:after="0"/>
              <w:rPr>
                <w:sz w:val="20"/>
                <w:szCs w:val="20"/>
                <w:color w:val="auto"/>
              </w:rPr>
            </w:pPr>
            <w:r>
              <w:rPr>
                <w:rFonts w:ascii="Arial" w:cs="Arial" w:eastAsia="Arial" w:hAnsi="Arial"/>
                <w:sz w:val="16"/>
                <w:szCs w:val="16"/>
                <w:b w:val="1"/>
                <w:bCs w:val="1"/>
                <w:color w:val="auto"/>
                <w:w w:val="98"/>
              </w:rPr>
              <w:t>Amortized Cost</w:t>
            </w:r>
          </w:p>
        </w:tc>
        <w:tc>
          <w:tcPr>
            <w:tcW w:w="4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202"/>
              <w:spacing w:after="0"/>
              <w:rPr>
                <w:sz w:val="20"/>
                <w:szCs w:val="20"/>
                <w:color w:val="auto"/>
              </w:rPr>
            </w:pPr>
            <w:r>
              <w:rPr>
                <w:rFonts w:ascii="Arial" w:cs="Arial" w:eastAsia="Arial" w:hAnsi="Arial"/>
                <w:sz w:val="16"/>
                <w:szCs w:val="16"/>
                <w:b w:val="1"/>
                <w:bCs w:val="1"/>
                <w:color w:val="auto"/>
              </w:rPr>
              <w:t>Fair Value</w:t>
            </w:r>
          </w:p>
        </w:tc>
        <w:tc>
          <w:tcPr>
            <w:tcW w:w="60" w:type="dxa"/>
            <w:vAlign w:val="bottom"/>
          </w:tcPr>
          <w:p>
            <w:pPr>
              <w:spacing w:after="0"/>
              <w:rPr>
                <w:sz w:val="18"/>
                <w:szCs w:val="18"/>
                <w:color w:val="auto"/>
              </w:rPr>
            </w:pPr>
          </w:p>
        </w:tc>
        <w:tc>
          <w:tcPr>
            <w:tcW w:w="1300" w:type="dxa"/>
            <w:vAlign w:val="bottom"/>
            <w:tcBorders>
              <w:top w:val="single" w:sz="8" w:color="auto"/>
              <w:bottom w:val="single" w:sz="8" w:color="auto"/>
            </w:tcBorders>
            <w:gridSpan w:val="2"/>
          </w:tcPr>
          <w:p>
            <w:pPr>
              <w:jc w:val="right"/>
              <w:ind w:right="42"/>
              <w:spacing w:after="0"/>
              <w:rPr>
                <w:sz w:val="20"/>
                <w:szCs w:val="20"/>
                <w:color w:val="auto"/>
              </w:rPr>
            </w:pPr>
            <w:r>
              <w:rPr>
                <w:rFonts w:ascii="Arial" w:cs="Arial" w:eastAsia="Arial" w:hAnsi="Arial"/>
                <w:sz w:val="16"/>
                <w:szCs w:val="16"/>
                <w:b w:val="1"/>
                <w:bCs w:val="1"/>
                <w:color w:val="auto"/>
                <w:w w:val="98"/>
              </w:rPr>
              <w:t>Amortized Cost</w:t>
            </w:r>
          </w:p>
        </w:tc>
        <w:tc>
          <w:tcPr>
            <w:tcW w:w="6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202"/>
              <w:spacing w:after="0"/>
              <w:rPr>
                <w:sz w:val="20"/>
                <w:szCs w:val="20"/>
                <w:color w:val="auto"/>
              </w:rPr>
            </w:pPr>
            <w:r>
              <w:rPr>
                <w:rFonts w:ascii="Arial" w:cs="Arial" w:eastAsia="Arial" w:hAnsi="Arial"/>
                <w:sz w:val="16"/>
                <w:szCs w:val="16"/>
                <w:b w:val="1"/>
                <w:bCs w:val="1"/>
                <w:color w:val="auto"/>
              </w:rPr>
              <w:t>Fair Value</w:t>
            </w:r>
          </w:p>
        </w:tc>
      </w:tr>
      <w:tr>
        <w:trPr>
          <w:trHeight w:val="223"/>
        </w:trPr>
        <w:tc>
          <w:tcPr>
            <w:tcW w:w="42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80" w:type="dxa"/>
            <w:vAlign w:val="bottom"/>
            <w:gridSpan w:val="3"/>
          </w:tcPr>
          <w:p>
            <w:pPr>
              <w:jc w:val="right"/>
              <w:ind w:right="62"/>
              <w:spacing w:after="0"/>
              <w:rPr>
                <w:sz w:val="20"/>
                <w:szCs w:val="20"/>
                <w:color w:val="auto"/>
              </w:rPr>
            </w:pPr>
            <w:r>
              <w:rPr>
                <w:rFonts w:ascii="Arial" w:cs="Arial" w:eastAsia="Arial" w:hAnsi="Arial"/>
                <w:sz w:val="16"/>
                <w:szCs w:val="16"/>
                <w:b w:val="1"/>
                <w:bCs w:val="1"/>
                <w:color w:val="auto"/>
              </w:rPr>
              <w:t>(In millions)</w:t>
            </w:r>
          </w:p>
        </w:tc>
        <w:tc>
          <w:tcPr>
            <w:tcW w:w="7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45"/>
        </w:trPr>
        <w:tc>
          <w:tcPr>
            <w:tcW w:w="4220" w:type="dxa"/>
            <w:vAlign w:val="bottom"/>
          </w:tcPr>
          <w:p>
            <w:pPr>
              <w:spacing w:after="0"/>
              <w:rPr>
                <w:sz w:val="20"/>
                <w:szCs w:val="20"/>
                <w:color w:val="auto"/>
              </w:rPr>
            </w:pPr>
            <w:r>
              <w:rPr>
                <w:rFonts w:ascii="Arial" w:cs="Arial" w:eastAsia="Arial" w:hAnsi="Arial"/>
                <w:sz w:val="16"/>
                <w:szCs w:val="16"/>
                <w:color w:val="auto"/>
              </w:rPr>
              <w:t>General obligation bonds</w:t>
            </w:r>
          </w:p>
        </w:tc>
        <w:tc>
          <w:tcPr>
            <w:tcW w:w="400" w:type="dxa"/>
            <w:vAlign w:val="bottom"/>
          </w:tcPr>
          <w:p>
            <w:pPr>
              <w:jc w:val="right"/>
              <w:ind w:right="202"/>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
              <w:spacing w:after="0"/>
              <w:rPr>
                <w:sz w:val="20"/>
                <w:szCs w:val="20"/>
                <w:color w:val="auto"/>
              </w:rPr>
            </w:pPr>
            <w:r>
              <w:rPr>
                <w:rFonts w:ascii="Arial" w:cs="Arial" w:eastAsia="Arial" w:hAnsi="Arial"/>
                <w:sz w:val="16"/>
                <w:szCs w:val="16"/>
                <w:color w:val="auto"/>
              </w:rPr>
              <w:t>221</w:t>
            </w:r>
          </w:p>
        </w:tc>
        <w:tc>
          <w:tcPr>
            <w:tcW w:w="26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186</w:t>
            </w:r>
          </w:p>
        </w:tc>
        <w:tc>
          <w:tcPr>
            <w:tcW w:w="600" w:type="dxa"/>
            <w:vAlign w:val="bottom"/>
            <w:gridSpan w:val="2"/>
          </w:tcPr>
          <w:p>
            <w:pPr>
              <w:jc w:val="right"/>
              <w:ind w:right="322"/>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2"/>
              <w:spacing w:after="0"/>
              <w:rPr>
                <w:sz w:val="20"/>
                <w:szCs w:val="20"/>
                <w:color w:val="auto"/>
              </w:rPr>
            </w:pPr>
            <w:r>
              <w:rPr>
                <w:rFonts w:ascii="Arial" w:cs="Arial" w:eastAsia="Arial" w:hAnsi="Arial"/>
                <w:sz w:val="16"/>
                <w:szCs w:val="16"/>
                <w:color w:val="auto"/>
              </w:rPr>
              <w:t>247</w:t>
            </w:r>
          </w:p>
        </w:tc>
        <w:tc>
          <w:tcPr>
            <w:tcW w:w="26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205</w:t>
            </w:r>
          </w:p>
        </w:tc>
      </w:tr>
      <w:tr>
        <w:trPr>
          <w:trHeight w:val="235"/>
        </w:trPr>
        <w:tc>
          <w:tcPr>
            <w:tcW w:w="4220" w:type="dxa"/>
            <w:vAlign w:val="bottom"/>
          </w:tcPr>
          <w:p>
            <w:pPr>
              <w:spacing w:after="0"/>
              <w:rPr>
                <w:sz w:val="20"/>
                <w:szCs w:val="20"/>
                <w:color w:val="auto"/>
              </w:rPr>
            </w:pPr>
            <w:r>
              <w:rPr>
                <w:rFonts w:ascii="Arial" w:cs="Arial" w:eastAsia="Arial" w:hAnsi="Arial"/>
                <w:sz w:val="16"/>
                <w:szCs w:val="16"/>
                <w:color w:val="auto"/>
              </w:rPr>
              <w:t>Special revenue bonds</w:t>
            </w:r>
          </w:p>
        </w:tc>
        <w:tc>
          <w:tcPr>
            <w:tcW w:w="400" w:type="dxa"/>
            <w:vAlign w:val="bottom"/>
          </w:tcPr>
          <w:p>
            <w:pPr>
              <w:spacing w:after="0"/>
              <w:rPr>
                <w:sz w:val="20"/>
                <w:szCs w:val="20"/>
                <w:color w:val="auto"/>
              </w:rPr>
            </w:pPr>
          </w:p>
        </w:tc>
        <w:tc>
          <w:tcPr>
            <w:tcW w:w="900" w:type="dxa"/>
            <w:vAlign w:val="bottom"/>
          </w:tcPr>
          <w:p>
            <w:pPr>
              <w:jc w:val="right"/>
              <w:ind w:right="2"/>
              <w:spacing w:after="0"/>
              <w:rPr>
                <w:sz w:val="20"/>
                <w:szCs w:val="20"/>
                <w:color w:val="auto"/>
              </w:rPr>
            </w:pPr>
            <w:r>
              <w:rPr>
                <w:rFonts w:ascii="Arial" w:cs="Arial" w:eastAsia="Arial" w:hAnsi="Arial"/>
                <w:sz w:val="16"/>
                <w:szCs w:val="16"/>
                <w:color w:val="auto"/>
              </w:rPr>
              <w:t>1,325</w:t>
            </w: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1,156</w:t>
            </w:r>
          </w:p>
        </w:tc>
        <w:tc>
          <w:tcPr>
            <w:tcW w:w="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760" w:type="dxa"/>
            <w:vAlign w:val="bottom"/>
          </w:tcPr>
          <w:p>
            <w:pPr>
              <w:jc w:val="right"/>
              <w:ind w:right="2"/>
              <w:spacing w:after="0"/>
              <w:rPr>
                <w:sz w:val="20"/>
                <w:szCs w:val="20"/>
                <w:color w:val="auto"/>
              </w:rPr>
            </w:pPr>
            <w:r>
              <w:rPr>
                <w:rFonts w:ascii="Arial" w:cs="Arial" w:eastAsia="Arial" w:hAnsi="Arial"/>
                <w:sz w:val="16"/>
                <w:szCs w:val="16"/>
                <w:color w:val="auto"/>
              </w:rPr>
              <w:t>1,329</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1,128</w:t>
            </w:r>
          </w:p>
        </w:tc>
      </w:tr>
      <w:tr>
        <w:trPr>
          <w:trHeight w:val="232"/>
        </w:trPr>
        <w:tc>
          <w:tcPr>
            <w:tcW w:w="4220" w:type="dxa"/>
            <w:vAlign w:val="bottom"/>
          </w:tcPr>
          <w:p>
            <w:pPr>
              <w:spacing w:after="0"/>
              <w:rPr>
                <w:sz w:val="20"/>
                <w:szCs w:val="20"/>
                <w:color w:val="auto"/>
              </w:rPr>
            </w:pPr>
            <w:r>
              <w:rPr>
                <w:rFonts w:ascii="Arial" w:cs="Arial" w:eastAsia="Arial" w:hAnsi="Arial"/>
                <w:sz w:val="16"/>
                <w:szCs w:val="16"/>
                <w:color w:val="auto"/>
              </w:rPr>
              <w:t>Certificate participations</w:t>
            </w:r>
          </w:p>
        </w:tc>
        <w:tc>
          <w:tcPr>
            <w:tcW w:w="4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16</w:t>
            </w:r>
          </w:p>
        </w:tc>
        <w:tc>
          <w:tcPr>
            <w:tcW w:w="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w:t>
            </w:r>
          </w:p>
        </w:tc>
        <w:tc>
          <w:tcPr>
            <w:tcW w:w="60" w:type="dxa"/>
            <w:vAlign w:val="bottom"/>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16</w:t>
            </w:r>
          </w:p>
        </w:tc>
        <w:tc>
          <w:tcPr>
            <w:tcW w:w="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w:t>
            </w:r>
          </w:p>
        </w:tc>
      </w:tr>
      <w:tr>
        <w:trPr>
          <w:trHeight w:val="196"/>
        </w:trPr>
        <w:tc>
          <w:tcPr>
            <w:tcW w:w="4220" w:type="dxa"/>
            <w:vAlign w:val="bottom"/>
          </w:tcPr>
          <w:p>
            <w:pPr>
              <w:ind w:left="140"/>
              <w:spacing w:after="0"/>
              <w:rPr>
                <w:sz w:val="20"/>
                <w:szCs w:val="20"/>
                <w:color w:val="auto"/>
              </w:rPr>
            </w:pPr>
            <w:r>
              <w:rPr>
                <w:rFonts w:ascii="Arial" w:cs="Arial" w:eastAsia="Arial" w:hAnsi="Arial"/>
                <w:sz w:val="16"/>
                <w:szCs w:val="16"/>
                <w:b w:val="1"/>
                <w:bCs w:val="1"/>
                <w:color w:val="auto"/>
              </w:rPr>
              <w:t>Total</w:t>
            </w:r>
          </w:p>
        </w:tc>
        <w:tc>
          <w:tcPr>
            <w:tcW w:w="400" w:type="dxa"/>
            <w:vAlign w:val="bottom"/>
          </w:tcPr>
          <w:p>
            <w:pPr>
              <w:jc w:val="right"/>
              <w:ind w:right="202"/>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
              <w:spacing w:after="0"/>
              <w:rPr>
                <w:sz w:val="20"/>
                <w:szCs w:val="20"/>
                <w:color w:val="auto"/>
              </w:rPr>
            </w:pPr>
            <w:r>
              <w:rPr>
                <w:rFonts w:ascii="Arial" w:cs="Arial" w:eastAsia="Arial" w:hAnsi="Arial"/>
                <w:sz w:val="16"/>
                <w:szCs w:val="16"/>
                <w:color w:val="auto"/>
              </w:rPr>
              <w:t>1,562</w:t>
            </w:r>
          </w:p>
        </w:tc>
        <w:tc>
          <w:tcPr>
            <w:tcW w:w="26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1,355</w:t>
            </w:r>
          </w:p>
        </w:tc>
        <w:tc>
          <w:tcPr>
            <w:tcW w:w="600" w:type="dxa"/>
            <w:vAlign w:val="bottom"/>
            <w:gridSpan w:val="2"/>
          </w:tcPr>
          <w:p>
            <w:pPr>
              <w:jc w:val="right"/>
              <w:ind w:right="322"/>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2"/>
              <w:spacing w:after="0"/>
              <w:rPr>
                <w:sz w:val="20"/>
                <w:szCs w:val="20"/>
                <w:color w:val="auto"/>
              </w:rPr>
            </w:pPr>
            <w:r>
              <w:rPr>
                <w:rFonts w:ascii="Arial" w:cs="Arial" w:eastAsia="Arial" w:hAnsi="Arial"/>
                <w:sz w:val="16"/>
                <w:szCs w:val="16"/>
                <w:color w:val="auto"/>
              </w:rPr>
              <w:t>1,592</w:t>
            </w:r>
          </w:p>
        </w:tc>
        <w:tc>
          <w:tcPr>
            <w:tcW w:w="26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1,346</w:t>
            </w:r>
          </w:p>
        </w:tc>
      </w:tr>
      <w:tr>
        <w:trPr>
          <w:trHeight w:val="20"/>
        </w:trPr>
        <w:tc>
          <w:tcPr>
            <w:tcW w:w="42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262890</wp:posOffset>
            </wp:positionH>
            <wp:positionV relativeFrom="paragraph">
              <wp:posOffset>-786765</wp:posOffset>
            </wp:positionV>
            <wp:extent cx="6130290" cy="79375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59">
                      <a:extLst>
                        <a:ext uri="{28A0092B-C50C-407E-A947-70E740481C1C}"/>
                      </a:extLst>
                    </a:blip>
                    <a:srcRect/>
                    <a:stretch>
                      <a:fillRect/>
                    </a:stretch>
                  </pic:blipFill>
                  <pic:spPr bwMode="auto">
                    <a:xfrm>
                      <a:off x="0" y="0"/>
                      <a:ext cx="6130290" cy="793750"/>
                    </a:xfrm>
                    <a:prstGeom prst="rect">
                      <a:avLst/>
                    </a:prstGeom>
                    <a:noFill/>
                  </pic:spPr>
                </pic:pic>
              </a:graphicData>
            </a:graphic>
          </wp:anchor>
        </w:drawing>
      </w:r>
    </w:p>
    <w:p>
      <w:pPr>
        <w:spacing w:after="0" w:line="105" w:lineRule="exact"/>
        <w:rPr>
          <w:sz w:val="20"/>
          <w:szCs w:val="20"/>
          <w:color w:val="auto"/>
        </w:rPr>
      </w:pPr>
    </w:p>
    <w:p>
      <w:pPr>
        <w:jc w:val="both"/>
        <w:ind w:firstLine="353"/>
        <w:spacing w:after="0" w:line="254" w:lineRule="auto"/>
        <w:rPr>
          <w:sz w:val="20"/>
          <w:szCs w:val="20"/>
          <w:color w:val="auto"/>
        </w:rPr>
      </w:pPr>
      <w:r>
        <w:rPr>
          <w:rFonts w:ascii="Arial" w:cs="Arial" w:eastAsia="Arial" w:hAnsi="Arial"/>
          <w:sz w:val="20"/>
          <w:szCs w:val="20"/>
          <w:color w:val="auto"/>
        </w:rPr>
        <w:t>Across all municipal bonds, the largest issuer represented 4% and 5% respectively, of the category and less than 1% of the total portfolio for both December 31, 2025 and 2024, and is rated NAIC 1 as of December 31, 2025. Our focus within municipal bonds is on NAIC 1 rated instruments, with 98% and 97% of our municipal bond exposure rated NAIC 1 as of December 31, 2025 and 2024, respectively.</w:t>
      </w:r>
    </w:p>
    <w:p>
      <w:pPr>
        <w:spacing w:after="0" w:line="5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Mortgage Loans</w:t>
      </w:r>
    </w:p>
    <w:p>
      <w:pPr>
        <w:spacing w:after="0" w:line="128" w:lineRule="exact"/>
        <w:rPr>
          <w:sz w:val="20"/>
          <w:szCs w:val="20"/>
          <w:color w:val="auto"/>
        </w:rPr>
      </w:pPr>
    </w:p>
    <w:p>
      <w:pPr>
        <w:ind w:left="340"/>
        <w:spacing w:after="0"/>
        <w:rPr>
          <w:sz w:val="20"/>
          <w:szCs w:val="20"/>
          <w:color w:val="auto"/>
        </w:rPr>
      </w:pPr>
      <w:r>
        <w:rPr>
          <w:rFonts w:ascii="Arial" w:cs="Arial" w:eastAsia="Arial" w:hAnsi="Arial"/>
          <w:sz w:val="20"/>
          <w:szCs w:val="20"/>
          <w:b w:val="1"/>
          <w:bCs w:val="1"/>
          <w:i w:val="1"/>
          <w:iCs w:val="1"/>
          <w:color w:val="auto"/>
        </w:rPr>
        <w:t>Commercial Mortgage Loans</w:t>
      </w:r>
    </w:p>
    <w:p>
      <w:pPr>
        <w:spacing w:after="0" w:line="125" w:lineRule="exact"/>
        <w:rPr>
          <w:sz w:val="20"/>
          <w:szCs w:val="20"/>
          <w:color w:val="auto"/>
        </w:rPr>
      </w:pPr>
    </w:p>
    <w:p>
      <w:pPr>
        <w:jc w:val="both"/>
        <w:ind w:firstLine="353"/>
        <w:spacing w:after="0" w:line="306" w:lineRule="auto"/>
        <w:rPr>
          <w:sz w:val="20"/>
          <w:szCs w:val="20"/>
          <w:color w:val="auto"/>
        </w:rPr>
      </w:pPr>
      <w:r>
        <w:rPr>
          <w:rFonts w:ascii="Arial" w:cs="Arial" w:eastAsia="Arial" w:hAnsi="Arial"/>
          <w:sz w:val="17"/>
          <w:szCs w:val="17"/>
          <w:color w:val="auto"/>
        </w:rPr>
        <w:t>We diversify our commercial mortgage loans (“CMLs”) portfolio by geographic region and property type to attempt to reduce concentration risk. We continuously evaluate CMLs based on relevant current information to ensure properties are performing at a level to secure the related debt. Loan-to-value (“LTV”) and debt-service coverage (“DSC”) ratios are utilized to assess the risk and quality of CMLs. As of December 31, 2025 and 2024, our mortgage loans on real estate portfolio had a weighted average DSC ratio of 2.3 times and a weighted average LTV ratio of 57% for both periods.</w:t>
      </w:r>
    </w:p>
    <w:p>
      <w:pPr>
        <w:spacing w:after="0" w:line="28" w:lineRule="exact"/>
        <w:rPr>
          <w:sz w:val="20"/>
          <w:szCs w:val="20"/>
          <w:color w:val="auto"/>
        </w:rPr>
      </w:pPr>
    </w:p>
    <w:p>
      <w:pPr>
        <w:jc w:val="both"/>
        <w:ind w:firstLine="353"/>
        <w:spacing w:after="0" w:line="266" w:lineRule="auto"/>
        <w:rPr>
          <w:sz w:val="20"/>
          <w:szCs w:val="20"/>
          <w:color w:val="auto"/>
        </w:rPr>
      </w:pPr>
      <w:r>
        <w:rPr>
          <w:rFonts w:ascii="Arial" w:cs="Arial" w:eastAsia="Arial" w:hAnsi="Arial"/>
          <w:sz w:val="19"/>
          <w:szCs w:val="19"/>
          <w:color w:val="auto"/>
        </w:rPr>
        <w:t xml:space="preserve">We consider a CML delinquent when a loan payment is greater than 30 days past due. For mortgage loans that are determined to require foreclosure, the carrying value is reduced to the fair value of the underlying collateral, net of estimated costs to obtain and sell at the point of foreclosure. As of December 31, 2025 and 2024, we had one CML that was delinquent in principal or interest payments. We had no CMLs in the process of foreclosure as of December 31, 2025 and 2024. See Note D </w:t>
      </w:r>
      <w:r>
        <w:rPr>
          <w:rFonts w:ascii="Arial" w:cs="Arial" w:eastAsia="Arial" w:hAnsi="Arial"/>
          <w:sz w:val="19"/>
          <w:szCs w:val="19"/>
          <w:b w:val="1"/>
          <w:bCs w:val="1"/>
          <w:i w:val="1"/>
          <w:iCs w:val="1"/>
          <w:color w:val="auto"/>
        </w:rPr>
        <w:t xml:space="preserve">Investments </w:t>
      </w:r>
      <w:r>
        <w:rPr>
          <w:rFonts w:ascii="Arial" w:cs="Arial" w:eastAsia="Arial" w:hAnsi="Arial"/>
          <w:sz w:val="19"/>
          <w:szCs w:val="19"/>
          <w:color w:val="auto"/>
        </w:rPr>
        <w:t>to the Consolidated Financial Statements included in this report for additional information on our CMLs, including</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our distribution by property type, geographic region, LTV and DSC ratios.</w:t>
      </w:r>
    </w:p>
    <w:p>
      <w:pPr>
        <w:spacing w:after="0" w:line="54" w:lineRule="exact"/>
        <w:rPr>
          <w:sz w:val="20"/>
          <w:szCs w:val="20"/>
          <w:color w:val="auto"/>
        </w:rPr>
      </w:pPr>
    </w:p>
    <w:p>
      <w:pPr>
        <w:ind w:left="340"/>
        <w:spacing w:after="0"/>
        <w:rPr>
          <w:sz w:val="20"/>
          <w:szCs w:val="20"/>
          <w:color w:val="auto"/>
        </w:rPr>
      </w:pPr>
      <w:r>
        <w:rPr>
          <w:rFonts w:ascii="Arial" w:cs="Arial" w:eastAsia="Arial" w:hAnsi="Arial"/>
          <w:sz w:val="20"/>
          <w:szCs w:val="20"/>
          <w:b w:val="1"/>
          <w:bCs w:val="1"/>
          <w:i w:val="1"/>
          <w:iCs w:val="1"/>
          <w:color w:val="auto"/>
        </w:rPr>
        <w:t>Residential Mortgage Loans</w:t>
      </w:r>
    </w:p>
    <w:p>
      <w:pPr>
        <w:spacing w:after="0" w:line="105" w:lineRule="exact"/>
        <w:rPr>
          <w:sz w:val="20"/>
          <w:szCs w:val="20"/>
          <w:color w:val="auto"/>
        </w:rPr>
      </w:pPr>
    </w:p>
    <w:p>
      <w:pPr>
        <w:jc w:val="both"/>
        <w:ind w:firstLine="353"/>
        <w:spacing w:after="0" w:line="254" w:lineRule="auto"/>
        <w:rPr>
          <w:sz w:val="20"/>
          <w:szCs w:val="20"/>
          <w:color w:val="auto"/>
        </w:rPr>
      </w:pPr>
      <w:r>
        <w:rPr>
          <w:rFonts w:ascii="Arial" w:cs="Arial" w:eastAsia="Arial" w:hAnsi="Arial"/>
          <w:sz w:val="20"/>
          <w:szCs w:val="20"/>
          <w:color w:val="auto"/>
        </w:rPr>
        <w:t>Our residential mortgage loans ("RMLs") are primarily closed end, amortizing loans and 100% of the properties are in the United States. We diversify our RML portfolio by state to attempt to reduce concentration risk. RMLs have a primary credit quality indicator of either a performing or non-performing loan. We define non-performing RMLs as those that are 90 or more days past due and/or in non-accrual status.</w:t>
      </w:r>
    </w:p>
    <w:p>
      <w:pPr>
        <w:spacing w:after="0" w:line="85" w:lineRule="exact"/>
        <w:rPr>
          <w:sz w:val="20"/>
          <w:szCs w:val="20"/>
          <w:color w:val="auto"/>
        </w:rPr>
      </w:pPr>
    </w:p>
    <w:p>
      <w:pPr>
        <w:jc w:val="both"/>
        <w:ind w:firstLine="353"/>
        <w:spacing w:after="0" w:line="254" w:lineRule="auto"/>
        <w:rPr>
          <w:sz w:val="20"/>
          <w:szCs w:val="20"/>
          <w:color w:val="auto"/>
        </w:rPr>
      </w:pPr>
      <w:r>
        <w:rPr>
          <w:rFonts w:ascii="Arial" w:cs="Arial" w:eastAsia="Arial" w:hAnsi="Arial"/>
          <w:sz w:val="20"/>
          <w:szCs w:val="20"/>
          <w:color w:val="auto"/>
        </w:rPr>
        <w:t xml:space="preserve">Loans are placed on non-accrual status when they are over 90 days delinquent. If a loan becomes over 90 days delinquent, it is our general policy to initiate foreclosure proceedings unless a workout arrangement to bring the loan current can be put in place. See Note D </w:t>
      </w:r>
      <w:r>
        <w:rPr>
          <w:rFonts w:ascii="Arial" w:cs="Arial" w:eastAsia="Arial" w:hAnsi="Arial"/>
          <w:sz w:val="20"/>
          <w:szCs w:val="20"/>
          <w:b w:val="1"/>
          <w:bCs w:val="1"/>
          <w:i w:val="1"/>
          <w:iCs w:val="1"/>
          <w:color w:val="auto"/>
        </w:rPr>
        <w:t>Investments</w:t>
      </w:r>
      <w:r>
        <w:rPr>
          <w:rFonts w:ascii="Arial" w:cs="Arial" w:eastAsia="Arial" w:hAnsi="Arial"/>
          <w:sz w:val="20"/>
          <w:szCs w:val="20"/>
          <w:color w:val="auto"/>
        </w:rPr>
        <w:t xml:space="preserve"> to the Consolidated Financial Statements included in this Annual Report for additional information on our RMLs.</w:t>
      </w:r>
    </w:p>
    <w:p>
      <w:pPr>
        <w:sectPr>
          <w:pgSz w:w="11880" w:h="15480" w:orient="portrait"/>
          <w:cols w:equalWidth="0" w:num="1">
            <w:col w:w="10040"/>
          </w:cols>
          <w:pgMar w:left="920" w:top="765"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84</w:t>
      </w:r>
    </w:p>
    <w:p>
      <w:pPr>
        <w:sectPr>
          <w:pgSz w:w="11880" w:h="15480" w:orient="portrait"/>
          <w:cols w:equalWidth="0" w:num="1">
            <w:col w:w="10040"/>
          </w:cols>
          <w:pgMar w:left="920" w:top="765" w:right="920" w:bottom="0" w:gutter="0" w:footer="0" w:header="0"/>
          <w:type w:val="continuous"/>
        </w:sectPr>
      </w:pPr>
    </w:p>
    <w:bookmarkStart w:id="96" w:name="page97"/>
    <w:bookmarkEnd w:id="96"/>
    <w:p>
      <w:pPr>
        <w:spacing w:after="0"/>
        <w:rPr>
          <w:sz w:val="20"/>
          <w:szCs w:val="20"/>
          <w:color w:val="auto"/>
        </w:rPr>
      </w:pPr>
      <w:r>
        <w:rPr>
          <w:rFonts w:ascii="Arial" w:cs="Arial" w:eastAsia="Arial" w:hAnsi="Arial"/>
          <w:sz w:val="20"/>
          <w:szCs w:val="20"/>
          <w:b w:val="1"/>
          <w:bCs w:val="1"/>
          <w:color w:val="auto"/>
        </w:rPr>
        <w:t>Unrealized Losses</w:t>
      </w:r>
    </w:p>
    <w:p>
      <w:pPr>
        <w:spacing w:after="0" w:line="150" w:lineRule="exact"/>
        <w:rPr>
          <w:sz w:val="20"/>
          <w:szCs w:val="20"/>
          <w:color w:val="auto"/>
        </w:rPr>
      </w:pPr>
    </w:p>
    <w:p>
      <w:pPr>
        <w:ind w:firstLine="353"/>
        <w:spacing w:after="0" w:line="271" w:lineRule="auto"/>
        <w:rPr>
          <w:sz w:val="20"/>
          <w:szCs w:val="20"/>
          <w:color w:val="auto"/>
        </w:rPr>
      </w:pPr>
      <w:r>
        <w:rPr>
          <w:rFonts w:ascii="Arial" w:cs="Arial" w:eastAsia="Arial" w:hAnsi="Arial"/>
          <w:sz w:val="20"/>
          <w:szCs w:val="20"/>
          <w:color w:val="auto"/>
        </w:rPr>
        <w:t>The amortized cost and fair value of the fixed maturity securities and the equity securities that were in an unrealized loss position as of December 31, 2025, and 2024, were as follows:</w:t>
      </w:r>
    </w:p>
    <w:p>
      <w:pPr>
        <w:spacing w:after="0" w:line="274" w:lineRule="exact"/>
        <w:rPr>
          <w:sz w:val="20"/>
          <w:szCs w:val="20"/>
          <w:color w:val="auto"/>
        </w:rPr>
      </w:pPr>
    </w:p>
    <w:tbl>
      <w:tblPr>
        <w:tblLayout w:type="fixed"/>
        <w:tblInd w:w="40" w:type="dxa"/>
        <w:tblCellMar>
          <w:top w:w="0" w:type="dxa"/>
          <w:left w:w="0" w:type="dxa"/>
          <w:bottom w:w="0" w:type="dxa"/>
          <w:right w:w="0" w:type="dxa"/>
        </w:tblCellMar>
      </w:tblPr>
      <w:tr>
        <w:trPr>
          <w:trHeight w:val="213"/>
        </w:trPr>
        <w:tc>
          <w:tcPr>
            <w:tcW w:w="4800" w:type="dxa"/>
            <w:vAlign w:val="bottom"/>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160" w:type="dxa"/>
            <w:vAlign w:val="bottom"/>
            <w:tcBorders>
              <w:bottom w:val="single" w:sz="8" w:color="auto"/>
            </w:tcBorders>
            <w:gridSpan w:val="6"/>
          </w:tcPr>
          <w:p>
            <w:pPr>
              <w:jc w:val="center"/>
              <w:ind w:left="582"/>
              <w:spacing w:after="0"/>
              <w:rPr>
                <w:sz w:val="20"/>
                <w:szCs w:val="20"/>
                <w:color w:val="auto"/>
              </w:rPr>
            </w:pPr>
            <w:r>
              <w:rPr>
                <w:rFonts w:ascii="Arial" w:cs="Arial" w:eastAsia="Arial" w:hAnsi="Arial"/>
                <w:sz w:val="16"/>
                <w:szCs w:val="16"/>
                <w:b w:val="1"/>
                <w:bCs w:val="1"/>
                <w:color w:val="auto"/>
                <w:w w:val="87"/>
              </w:rPr>
              <w:t>December 31, 2025</w:t>
            </w:r>
          </w:p>
        </w:tc>
        <w:tc>
          <w:tcPr>
            <w:tcW w:w="7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80"/>
        </w:trPr>
        <w:tc>
          <w:tcPr>
            <w:tcW w:w="48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jc w:val="center"/>
              <w:ind w:right="62"/>
              <w:spacing w:after="0"/>
              <w:rPr>
                <w:sz w:val="20"/>
                <w:szCs w:val="20"/>
                <w:color w:val="auto"/>
              </w:rPr>
            </w:pPr>
            <w:r>
              <w:rPr>
                <w:rFonts w:ascii="Arial" w:cs="Arial" w:eastAsia="Arial" w:hAnsi="Arial"/>
                <w:sz w:val="16"/>
                <w:szCs w:val="16"/>
                <w:b w:val="1"/>
                <w:bCs w:val="1"/>
                <w:color w:val="auto"/>
                <w:w w:val="85"/>
              </w:rPr>
              <w:t>Allowance</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7"/>
        </w:trPr>
        <w:tc>
          <w:tcPr>
            <w:tcW w:w="4800" w:type="dxa"/>
            <w:vAlign w:val="bottom"/>
          </w:tcPr>
          <w:p>
            <w:pPr>
              <w:spacing w:after="0"/>
              <w:rPr>
                <w:sz w:val="13"/>
                <w:szCs w:val="13"/>
                <w:color w:val="auto"/>
              </w:rPr>
            </w:pPr>
          </w:p>
        </w:tc>
        <w:tc>
          <w:tcPr>
            <w:tcW w:w="98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89"/>
              </w:rPr>
              <w:t>Number of</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vMerge w:val="restart"/>
          </w:tcPr>
          <w:p>
            <w:pPr>
              <w:jc w:val="center"/>
              <w:ind w:right="42"/>
              <w:spacing w:after="0"/>
              <w:rPr>
                <w:sz w:val="20"/>
                <w:szCs w:val="20"/>
                <w:color w:val="auto"/>
              </w:rPr>
            </w:pPr>
            <w:r>
              <w:rPr>
                <w:rFonts w:ascii="Arial" w:cs="Arial" w:eastAsia="Arial" w:hAnsi="Arial"/>
                <w:sz w:val="16"/>
                <w:szCs w:val="16"/>
                <w:b w:val="1"/>
                <w:bCs w:val="1"/>
                <w:color w:val="auto"/>
                <w:w w:val="91"/>
              </w:rPr>
              <w:t>Amortized</w:t>
            </w:r>
          </w:p>
        </w:tc>
        <w:tc>
          <w:tcPr>
            <w:tcW w:w="60" w:type="dxa"/>
            <w:vAlign w:val="bottom"/>
          </w:tcPr>
          <w:p>
            <w:pPr>
              <w:spacing w:after="0"/>
              <w:rPr>
                <w:sz w:val="13"/>
                <w:szCs w:val="13"/>
                <w:color w:val="auto"/>
              </w:rPr>
            </w:pPr>
          </w:p>
        </w:tc>
        <w:tc>
          <w:tcPr>
            <w:tcW w:w="1000" w:type="dxa"/>
            <w:vAlign w:val="bottom"/>
            <w:gridSpan w:val="2"/>
          </w:tcPr>
          <w:p>
            <w:pPr>
              <w:jc w:val="center"/>
              <w:spacing w:after="0" w:line="157" w:lineRule="exact"/>
              <w:rPr>
                <w:sz w:val="20"/>
                <w:szCs w:val="20"/>
                <w:color w:val="auto"/>
              </w:rPr>
            </w:pPr>
            <w:r>
              <w:rPr>
                <w:rFonts w:ascii="Arial" w:cs="Arial" w:eastAsia="Arial" w:hAnsi="Arial"/>
                <w:sz w:val="16"/>
                <w:szCs w:val="16"/>
                <w:b w:val="1"/>
                <w:bCs w:val="1"/>
                <w:color w:val="auto"/>
                <w:w w:val="88"/>
              </w:rPr>
              <w:t>for Expected</w:t>
            </w:r>
          </w:p>
        </w:tc>
        <w:tc>
          <w:tcPr>
            <w:tcW w:w="60" w:type="dxa"/>
            <w:vAlign w:val="bottom"/>
          </w:tcPr>
          <w:p>
            <w:pPr>
              <w:spacing w:after="0"/>
              <w:rPr>
                <w:sz w:val="13"/>
                <w:szCs w:val="13"/>
                <w:color w:val="auto"/>
              </w:rPr>
            </w:pPr>
          </w:p>
        </w:tc>
        <w:tc>
          <w:tcPr>
            <w:tcW w:w="980" w:type="dxa"/>
            <w:vAlign w:val="bottom"/>
            <w:gridSpan w:val="2"/>
            <w:vMerge w:val="restart"/>
          </w:tcPr>
          <w:p>
            <w:pPr>
              <w:jc w:val="center"/>
              <w:spacing w:after="0"/>
              <w:rPr>
                <w:sz w:val="20"/>
                <w:szCs w:val="20"/>
                <w:color w:val="auto"/>
              </w:rPr>
            </w:pPr>
            <w:r>
              <w:rPr>
                <w:rFonts w:ascii="Arial" w:cs="Arial" w:eastAsia="Arial" w:hAnsi="Arial"/>
                <w:sz w:val="16"/>
                <w:szCs w:val="16"/>
                <w:b w:val="1"/>
                <w:bCs w:val="1"/>
                <w:color w:val="auto"/>
                <w:w w:val="88"/>
              </w:rPr>
              <w:t>Unrealized</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4800" w:type="dxa"/>
            <w:vAlign w:val="bottom"/>
          </w:tcPr>
          <w:p>
            <w:pPr>
              <w:spacing w:after="0"/>
              <w:rPr>
                <w:sz w:val="13"/>
                <w:szCs w:val="13"/>
                <w:color w:val="auto"/>
              </w:rPr>
            </w:pPr>
          </w:p>
        </w:tc>
        <w:tc>
          <w:tcPr>
            <w:tcW w:w="98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jc w:val="center"/>
              <w:ind w:right="62"/>
              <w:spacing w:after="0" w:line="157" w:lineRule="exact"/>
              <w:rPr>
                <w:sz w:val="20"/>
                <w:szCs w:val="20"/>
                <w:color w:val="auto"/>
              </w:rPr>
            </w:pPr>
            <w:r>
              <w:rPr>
                <w:rFonts w:ascii="Arial" w:cs="Arial" w:eastAsia="Arial" w:hAnsi="Arial"/>
                <w:sz w:val="16"/>
                <w:szCs w:val="16"/>
                <w:b w:val="1"/>
                <w:bCs w:val="1"/>
                <w:color w:val="auto"/>
                <w:w w:val="95"/>
              </w:rPr>
              <w:t>Credit</w:t>
            </w:r>
          </w:p>
        </w:tc>
        <w:tc>
          <w:tcPr>
            <w:tcW w:w="60" w:type="dxa"/>
            <w:vAlign w:val="bottom"/>
          </w:tcPr>
          <w:p>
            <w:pPr>
              <w:spacing w:after="0"/>
              <w:rPr>
                <w:sz w:val="13"/>
                <w:szCs w:val="13"/>
                <w:color w:val="auto"/>
              </w:rPr>
            </w:pPr>
          </w:p>
        </w:tc>
        <w:tc>
          <w:tcPr>
            <w:tcW w:w="98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vMerge w:val="restart"/>
          </w:tcPr>
          <w:p>
            <w:pPr>
              <w:jc w:val="right"/>
              <w:ind w:right="42"/>
              <w:spacing w:after="0"/>
              <w:rPr>
                <w:sz w:val="20"/>
                <w:szCs w:val="20"/>
                <w:color w:val="auto"/>
              </w:rPr>
            </w:pPr>
            <w:r>
              <w:rPr>
                <w:rFonts w:ascii="Arial" w:cs="Arial" w:eastAsia="Arial" w:hAnsi="Arial"/>
                <w:sz w:val="16"/>
                <w:szCs w:val="16"/>
                <w:b w:val="1"/>
                <w:bCs w:val="1"/>
                <w:color w:val="auto"/>
                <w:w w:val="91"/>
              </w:rPr>
              <w:t>Fair Value</w:t>
            </w:r>
          </w:p>
        </w:tc>
        <w:tc>
          <w:tcPr>
            <w:tcW w:w="0" w:type="dxa"/>
            <w:vAlign w:val="bottom"/>
          </w:tcPr>
          <w:p>
            <w:pPr>
              <w:spacing w:after="0"/>
              <w:rPr>
                <w:sz w:val="1"/>
                <w:szCs w:val="1"/>
                <w:color w:val="auto"/>
              </w:rPr>
            </w:pPr>
          </w:p>
        </w:tc>
      </w:tr>
      <w:tr>
        <w:trPr>
          <w:trHeight w:val="210"/>
        </w:trPr>
        <w:tc>
          <w:tcPr>
            <w:tcW w:w="4800" w:type="dxa"/>
            <w:vAlign w:val="bottom"/>
          </w:tcPr>
          <w:p>
            <w:pPr>
              <w:spacing w:after="0"/>
              <w:rPr>
                <w:sz w:val="18"/>
                <w:szCs w:val="18"/>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6"/>
              </w:rPr>
              <w:t>Securities</w:t>
            </w: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center"/>
              <w:ind w:right="62"/>
              <w:spacing w:after="0"/>
              <w:rPr>
                <w:sz w:val="20"/>
                <w:szCs w:val="20"/>
                <w:color w:val="auto"/>
              </w:rPr>
            </w:pPr>
            <w:r>
              <w:rPr>
                <w:rFonts w:ascii="Arial" w:cs="Arial" w:eastAsia="Arial" w:hAnsi="Arial"/>
                <w:sz w:val="16"/>
                <w:szCs w:val="16"/>
                <w:b w:val="1"/>
                <w:bCs w:val="1"/>
                <w:color w:val="auto"/>
                <w:w w:val="84"/>
              </w:rPr>
              <w:t>Cost</w:t>
            </w:r>
          </w:p>
        </w:tc>
        <w:tc>
          <w:tcPr>
            <w:tcW w:w="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center"/>
              <w:ind w:right="62"/>
              <w:spacing w:after="0"/>
              <w:rPr>
                <w:sz w:val="20"/>
                <w:szCs w:val="20"/>
                <w:color w:val="auto"/>
              </w:rPr>
            </w:pPr>
            <w:r>
              <w:rPr>
                <w:rFonts w:ascii="Arial" w:cs="Arial" w:eastAsia="Arial" w:hAnsi="Arial"/>
                <w:sz w:val="16"/>
                <w:szCs w:val="16"/>
                <w:b w:val="1"/>
                <w:bCs w:val="1"/>
                <w:color w:val="auto"/>
                <w:w w:val="79"/>
              </w:rPr>
              <w:t>Losses</w:t>
            </w:r>
          </w:p>
        </w:tc>
        <w:tc>
          <w:tcPr>
            <w:tcW w:w="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center"/>
              <w:ind w:right="102"/>
              <w:spacing w:after="0"/>
              <w:rPr>
                <w:sz w:val="20"/>
                <w:szCs w:val="20"/>
                <w:color w:val="auto"/>
              </w:rPr>
            </w:pPr>
            <w:r>
              <w:rPr>
                <w:rFonts w:ascii="Arial" w:cs="Arial" w:eastAsia="Arial" w:hAnsi="Arial"/>
                <w:sz w:val="16"/>
                <w:szCs w:val="16"/>
                <w:b w:val="1"/>
                <w:bCs w:val="1"/>
                <w:color w:val="auto"/>
                <w:w w:val="79"/>
              </w:rPr>
              <w:t>Losses</w:t>
            </w: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800" w:type="dxa"/>
            <w:vAlign w:val="bottom"/>
          </w:tcPr>
          <w:p>
            <w:pPr>
              <w:spacing w:after="0"/>
              <w:rPr>
                <w:sz w:val="20"/>
                <w:szCs w:val="20"/>
                <w:color w:val="auto"/>
              </w:rPr>
            </w:pPr>
            <w:r>
              <w:rPr>
                <w:rFonts w:ascii="Arial" w:cs="Arial" w:eastAsia="Arial" w:hAnsi="Arial"/>
                <w:sz w:val="16"/>
                <w:szCs w:val="16"/>
                <w:color w:val="auto"/>
              </w:rPr>
              <w:t>Fixed maturity securities, available for sale:</w:t>
            </w: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160" w:type="dxa"/>
            <w:vAlign w:val="bottom"/>
            <w:gridSpan w:val="6"/>
          </w:tcPr>
          <w:p>
            <w:pPr>
              <w:jc w:val="center"/>
              <w:ind w:left="582"/>
              <w:spacing w:after="0"/>
              <w:rPr>
                <w:sz w:val="20"/>
                <w:szCs w:val="20"/>
                <w:color w:val="auto"/>
              </w:rPr>
            </w:pPr>
            <w:r>
              <w:rPr>
                <w:rFonts w:ascii="Arial" w:cs="Arial" w:eastAsia="Arial" w:hAnsi="Arial"/>
                <w:sz w:val="16"/>
                <w:szCs w:val="16"/>
                <w:b w:val="1"/>
                <w:bCs w:val="1"/>
                <w:color w:val="auto"/>
                <w:w w:val="90"/>
              </w:rPr>
              <w:t>(Dollars In millions)</w:t>
            </w: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4800" w:type="dxa"/>
            <w:vAlign w:val="bottom"/>
          </w:tcPr>
          <w:p>
            <w:pPr>
              <w:ind w:left="220"/>
              <w:spacing w:after="0"/>
              <w:rPr>
                <w:sz w:val="20"/>
                <w:szCs w:val="20"/>
                <w:color w:val="auto"/>
              </w:rPr>
            </w:pPr>
            <w:r>
              <w:rPr>
                <w:rFonts w:ascii="Arial" w:cs="Arial" w:eastAsia="Arial" w:hAnsi="Arial"/>
                <w:sz w:val="16"/>
                <w:szCs w:val="16"/>
                <w:color w:val="auto"/>
              </w:rPr>
              <w:t>United States Government full faith and credit</w:t>
            </w:r>
          </w:p>
        </w:tc>
        <w:tc>
          <w:tcPr>
            <w:tcW w:w="980" w:type="dxa"/>
            <w:vAlign w:val="bottom"/>
          </w:tcPr>
          <w:p>
            <w:pPr>
              <w:jc w:val="right"/>
              <w:spacing w:after="0"/>
              <w:rPr>
                <w:sz w:val="20"/>
                <w:szCs w:val="20"/>
                <w:color w:val="auto"/>
              </w:rPr>
            </w:pPr>
            <w:r>
              <w:rPr>
                <w:rFonts w:ascii="Arial" w:cs="Arial" w:eastAsia="Arial" w:hAnsi="Arial"/>
                <w:sz w:val="16"/>
                <w:szCs w:val="16"/>
                <w:color w:val="auto"/>
              </w:rPr>
              <w:t>23</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346</w:t>
            </w: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(2)</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344</w:t>
            </w:r>
          </w:p>
        </w:tc>
        <w:tc>
          <w:tcPr>
            <w:tcW w:w="0" w:type="dxa"/>
            <w:vAlign w:val="bottom"/>
          </w:tcPr>
          <w:p>
            <w:pPr>
              <w:spacing w:after="0"/>
              <w:rPr>
                <w:sz w:val="1"/>
                <w:szCs w:val="1"/>
                <w:color w:val="auto"/>
              </w:rPr>
            </w:pPr>
          </w:p>
        </w:tc>
      </w:tr>
      <w:tr>
        <w:trPr>
          <w:trHeight w:val="250"/>
        </w:trPr>
        <w:tc>
          <w:tcPr>
            <w:tcW w:w="4800" w:type="dxa"/>
            <w:vAlign w:val="bottom"/>
          </w:tcPr>
          <w:p>
            <w:pPr>
              <w:ind w:left="220"/>
              <w:spacing w:after="0"/>
              <w:rPr>
                <w:sz w:val="20"/>
                <w:szCs w:val="20"/>
                <w:color w:val="auto"/>
              </w:rPr>
            </w:pPr>
            <w:r>
              <w:rPr>
                <w:rFonts w:ascii="Arial" w:cs="Arial" w:eastAsia="Arial" w:hAnsi="Arial"/>
                <w:sz w:val="16"/>
                <w:szCs w:val="16"/>
                <w:color w:val="auto"/>
              </w:rPr>
              <w:t>United States Government sponsored agencies</w:t>
            </w:r>
          </w:p>
        </w:tc>
        <w:tc>
          <w:tcPr>
            <w:tcW w:w="980" w:type="dxa"/>
            <w:vAlign w:val="bottom"/>
          </w:tcPr>
          <w:p>
            <w:pPr>
              <w:jc w:val="right"/>
              <w:spacing w:after="0"/>
              <w:rPr>
                <w:sz w:val="20"/>
                <w:szCs w:val="20"/>
                <w:color w:val="auto"/>
              </w:rPr>
            </w:pPr>
            <w:r>
              <w:rPr>
                <w:rFonts w:ascii="Arial" w:cs="Arial" w:eastAsia="Arial" w:hAnsi="Arial"/>
                <w:sz w:val="16"/>
                <w:szCs w:val="16"/>
                <w:color w:val="auto"/>
              </w:rPr>
              <w:t>49</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29</w:t>
            </w: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27</w:t>
            </w:r>
          </w:p>
        </w:tc>
        <w:tc>
          <w:tcPr>
            <w:tcW w:w="0" w:type="dxa"/>
            <w:vAlign w:val="bottom"/>
          </w:tcPr>
          <w:p>
            <w:pPr>
              <w:spacing w:after="0"/>
              <w:rPr>
                <w:sz w:val="1"/>
                <w:szCs w:val="1"/>
                <w:color w:val="auto"/>
              </w:rPr>
            </w:pPr>
          </w:p>
        </w:tc>
      </w:tr>
      <w:tr>
        <w:trPr>
          <w:trHeight w:val="250"/>
        </w:trPr>
        <w:tc>
          <w:tcPr>
            <w:tcW w:w="4800" w:type="dxa"/>
            <w:vAlign w:val="bottom"/>
          </w:tcPr>
          <w:p>
            <w:pPr>
              <w:ind w:left="220"/>
              <w:spacing w:after="0"/>
              <w:rPr>
                <w:sz w:val="20"/>
                <w:szCs w:val="20"/>
                <w:color w:val="auto"/>
              </w:rPr>
            </w:pPr>
            <w:r>
              <w:rPr>
                <w:rFonts w:ascii="Arial" w:cs="Arial" w:eastAsia="Arial" w:hAnsi="Arial"/>
                <w:sz w:val="16"/>
                <w:szCs w:val="16"/>
                <w:color w:val="auto"/>
              </w:rPr>
              <w:t>United States municipalities, states and territories</w:t>
            </w:r>
          </w:p>
        </w:tc>
        <w:tc>
          <w:tcPr>
            <w:tcW w:w="980" w:type="dxa"/>
            <w:vAlign w:val="bottom"/>
          </w:tcPr>
          <w:p>
            <w:pPr>
              <w:jc w:val="right"/>
              <w:spacing w:after="0"/>
              <w:rPr>
                <w:sz w:val="20"/>
                <w:szCs w:val="20"/>
                <w:color w:val="auto"/>
              </w:rPr>
            </w:pPr>
            <w:r>
              <w:rPr>
                <w:rFonts w:ascii="Arial" w:cs="Arial" w:eastAsia="Arial" w:hAnsi="Arial"/>
                <w:sz w:val="16"/>
                <w:szCs w:val="16"/>
                <w:color w:val="auto"/>
              </w:rPr>
              <w:t>174</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1,424</w:t>
            </w: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(211)</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1,213</w:t>
            </w:r>
          </w:p>
        </w:tc>
        <w:tc>
          <w:tcPr>
            <w:tcW w:w="0" w:type="dxa"/>
            <w:vAlign w:val="bottom"/>
          </w:tcPr>
          <w:p>
            <w:pPr>
              <w:spacing w:after="0"/>
              <w:rPr>
                <w:sz w:val="1"/>
                <w:szCs w:val="1"/>
                <w:color w:val="auto"/>
              </w:rPr>
            </w:pPr>
          </w:p>
        </w:tc>
      </w:tr>
      <w:tr>
        <w:trPr>
          <w:trHeight w:val="250"/>
        </w:trPr>
        <w:tc>
          <w:tcPr>
            <w:tcW w:w="4800" w:type="dxa"/>
            <w:vAlign w:val="bottom"/>
          </w:tcPr>
          <w:p>
            <w:pPr>
              <w:ind w:left="140"/>
              <w:spacing w:after="0"/>
              <w:rPr>
                <w:sz w:val="20"/>
                <w:szCs w:val="20"/>
                <w:color w:val="auto"/>
              </w:rPr>
            </w:pPr>
            <w:r>
              <w:rPr>
                <w:rFonts w:ascii="Arial" w:cs="Arial" w:eastAsia="Arial" w:hAnsi="Arial"/>
                <w:sz w:val="16"/>
                <w:szCs w:val="16"/>
                <w:color w:val="auto"/>
              </w:rPr>
              <w:t>Foreign Governments</w:t>
            </w:r>
          </w:p>
        </w:tc>
        <w:tc>
          <w:tcPr>
            <w:tcW w:w="980" w:type="dxa"/>
            <w:vAlign w:val="bottom"/>
          </w:tcPr>
          <w:p>
            <w:pPr>
              <w:jc w:val="right"/>
              <w:spacing w:after="0"/>
              <w:rPr>
                <w:sz w:val="20"/>
                <w:szCs w:val="20"/>
                <w:color w:val="auto"/>
              </w:rPr>
            </w:pPr>
            <w:r>
              <w:rPr>
                <w:rFonts w:ascii="Arial" w:cs="Arial" w:eastAsia="Arial" w:hAnsi="Arial"/>
                <w:sz w:val="16"/>
                <w:szCs w:val="16"/>
                <w:color w:val="auto"/>
              </w:rPr>
              <w:t>38</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188</w:t>
            </w: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(35)</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153</w:t>
            </w:r>
          </w:p>
        </w:tc>
        <w:tc>
          <w:tcPr>
            <w:tcW w:w="0" w:type="dxa"/>
            <w:vAlign w:val="bottom"/>
          </w:tcPr>
          <w:p>
            <w:pPr>
              <w:spacing w:after="0"/>
              <w:rPr>
                <w:sz w:val="1"/>
                <w:szCs w:val="1"/>
                <w:color w:val="auto"/>
              </w:rPr>
            </w:pPr>
          </w:p>
        </w:tc>
      </w:tr>
      <w:tr>
        <w:trPr>
          <w:trHeight w:val="250"/>
        </w:trPr>
        <w:tc>
          <w:tcPr>
            <w:tcW w:w="4800" w:type="dxa"/>
            <w:vAlign w:val="bottom"/>
          </w:tcPr>
          <w:p>
            <w:pPr>
              <w:spacing w:after="0"/>
              <w:rPr>
                <w:sz w:val="20"/>
                <w:szCs w:val="20"/>
                <w:color w:val="auto"/>
              </w:rPr>
            </w:pPr>
            <w:r>
              <w:rPr>
                <w:rFonts w:ascii="Arial" w:cs="Arial" w:eastAsia="Arial" w:hAnsi="Arial"/>
                <w:sz w:val="16"/>
                <w:szCs w:val="16"/>
                <w:color w:val="auto"/>
              </w:rPr>
              <w:t>Corporate securities:</w:t>
            </w:r>
          </w:p>
        </w:tc>
        <w:tc>
          <w:tcPr>
            <w:tcW w:w="9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800" w:type="dxa"/>
            <w:vAlign w:val="bottom"/>
          </w:tcPr>
          <w:p>
            <w:pPr>
              <w:ind w:left="220"/>
              <w:spacing w:after="0"/>
              <w:rPr>
                <w:sz w:val="20"/>
                <w:szCs w:val="20"/>
                <w:color w:val="auto"/>
              </w:rPr>
            </w:pPr>
            <w:r>
              <w:rPr>
                <w:rFonts w:ascii="Arial" w:cs="Arial" w:eastAsia="Arial" w:hAnsi="Arial"/>
                <w:sz w:val="16"/>
                <w:szCs w:val="16"/>
                <w:color w:val="auto"/>
              </w:rPr>
              <w:t>Finance, insurance and real estate</w:t>
            </w:r>
          </w:p>
        </w:tc>
        <w:tc>
          <w:tcPr>
            <w:tcW w:w="980" w:type="dxa"/>
            <w:vAlign w:val="bottom"/>
          </w:tcPr>
          <w:p>
            <w:pPr>
              <w:jc w:val="right"/>
              <w:spacing w:after="0"/>
              <w:rPr>
                <w:sz w:val="20"/>
                <w:szCs w:val="20"/>
                <w:color w:val="auto"/>
              </w:rPr>
            </w:pPr>
            <w:r>
              <w:rPr>
                <w:rFonts w:ascii="Arial" w:cs="Arial" w:eastAsia="Arial" w:hAnsi="Arial"/>
                <w:sz w:val="16"/>
                <w:szCs w:val="16"/>
                <w:color w:val="auto"/>
              </w:rPr>
              <w:t>719</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4,854</w:t>
            </w: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(17)</w:t>
            </w: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(514)</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4,323</w:t>
            </w:r>
          </w:p>
        </w:tc>
        <w:tc>
          <w:tcPr>
            <w:tcW w:w="0" w:type="dxa"/>
            <w:vAlign w:val="bottom"/>
          </w:tcPr>
          <w:p>
            <w:pPr>
              <w:spacing w:after="0"/>
              <w:rPr>
                <w:sz w:val="1"/>
                <w:szCs w:val="1"/>
                <w:color w:val="auto"/>
              </w:rPr>
            </w:pPr>
          </w:p>
        </w:tc>
      </w:tr>
      <w:tr>
        <w:trPr>
          <w:trHeight w:val="250"/>
        </w:trPr>
        <w:tc>
          <w:tcPr>
            <w:tcW w:w="4800" w:type="dxa"/>
            <w:vAlign w:val="bottom"/>
          </w:tcPr>
          <w:p>
            <w:pPr>
              <w:ind w:left="220"/>
              <w:spacing w:after="0"/>
              <w:rPr>
                <w:sz w:val="20"/>
                <w:szCs w:val="20"/>
                <w:color w:val="auto"/>
              </w:rPr>
            </w:pPr>
            <w:r>
              <w:rPr>
                <w:rFonts w:ascii="Arial" w:cs="Arial" w:eastAsia="Arial" w:hAnsi="Arial"/>
                <w:sz w:val="16"/>
                <w:szCs w:val="16"/>
                <w:color w:val="auto"/>
              </w:rPr>
              <w:t>Manufacturing, construction and mining</w:t>
            </w:r>
          </w:p>
        </w:tc>
        <w:tc>
          <w:tcPr>
            <w:tcW w:w="980" w:type="dxa"/>
            <w:vAlign w:val="bottom"/>
          </w:tcPr>
          <w:p>
            <w:pPr>
              <w:jc w:val="right"/>
              <w:spacing w:after="0"/>
              <w:rPr>
                <w:sz w:val="20"/>
                <w:szCs w:val="20"/>
                <w:color w:val="auto"/>
              </w:rPr>
            </w:pPr>
            <w:r>
              <w:rPr>
                <w:rFonts w:ascii="Arial" w:cs="Arial" w:eastAsia="Arial" w:hAnsi="Arial"/>
                <w:sz w:val="16"/>
                <w:szCs w:val="16"/>
                <w:color w:val="auto"/>
              </w:rPr>
              <w:t>169</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993</w:t>
            </w: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(124)</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869</w:t>
            </w:r>
          </w:p>
        </w:tc>
        <w:tc>
          <w:tcPr>
            <w:tcW w:w="0" w:type="dxa"/>
            <w:vAlign w:val="bottom"/>
          </w:tcPr>
          <w:p>
            <w:pPr>
              <w:spacing w:after="0"/>
              <w:rPr>
                <w:sz w:val="1"/>
                <w:szCs w:val="1"/>
                <w:color w:val="auto"/>
              </w:rPr>
            </w:pPr>
          </w:p>
        </w:tc>
      </w:tr>
      <w:tr>
        <w:trPr>
          <w:trHeight w:val="250"/>
        </w:trPr>
        <w:tc>
          <w:tcPr>
            <w:tcW w:w="4800" w:type="dxa"/>
            <w:vAlign w:val="bottom"/>
          </w:tcPr>
          <w:p>
            <w:pPr>
              <w:ind w:left="220"/>
              <w:spacing w:after="0"/>
              <w:rPr>
                <w:sz w:val="20"/>
                <w:szCs w:val="20"/>
                <w:color w:val="auto"/>
              </w:rPr>
            </w:pPr>
            <w:r>
              <w:rPr>
                <w:rFonts w:ascii="Arial" w:cs="Arial" w:eastAsia="Arial" w:hAnsi="Arial"/>
                <w:sz w:val="16"/>
                <w:szCs w:val="16"/>
                <w:color w:val="auto"/>
              </w:rPr>
              <w:t>Utilities, energy and related sectors</w:t>
            </w:r>
          </w:p>
        </w:tc>
        <w:tc>
          <w:tcPr>
            <w:tcW w:w="980" w:type="dxa"/>
            <w:vAlign w:val="bottom"/>
          </w:tcPr>
          <w:p>
            <w:pPr>
              <w:jc w:val="right"/>
              <w:spacing w:after="0"/>
              <w:rPr>
                <w:sz w:val="20"/>
                <w:szCs w:val="20"/>
                <w:color w:val="auto"/>
              </w:rPr>
            </w:pPr>
            <w:r>
              <w:rPr>
                <w:rFonts w:ascii="Arial" w:cs="Arial" w:eastAsia="Arial" w:hAnsi="Arial"/>
                <w:sz w:val="16"/>
                <w:szCs w:val="16"/>
                <w:color w:val="auto"/>
              </w:rPr>
              <w:t>561</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2,740</w:t>
            </w: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(464)</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2,276</w:t>
            </w:r>
          </w:p>
        </w:tc>
        <w:tc>
          <w:tcPr>
            <w:tcW w:w="0" w:type="dxa"/>
            <w:vAlign w:val="bottom"/>
          </w:tcPr>
          <w:p>
            <w:pPr>
              <w:spacing w:after="0"/>
              <w:rPr>
                <w:sz w:val="1"/>
                <w:szCs w:val="1"/>
                <w:color w:val="auto"/>
              </w:rPr>
            </w:pPr>
          </w:p>
        </w:tc>
      </w:tr>
      <w:tr>
        <w:trPr>
          <w:trHeight w:val="250"/>
        </w:trPr>
        <w:tc>
          <w:tcPr>
            <w:tcW w:w="4800" w:type="dxa"/>
            <w:vAlign w:val="bottom"/>
          </w:tcPr>
          <w:p>
            <w:pPr>
              <w:ind w:left="220"/>
              <w:spacing w:after="0"/>
              <w:rPr>
                <w:sz w:val="20"/>
                <w:szCs w:val="20"/>
                <w:color w:val="auto"/>
              </w:rPr>
            </w:pPr>
            <w:r>
              <w:rPr>
                <w:rFonts w:ascii="Arial" w:cs="Arial" w:eastAsia="Arial" w:hAnsi="Arial"/>
                <w:sz w:val="16"/>
                <w:szCs w:val="16"/>
                <w:color w:val="auto"/>
              </w:rPr>
              <w:t>Wholesale/retail trade</w:t>
            </w:r>
          </w:p>
        </w:tc>
        <w:tc>
          <w:tcPr>
            <w:tcW w:w="980" w:type="dxa"/>
            <w:vAlign w:val="bottom"/>
          </w:tcPr>
          <w:p>
            <w:pPr>
              <w:jc w:val="right"/>
              <w:spacing w:after="0"/>
              <w:rPr>
                <w:sz w:val="20"/>
                <w:szCs w:val="20"/>
                <w:color w:val="auto"/>
              </w:rPr>
            </w:pPr>
            <w:r>
              <w:rPr>
                <w:rFonts w:ascii="Arial" w:cs="Arial" w:eastAsia="Arial" w:hAnsi="Arial"/>
                <w:sz w:val="16"/>
                <w:szCs w:val="16"/>
                <w:color w:val="auto"/>
              </w:rPr>
              <w:t>546</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2,613</w:t>
            </w: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(438)</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2,175</w:t>
            </w:r>
          </w:p>
        </w:tc>
        <w:tc>
          <w:tcPr>
            <w:tcW w:w="0" w:type="dxa"/>
            <w:vAlign w:val="bottom"/>
          </w:tcPr>
          <w:p>
            <w:pPr>
              <w:spacing w:after="0"/>
              <w:rPr>
                <w:sz w:val="1"/>
                <w:szCs w:val="1"/>
                <w:color w:val="auto"/>
              </w:rPr>
            </w:pPr>
          </w:p>
        </w:tc>
      </w:tr>
      <w:tr>
        <w:trPr>
          <w:trHeight w:val="250"/>
        </w:trPr>
        <w:tc>
          <w:tcPr>
            <w:tcW w:w="4800" w:type="dxa"/>
            <w:vAlign w:val="bottom"/>
          </w:tcPr>
          <w:p>
            <w:pPr>
              <w:ind w:left="220"/>
              <w:spacing w:after="0"/>
              <w:rPr>
                <w:sz w:val="20"/>
                <w:szCs w:val="20"/>
                <w:color w:val="auto"/>
              </w:rPr>
            </w:pPr>
            <w:r>
              <w:rPr>
                <w:rFonts w:ascii="Arial" w:cs="Arial" w:eastAsia="Arial" w:hAnsi="Arial"/>
                <w:sz w:val="16"/>
                <w:szCs w:val="16"/>
                <w:color w:val="auto"/>
              </w:rPr>
              <w:t>Services, media and other</w:t>
            </w:r>
          </w:p>
        </w:tc>
        <w:tc>
          <w:tcPr>
            <w:tcW w:w="980" w:type="dxa"/>
            <w:vAlign w:val="bottom"/>
          </w:tcPr>
          <w:p>
            <w:pPr>
              <w:jc w:val="right"/>
              <w:spacing w:after="0"/>
              <w:rPr>
                <w:sz w:val="20"/>
                <w:szCs w:val="20"/>
                <w:color w:val="auto"/>
              </w:rPr>
            </w:pPr>
            <w:r>
              <w:rPr>
                <w:rFonts w:ascii="Arial" w:cs="Arial" w:eastAsia="Arial" w:hAnsi="Arial"/>
                <w:sz w:val="16"/>
                <w:szCs w:val="16"/>
                <w:color w:val="auto"/>
              </w:rPr>
              <w:t>707</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4,265</w:t>
            </w: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(816)</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3,449</w:t>
            </w:r>
          </w:p>
        </w:tc>
        <w:tc>
          <w:tcPr>
            <w:tcW w:w="0" w:type="dxa"/>
            <w:vAlign w:val="bottom"/>
          </w:tcPr>
          <w:p>
            <w:pPr>
              <w:spacing w:after="0"/>
              <w:rPr>
                <w:sz w:val="1"/>
                <w:szCs w:val="1"/>
                <w:color w:val="auto"/>
              </w:rPr>
            </w:pPr>
          </w:p>
        </w:tc>
      </w:tr>
      <w:tr>
        <w:trPr>
          <w:trHeight w:val="250"/>
        </w:trPr>
        <w:tc>
          <w:tcPr>
            <w:tcW w:w="4800" w:type="dxa"/>
            <w:vAlign w:val="bottom"/>
          </w:tcPr>
          <w:p>
            <w:pPr>
              <w:spacing w:after="0"/>
              <w:rPr>
                <w:sz w:val="20"/>
                <w:szCs w:val="20"/>
                <w:color w:val="auto"/>
              </w:rPr>
            </w:pPr>
            <w:r>
              <w:rPr>
                <w:rFonts w:ascii="Arial" w:cs="Arial" w:eastAsia="Arial" w:hAnsi="Arial"/>
                <w:sz w:val="16"/>
                <w:szCs w:val="16"/>
                <w:color w:val="auto"/>
              </w:rPr>
              <w:t>Hybrid securities</w:t>
            </w:r>
          </w:p>
        </w:tc>
        <w:tc>
          <w:tcPr>
            <w:tcW w:w="980" w:type="dxa"/>
            <w:vAlign w:val="bottom"/>
          </w:tcPr>
          <w:p>
            <w:pPr>
              <w:jc w:val="right"/>
              <w:spacing w:after="0"/>
              <w:rPr>
                <w:sz w:val="20"/>
                <w:szCs w:val="20"/>
                <w:color w:val="auto"/>
              </w:rPr>
            </w:pPr>
            <w:r>
              <w:rPr>
                <w:rFonts w:ascii="Arial" w:cs="Arial" w:eastAsia="Arial" w:hAnsi="Arial"/>
                <w:sz w:val="16"/>
                <w:szCs w:val="16"/>
                <w:color w:val="auto"/>
              </w:rPr>
              <w:t>40</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456</w:t>
            </w: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(22)</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434</w:t>
            </w:r>
          </w:p>
        </w:tc>
        <w:tc>
          <w:tcPr>
            <w:tcW w:w="0" w:type="dxa"/>
            <w:vAlign w:val="bottom"/>
          </w:tcPr>
          <w:p>
            <w:pPr>
              <w:spacing w:after="0"/>
              <w:rPr>
                <w:sz w:val="1"/>
                <w:szCs w:val="1"/>
                <w:color w:val="auto"/>
              </w:rPr>
            </w:pPr>
          </w:p>
        </w:tc>
      </w:tr>
      <w:tr>
        <w:trPr>
          <w:trHeight w:val="250"/>
        </w:trPr>
        <w:tc>
          <w:tcPr>
            <w:tcW w:w="4800" w:type="dxa"/>
            <w:vAlign w:val="bottom"/>
          </w:tcPr>
          <w:p>
            <w:pPr>
              <w:spacing w:after="0"/>
              <w:rPr>
                <w:sz w:val="20"/>
                <w:szCs w:val="20"/>
                <w:color w:val="auto"/>
              </w:rPr>
            </w:pPr>
            <w:r>
              <w:rPr>
                <w:rFonts w:ascii="Arial" w:cs="Arial" w:eastAsia="Arial" w:hAnsi="Arial"/>
                <w:sz w:val="16"/>
                <w:szCs w:val="16"/>
                <w:color w:val="auto"/>
              </w:rPr>
              <w:t>Non-agency residential mortgage-backed securities</w:t>
            </w:r>
          </w:p>
        </w:tc>
        <w:tc>
          <w:tcPr>
            <w:tcW w:w="980" w:type="dxa"/>
            <w:vAlign w:val="bottom"/>
          </w:tcPr>
          <w:p>
            <w:pPr>
              <w:jc w:val="right"/>
              <w:spacing w:after="0"/>
              <w:rPr>
                <w:sz w:val="20"/>
                <w:szCs w:val="20"/>
                <w:color w:val="auto"/>
              </w:rPr>
            </w:pPr>
            <w:r>
              <w:rPr>
                <w:rFonts w:ascii="Arial" w:cs="Arial" w:eastAsia="Arial" w:hAnsi="Arial"/>
                <w:sz w:val="16"/>
                <w:szCs w:val="16"/>
                <w:color w:val="auto"/>
              </w:rPr>
              <w:t>193</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652</w:t>
            </w: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w:t>
            </w: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(68)</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583</w:t>
            </w:r>
          </w:p>
        </w:tc>
        <w:tc>
          <w:tcPr>
            <w:tcW w:w="0" w:type="dxa"/>
            <w:vAlign w:val="bottom"/>
          </w:tcPr>
          <w:p>
            <w:pPr>
              <w:spacing w:after="0"/>
              <w:rPr>
                <w:sz w:val="1"/>
                <w:szCs w:val="1"/>
                <w:color w:val="auto"/>
              </w:rPr>
            </w:pPr>
          </w:p>
        </w:tc>
      </w:tr>
      <w:tr>
        <w:trPr>
          <w:trHeight w:val="250"/>
        </w:trPr>
        <w:tc>
          <w:tcPr>
            <w:tcW w:w="4800" w:type="dxa"/>
            <w:vAlign w:val="bottom"/>
          </w:tcPr>
          <w:p>
            <w:pPr>
              <w:spacing w:after="0"/>
              <w:rPr>
                <w:sz w:val="20"/>
                <w:szCs w:val="20"/>
                <w:color w:val="auto"/>
              </w:rPr>
            </w:pPr>
            <w:r>
              <w:rPr>
                <w:rFonts w:ascii="Arial" w:cs="Arial" w:eastAsia="Arial" w:hAnsi="Arial"/>
                <w:sz w:val="16"/>
                <w:szCs w:val="16"/>
                <w:color w:val="auto"/>
              </w:rPr>
              <w:t>Commercial mortgage-backed securities</w:t>
            </w:r>
          </w:p>
        </w:tc>
        <w:tc>
          <w:tcPr>
            <w:tcW w:w="980" w:type="dxa"/>
            <w:vAlign w:val="bottom"/>
          </w:tcPr>
          <w:p>
            <w:pPr>
              <w:jc w:val="right"/>
              <w:spacing w:after="0"/>
              <w:rPr>
                <w:sz w:val="20"/>
                <w:szCs w:val="20"/>
                <w:color w:val="auto"/>
              </w:rPr>
            </w:pPr>
            <w:r>
              <w:rPr>
                <w:rFonts w:ascii="Arial" w:cs="Arial" w:eastAsia="Arial" w:hAnsi="Arial"/>
                <w:sz w:val="16"/>
                <w:szCs w:val="16"/>
                <w:color w:val="auto"/>
              </w:rPr>
              <w:t>267</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1,942</w:t>
            </w: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(59)</w:t>
            </w: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(139)</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1,744</w:t>
            </w:r>
          </w:p>
        </w:tc>
        <w:tc>
          <w:tcPr>
            <w:tcW w:w="0" w:type="dxa"/>
            <w:vAlign w:val="bottom"/>
          </w:tcPr>
          <w:p>
            <w:pPr>
              <w:spacing w:after="0"/>
              <w:rPr>
                <w:sz w:val="1"/>
                <w:szCs w:val="1"/>
                <w:color w:val="auto"/>
              </w:rPr>
            </w:pPr>
          </w:p>
        </w:tc>
      </w:tr>
      <w:tr>
        <w:trPr>
          <w:trHeight w:val="257"/>
        </w:trPr>
        <w:tc>
          <w:tcPr>
            <w:tcW w:w="4800" w:type="dxa"/>
            <w:vAlign w:val="bottom"/>
          </w:tcPr>
          <w:p>
            <w:pPr>
              <w:spacing w:after="0"/>
              <w:rPr>
                <w:sz w:val="20"/>
                <w:szCs w:val="20"/>
                <w:color w:val="auto"/>
              </w:rPr>
            </w:pPr>
            <w:r>
              <w:rPr>
                <w:rFonts w:ascii="Arial" w:cs="Arial" w:eastAsia="Arial" w:hAnsi="Arial"/>
                <w:sz w:val="16"/>
                <w:szCs w:val="16"/>
                <w:color w:val="auto"/>
              </w:rPr>
              <w:t>Asset-backed securities</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569</w:t>
            </w:r>
          </w:p>
        </w:tc>
        <w:tc>
          <w:tcPr>
            <w:tcW w:w="8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7,231</w:t>
            </w:r>
          </w:p>
        </w:tc>
        <w:tc>
          <w:tcPr>
            <w:tcW w:w="6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w:t>
            </w:r>
          </w:p>
        </w:tc>
        <w:tc>
          <w:tcPr>
            <w:tcW w:w="6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(256)</w:t>
            </w:r>
          </w:p>
        </w:tc>
        <w:tc>
          <w:tcPr>
            <w:tcW w:w="8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6,952</w:t>
            </w:r>
          </w:p>
        </w:tc>
        <w:tc>
          <w:tcPr>
            <w:tcW w:w="0" w:type="dxa"/>
            <w:vAlign w:val="bottom"/>
          </w:tcPr>
          <w:p>
            <w:pPr>
              <w:spacing w:after="0"/>
              <w:rPr>
                <w:sz w:val="1"/>
                <w:szCs w:val="1"/>
                <w:color w:val="auto"/>
              </w:rPr>
            </w:pPr>
          </w:p>
        </w:tc>
      </w:tr>
      <w:tr>
        <w:trPr>
          <w:trHeight w:val="223"/>
        </w:trPr>
        <w:tc>
          <w:tcPr>
            <w:tcW w:w="4800" w:type="dxa"/>
            <w:vAlign w:val="bottom"/>
          </w:tcPr>
          <w:p>
            <w:pPr>
              <w:ind w:left="140"/>
              <w:spacing w:after="0"/>
              <w:rPr>
                <w:sz w:val="20"/>
                <w:szCs w:val="20"/>
                <w:color w:val="auto"/>
              </w:rPr>
            </w:pPr>
            <w:r>
              <w:rPr>
                <w:rFonts w:ascii="Arial" w:cs="Arial" w:eastAsia="Arial" w:hAnsi="Arial"/>
                <w:sz w:val="16"/>
                <w:szCs w:val="16"/>
                <w:b w:val="1"/>
                <w:bCs w:val="1"/>
                <w:color w:val="auto"/>
              </w:rPr>
              <w:t>Total fixed maturity available for sale securities</w:t>
            </w:r>
          </w:p>
        </w:tc>
        <w:tc>
          <w:tcPr>
            <w:tcW w:w="980" w:type="dxa"/>
            <w:vAlign w:val="bottom"/>
          </w:tcPr>
          <w:p>
            <w:pPr>
              <w:jc w:val="right"/>
              <w:spacing w:after="0"/>
              <w:rPr>
                <w:sz w:val="20"/>
                <w:szCs w:val="20"/>
                <w:color w:val="auto"/>
              </w:rPr>
            </w:pPr>
            <w:r>
              <w:rPr>
                <w:rFonts w:ascii="Arial" w:cs="Arial" w:eastAsia="Arial" w:hAnsi="Arial"/>
                <w:sz w:val="16"/>
                <w:szCs w:val="16"/>
                <w:color w:val="auto"/>
              </w:rPr>
              <w:t>4,055</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27,733</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(100)</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(3,091)</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24,542</w:t>
            </w:r>
          </w:p>
        </w:tc>
        <w:tc>
          <w:tcPr>
            <w:tcW w:w="0" w:type="dxa"/>
            <w:vAlign w:val="bottom"/>
          </w:tcPr>
          <w:p>
            <w:pPr>
              <w:spacing w:after="0"/>
              <w:rPr>
                <w:sz w:val="1"/>
                <w:szCs w:val="1"/>
                <w:color w:val="auto"/>
              </w:rPr>
            </w:pPr>
          </w:p>
        </w:tc>
      </w:tr>
      <w:tr>
        <w:trPr>
          <w:trHeight w:val="257"/>
        </w:trPr>
        <w:tc>
          <w:tcPr>
            <w:tcW w:w="4800" w:type="dxa"/>
            <w:vAlign w:val="bottom"/>
          </w:tcPr>
          <w:p>
            <w:pPr>
              <w:spacing w:after="0"/>
              <w:rPr>
                <w:sz w:val="20"/>
                <w:szCs w:val="20"/>
                <w:color w:val="auto"/>
              </w:rPr>
            </w:pPr>
            <w:r>
              <w:rPr>
                <w:rFonts w:ascii="Arial" w:cs="Arial" w:eastAsia="Arial" w:hAnsi="Arial"/>
                <w:sz w:val="16"/>
                <w:szCs w:val="16"/>
                <w:color w:val="auto"/>
              </w:rPr>
              <w:t>Equity securities</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w:t>
            </w:r>
          </w:p>
        </w:tc>
        <w:tc>
          <w:tcPr>
            <w:tcW w:w="8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304</w:t>
            </w:r>
          </w:p>
        </w:tc>
        <w:tc>
          <w:tcPr>
            <w:tcW w:w="6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(89)</w:t>
            </w:r>
          </w:p>
        </w:tc>
        <w:tc>
          <w:tcPr>
            <w:tcW w:w="8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215</w:t>
            </w:r>
          </w:p>
        </w:tc>
        <w:tc>
          <w:tcPr>
            <w:tcW w:w="0" w:type="dxa"/>
            <w:vAlign w:val="bottom"/>
          </w:tcPr>
          <w:p>
            <w:pPr>
              <w:spacing w:after="0"/>
              <w:rPr>
                <w:sz w:val="1"/>
                <w:szCs w:val="1"/>
                <w:color w:val="auto"/>
              </w:rPr>
            </w:pPr>
          </w:p>
        </w:tc>
      </w:tr>
      <w:tr>
        <w:trPr>
          <w:trHeight w:val="210"/>
        </w:trPr>
        <w:tc>
          <w:tcPr>
            <w:tcW w:w="4800" w:type="dxa"/>
            <w:vAlign w:val="bottom"/>
          </w:tcPr>
          <w:p>
            <w:pPr>
              <w:ind w:left="140"/>
              <w:spacing w:after="0"/>
              <w:rPr>
                <w:sz w:val="20"/>
                <w:szCs w:val="20"/>
                <w:color w:val="auto"/>
              </w:rPr>
            </w:pPr>
            <w:r>
              <w:rPr>
                <w:rFonts w:ascii="Arial" w:cs="Arial" w:eastAsia="Arial" w:hAnsi="Arial"/>
                <w:sz w:val="16"/>
                <w:szCs w:val="16"/>
                <w:b w:val="1"/>
                <w:bCs w:val="1"/>
                <w:color w:val="auto"/>
              </w:rPr>
              <w:t>Total investments</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4,078</w:t>
            </w:r>
          </w:p>
        </w:tc>
        <w:tc>
          <w:tcPr>
            <w:tcW w:w="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28,037</w:t>
            </w:r>
          </w:p>
        </w:tc>
        <w:tc>
          <w:tcPr>
            <w:tcW w:w="6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w:t>
            </w:r>
          </w:p>
        </w:tc>
        <w:tc>
          <w:tcPr>
            <w:tcW w:w="60" w:type="dxa"/>
            <w:vAlign w:val="bottom"/>
          </w:tcPr>
          <w:p>
            <w:pPr>
              <w:spacing w:after="0"/>
              <w:rPr>
                <w:sz w:val="18"/>
                <w:szCs w:val="18"/>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(3,180)</w:t>
            </w:r>
          </w:p>
        </w:tc>
        <w:tc>
          <w:tcPr>
            <w:tcW w:w="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24,757</w:t>
            </w: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9"/>
        </w:trPr>
        <w:tc>
          <w:tcPr>
            <w:tcW w:w="4800" w:type="dxa"/>
            <w:vAlign w:val="bottom"/>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gridSpan w:val="6"/>
          </w:tcPr>
          <w:p>
            <w:pPr>
              <w:jc w:val="center"/>
              <w:ind w:left="582"/>
              <w:spacing w:after="0"/>
              <w:rPr>
                <w:sz w:val="20"/>
                <w:szCs w:val="20"/>
                <w:color w:val="auto"/>
              </w:rPr>
            </w:pPr>
            <w:r>
              <w:rPr>
                <w:rFonts w:ascii="Arial" w:cs="Arial" w:eastAsia="Arial" w:hAnsi="Arial"/>
                <w:sz w:val="16"/>
                <w:szCs w:val="16"/>
                <w:b w:val="1"/>
                <w:bCs w:val="1"/>
                <w:color w:val="auto"/>
                <w:w w:val="87"/>
              </w:rPr>
              <w:t>December 31, 2024</w:t>
            </w:r>
          </w:p>
        </w:tc>
        <w:tc>
          <w:tcPr>
            <w:tcW w:w="7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7"/>
        </w:trPr>
        <w:tc>
          <w:tcPr>
            <w:tcW w:w="48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jc w:val="center"/>
              <w:ind w:right="62"/>
              <w:spacing w:after="0" w:line="177" w:lineRule="exact"/>
              <w:rPr>
                <w:sz w:val="20"/>
                <w:szCs w:val="20"/>
                <w:color w:val="auto"/>
              </w:rPr>
            </w:pPr>
            <w:r>
              <w:rPr>
                <w:rFonts w:ascii="Arial" w:cs="Arial" w:eastAsia="Arial" w:hAnsi="Arial"/>
                <w:sz w:val="16"/>
                <w:szCs w:val="16"/>
                <w:b w:val="1"/>
                <w:bCs w:val="1"/>
                <w:color w:val="auto"/>
                <w:w w:val="85"/>
              </w:rPr>
              <w:t>Allowance</w:t>
            </w: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7"/>
        </w:trPr>
        <w:tc>
          <w:tcPr>
            <w:tcW w:w="4800" w:type="dxa"/>
            <w:vAlign w:val="bottom"/>
          </w:tcPr>
          <w:p>
            <w:pPr>
              <w:spacing w:after="0"/>
              <w:rPr>
                <w:sz w:val="13"/>
                <w:szCs w:val="13"/>
                <w:color w:val="auto"/>
              </w:rPr>
            </w:pPr>
          </w:p>
        </w:tc>
        <w:tc>
          <w:tcPr>
            <w:tcW w:w="98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89"/>
              </w:rPr>
              <w:t>Number of</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vMerge w:val="restart"/>
          </w:tcPr>
          <w:p>
            <w:pPr>
              <w:jc w:val="center"/>
              <w:ind w:right="42"/>
              <w:spacing w:after="0"/>
              <w:rPr>
                <w:sz w:val="20"/>
                <w:szCs w:val="20"/>
                <w:color w:val="auto"/>
              </w:rPr>
            </w:pPr>
            <w:r>
              <w:rPr>
                <w:rFonts w:ascii="Arial" w:cs="Arial" w:eastAsia="Arial" w:hAnsi="Arial"/>
                <w:sz w:val="16"/>
                <w:szCs w:val="16"/>
                <w:b w:val="1"/>
                <w:bCs w:val="1"/>
                <w:color w:val="auto"/>
                <w:w w:val="91"/>
              </w:rPr>
              <w:t>Amortized</w:t>
            </w:r>
          </w:p>
        </w:tc>
        <w:tc>
          <w:tcPr>
            <w:tcW w:w="60" w:type="dxa"/>
            <w:vAlign w:val="bottom"/>
          </w:tcPr>
          <w:p>
            <w:pPr>
              <w:spacing w:after="0"/>
              <w:rPr>
                <w:sz w:val="13"/>
                <w:szCs w:val="13"/>
                <w:color w:val="auto"/>
              </w:rPr>
            </w:pPr>
          </w:p>
        </w:tc>
        <w:tc>
          <w:tcPr>
            <w:tcW w:w="1000" w:type="dxa"/>
            <w:vAlign w:val="bottom"/>
            <w:gridSpan w:val="2"/>
          </w:tcPr>
          <w:p>
            <w:pPr>
              <w:jc w:val="center"/>
              <w:spacing w:after="0" w:line="157" w:lineRule="exact"/>
              <w:rPr>
                <w:sz w:val="20"/>
                <w:szCs w:val="20"/>
                <w:color w:val="auto"/>
              </w:rPr>
            </w:pPr>
            <w:r>
              <w:rPr>
                <w:rFonts w:ascii="Arial" w:cs="Arial" w:eastAsia="Arial" w:hAnsi="Arial"/>
                <w:sz w:val="16"/>
                <w:szCs w:val="16"/>
                <w:b w:val="1"/>
                <w:bCs w:val="1"/>
                <w:color w:val="auto"/>
                <w:w w:val="88"/>
              </w:rPr>
              <w:t>for Expected</w:t>
            </w:r>
          </w:p>
        </w:tc>
        <w:tc>
          <w:tcPr>
            <w:tcW w:w="60" w:type="dxa"/>
            <w:vAlign w:val="bottom"/>
          </w:tcPr>
          <w:p>
            <w:pPr>
              <w:spacing w:after="0"/>
              <w:rPr>
                <w:sz w:val="13"/>
                <w:szCs w:val="13"/>
                <w:color w:val="auto"/>
              </w:rPr>
            </w:pPr>
          </w:p>
        </w:tc>
        <w:tc>
          <w:tcPr>
            <w:tcW w:w="980" w:type="dxa"/>
            <w:vAlign w:val="bottom"/>
            <w:gridSpan w:val="2"/>
            <w:vMerge w:val="restart"/>
          </w:tcPr>
          <w:p>
            <w:pPr>
              <w:jc w:val="center"/>
              <w:spacing w:after="0"/>
              <w:rPr>
                <w:sz w:val="20"/>
                <w:szCs w:val="20"/>
                <w:color w:val="auto"/>
              </w:rPr>
            </w:pPr>
            <w:r>
              <w:rPr>
                <w:rFonts w:ascii="Arial" w:cs="Arial" w:eastAsia="Arial" w:hAnsi="Arial"/>
                <w:sz w:val="16"/>
                <w:szCs w:val="16"/>
                <w:b w:val="1"/>
                <w:bCs w:val="1"/>
                <w:color w:val="auto"/>
                <w:w w:val="88"/>
              </w:rPr>
              <w:t>Unrealized</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4800" w:type="dxa"/>
            <w:vAlign w:val="bottom"/>
          </w:tcPr>
          <w:p>
            <w:pPr>
              <w:spacing w:after="0"/>
              <w:rPr>
                <w:sz w:val="13"/>
                <w:szCs w:val="13"/>
                <w:color w:val="auto"/>
              </w:rPr>
            </w:pPr>
          </w:p>
        </w:tc>
        <w:tc>
          <w:tcPr>
            <w:tcW w:w="98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jc w:val="center"/>
              <w:ind w:right="62"/>
              <w:spacing w:after="0" w:line="157" w:lineRule="exact"/>
              <w:rPr>
                <w:sz w:val="20"/>
                <w:szCs w:val="20"/>
                <w:color w:val="auto"/>
              </w:rPr>
            </w:pPr>
            <w:r>
              <w:rPr>
                <w:rFonts w:ascii="Arial" w:cs="Arial" w:eastAsia="Arial" w:hAnsi="Arial"/>
                <w:sz w:val="16"/>
                <w:szCs w:val="16"/>
                <w:b w:val="1"/>
                <w:bCs w:val="1"/>
                <w:color w:val="auto"/>
                <w:w w:val="95"/>
              </w:rPr>
              <w:t>Credit</w:t>
            </w:r>
          </w:p>
        </w:tc>
        <w:tc>
          <w:tcPr>
            <w:tcW w:w="60" w:type="dxa"/>
            <w:vAlign w:val="bottom"/>
          </w:tcPr>
          <w:p>
            <w:pPr>
              <w:spacing w:after="0"/>
              <w:rPr>
                <w:sz w:val="13"/>
                <w:szCs w:val="13"/>
                <w:color w:val="auto"/>
              </w:rPr>
            </w:pPr>
          </w:p>
        </w:tc>
        <w:tc>
          <w:tcPr>
            <w:tcW w:w="98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vMerge w:val="restart"/>
          </w:tcPr>
          <w:p>
            <w:pPr>
              <w:jc w:val="right"/>
              <w:ind w:right="42"/>
              <w:spacing w:after="0"/>
              <w:rPr>
                <w:sz w:val="20"/>
                <w:szCs w:val="20"/>
                <w:color w:val="auto"/>
              </w:rPr>
            </w:pPr>
            <w:r>
              <w:rPr>
                <w:rFonts w:ascii="Arial" w:cs="Arial" w:eastAsia="Arial" w:hAnsi="Arial"/>
                <w:sz w:val="16"/>
                <w:szCs w:val="16"/>
                <w:b w:val="1"/>
                <w:bCs w:val="1"/>
                <w:color w:val="auto"/>
                <w:w w:val="91"/>
              </w:rPr>
              <w:t>Fair Value</w:t>
            </w:r>
          </w:p>
        </w:tc>
        <w:tc>
          <w:tcPr>
            <w:tcW w:w="0" w:type="dxa"/>
            <w:vAlign w:val="bottom"/>
          </w:tcPr>
          <w:p>
            <w:pPr>
              <w:spacing w:after="0"/>
              <w:rPr>
                <w:sz w:val="1"/>
                <w:szCs w:val="1"/>
                <w:color w:val="auto"/>
              </w:rPr>
            </w:pPr>
          </w:p>
        </w:tc>
      </w:tr>
      <w:tr>
        <w:trPr>
          <w:trHeight w:val="210"/>
        </w:trPr>
        <w:tc>
          <w:tcPr>
            <w:tcW w:w="4800" w:type="dxa"/>
            <w:vAlign w:val="bottom"/>
          </w:tcPr>
          <w:p>
            <w:pPr>
              <w:spacing w:after="0"/>
              <w:rPr>
                <w:sz w:val="18"/>
                <w:szCs w:val="18"/>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6"/>
              </w:rPr>
              <w:t>Securities</w:t>
            </w: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center"/>
              <w:ind w:right="62"/>
              <w:spacing w:after="0"/>
              <w:rPr>
                <w:sz w:val="20"/>
                <w:szCs w:val="20"/>
                <w:color w:val="auto"/>
              </w:rPr>
            </w:pPr>
            <w:r>
              <w:rPr>
                <w:rFonts w:ascii="Arial" w:cs="Arial" w:eastAsia="Arial" w:hAnsi="Arial"/>
                <w:sz w:val="16"/>
                <w:szCs w:val="16"/>
                <w:b w:val="1"/>
                <w:bCs w:val="1"/>
                <w:color w:val="auto"/>
                <w:w w:val="84"/>
              </w:rPr>
              <w:t>Cost</w:t>
            </w:r>
          </w:p>
        </w:tc>
        <w:tc>
          <w:tcPr>
            <w:tcW w:w="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center"/>
              <w:ind w:right="62"/>
              <w:spacing w:after="0"/>
              <w:rPr>
                <w:sz w:val="20"/>
                <w:szCs w:val="20"/>
                <w:color w:val="auto"/>
              </w:rPr>
            </w:pPr>
            <w:r>
              <w:rPr>
                <w:rFonts w:ascii="Arial" w:cs="Arial" w:eastAsia="Arial" w:hAnsi="Arial"/>
                <w:sz w:val="16"/>
                <w:szCs w:val="16"/>
                <w:b w:val="1"/>
                <w:bCs w:val="1"/>
                <w:color w:val="auto"/>
                <w:w w:val="79"/>
              </w:rPr>
              <w:t>Losses</w:t>
            </w:r>
          </w:p>
        </w:tc>
        <w:tc>
          <w:tcPr>
            <w:tcW w:w="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center"/>
              <w:ind w:right="102"/>
              <w:spacing w:after="0"/>
              <w:rPr>
                <w:sz w:val="20"/>
                <w:szCs w:val="20"/>
                <w:color w:val="auto"/>
              </w:rPr>
            </w:pPr>
            <w:r>
              <w:rPr>
                <w:rFonts w:ascii="Arial" w:cs="Arial" w:eastAsia="Arial" w:hAnsi="Arial"/>
                <w:sz w:val="16"/>
                <w:szCs w:val="16"/>
                <w:b w:val="1"/>
                <w:bCs w:val="1"/>
                <w:color w:val="auto"/>
                <w:w w:val="79"/>
              </w:rPr>
              <w:t>Losses</w:t>
            </w: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800" w:type="dxa"/>
            <w:vAlign w:val="bottom"/>
          </w:tcPr>
          <w:p>
            <w:pPr>
              <w:spacing w:after="0"/>
              <w:rPr>
                <w:sz w:val="20"/>
                <w:szCs w:val="20"/>
                <w:color w:val="auto"/>
              </w:rPr>
            </w:pPr>
            <w:r>
              <w:rPr>
                <w:rFonts w:ascii="Arial" w:cs="Arial" w:eastAsia="Arial" w:hAnsi="Arial"/>
                <w:sz w:val="16"/>
                <w:szCs w:val="16"/>
                <w:color w:val="auto"/>
              </w:rPr>
              <w:t>Fixed maturity securities, available for sale:</w:t>
            </w: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160" w:type="dxa"/>
            <w:vAlign w:val="bottom"/>
            <w:gridSpan w:val="6"/>
          </w:tcPr>
          <w:p>
            <w:pPr>
              <w:jc w:val="center"/>
              <w:ind w:left="582"/>
              <w:spacing w:after="0"/>
              <w:rPr>
                <w:sz w:val="20"/>
                <w:szCs w:val="20"/>
                <w:color w:val="auto"/>
              </w:rPr>
            </w:pPr>
            <w:r>
              <w:rPr>
                <w:rFonts w:ascii="Arial" w:cs="Arial" w:eastAsia="Arial" w:hAnsi="Arial"/>
                <w:sz w:val="16"/>
                <w:szCs w:val="16"/>
                <w:b w:val="1"/>
                <w:bCs w:val="1"/>
                <w:color w:val="auto"/>
                <w:w w:val="90"/>
              </w:rPr>
              <w:t>(Dollars In millions)</w:t>
            </w: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4800" w:type="dxa"/>
            <w:vAlign w:val="bottom"/>
          </w:tcPr>
          <w:p>
            <w:pPr>
              <w:ind w:left="220"/>
              <w:spacing w:after="0"/>
              <w:rPr>
                <w:sz w:val="20"/>
                <w:szCs w:val="20"/>
                <w:color w:val="auto"/>
              </w:rPr>
            </w:pPr>
            <w:r>
              <w:rPr>
                <w:rFonts w:ascii="Arial" w:cs="Arial" w:eastAsia="Arial" w:hAnsi="Arial"/>
                <w:sz w:val="16"/>
                <w:szCs w:val="16"/>
                <w:color w:val="auto"/>
              </w:rPr>
              <w:t>United States Government full faith and credit</w:t>
            </w:r>
          </w:p>
        </w:tc>
        <w:tc>
          <w:tcPr>
            <w:tcW w:w="980" w:type="dxa"/>
            <w:vAlign w:val="bottom"/>
          </w:tcPr>
          <w:p>
            <w:pPr>
              <w:jc w:val="right"/>
              <w:spacing w:after="0"/>
              <w:rPr>
                <w:sz w:val="20"/>
                <w:szCs w:val="20"/>
                <w:color w:val="auto"/>
              </w:rPr>
            </w:pPr>
            <w:r>
              <w:rPr>
                <w:rFonts w:ascii="Arial" w:cs="Arial" w:eastAsia="Arial" w:hAnsi="Arial"/>
                <w:sz w:val="16"/>
                <w:szCs w:val="16"/>
                <w:color w:val="auto"/>
              </w:rPr>
              <w:t>29</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106</w:t>
            </w: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(3)</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103</w:t>
            </w:r>
          </w:p>
        </w:tc>
        <w:tc>
          <w:tcPr>
            <w:tcW w:w="0" w:type="dxa"/>
            <w:vAlign w:val="bottom"/>
          </w:tcPr>
          <w:p>
            <w:pPr>
              <w:spacing w:after="0"/>
              <w:rPr>
                <w:sz w:val="1"/>
                <w:szCs w:val="1"/>
                <w:color w:val="auto"/>
              </w:rPr>
            </w:pPr>
          </w:p>
        </w:tc>
      </w:tr>
      <w:tr>
        <w:trPr>
          <w:trHeight w:val="250"/>
        </w:trPr>
        <w:tc>
          <w:tcPr>
            <w:tcW w:w="4800" w:type="dxa"/>
            <w:vAlign w:val="bottom"/>
          </w:tcPr>
          <w:p>
            <w:pPr>
              <w:ind w:left="220"/>
              <w:spacing w:after="0"/>
              <w:rPr>
                <w:sz w:val="20"/>
                <w:szCs w:val="20"/>
                <w:color w:val="auto"/>
              </w:rPr>
            </w:pPr>
            <w:r>
              <w:rPr>
                <w:rFonts w:ascii="Arial" w:cs="Arial" w:eastAsia="Arial" w:hAnsi="Arial"/>
                <w:sz w:val="16"/>
                <w:szCs w:val="16"/>
                <w:color w:val="auto"/>
              </w:rPr>
              <w:t>United States Government sponsored agencies</w:t>
            </w:r>
          </w:p>
        </w:tc>
        <w:tc>
          <w:tcPr>
            <w:tcW w:w="980" w:type="dxa"/>
            <w:vAlign w:val="bottom"/>
          </w:tcPr>
          <w:p>
            <w:pPr>
              <w:jc w:val="right"/>
              <w:spacing w:after="0"/>
              <w:rPr>
                <w:sz w:val="20"/>
                <w:szCs w:val="20"/>
                <w:color w:val="auto"/>
              </w:rPr>
            </w:pPr>
            <w:r>
              <w:rPr>
                <w:rFonts w:ascii="Arial" w:cs="Arial" w:eastAsia="Arial" w:hAnsi="Arial"/>
                <w:sz w:val="16"/>
                <w:szCs w:val="16"/>
                <w:color w:val="auto"/>
              </w:rPr>
              <w:t>64</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92</w:t>
            </w: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88</w:t>
            </w:r>
          </w:p>
        </w:tc>
        <w:tc>
          <w:tcPr>
            <w:tcW w:w="0" w:type="dxa"/>
            <w:vAlign w:val="bottom"/>
          </w:tcPr>
          <w:p>
            <w:pPr>
              <w:spacing w:after="0"/>
              <w:rPr>
                <w:sz w:val="1"/>
                <w:szCs w:val="1"/>
                <w:color w:val="auto"/>
              </w:rPr>
            </w:pPr>
          </w:p>
        </w:tc>
      </w:tr>
      <w:tr>
        <w:trPr>
          <w:trHeight w:val="250"/>
        </w:trPr>
        <w:tc>
          <w:tcPr>
            <w:tcW w:w="4800" w:type="dxa"/>
            <w:vAlign w:val="bottom"/>
          </w:tcPr>
          <w:p>
            <w:pPr>
              <w:ind w:left="220"/>
              <w:spacing w:after="0"/>
              <w:rPr>
                <w:sz w:val="20"/>
                <w:szCs w:val="20"/>
                <w:color w:val="auto"/>
              </w:rPr>
            </w:pPr>
            <w:r>
              <w:rPr>
                <w:rFonts w:ascii="Arial" w:cs="Arial" w:eastAsia="Arial" w:hAnsi="Arial"/>
                <w:sz w:val="16"/>
                <w:szCs w:val="16"/>
                <w:color w:val="auto"/>
              </w:rPr>
              <w:t>United States municipalities, states and territories</w:t>
            </w:r>
          </w:p>
        </w:tc>
        <w:tc>
          <w:tcPr>
            <w:tcW w:w="980" w:type="dxa"/>
            <w:vAlign w:val="bottom"/>
          </w:tcPr>
          <w:p>
            <w:pPr>
              <w:jc w:val="right"/>
              <w:spacing w:after="0"/>
              <w:rPr>
                <w:sz w:val="20"/>
                <w:szCs w:val="20"/>
                <w:color w:val="auto"/>
              </w:rPr>
            </w:pPr>
            <w:r>
              <w:rPr>
                <w:rFonts w:ascii="Arial" w:cs="Arial" w:eastAsia="Arial" w:hAnsi="Arial"/>
                <w:sz w:val="16"/>
                <w:szCs w:val="16"/>
                <w:color w:val="auto"/>
              </w:rPr>
              <w:t>176</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1,476</w:t>
            </w: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(249)</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1,227</w:t>
            </w:r>
          </w:p>
        </w:tc>
        <w:tc>
          <w:tcPr>
            <w:tcW w:w="0" w:type="dxa"/>
            <w:vAlign w:val="bottom"/>
          </w:tcPr>
          <w:p>
            <w:pPr>
              <w:spacing w:after="0"/>
              <w:rPr>
                <w:sz w:val="1"/>
                <w:szCs w:val="1"/>
                <w:color w:val="auto"/>
              </w:rPr>
            </w:pPr>
          </w:p>
        </w:tc>
      </w:tr>
      <w:tr>
        <w:trPr>
          <w:trHeight w:val="250"/>
        </w:trPr>
        <w:tc>
          <w:tcPr>
            <w:tcW w:w="4800" w:type="dxa"/>
            <w:vAlign w:val="bottom"/>
          </w:tcPr>
          <w:p>
            <w:pPr>
              <w:ind w:left="140"/>
              <w:spacing w:after="0"/>
              <w:rPr>
                <w:sz w:val="20"/>
                <w:szCs w:val="20"/>
                <w:color w:val="auto"/>
              </w:rPr>
            </w:pPr>
            <w:r>
              <w:rPr>
                <w:rFonts w:ascii="Arial" w:cs="Arial" w:eastAsia="Arial" w:hAnsi="Arial"/>
                <w:sz w:val="16"/>
                <w:szCs w:val="16"/>
                <w:color w:val="auto"/>
              </w:rPr>
              <w:t>Foreign Governments</w:t>
            </w:r>
          </w:p>
        </w:tc>
        <w:tc>
          <w:tcPr>
            <w:tcW w:w="980" w:type="dxa"/>
            <w:vAlign w:val="bottom"/>
          </w:tcPr>
          <w:p>
            <w:pPr>
              <w:jc w:val="right"/>
              <w:spacing w:after="0"/>
              <w:rPr>
                <w:sz w:val="20"/>
                <w:szCs w:val="20"/>
                <w:color w:val="auto"/>
              </w:rPr>
            </w:pPr>
            <w:r>
              <w:rPr>
                <w:rFonts w:ascii="Arial" w:cs="Arial" w:eastAsia="Arial" w:hAnsi="Arial"/>
                <w:sz w:val="16"/>
                <w:szCs w:val="16"/>
                <w:color w:val="auto"/>
              </w:rPr>
              <w:t>43</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224</w:t>
            </w: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(45)</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179</w:t>
            </w:r>
          </w:p>
        </w:tc>
        <w:tc>
          <w:tcPr>
            <w:tcW w:w="0" w:type="dxa"/>
            <w:vAlign w:val="bottom"/>
          </w:tcPr>
          <w:p>
            <w:pPr>
              <w:spacing w:after="0"/>
              <w:rPr>
                <w:sz w:val="1"/>
                <w:szCs w:val="1"/>
                <w:color w:val="auto"/>
              </w:rPr>
            </w:pPr>
          </w:p>
        </w:tc>
      </w:tr>
      <w:tr>
        <w:trPr>
          <w:trHeight w:val="250"/>
        </w:trPr>
        <w:tc>
          <w:tcPr>
            <w:tcW w:w="4800" w:type="dxa"/>
            <w:vAlign w:val="bottom"/>
          </w:tcPr>
          <w:p>
            <w:pPr>
              <w:spacing w:after="0"/>
              <w:rPr>
                <w:sz w:val="20"/>
                <w:szCs w:val="20"/>
                <w:color w:val="auto"/>
              </w:rPr>
            </w:pPr>
            <w:r>
              <w:rPr>
                <w:rFonts w:ascii="Arial" w:cs="Arial" w:eastAsia="Arial" w:hAnsi="Arial"/>
                <w:sz w:val="16"/>
                <w:szCs w:val="16"/>
                <w:color w:val="auto"/>
              </w:rPr>
              <w:t>Corporate securities:</w:t>
            </w:r>
          </w:p>
        </w:tc>
        <w:tc>
          <w:tcPr>
            <w:tcW w:w="9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800" w:type="dxa"/>
            <w:vAlign w:val="bottom"/>
          </w:tcPr>
          <w:p>
            <w:pPr>
              <w:ind w:left="220"/>
              <w:spacing w:after="0"/>
              <w:rPr>
                <w:sz w:val="20"/>
                <w:szCs w:val="20"/>
                <w:color w:val="auto"/>
              </w:rPr>
            </w:pPr>
            <w:r>
              <w:rPr>
                <w:rFonts w:ascii="Arial" w:cs="Arial" w:eastAsia="Arial" w:hAnsi="Arial"/>
                <w:sz w:val="16"/>
                <w:szCs w:val="16"/>
                <w:color w:val="auto"/>
              </w:rPr>
              <w:t>Finance, insurance and real estate</w:t>
            </w:r>
          </w:p>
        </w:tc>
        <w:tc>
          <w:tcPr>
            <w:tcW w:w="980" w:type="dxa"/>
            <w:vAlign w:val="bottom"/>
          </w:tcPr>
          <w:p>
            <w:pPr>
              <w:jc w:val="right"/>
              <w:spacing w:after="0"/>
              <w:rPr>
                <w:sz w:val="20"/>
                <w:szCs w:val="20"/>
                <w:color w:val="auto"/>
              </w:rPr>
            </w:pPr>
            <w:r>
              <w:rPr>
                <w:rFonts w:ascii="Arial" w:cs="Arial" w:eastAsia="Arial" w:hAnsi="Arial"/>
                <w:sz w:val="16"/>
                <w:szCs w:val="16"/>
                <w:color w:val="auto"/>
              </w:rPr>
              <w:t>840</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6,596</w:t>
            </w: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(728)</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5,868</w:t>
            </w:r>
          </w:p>
        </w:tc>
        <w:tc>
          <w:tcPr>
            <w:tcW w:w="0" w:type="dxa"/>
            <w:vAlign w:val="bottom"/>
          </w:tcPr>
          <w:p>
            <w:pPr>
              <w:spacing w:after="0"/>
              <w:rPr>
                <w:sz w:val="1"/>
                <w:szCs w:val="1"/>
                <w:color w:val="auto"/>
              </w:rPr>
            </w:pPr>
          </w:p>
        </w:tc>
      </w:tr>
      <w:tr>
        <w:trPr>
          <w:trHeight w:val="250"/>
        </w:trPr>
        <w:tc>
          <w:tcPr>
            <w:tcW w:w="4800" w:type="dxa"/>
            <w:vAlign w:val="bottom"/>
          </w:tcPr>
          <w:p>
            <w:pPr>
              <w:ind w:left="220"/>
              <w:spacing w:after="0"/>
              <w:rPr>
                <w:sz w:val="20"/>
                <w:szCs w:val="20"/>
                <w:color w:val="auto"/>
              </w:rPr>
            </w:pPr>
            <w:r>
              <w:rPr>
                <w:rFonts w:ascii="Arial" w:cs="Arial" w:eastAsia="Arial" w:hAnsi="Arial"/>
                <w:sz w:val="16"/>
                <w:szCs w:val="16"/>
                <w:color w:val="auto"/>
              </w:rPr>
              <w:t>Manufacturing, construction and mining</w:t>
            </w:r>
          </w:p>
        </w:tc>
        <w:tc>
          <w:tcPr>
            <w:tcW w:w="980" w:type="dxa"/>
            <w:vAlign w:val="bottom"/>
          </w:tcPr>
          <w:p>
            <w:pPr>
              <w:jc w:val="right"/>
              <w:spacing w:after="0"/>
              <w:rPr>
                <w:sz w:val="20"/>
                <w:szCs w:val="20"/>
                <w:color w:val="auto"/>
              </w:rPr>
            </w:pPr>
            <w:r>
              <w:rPr>
                <w:rFonts w:ascii="Arial" w:cs="Arial" w:eastAsia="Arial" w:hAnsi="Arial"/>
                <w:sz w:val="16"/>
                <w:szCs w:val="16"/>
                <w:color w:val="auto"/>
              </w:rPr>
              <w:t>156</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1,173</w:t>
            </w: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(161)</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1,012</w:t>
            </w:r>
          </w:p>
        </w:tc>
        <w:tc>
          <w:tcPr>
            <w:tcW w:w="0" w:type="dxa"/>
            <w:vAlign w:val="bottom"/>
          </w:tcPr>
          <w:p>
            <w:pPr>
              <w:spacing w:after="0"/>
              <w:rPr>
                <w:sz w:val="1"/>
                <w:szCs w:val="1"/>
                <w:color w:val="auto"/>
              </w:rPr>
            </w:pPr>
          </w:p>
        </w:tc>
      </w:tr>
      <w:tr>
        <w:trPr>
          <w:trHeight w:val="250"/>
        </w:trPr>
        <w:tc>
          <w:tcPr>
            <w:tcW w:w="4800" w:type="dxa"/>
            <w:vAlign w:val="bottom"/>
          </w:tcPr>
          <w:p>
            <w:pPr>
              <w:ind w:left="220"/>
              <w:spacing w:after="0"/>
              <w:rPr>
                <w:sz w:val="20"/>
                <w:szCs w:val="20"/>
                <w:color w:val="auto"/>
              </w:rPr>
            </w:pPr>
            <w:r>
              <w:rPr>
                <w:rFonts w:ascii="Arial" w:cs="Arial" w:eastAsia="Arial" w:hAnsi="Arial"/>
                <w:sz w:val="16"/>
                <w:szCs w:val="16"/>
                <w:color w:val="auto"/>
              </w:rPr>
              <w:t>Utilities, energy and related sectors</w:t>
            </w:r>
          </w:p>
        </w:tc>
        <w:tc>
          <w:tcPr>
            <w:tcW w:w="980" w:type="dxa"/>
            <w:vAlign w:val="bottom"/>
          </w:tcPr>
          <w:p>
            <w:pPr>
              <w:jc w:val="right"/>
              <w:spacing w:after="0"/>
              <w:rPr>
                <w:sz w:val="20"/>
                <w:szCs w:val="20"/>
                <w:color w:val="auto"/>
              </w:rPr>
            </w:pPr>
            <w:r>
              <w:rPr>
                <w:rFonts w:ascii="Arial" w:cs="Arial" w:eastAsia="Arial" w:hAnsi="Arial"/>
                <w:sz w:val="16"/>
                <w:szCs w:val="16"/>
                <w:color w:val="auto"/>
              </w:rPr>
              <w:t>477</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3,000</w:t>
            </w: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(542)</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2,458</w:t>
            </w:r>
          </w:p>
        </w:tc>
        <w:tc>
          <w:tcPr>
            <w:tcW w:w="0" w:type="dxa"/>
            <w:vAlign w:val="bottom"/>
          </w:tcPr>
          <w:p>
            <w:pPr>
              <w:spacing w:after="0"/>
              <w:rPr>
                <w:sz w:val="1"/>
                <w:szCs w:val="1"/>
                <w:color w:val="auto"/>
              </w:rPr>
            </w:pPr>
          </w:p>
        </w:tc>
      </w:tr>
      <w:tr>
        <w:trPr>
          <w:trHeight w:val="250"/>
        </w:trPr>
        <w:tc>
          <w:tcPr>
            <w:tcW w:w="4800" w:type="dxa"/>
            <w:vAlign w:val="bottom"/>
          </w:tcPr>
          <w:p>
            <w:pPr>
              <w:ind w:left="220"/>
              <w:spacing w:after="0"/>
              <w:rPr>
                <w:sz w:val="20"/>
                <w:szCs w:val="20"/>
                <w:color w:val="auto"/>
              </w:rPr>
            </w:pPr>
            <w:r>
              <w:rPr>
                <w:rFonts w:ascii="Arial" w:cs="Arial" w:eastAsia="Arial" w:hAnsi="Arial"/>
                <w:sz w:val="16"/>
                <w:szCs w:val="16"/>
                <w:color w:val="auto"/>
              </w:rPr>
              <w:t>Wholesale/retail trade</w:t>
            </w:r>
          </w:p>
        </w:tc>
        <w:tc>
          <w:tcPr>
            <w:tcW w:w="980" w:type="dxa"/>
            <w:vAlign w:val="bottom"/>
          </w:tcPr>
          <w:p>
            <w:pPr>
              <w:jc w:val="right"/>
              <w:spacing w:after="0"/>
              <w:rPr>
                <w:sz w:val="20"/>
                <w:szCs w:val="20"/>
                <w:color w:val="auto"/>
              </w:rPr>
            </w:pPr>
            <w:r>
              <w:rPr>
                <w:rFonts w:ascii="Arial" w:cs="Arial" w:eastAsia="Arial" w:hAnsi="Arial"/>
                <w:sz w:val="16"/>
                <w:szCs w:val="16"/>
                <w:color w:val="auto"/>
              </w:rPr>
              <w:t>523</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3,111</w:t>
            </w: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(497)</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2,614</w:t>
            </w:r>
          </w:p>
        </w:tc>
        <w:tc>
          <w:tcPr>
            <w:tcW w:w="0" w:type="dxa"/>
            <w:vAlign w:val="bottom"/>
          </w:tcPr>
          <w:p>
            <w:pPr>
              <w:spacing w:after="0"/>
              <w:rPr>
                <w:sz w:val="1"/>
                <w:szCs w:val="1"/>
                <w:color w:val="auto"/>
              </w:rPr>
            </w:pPr>
          </w:p>
        </w:tc>
      </w:tr>
      <w:tr>
        <w:trPr>
          <w:trHeight w:val="250"/>
        </w:trPr>
        <w:tc>
          <w:tcPr>
            <w:tcW w:w="4800" w:type="dxa"/>
            <w:vAlign w:val="bottom"/>
          </w:tcPr>
          <w:p>
            <w:pPr>
              <w:ind w:left="220"/>
              <w:spacing w:after="0"/>
              <w:rPr>
                <w:sz w:val="20"/>
                <w:szCs w:val="20"/>
                <w:color w:val="auto"/>
              </w:rPr>
            </w:pPr>
            <w:r>
              <w:rPr>
                <w:rFonts w:ascii="Arial" w:cs="Arial" w:eastAsia="Arial" w:hAnsi="Arial"/>
                <w:sz w:val="16"/>
                <w:szCs w:val="16"/>
                <w:color w:val="auto"/>
              </w:rPr>
              <w:t>Services, media and other</w:t>
            </w:r>
          </w:p>
        </w:tc>
        <w:tc>
          <w:tcPr>
            <w:tcW w:w="980" w:type="dxa"/>
            <w:vAlign w:val="bottom"/>
          </w:tcPr>
          <w:p>
            <w:pPr>
              <w:jc w:val="right"/>
              <w:spacing w:after="0"/>
              <w:rPr>
                <w:sz w:val="20"/>
                <w:szCs w:val="20"/>
                <w:color w:val="auto"/>
              </w:rPr>
            </w:pPr>
            <w:r>
              <w:rPr>
                <w:rFonts w:ascii="Arial" w:cs="Arial" w:eastAsia="Arial" w:hAnsi="Arial"/>
                <w:sz w:val="16"/>
                <w:szCs w:val="16"/>
                <w:color w:val="auto"/>
              </w:rPr>
              <w:t>640</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4,679</w:t>
            </w: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(874)</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3,805</w:t>
            </w:r>
          </w:p>
        </w:tc>
        <w:tc>
          <w:tcPr>
            <w:tcW w:w="0" w:type="dxa"/>
            <w:vAlign w:val="bottom"/>
          </w:tcPr>
          <w:p>
            <w:pPr>
              <w:spacing w:after="0"/>
              <w:rPr>
                <w:sz w:val="1"/>
                <w:szCs w:val="1"/>
                <w:color w:val="auto"/>
              </w:rPr>
            </w:pPr>
          </w:p>
        </w:tc>
      </w:tr>
      <w:tr>
        <w:trPr>
          <w:trHeight w:val="250"/>
        </w:trPr>
        <w:tc>
          <w:tcPr>
            <w:tcW w:w="4800" w:type="dxa"/>
            <w:vAlign w:val="bottom"/>
          </w:tcPr>
          <w:p>
            <w:pPr>
              <w:spacing w:after="0"/>
              <w:rPr>
                <w:sz w:val="20"/>
                <w:szCs w:val="20"/>
                <w:color w:val="auto"/>
              </w:rPr>
            </w:pPr>
            <w:r>
              <w:rPr>
                <w:rFonts w:ascii="Arial" w:cs="Arial" w:eastAsia="Arial" w:hAnsi="Arial"/>
                <w:sz w:val="16"/>
                <w:szCs w:val="16"/>
                <w:color w:val="auto"/>
              </w:rPr>
              <w:t>Hybrid securities</w:t>
            </w:r>
          </w:p>
        </w:tc>
        <w:tc>
          <w:tcPr>
            <w:tcW w:w="980" w:type="dxa"/>
            <w:vAlign w:val="bottom"/>
          </w:tcPr>
          <w:p>
            <w:pPr>
              <w:jc w:val="right"/>
              <w:spacing w:after="0"/>
              <w:rPr>
                <w:sz w:val="20"/>
                <w:szCs w:val="20"/>
                <w:color w:val="auto"/>
              </w:rPr>
            </w:pPr>
            <w:r>
              <w:rPr>
                <w:rFonts w:ascii="Arial" w:cs="Arial" w:eastAsia="Arial" w:hAnsi="Arial"/>
                <w:sz w:val="16"/>
                <w:szCs w:val="16"/>
                <w:color w:val="auto"/>
              </w:rPr>
              <w:t>31</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515</w:t>
            </w: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(29)</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486</w:t>
            </w:r>
          </w:p>
        </w:tc>
        <w:tc>
          <w:tcPr>
            <w:tcW w:w="0" w:type="dxa"/>
            <w:vAlign w:val="bottom"/>
          </w:tcPr>
          <w:p>
            <w:pPr>
              <w:spacing w:after="0"/>
              <w:rPr>
                <w:sz w:val="1"/>
                <w:szCs w:val="1"/>
                <w:color w:val="auto"/>
              </w:rPr>
            </w:pPr>
          </w:p>
        </w:tc>
      </w:tr>
      <w:tr>
        <w:trPr>
          <w:trHeight w:val="250"/>
        </w:trPr>
        <w:tc>
          <w:tcPr>
            <w:tcW w:w="4800" w:type="dxa"/>
            <w:vAlign w:val="bottom"/>
          </w:tcPr>
          <w:p>
            <w:pPr>
              <w:spacing w:after="0"/>
              <w:rPr>
                <w:sz w:val="20"/>
                <w:szCs w:val="20"/>
                <w:color w:val="auto"/>
              </w:rPr>
            </w:pPr>
            <w:r>
              <w:rPr>
                <w:rFonts w:ascii="Arial" w:cs="Arial" w:eastAsia="Arial" w:hAnsi="Arial"/>
                <w:sz w:val="16"/>
                <w:szCs w:val="16"/>
                <w:color w:val="auto"/>
              </w:rPr>
              <w:t>Non-agency residential mortgage-backed securities</w:t>
            </w:r>
          </w:p>
        </w:tc>
        <w:tc>
          <w:tcPr>
            <w:tcW w:w="980" w:type="dxa"/>
            <w:vAlign w:val="bottom"/>
          </w:tcPr>
          <w:p>
            <w:pPr>
              <w:jc w:val="right"/>
              <w:spacing w:after="0"/>
              <w:rPr>
                <w:sz w:val="20"/>
                <w:szCs w:val="20"/>
                <w:color w:val="auto"/>
              </w:rPr>
            </w:pPr>
            <w:r>
              <w:rPr>
                <w:rFonts w:ascii="Arial" w:cs="Arial" w:eastAsia="Arial" w:hAnsi="Arial"/>
                <w:sz w:val="16"/>
                <w:szCs w:val="16"/>
                <w:color w:val="auto"/>
              </w:rPr>
              <w:t>314</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1,370</w:t>
            </w: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(101)</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1,269</w:t>
            </w:r>
          </w:p>
        </w:tc>
        <w:tc>
          <w:tcPr>
            <w:tcW w:w="0" w:type="dxa"/>
            <w:vAlign w:val="bottom"/>
          </w:tcPr>
          <w:p>
            <w:pPr>
              <w:spacing w:after="0"/>
              <w:rPr>
                <w:sz w:val="1"/>
                <w:szCs w:val="1"/>
                <w:color w:val="auto"/>
              </w:rPr>
            </w:pPr>
          </w:p>
        </w:tc>
      </w:tr>
      <w:tr>
        <w:trPr>
          <w:trHeight w:val="250"/>
        </w:trPr>
        <w:tc>
          <w:tcPr>
            <w:tcW w:w="4800" w:type="dxa"/>
            <w:vAlign w:val="bottom"/>
          </w:tcPr>
          <w:p>
            <w:pPr>
              <w:spacing w:after="0"/>
              <w:rPr>
                <w:sz w:val="20"/>
                <w:szCs w:val="20"/>
                <w:color w:val="auto"/>
              </w:rPr>
            </w:pPr>
            <w:r>
              <w:rPr>
                <w:rFonts w:ascii="Arial" w:cs="Arial" w:eastAsia="Arial" w:hAnsi="Arial"/>
                <w:sz w:val="16"/>
                <w:szCs w:val="16"/>
                <w:color w:val="auto"/>
              </w:rPr>
              <w:t>Commercial mortgage-backed securities</w:t>
            </w:r>
          </w:p>
        </w:tc>
        <w:tc>
          <w:tcPr>
            <w:tcW w:w="980" w:type="dxa"/>
            <w:vAlign w:val="bottom"/>
          </w:tcPr>
          <w:p>
            <w:pPr>
              <w:jc w:val="right"/>
              <w:spacing w:after="0"/>
              <w:rPr>
                <w:sz w:val="20"/>
                <w:szCs w:val="20"/>
                <w:color w:val="auto"/>
              </w:rPr>
            </w:pPr>
            <w:r>
              <w:rPr>
                <w:rFonts w:ascii="Arial" w:cs="Arial" w:eastAsia="Arial" w:hAnsi="Arial"/>
                <w:sz w:val="16"/>
                <w:szCs w:val="16"/>
                <w:color w:val="auto"/>
              </w:rPr>
              <w:t>344</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2,552</w:t>
            </w: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(41)</w:t>
            </w: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(200)</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2,311</w:t>
            </w:r>
          </w:p>
        </w:tc>
        <w:tc>
          <w:tcPr>
            <w:tcW w:w="0" w:type="dxa"/>
            <w:vAlign w:val="bottom"/>
          </w:tcPr>
          <w:p>
            <w:pPr>
              <w:spacing w:after="0"/>
              <w:rPr>
                <w:sz w:val="1"/>
                <w:szCs w:val="1"/>
                <w:color w:val="auto"/>
              </w:rPr>
            </w:pPr>
          </w:p>
        </w:tc>
      </w:tr>
      <w:tr>
        <w:trPr>
          <w:trHeight w:val="257"/>
        </w:trPr>
        <w:tc>
          <w:tcPr>
            <w:tcW w:w="4800" w:type="dxa"/>
            <w:vAlign w:val="bottom"/>
          </w:tcPr>
          <w:p>
            <w:pPr>
              <w:spacing w:after="0"/>
              <w:rPr>
                <w:sz w:val="20"/>
                <w:szCs w:val="20"/>
                <w:color w:val="auto"/>
              </w:rPr>
            </w:pPr>
            <w:r>
              <w:rPr>
                <w:rFonts w:ascii="Arial" w:cs="Arial" w:eastAsia="Arial" w:hAnsi="Arial"/>
                <w:sz w:val="16"/>
                <w:szCs w:val="16"/>
                <w:color w:val="auto"/>
              </w:rPr>
              <w:t>Asset-backed securities</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355</w:t>
            </w:r>
          </w:p>
        </w:tc>
        <w:tc>
          <w:tcPr>
            <w:tcW w:w="8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4,148</w:t>
            </w:r>
          </w:p>
        </w:tc>
        <w:tc>
          <w:tcPr>
            <w:tcW w:w="6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w:t>
            </w:r>
          </w:p>
        </w:tc>
        <w:tc>
          <w:tcPr>
            <w:tcW w:w="6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(317)</w:t>
            </w:r>
          </w:p>
        </w:tc>
        <w:tc>
          <w:tcPr>
            <w:tcW w:w="8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3,820</w:t>
            </w:r>
          </w:p>
        </w:tc>
        <w:tc>
          <w:tcPr>
            <w:tcW w:w="0" w:type="dxa"/>
            <w:vAlign w:val="bottom"/>
          </w:tcPr>
          <w:p>
            <w:pPr>
              <w:spacing w:after="0"/>
              <w:rPr>
                <w:sz w:val="1"/>
                <w:szCs w:val="1"/>
                <w:color w:val="auto"/>
              </w:rPr>
            </w:pPr>
          </w:p>
        </w:tc>
      </w:tr>
      <w:tr>
        <w:trPr>
          <w:trHeight w:val="223"/>
        </w:trPr>
        <w:tc>
          <w:tcPr>
            <w:tcW w:w="4800" w:type="dxa"/>
            <w:vAlign w:val="bottom"/>
          </w:tcPr>
          <w:p>
            <w:pPr>
              <w:ind w:left="140"/>
              <w:spacing w:after="0"/>
              <w:rPr>
                <w:sz w:val="20"/>
                <w:szCs w:val="20"/>
                <w:color w:val="auto"/>
              </w:rPr>
            </w:pPr>
            <w:r>
              <w:rPr>
                <w:rFonts w:ascii="Arial" w:cs="Arial" w:eastAsia="Arial" w:hAnsi="Arial"/>
                <w:sz w:val="16"/>
                <w:szCs w:val="16"/>
                <w:b w:val="1"/>
                <w:bCs w:val="1"/>
                <w:color w:val="auto"/>
              </w:rPr>
              <w:t>Total fixed maturity available for sale securities</w:t>
            </w:r>
          </w:p>
        </w:tc>
        <w:tc>
          <w:tcPr>
            <w:tcW w:w="980" w:type="dxa"/>
            <w:vAlign w:val="bottom"/>
          </w:tcPr>
          <w:p>
            <w:pPr>
              <w:jc w:val="right"/>
              <w:spacing w:after="0"/>
              <w:rPr>
                <w:sz w:val="20"/>
                <w:szCs w:val="20"/>
                <w:color w:val="auto"/>
              </w:rPr>
            </w:pPr>
            <w:r>
              <w:rPr>
                <w:rFonts w:ascii="Arial" w:cs="Arial" w:eastAsia="Arial" w:hAnsi="Arial"/>
                <w:sz w:val="16"/>
                <w:szCs w:val="16"/>
                <w:color w:val="auto"/>
              </w:rPr>
              <w:t>3,992</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29,042</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(52)</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(3,750)</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25,240</w:t>
            </w:r>
          </w:p>
        </w:tc>
        <w:tc>
          <w:tcPr>
            <w:tcW w:w="0" w:type="dxa"/>
            <w:vAlign w:val="bottom"/>
          </w:tcPr>
          <w:p>
            <w:pPr>
              <w:spacing w:after="0"/>
              <w:rPr>
                <w:sz w:val="1"/>
                <w:szCs w:val="1"/>
                <w:color w:val="auto"/>
              </w:rPr>
            </w:pPr>
          </w:p>
        </w:tc>
      </w:tr>
      <w:tr>
        <w:trPr>
          <w:trHeight w:val="257"/>
        </w:trPr>
        <w:tc>
          <w:tcPr>
            <w:tcW w:w="4800" w:type="dxa"/>
            <w:vAlign w:val="bottom"/>
          </w:tcPr>
          <w:p>
            <w:pPr>
              <w:spacing w:after="0"/>
              <w:rPr>
                <w:sz w:val="20"/>
                <w:szCs w:val="20"/>
                <w:color w:val="auto"/>
              </w:rPr>
            </w:pPr>
            <w:r>
              <w:rPr>
                <w:rFonts w:ascii="Arial" w:cs="Arial" w:eastAsia="Arial" w:hAnsi="Arial"/>
                <w:sz w:val="16"/>
                <w:szCs w:val="16"/>
                <w:color w:val="auto"/>
              </w:rPr>
              <w:t>Equity securities</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w:t>
            </w:r>
          </w:p>
        </w:tc>
        <w:tc>
          <w:tcPr>
            <w:tcW w:w="8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363</w:t>
            </w:r>
          </w:p>
        </w:tc>
        <w:tc>
          <w:tcPr>
            <w:tcW w:w="6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w:t>
            </w:r>
          </w:p>
        </w:tc>
        <w:tc>
          <w:tcPr>
            <w:tcW w:w="8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276</w:t>
            </w:r>
          </w:p>
        </w:tc>
        <w:tc>
          <w:tcPr>
            <w:tcW w:w="0" w:type="dxa"/>
            <w:vAlign w:val="bottom"/>
          </w:tcPr>
          <w:p>
            <w:pPr>
              <w:spacing w:after="0"/>
              <w:rPr>
                <w:sz w:val="1"/>
                <w:szCs w:val="1"/>
                <w:color w:val="auto"/>
              </w:rPr>
            </w:pPr>
          </w:p>
        </w:tc>
      </w:tr>
      <w:tr>
        <w:trPr>
          <w:trHeight w:val="210"/>
        </w:trPr>
        <w:tc>
          <w:tcPr>
            <w:tcW w:w="4800" w:type="dxa"/>
            <w:vAlign w:val="bottom"/>
          </w:tcPr>
          <w:p>
            <w:pPr>
              <w:ind w:left="140"/>
              <w:spacing w:after="0"/>
              <w:rPr>
                <w:sz w:val="20"/>
                <w:szCs w:val="20"/>
                <w:color w:val="auto"/>
              </w:rPr>
            </w:pPr>
            <w:r>
              <w:rPr>
                <w:rFonts w:ascii="Arial" w:cs="Arial" w:eastAsia="Arial" w:hAnsi="Arial"/>
                <w:sz w:val="16"/>
                <w:szCs w:val="16"/>
                <w:b w:val="1"/>
                <w:bCs w:val="1"/>
                <w:color w:val="auto"/>
              </w:rPr>
              <w:t>Total investments</w:t>
            </w:r>
          </w:p>
        </w:tc>
        <w:tc>
          <w:tcPr>
            <w:tcW w:w="980" w:type="dxa"/>
            <w:vAlign w:val="bottom"/>
          </w:tcPr>
          <w:p>
            <w:pPr>
              <w:jc w:val="right"/>
              <w:spacing w:after="0"/>
              <w:rPr>
                <w:sz w:val="20"/>
                <w:szCs w:val="20"/>
                <w:color w:val="auto"/>
              </w:rPr>
            </w:pPr>
            <w:r>
              <w:rPr>
                <w:rFonts w:ascii="Arial" w:cs="Arial" w:eastAsia="Arial" w:hAnsi="Arial"/>
                <w:sz w:val="16"/>
                <w:szCs w:val="16"/>
                <w:color w:val="auto"/>
              </w:rPr>
              <w:t>4,023</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29,405</w:t>
            </w: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(52)</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(3,837)</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25,516</w:t>
            </w: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-6359525</wp:posOffset>
            </wp:positionV>
            <wp:extent cx="6410325" cy="288163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60">
                      <a:extLst>
                        <a:ext uri="{28A0092B-C50C-407E-A947-70E740481C1C}"/>
                      </a:extLst>
                    </a:blip>
                    <a:srcRect/>
                    <a:stretch>
                      <a:fillRect/>
                    </a:stretch>
                  </pic:blipFill>
                  <pic:spPr bwMode="auto">
                    <a:xfrm>
                      <a:off x="0" y="0"/>
                      <a:ext cx="6410325" cy="2881630"/>
                    </a:xfrm>
                    <a:prstGeom prst="rect">
                      <a:avLst/>
                    </a:prstGeom>
                    <a:noFill/>
                  </pic:spPr>
                </pic:pic>
              </a:graphicData>
            </a:graphic>
          </wp:anchor>
        </w:drawing>
        <w:drawing>
          <wp:anchor simplePos="0" relativeHeight="251657728" behindDoc="1" locked="0" layoutInCell="0" allowOverlap="1">
            <wp:simplePos x="0" y="0"/>
            <wp:positionH relativeFrom="column">
              <wp:posOffset>-16510</wp:posOffset>
            </wp:positionH>
            <wp:positionV relativeFrom="paragraph">
              <wp:posOffset>-2728595</wp:posOffset>
            </wp:positionV>
            <wp:extent cx="6410325" cy="273558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61">
                      <a:extLst>
                        <a:ext uri="{28A0092B-C50C-407E-A947-70E740481C1C}"/>
                      </a:extLst>
                    </a:blip>
                    <a:srcRect/>
                    <a:stretch>
                      <a:fillRect/>
                    </a:stretch>
                  </pic:blipFill>
                  <pic:spPr bwMode="auto">
                    <a:xfrm>
                      <a:off x="0" y="0"/>
                      <a:ext cx="6410325" cy="2735580"/>
                    </a:xfrm>
                    <a:prstGeom prst="rect">
                      <a:avLst/>
                    </a:prstGeom>
                    <a:noFill/>
                  </pic:spPr>
                </pic:pic>
              </a:graphicData>
            </a:graphic>
          </wp:anchor>
        </w:drawing>
      </w:r>
    </w:p>
    <w:p>
      <w:pPr>
        <w:sectPr>
          <w:pgSz w:w="11880" w:h="15480" w:orient="portrait"/>
          <w:cols w:equalWidth="0" w:num="1">
            <w:col w:w="10040"/>
          </w:cols>
          <w:pgMar w:left="920" w:top="765"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85</w:t>
      </w:r>
    </w:p>
    <w:p>
      <w:pPr>
        <w:sectPr>
          <w:pgSz w:w="11880" w:h="15480" w:orient="portrait"/>
          <w:cols w:equalWidth="0" w:num="1">
            <w:col w:w="10040"/>
          </w:cols>
          <w:pgMar w:left="920" w:top="765" w:right="920" w:bottom="0" w:gutter="0" w:footer="0" w:header="0"/>
          <w:type w:val="continuous"/>
        </w:sectPr>
      </w:pPr>
    </w:p>
    <w:bookmarkStart w:id="97" w:name="page98"/>
    <w:bookmarkEnd w:id="97"/>
    <w:p>
      <w:pPr>
        <w:jc w:val="both"/>
        <w:ind w:firstLine="353"/>
        <w:spacing w:after="0" w:line="264" w:lineRule="auto"/>
        <w:rPr>
          <w:sz w:val="20"/>
          <w:szCs w:val="20"/>
          <w:color w:val="auto"/>
        </w:rPr>
      </w:pPr>
      <w:r>
        <w:rPr>
          <w:rFonts w:ascii="Arial" w:cs="Arial" w:eastAsia="Arial" w:hAnsi="Arial"/>
          <w:sz w:val="19"/>
          <w:szCs w:val="19"/>
          <w:color w:val="auto"/>
        </w:rPr>
        <w:t>The gross unrealized loss position on the fixed maturity available-for-sale fixed and equity portfolio was $3,180 million and $3,837 million as of December 31, 2025 and 2024, respectively. During 2025, most components of the portfolio exhibited price appreciation caused by lower treasury rates. The total amortized cost of all securities in an unrealized loss position was $28,037 million and $29,405 million as of December 31, 2025 and 2024, respectively. The average market value/book value of the investment category with the largest unrealized loss position was 81% for services, media and other as of December 31, 2025 and 2024, respectively. In the aggregate, services, media and other represented 26% and 23% of the total unrealized loss position as of December 31, 2025 and 2024, respectively.</w:t>
      </w:r>
    </w:p>
    <w:p>
      <w:pPr>
        <w:spacing w:after="0" w:line="101" w:lineRule="exact"/>
        <w:rPr>
          <w:sz w:val="20"/>
          <w:szCs w:val="20"/>
          <w:color w:val="auto"/>
        </w:rPr>
      </w:pPr>
    </w:p>
    <w:p>
      <w:pPr>
        <w:jc w:val="both"/>
        <w:ind w:firstLine="353"/>
        <w:spacing w:after="0" w:line="258" w:lineRule="auto"/>
        <w:rPr>
          <w:sz w:val="20"/>
          <w:szCs w:val="20"/>
          <w:color w:val="auto"/>
        </w:rPr>
      </w:pPr>
      <w:r>
        <w:rPr>
          <w:rFonts w:ascii="Arial" w:cs="Arial" w:eastAsia="Arial" w:hAnsi="Arial"/>
          <w:sz w:val="20"/>
          <w:szCs w:val="20"/>
          <w:color w:val="auto"/>
        </w:rPr>
        <w:t>The amortized cost and fair value of fixed maturity available for sale securities under watch list analysis and the number of months in a loss position with investment grade securities (NRSRO rating of BBB/Baa or higher) as of December 31, 2025 and 2024, were as follows:</w:t>
      </w:r>
    </w:p>
    <w:p>
      <w:pPr>
        <w:spacing w:after="0" w:line="287" w:lineRule="exact"/>
        <w:rPr>
          <w:sz w:val="20"/>
          <w:szCs w:val="20"/>
          <w:color w:val="auto"/>
        </w:rPr>
      </w:pPr>
    </w:p>
    <w:tbl>
      <w:tblPr>
        <w:tblLayout w:type="fixed"/>
        <w:tblInd w:w="40" w:type="dxa"/>
        <w:tblCellMar>
          <w:top w:w="0" w:type="dxa"/>
          <w:left w:w="0" w:type="dxa"/>
          <w:bottom w:w="0" w:type="dxa"/>
          <w:right w:w="0" w:type="dxa"/>
        </w:tblCellMar>
      </w:tblPr>
      <w:tr>
        <w:trPr>
          <w:trHeight w:val="213"/>
        </w:trPr>
        <w:tc>
          <w:tcPr>
            <w:tcW w:w="3960" w:type="dxa"/>
            <w:vAlign w:val="bottom"/>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gridSpan w:val="5"/>
          </w:tcPr>
          <w:p>
            <w:pPr>
              <w:jc w:val="center"/>
              <w:ind w:right="80"/>
              <w:spacing w:after="0"/>
              <w:rPr>
                <w:sz w:val="20"/>
                <w:szCs w:val="20"/>
                <w:color w:val="auto"/>
              </w:rPr>
            </w:pPr>
            <w:r>
              <w:rPr>
                <w:rFonts w:ascii="Arial" w:cs="Arial" w:eastAsia="Arial" w:hAnsi="Arial"/>
                <w:sz w:val="16"/>
                <w:szCs w:val="16"/>
                <w:b w:val="1"/>
                <w:bCs w:val="1"/>
                <w:color w:val="auto"/>
                <w:w w:val="88"/>
              </w:rPr>
              <w:t>December 31, 2025</w:t>
            </w: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8"/>
        </w:trPr>
        <w:tc>
          <w:tcPr>
            <w:tcW w:w="3960" w:type="dxa"/>
            <w:vAlign w:val="bottom"/>
          </w:tcPr>
          <w:p>
            <w:pPr>
              <w:spacing w:after="0"/>
              <w:rPr>
                <w:sz w:val="11"/>
                <w:szCs w:val="11"/>
                <w:color w:val="auto"/>
              </w:rPr>
            </w:pPr>
          </w:p>
        </w:tc>
        <w:tc>
          <w:tcPr>
            <w:tcW w:w="116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89"/>
              </w:rPr>
              <w:t>Number of</w:t>
            </w: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gridSpan w:val="2"/>
            <w:vMerge w:val="restart"/>
          </w:tcPr>
          <w:p>
            <w:pPr>
              <w:jc w:val="center"/>
              <w:spacing w:after="0"/>
              <w:rPr>
                <w:sz w:val="20"/>
                <w:szCs w:val="20"/>
                <w:color w:val="auto"/>
              </w:rPr>
            </w:pPr>
            <w:r>
              <w:rPr>
                <w:rFonts w:ascii="Arial" w:cs="Arial" w:eastAsia="Arial" w:hAnsi="Arial"/>
                <w:sz w:val="16"/>
                <w:szCs w:val="16"/>
                <w:b w:val="1"/>
                <w:bCs w:val="1"/>
                <w:color w:val="auto"/>
                <w:w w:val="89"/>
              </w:rPr>
              <w:t>Allowance for</w:t>
            </w: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jc w:val="center"/>
              <w:ind w:right="63"/>
              <w:spacing w:after="0" w:line="128" w:lineRule="exact"/>
              <w:rPr>
                <w:sz w:val="20"/>
                <w:szCs w:val="20"/>
                <w:color w:val="auto"/>
              </w:rPr>
            </w:pPr>
            <w:r>
              <w:rPr>
                <w:rFonts w:ascii="Arial" w:cs="Arial" w:eastAsia="Arial" w:hAnsi="Arial"/>
                <w:sz w:val="13"/>
                <w:szCs w:val="13"/>
                <w:b w:val="1"/>
                <w:bCs w:val="1"/>
                <w:color w:val="auto"/>
              </w:rPr>
              <w:t>Gross</w:t>
            </w:r>
          </w:p>
        </w:tc>
        <w:tc>
          <w:tcPr>
            <w:tcW w:w="0" w:type="dxa"/>
            <w:vAlign w:val="bottom"/>
          </w:tcPr>
          <w:p>
            <w:pPr>
              <w:spacing w:after="0"/>
              <w:rPr>
                <w:sz w:val="1"/>
                <w:szCs w:val="1"/>
                <w:color w:val="auto"/>
              </w:rPr>
            </w:pPr>
          </w:p>
        </w:tc>
      </w:tr>
      <w:tr>
        <w:trPr>
          <w:trHeight w:val="157"/>
        </w:trPr>
        <w:tc>
          <w:tcPr>
            <w:tcW w:w="3960" w:type="dxa"/>
            <w:vAlign w:val="bottom"/>
          </w:tcPr>
          <w:p>
            <w:pPr>
              <w:spacing w:after="0"/>
              <w:rPr>
                <w:sz w:val="13"/>
                <w:szCs w:val="13"/>
                <w:color w:val="auto"/>
              </w:rPr>
            </w:pPr>
          </w:p>
        </w:tc>
        <w:tc>
          <w:tcPr>
            <w:tcW w:w="116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140" w:type="dxa"/>
            <w:vAlign w:val="bottom"/>
            <w:gridSpan w:val="2"/>
            <w:vMerge w:val="restart"/>
          </w:tcPr>
          <w:p>
            <w:pPr>
              <w:ind w:left="60"/>
              <w:spacing w:after="0"/>
              <w:rPr>
                <w:sz w:val="20"/>
                <w:szCs w:val="20"/>
                <w:color w:val="auto"/>
              </w:rPr>
            </w:pPr>
            <w:r>
              <w:rPr>
                <w:rFonts w:ascii="Arial" w:cs="Arial" w:eastAsia="Arial" w:hAnsi="Arial"/>
                <w:sz w:val="16"/>
                <w:szCs w:val="16"/>
                <w:b w:val="1"/>
                <w:bCs w:val="1"/>
                <w:color w:val="auto"/>
                <w:w w:val="89"/>
              </w:rPr>
              <w:t>Amortized Cost</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vMerge w:val="restart"/>
          </w:tcPr>
          <w:p>
            <w:pPr>
              <w:jc w:val="right"/>
              <w:ind w:right="142"/>
              <w:spacing w:after="0"/>
              <w:rPr>
                <w:sz w:val="20"/>
                <w:szCs w:val="20"/>
                <w:color w:val="auto"/>
              </w:rPr>
            </w:pPr>
            <w:r>
              <w:rPr>
                <w:rFonts w:ascii="Arial" w:cs="Arial" w:eastAsia="Arial" w:hAnsi="Arial"/>
                <w:sz w:val="16"/>
                <w:szCs w:val="16"/>
                <w:b w:val="1"/>
                <w:bCs w:val="1"/>
                <w:color w:val="auto"/>
                <w:w w:val="99"/>
              </w:rPr>
              <w:t>Fair Value</w:t>
            </w:r>
          </w:p>
        </w:tc>
        <w:tc>
          <w:tcPr>
            <w:tcW w:w="80" w:type="dxa"/>
            <w:vAlign w:val="bottom"/>
            <w:vMerge w:val="restart"/>
          </w:tcPr>
          <w:p>
            <w:pPr>
              <w:spacing w:after="0"/>
              <w:rPr>
                <w:sz w:val="13"/>
                <w:szCs w:val="13"/>
                <w:color w:val="auto"/>
              </w:rPr>
            </w:pPr>
          </w:p>
        </w:tc>
        <w:tc>
          <w:tcPr>
            <w:tcW w:w="1180" w:type="dxa"/>
            <w:vAlign w:val="bottom"/>
            <w:gridSpan w:val="2"/>
            <w:vMerge w:val="continue"/>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jc w:val="center"/>
              <w:ind w:right="63"/>
              <w:spacing w:after="0" w:line="157" w:lineRule="exact"/>
              <w:rPr>
                <w:sz w:val="20"/>
                <w:szCs w:val="20"/>
                <w:color w:val="auto"/>
              </w:rPr>
            </w:pPr>
            <w:r>
              <w:rPr>
                <w:rFonts w:ascii="Arial" w:cs="Arial" w:eastAsia="Arial" w:hAnsi="Arial"/>
                <w:sz w:val="16"/>
                <w:szCs w:val="16"/>
                <w:b w:val="1"/>
                <w:bCs w:val="1"/>
                <w:color w:val="auto"/>
                <w:w w:val="88"/>
              </w:rPr>
              <w:t>Unrealized</w:t>
            </w:r>
          </w:p>
        </w:tc>
        <w:tc>
          <w:tcPr>
            <w:tcW w:w="0" w:type="dxa"/>
            <w:vAlign w:val="bottom"/>
          </w:tcPr>
          <w:p>
            <w:pPr>
              <w:spacing w:after="0"/>
              <w:rPr>
                <w:sz w:val="1"/>
                <w:szCs w:val="1"/>
                <w:color w:val="auto"/>
              </w:rPr>
            </w:pPr>
          </w:p>
        </w:tc>
      </w:tr>
      <w:tr>
        <w:trPr>
          <w:trHeight w:val="210"/>
        </w:trPr>
        <w:tc>
          <w:tcPr>
            <w:tcW w:w="3960" w:type="dxa"/>
            <w:vAlign w:val="bottom"/>
          </w:tcPr>
          <w:p>
            <w:pPr>
              <w:spacing w:after="0"/>
              <w:rPr>
                <w:sz w:val="18"/>
                <w:szCs w:val="18"/>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3"/>
              </w:rPr>
              <w:t>Securities</w:t>
            </w:r>
          </w:p>
        </w:tc>
        <w:tc>
          <w:tcPr>
            <w:tcW w:w="80" w:type="dxa"/>
            <w:vAlign w:val="bottom"/>
          </w:tcPr>
          <w:p>
            <w:pPr>
              <w:spacing w:after="0"/>
              <w:rPr>
                <w:sz w:val="18"/>
                <w:szCs w:val="18"/>
                <w:color w:val="auto"/>
              </w:rPr>
            </w:pPr>
          </w:p>
        </w:tc>
        <w:tc>
          <w:tcPr>
            <w:tcW w:w="1140" w:type="dxa"/>
            <w:vAlign w:val="bottom"/>
            <w:tcBorders>
              <w:bottom w:val="single" w:sz="8" w:color="auto"/>
            </w:tcBorders>
            <w:gridSpan w:val="2"/>
            <w:vMerge w:val="continue"/>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vMerge w:val="continue"/>
          </w:tcPr>
          <w:p>
            <w:pPr>
              <w:spacing w:after="0"/>
              <w:rPr>
                <w:sz w:val="18"/>
                <w:szCs w:val="18"/>
                <w:color w:val="auto"/>
              </w:rPr>
            </w:pPr>
          </w:p>
        </w:tc>
        <w:tc>
          <w:tcPr>
            <w:tcW w:w="80" w:type="dxa"/>
            <w:vAlign w:val="bottom"/>
            <w:vMerge w:val="continue"/>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center"/>
              <w:ind w:right="82"/>
              <w:spacing w:after="0"/>
              <w:rPr>
                <w:sz w:val="20"/>
                <w:szCs w:val="20"/>
                <w:color w:val="auto"/>
              </w:rPr>
            </w:pPr>
            <w:r>
              <w:rPr>
                <w:rFonts w:ascii="Arial" w:cs="Arial" w:eastAsia="Arial" w:hAnsi="Arial"/>
                <w:sz w:val="16"/>
                <w:szCs w:val="16"/>
                <w:b w:val="1"/>
                <w:bCs w:val="1"/>
                <w:color w:val="auto"/>
                <w:w w:val="88"/>
              </w:rPr>
              <w:t>Credit Loss</w:t>
            </w:r>
          </w:p>
        </w:tc>
        <w:tc>
          <w:tcPr>
            <w:tcW w:w="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center"/>
              <w:ind w:right="63"/>
              <w:spacing w:after="0"/>
              <w:rPr>
                <w:sz w:val="20"/>
                <w:szCs w:val="20"/>
                <w:color w:val="auto"/>
              </w:rPr>
            </w:pPr>
            <w:r>
              <w:rPr>
                <w:rFonts w:ascii="Arial" w:cs="Arial" w:eastAsia="Arial" w:hAnsi="Arial"/>
                <w:sz w:val="16"/>
                <w:szCs w:val="16"/>
                <w:b w:val="1"/>
                <w:bCs w:val="1"/>
                <w:color w:val="auto"/>
                <w:w w:val="79"/>
              </w:rPr>
              <w:t>Losses</w:t>
            </w:r>
          </w:p>
        </w:tc>
        <w:tc>
          <w:tcPr>
            <w:tcW w:w="0" w:type="dxa"/>
            <w:vAlign w:val="bottom"/>
          </w:tcPr>
          <w:p>
            <w:pPr>
              <w:spacing w:after="0"/>
              <w:rPr>
                <w:sz w:val="1"/>
                <w:szCs w:val="1"/>
                <w:color w:val="auto"/>
              </w:rPr>
            </w:pPr>
          </w:p>
        </w:tc>
      </w:tr>
      <w:tr>
        <w:trPr>
          <w:trHeight w:val="208"/>
        </w:trPr>
        <w:tc>
          <w:tcPr>
            <w:tcW w:w="3960" w:type="dxa"/>
            <w:vAlign w:val="bottom"/>
          </w:tcPr>
          <w:p>
            <w:pPr>
              <w:spacing w:after="0"/>
              <w:rPr>
                <w:sz w:val="20"/>
                <w:szCs w:val="20"/>
                <w:color w:val="auto"/>
              </w:rPr>
            </w:pPr>
            <w:r>
              <w:rPr>
                <w:rFonts w:ascii="Arial" w:cs="Arial" w:eastAsia="Arial" w:hAnsi="Arial"/>
                <w:sz w:val="16"/>
                <w:szCs w:val="16"/>
                <w:b w:val="1"/>
                <w:bCs w:val="1"/>
                <w:color w:val="auto"/>
              </w:rPr>
              <w:t>Investment grade:</w:t>
            </w: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60" w:type="dxa"/>
            <w:vAlign w:val="bottom"/>
            <w:gridSpan w:val="6"/>
          </w:tcPr>
          <w:p>
            <w:pPr>
              <w:jc w:val="center"/>
              <w:ind w:left="542"/>
              <w:spacing w:after="0"/>
              <w:rPr>
                <w:sz w:val="20"/>
                <w:szCs w:val="20"/>
                <w:color w:val="auto"/>
              </w:rPr>
            </w:pPr>
            <w:r>
              <w:rPr>
                <w:rFonts w:ascii="Arial" w:cs="Arial" w:eastAsia="Arial" w:hAnsi="Arial"/>
                <w:sz w:val="16"/>
                <w:szCs w:val="16"/>
                <w:b w:val="1"/>
                <w:bCs w:val="1"/>
                <w:color w:val="auto"/>
                <w:w w:val="88"/>
              </w:rPr>
              <w:t>(Dollars in millions)</w:t>
            </w: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3960" w:type="dxa"/>
            <w:vAlign w:val="bottom"/>
          </w:tcPr>
          <w:p>
            <w:pPr>
              <w:spacing w:after="0"/>
              <w:rPr>
                <w:sz w:val="20"/>
                <w:szCs w:val="20"/>
                <w:color w:val="auto"/>
              </w:rPr>
            </w:pPr>
            <w:r>
              <w:rPr>
                <w:rFonts w:ascii="Arial" w:cs="Arial" w:eastAsia="Arial" w:hAnsi="Arial"/>
                <w:sz w:val="16"/>
                <w:szCs w:val="16"/>
                <w:color w:val="auto"/>
              </w:rPr>
              <w:t>Less than six months</w:t>
            </w: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c>
          <w:tcPr>
            <w:tcW w:w="520" w:type="dxa"/>
            <w:vAlign w:val="bottom"/>
            <w:gridSpan w:val="2"/>
          </w:tcPr>
          <w:p>
            <w:pPr>
              <w:ind w:left="140"/>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10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5"/>
        </w:trPr>
        <w:tc>
          <w:tcPr>
            <w:tcW w:w="3960" w:type="dxa"/>
            <w:vAlign w:val="bottom"/>
          </w:tcPr>
          <w:p>
            <w:pPr>
              <w:spacing w:after="0"/>
              <w:rPr>
                <w:sz w:val="20"/>
                <w:szCs w:val="20"/>
                <w:color w:val="auto"/>
              </w:rPr>
            </w:pPr>
            <w:r>
              <w:rPr>
                <w:rFonts w:ascii="Arial" w:cs="Arial" w:eastAsia="Arial" w:hAnsi="Arial"/>
                <w:sz w:val="16"/>
                <w:szCs w:val="16"/>
                <w:color w:val="auto"/>
              </w:rPr>
              <w:t>Six months or more and less than twelve months</w:t>
            </w: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2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2"/>
        </w:trPr>
        <w:tc>
          <w:tcPr>
            <w:tcW w:w="3960" w:type="dxa"/>
            <w:vAlign w:val="bottom"/>
          </w:tcPr>
          <w:p>
            <w:pPr>
              <w:spacing w:after="0"/>
              <w:rPr>
                <w:sz w:val="20"/>
                <w:szCs w:val="20"/>
                <w:color w:val="auto"/>
              </w:rPr>
            </w:pPr>
            <w:r>
              <w:rPr>
                <w:rFonts w:ascii="Arial" w:cs="Arial" w:eastAsia="Arial" w:hAnsi="Arial"/>
                <w:sz w:val="16"/>
                <w:szCs w:val="16"/>
                <w:color w:val="auto"/>
              </w:rPr>
              <w:t>Twelve months or greater</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w:t>
            </w:r>
          </w:p>
        </w:tc>
        <w:tc>
          <w:tcPr>
            <w:tcW w:w="80" w:type="dxa"/>
            <w:vAlign w:val="bottom"/>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1,159</w:t>
            </w:r>
          </w:p>
        </w:tc>
        <w:tc>
          <w:tcPr>
            <w:tcW w:w="40" w:type="dxa"/>
            <w:vAlign w:val="bottom"/>
            <w:tcBorders>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750</w:t>
            </w:r>
          </w:p>
        </w:tc>
        <w:tc>
          <w:tcPr>
            <w:tcW w:w="8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(409)</w:t>
            </w:r>
          </w:p>
        </w:tc>
        <w:tc>
          <w:tcPr>
            <w:tcW w:w="0" w:type="dxa"/>
            <w:vAlign w:val="bottom"/>
          </w:tcPr>
          <w:p>
            <w:pPr>
              <w:spacing w:after="0"/>
              <w:rPr>
                <w:sz w:val="1"/>
                <w:szCs w:val="1"/>
                <w:color w:val="auto"/>
              </w:rPr>
            </w:pPr>
          </w:p>
        </w:tc>
      </w:tr>
      <w:tr>
        <w:trPr>
          <w:trHeight w:val="215"/>
        </w:trPr>
        <w:tc>
          <w:tcPr>
            <w:tcW w:w="3960" w:type="dxa"/>
            <w:vAlign w:val="bottom"/>
          </w:tcPr>
          <w:p>
            <w:pPr>
              <w:ind w:left="220"/>
              <w:spacing w:after="0"/>
              <w:rPr>
                <w:sz w:val="20"/>
                <w:szCs w:val="20"/>
                <w:color w:val="auto"/>
              </w:rPr>
            </w:pPr>
            <w:r>
              <w:rPr>
                <w:rFonts w:ascii="Arial" w:cs="Arial" w:eastAsia="Arial" w:hAnsi="Arial"/>
                <w:sz w:val="16"/>
                <w:szCs w:val="16"/>
                <w:color w:val="auto"/>
              </w:rPr>
              <w:t>Total investment grade</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w:t>
            </w:r>
          </w:p>
        </w:tc>
        <w:tc>
          <w:tcPr>
            <w:tcW w:w="8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1,159</w:t>
            </w:r>
          </w:p>
        </w:tc>
        <w:tc>
          <w:tcPr>
            <w:tcW w:w="4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750</w:t>
            </w: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(409)</w:t>
            </w:r>
          </w:p>
        </w:tc>
        <w:tc>
          <w:tcPr>
            <w:tcW w:w="0" w:type="dxa"/>
            <w:vAlign w:val="bottom"/>
          </w:tcPr>
          <w:p>
            <w:pPr>
              <w:spacing w:after="0"/>
              <w:rPr>
                <w:sz w:val="1"/>
                <w:szCs w:val="1"/>
                <w:color w:val="auto"/>
              </w:rPr>
            </w:pPr>
          </w:p>
        </w:tc>
      </w:tr>
      <w:tr>
        <w:trPr>
          <w:trHeight w:val="429"/>
        </w:trPr>
        <w:tc>
          <w:tcPr>
            <w:tcW w:w="3960" w:type="dxa"/>
            <w:vAlign w:val="bottom"/>
          </w:tcPr>
          <w:p>
            <w:pPr>
              <w:spacing w:after="0"/>
              <w:rPr>
                <w:sz w:val="20"/>
                <w:szCs w:val="20"/>
                <w:color w:val="auto"/>
              </w:rPr>
            </w:pPr>
            <w:r>
              <w:rPr>
                <w:rFonts w:ascii="Arial" w:cs="Arial" w:eastAsia="Arial" w:hAnsi="Arial"/>
                <w:sz w:val="16"/>
                <w:szCs w:val="16"/>
                <w:b w:val="1"/>
                <w:bCs w:val="1"/>
                <w:color w:val="auto"/>
              </w:rPr>
              <w:t>Below investment grade:</w:t>
            </w: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5"/>
        </w:trPr>
        <w:tc>
          <w:tcPr>
            <w:tcW w:w="3960" w:type="dxa"/>
            <w:vAlign w:val="bottom"/>
          </w:tcPr>
          <w:p>
            <w:pPr>
              <w:spacing w:after="0"/>
              <w:rPr>
                <w:sz w:val="20"/>
                <w:szCs w:val="20"/>
                <w:color w:val="auto"/>
              </w:rPr>
            </w:pPr>
            <w:r>
              <w:rPr>
                <w:rFonts w:ascii="Arial" w:cs="Arial" w:eastAsia="Arial" w:hAnsi="Arial"/>
                <w:sz w:val="16"/>
                <w:szCs w:val="16"/>
                <w:color w:val="auto"/>
              </w:rPr>
              <w:t>Less than six months</w:t>
            </w:r>
          </w:p>
        </w:tc>
        <w:tc>
          <w:tcPr>
            <w:tcW w:w="1160" w:type="dxa"/>
            <w:vAlign w:val="bottom"/>
          </w:tcPr>
          <w:p>
            <w:pPr>
              <w:jc w:val="right"/>
              <w:spacing w:after="0"/>
              <w:rPr>
                <w:sz w:val="20"/>
                <w:szCs w:val="20"/>
                <w:color w:val="auto"/>
              </w:rPr>
            </w:pPr>
            <w:r>
              <w:rPr>
                <w:rFonts w:ascii="Arial" w:cs="Arial" w:eastAsia="Arial" w:hAnsi="Arial"/>
                <w:sz w:val="16"/>
                <w:szCs w:val="16"/>
                <w:color w:val="auto"/>
              </w:rPr>
              <w:t>3</w:t>
            </w: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35</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17</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(18)</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5"/>
        </w:trPr>
        <w:tc>
          <w:tcPr>
            <w:tcW w:w="3960" w:type="dxa"/>
            <w:vAlign w:val="bottom"/>
          </w:tcPr>
          <w:p>
            <w:pPr>
              <w:spacing w:after="0"/>
              <w:rPr>
                <w:sz w:val="20"/>
                <w:szCs w:val="20"/>
                <w:color w:val="auto"/>
              </w:rPr>
            </w:pPr>
            <w:r>
              <w:rPr>
                <w:rFonts w:ascii="Arial" w:cs="Arial" w:eastAsia="Arial" w:hAnsi="Arial"/>
                <w:sz w:val="16"/>
                <w:szCs w:val="16"/>
                <w:color w:val="auto"/>
              </w:rPr>
              <w:t>Six months or more and less than twelve months</w:t>
            </w:r>
          </w:p>
        </w:tc>
        <w:tc>
          <w:tcPr>
            <w:tcW w:w="1160" w:type="dxa"/>
            <w:vAlign w:val="bottom"/>
          </w:tcPr>
          <w:p>
            <w:pPr>
              <w:jc w:val="right"/>
              <w:spacing w:after="0"/>
              <w:rPr>
                <w:sz w:val="20"/>
                <w:szCs w:val="20"/>
                <w:color w:val="auto"/>
              </w:rPr>
            </w:pPr>
            <w:r>
              <w:rPr>
                <w:rFonts w:ascii="Arial" w:cs="Arial" w:eastAsia="Arial" w:hAnsi="Arial"/>
                <w:sz w:val="16"/>
                <w:szCs w:val="16"/>
                <w:color w:val="auto"/>
              </w:rPr>
              <w:t>2</w:t>
            </w: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33</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32</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42"/>
        </w:trPr>
        <w:tc>
          <w:tcPr>
            <w:tcW w:w="3960" w:type="dxa"/>
            <w:vAlign w:val="bottom"/>
          </w:tcPr>
          <w:p>
            <w:pPr>
              <w:spacing w:after="0"/>
              <w:rPr>
                <w:sz w:val="20"/>
                <w:szCs w:val="20"/>
                <w:color w:val="auto"/>
              </w:rPr>
            </w:pPr>
            <w:r>
              <w:rPr>
                <w:rFonts w:ascii="Arial" w:cs="Arial" w:eastAsia="Arial" w:hAnsi="Arial"/>
                <w:sz w:val="16"/>
                <w:szCs w:val="16"/>
                <w:color w:val="auto"/>
              </w:rPr>
              <w:t>Twelve months or greater</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w:t>
            </w:r>
          </w:p>
        </w:tc>
        <w:tc>
          <w:tcPr>
            <w:tcW w:w="80" w:type="dxa"/>
            <w:vAlign w:val="bottom"/>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119</w:t>
            </w:r>
          </w:p>
        </w:tc>
        <w:tc>
          <w:tcPr>
            <w:tcW w:w="40" w:type="dxa"/>
            <w:vAlign w:val="bottom"/>
            <w:tcBorders>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94</w:t>
            </w:r>
          </w:p>
        </w:tc>
        <w:tc>
          <w:tcPr>
            <w:tcW w:w="8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215"/>
        </w:trPr>
        <w:tc>
          <w:tcPr>
            <w:tcW w:w="3960" w:type="dxa"/>
            <w:vAlign w:val="bottom"/>
          </w:tcPr>
          <w:p>
            <w:pPr>
              <w:ind w:left="220"/>
              <w:spacing w:after="0"/>
              <w:rPr>
                <w:sz w:val="20"/>
                <w:szCs w:val="20"/>
                <w:color w:val="auto"/>
              </w:rPr>
            </w:pPr>
            <w:r>
              <w:rPr>
                <w:rFonts w:ascii="Arial" w:cs="Arial" w:eastAsia="Arial" w:hAnsi="Arial"/>
                <w:sz w:val="16"/>
                <w:szCs w:val="16"/>
                <w:color w:val="auto"/>
              </w:rPr>
              <w:t>Total below investment grade</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w:t>
            </w:r>
          </w:p>
        </w:tc>
        <w:tc>
          <w:tcPr>
            <w:tcW w:w="8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187</w:t>
            </w:r>
          </w:p>
        </w:tc>
        <w:tc>
          <w:tcPr>
            <w:tcW w:w="4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143</w:t>
            </w: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w:t>
            </w:r>
          </w:p>
        </w:tc>
        <w:tc>
          <w:tcPr>
            <w:tcW w:w="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w:t>
            </w:r>
          </w:p>
        </w:tc>
        <w:tc>
          <w:tcPr>
            <w:tcW w:w="0" w:type="dxa"/>
            <w:vAlign w:val="bottom"/>
          </w:tcPr>
          <w:p>
            <w:pPr>
              <w:spacing w:after="0"/>
              <w:rPr>
                <w:sz w:val="1"/>
                <w:szCs w:val="1"/>
                <w:color w:val="auto"/>
              </w:rPr>
            </w:pPr>
          </w:p>
        </w:tc>
      </w:tr>
      <w:tr>
        <w:trPr>
          <w:trHeight w:val="196"/>
        </w:trPr>
        <w:tc>
          <w:tcPr>
            <w:tcW w:w="3960" w:type="dxa"/>
            <w:vAlign w:val="bottom"/>
          </w:tcPr>
          <w:p>
            <w:pPr>
              <w:spacing w:after="0"/>
              <w:rPr>
                <w:sz w:val="20"/>
                <w:szCs w:val="20"/>
                <w:color w:val="auto"/>
              </w:rPr>
            </w:pPr>
            <w:r>
              <w:rPr>
                <w:rFonts w:ascii="Arial" w:cs="Arial" w:eastAsia="Arial" w:hAnsi="Arial"/>
                <w:sz w:val="16"/>
                <w:szCs w:val="16"/>
                <w:b w:val="1"/>
                <w:bCs w:val="1"/>
                <w:color w:val="auto"/>
              </w:rPr>
              <w:t>Total</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92</w:t>
            </w:r>
          </w:p>
        </w:tc>
        <w:tc>
          <w:tcPr>
            <w:tcW w:w="80" w:type="dxa"/>
            <w:vAlign w:val="bottom"/>
          </w:tcPr>
          <w:p>
            <w:pPr>
              <w:spacing w:after="0"/>
              <w:rPr>
                <w:sz w:val="17"/>
                <w:szCs w:val="17"/>
                <w:color w:val="auto"/>
              </w:rPr>
            </w:pPr>
          </w:p>
        </w:tc>
        <w:tc>
          <w:tcPr>
            <w:tcW w:w="44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1,346</w:t>
            </w:r>
          </w:p>
        </w:tc>
        <w:tc>
          <w:tcPr>
            <w:tcW w:w="4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893</w:t>
            </w:r>
          </w:p>
        </w:tc>
        <w:tc>
          <w:tcPr>
            <w:tcW w:w="8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w:t>
            </w:r>
          </w:p>
        </w:tc>
        <w:tc>
          <w:tcPr>
            <w:tcW w:w="6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(435)</w:t>
            </w:r>
          </w:p>
        </w:tc>
        <w:tc>
          <w:tcPr>
            <w:tcW w:w="0" w:type="dxa"/>
            <w:vAlign w:val="bottom"/>
          </w:tcPr>
          <w:p>
            <w:pPr>
              <w:spacing w:after="0"/>
              <w:rPr>
                <w:sz w:val="1"/>
                <w:szCs w:val="1"/>
                <w:color w:val="auto"/>
              </w:rPr>
            </w:pPr>
          </w:p>
        </w:tc>
      </w:tr>
      <w:tr>
        <w:trPr>
          <w:trHeight w:val="20"/>
        </w:trPr>
        <w:tc>
          <w:tcPr>
            <w:tcW w:w="396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9"/>
        </w:trPr>
        <w:tc>
          <w:tcPr>
            <w:tcW w:w="3960" w:type="dxa"/>
            <w:vAlign w:val="bottom"/>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gridSpan w:val="5"/>
          </w:tcPr>
          <w:p>
            <w:pPr>
              <w:jc w:val="center"/>
              <w:ind w:right="80"/>
              <w:spacing w:after="0"/>
              <w:rPr>
                <w:sz w:val="20"/>
                <w:szCs w:val="20"/>
                <w:color w:val="auto"/>
              </w:rPr>
            </w:pPr>
            <w:r>
              <w:rPr>
                <w:rFonts w:ascii="Arial" w:cs="Arial" w:eastAsia="Arial" w:hAnsi="Arial"/>
                <w:sz w:val="16"/>
                <w:szCs w:val="16"/>
                <w:b w:val="1"/>
                <w:bCs w:val="1"/>
                <w:color w:val="auto"/>
                <w:w w:val="88"/>
              </w:rPr>
              <w:t>December 31, 2024</w:t>
            </w:r>
          </w:p>
        </w:tc>
        <w:tc>
          <w:tcPr>
            <w:tcW w:w="1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28"/>
        </w:trPr>
        <w:tc>
          <w:tcPr>
            <w:tcW w:w="3960" w:type="dxa"/>
            <w:vAlign w:val="bottom"/>
          </w:tcPr>
          <w:p>
            <w:pPr>
              <w:spacing w:after="0"/>
              <w:rPr>
                <w:sz w:val="11"/>
                <w:szCs w:val="11"/>
                <w:color w:val="auto"/>
              </w:rPr>
            </w:pPr>
          </w:p>
        </w:tc>
        <w:tc>
          <w:tcPr>
            <w:tcW w:w="116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89"/>
              </w:rPr>
              <w:t>Number of</w:t>
            </w: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gridSpan w:val="2"/>
            <w:vMerge w:val="restart"/>
          </w:tcPr>
          <w:p>
            <w:pPr>
              <w:jc w:val="center"/>
              <w:spacing w:after="0"/>
              <w:rPr>
                <w:sz w:val="20"/>
                <w:szCs w:val="20"/>
                <w:color w:val="auto"/>
              </w:rPr>
            </w:pPr>
            <w:r>
              <w:rPr>
                <w:rFonts w:ascii="Arial" w:cs="Arial" w:eastAsia="Arial" w:hAnsi="Arial"/>
                <w:sz w:val="16"/>
                <w:szCs w:val="16"/>
                <w:b w:val="1"/>
                <w:bCs w:val="1"/>
                <w:color w:val="auto"/>
                <w:w w:val="89"/>
              </w:rPr>
              <w:t>Allowance for</w:t>
            </w: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jc w:val="center"/>
              <w:ind w:right="63"/>
              <w:spacing w:after="0" w:line="128" w:lineRule="exact"/>
              <w:rPr>
                <w:sz w:val="20"/>
                <w:szCs w:val="20"/>
                <w:color w:val="auto"/>
              </w:rPr>
            </w:pPr>
            <w:r>
              <w:rPr>
                <w:rFonts w:ascii="Arial" w:cs="Arial" w:eastAsia="Arial" w:hAnsi="Arial"/>
                <w:sz w:val="13"/>
                <w:szCs w:val="13"/>
                <w:b w:val="1"/>
                <w:bCs w:val="1"/>
                <w:color w:val="auto"/>
              </w:rPr>
              <w:t>Gross</w:t>
            </w:r>
          </w:p>
        </w:tc>
        <w:tc>
          <w:tcPr>
            <w:tcW w:w="0" w:type="dxa"/>
            <w:vAlign w:val="bottom"/>
          </w:tcPr>
          <w:p>
            <w:pPr>
              <w:spacing w:after="0"/>
              <w:rPr>
                <w:sz w:val="1"/>
                <w:szCs w:val="1"/>
                <w:color w:val="auto"/>
              </w:rPr>
            </w:pPr>
          </w:p>
        </w:tc>
      </w:tr>
      <w:tr>
        <w:trPr>
          <w:trHeight w:val="157"/>
        </w:trPr>
        <w:tc>
          <w:tcPr>
            <w:tcW w:w="3960" w:type="dxa"/>
            <w:vAlign w:val="bottom"/>
          </w:tcPr>
          <w:p>
            <w:pPr>
              <w:spacing w:after="0"/>
              <w:rPr>
                <w:sz w:val="13"/>
                <w:szCs w:val="13"/>
                <w:color w:val="auto"/>
              </w:rPr>
            </w:pPr>
          </w:p>
        </w:tc>
        <w:tc>
          <w:tcPr>
            <w:tcW w:w="116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140" w:type="dxa"/>
            <w:vAlign w:val="bottom"/>
            <w:gridSpan w:val="2"/>
            <w:vMerge w:val="restart"/>
          </w:tcPr>
          <w:p>
            <w:pPr>
              <w:ind w:left="60"/>
              <w:spacing w:after="0"/>
              <w:rPr>
                <w:sz w:val="20"/>
                <w:szCs w:val="20"/>
                <w:color w:val="auto"/>
              </w:rPr>
            </w:pPr>
            <w:r>
              <w:rPr>
                <w:rFonts w:ascii="Arial" w:cs="Arial" w:eastAsia="Arial" w:hAnsi="Arial"/>
                <w:sz w:val="16"/>
                <w:szCs w:val="16"/>
                <w:b w:val="1"/>
                <w:bCs w:val="1"/>
                <w:color w:val="auto"/>
                <w:w w:val="89"/>
              </w:rPr>
              <w:t>Amortized Cost</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vMerge w:val="restart"/>
          </w:tcPr>
          <w:p>
            <w:pPr>
              <w:jc w:val="right"/>
              <w:ind w:right="142"/>
              <w:spacing w:after="0"/>
              <w:rPr>
                <w:sz w:val="20"/>
                <w:szCs w:val="20"/>
                <w:color w:val="auto"/>
              </w:rPr>
            </w:pPr>
            <w:r>
              <w:rPr>
                <w:rFonts w:ascii="Arial" w:cs="Arial" w:eastAsia="Arial" w:hAnsi="Arial"/>
                <w:sz w:val="16"/>
                <w:szCs w:val="16"/>
                <w:b w:val="1"/>
                <w:bCs w:val="1"/>
                <w:color w:val="auto"/>
                <w:w w:val="99"/>
              </w:rPr>
              <w:t>Fair Value</w:t>
            </w:r>
          </w:p>
        </w:tc>
        <w:tc>
          <w:tcPr>
            <w:tcW w:w="80" w:type="dxa"/>
            <w:vAlign w:val="bottom"/>
            <w:vMerge w:val="restart"/>
          </w:tcPr>
          <w:p>
            <w:pPr>
              <w:spacing w:after="0"/>
              <w:rPr>
                <w:sz w:val="13"/>
                <w:szCs w:val="13"/>
                <w:color w:val="auto"/>
              </w:rPr>
            </w:pPr>
          </w:p>
        </w:tc>
        <w:tc>
          <w:tcPr>
            <w:tcW w:w="1180" w:type="dxa"/>
            <w:vAlign w:val="bottom"/>
            <w:gridSpan w:val="2"/>
            <w:vMerge w:val="continue"/>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jc w:val="center"/>
              <w:ind w:right="63"/>
              <w:spacing w:after="0" w:line="157" w:lineRule="exact"/>
              <w:rPr>
                <w:sz w:val="20"/>
                <w:szCs w:val="20"/>
                <w:color w:val="auto"/>
              </w:rPr>
            </w:pPr>
            <w:r>
              <w:rPr>
                <w:rFonts w:ascii="Arial" w:cs="Arial" w:eastAsia="Arial" w:hAnsi="Arial"/>
                <w:sz w:val="16"/>
                <w:szCs w:val="16"/>
                <w:b w:val="1"/>
                <w:bCs w:val="1"/>
                <w:color w:val="auto"/>
                <w:w w:val="88"/>
              </w:rPr>
              <w:t>Unrealized</w:t>
            </w:r>
          </w:p>
        </w:tc>
        <w:tc>
          <w:tcPr>
            <w:tcW w:w="0" w:type="dxa"/>
            <w:vAlign w:val="bottom"/>
          </w:tcPr>
          <w:p>
            <w:pPr>
              <w:spacing w:after="0"/>
              <w:rPr>
                <w:sz w:val="1"/>
                <w:szCs w:val="1"/>
                <w:color w:val="auto"/>
              </w:rPr>
            </w:pPr>
          </w:p>
        </w:tc>
      </w:tr>
      <w:tr>
        <w:trPr>
          <w:trHeight w:val="210"/>
        </w:trPr>
        <w:tc>
          <w:tcPr>
            <w:tcW w:w="3960" w:type="dxa"/>
            <w:vAlign w:val="bottom"/>
          </w:tcPr>
          <w:p>
            <w:pPr>
              <w:spacing w:after="0"/>
              <w:rPr>
                <w:sz w:val="18"/>
                <w:szCs w:val="18"/>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3"/>
              </w:rPr>
              <w:t>Securities</w:t>
            </w:r>
          </w:p>
        </w:tc>
        <w:tc>
          <w:tcPr>
            <w:tcW w:w="80" w:type="dxa"/>
            <w:vAlign w:val="bottom"/>
          </w:tcPr>
          <w:p>
            <w:pPr>
              <w:spacing w:after="0"/>
              <w:rPr>
                <w:sz w:val="18"/>
                <w:szCs w:val="18"/>
                <w:color w:val="auto"/>
              </w:rPr>
            </w:pPr>
          </w:p>
        </w:tc>
        <w:tc>
          <w:tcPr>
            <w:tcW w:w="1140" w:type="dxa"/>
            <w:vAlign w:val="bottom"/>
            <w:tcBorders>
              <w:bottom w:val="single" w:sz="8" w:color="auto"/>
            </w:tcBorders>
            <w:gridSpan w:val="2"/>
            <w:vMerge w:val="continue"/>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vMerge w:val="continue"/>
          </w:tcPr>
          <w:p>
            <w:pPr>
              <w:spacing w:after="0"/>
              <w:rPr>
                <w:sz w:val="18"/>
                <w:szCs w:val="18"/>
                <w:color w:val="auto"/>
              </w:rPr>
            </w:pPr>
          </w:p>
        </w:tc>
        <w:tc>
          <w:tcPr>
            <w:tcW w:w="80" w:type="dxa"/>
            <w:vAlign w:val="bottom"/>
            <w:vMerge w:val="continue"/>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center"/>
              <w:ind w:right="82"/>
              <w:spacing w:after="0"/>
              <w:rPr>
                <w:sz w:val="20"/>
                <w:szCs w:val="20"/>
                <w:color w:val="auto"/>
              </w:rPr>
            </w:pPr>
            <w:r>
              <w:rPr>
                <w:rFonts w:ascii="Arial" w:cs="Arial" w:eastAsia="Arial" w:hAnsi="Arial"/>
                <w:sz w:val="16"/>
                <w:szCs w:val="16"/>
                <w:b w:val="1"/>
                <w:bCs w:val="1"/>
                <w:color w:val="auto"/>
                <w:w w:val="88"/>
              </w:rPr>
              <w:t>Credit Loss</w:t>
            </w:r>
          </w:p>
        </w:tc>
        <w:tc>
          <w:tcPr>
            <w:tcW w:w="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center"/>
              <w:ind w:right="63"/>
              <w:spacing w:after="0"/>
              <w:rPr>
                <w:sz w:val="20"/>
                <w:szCs w:val="20"/>
                <w:color w:val="auto"/>
              </w:rPr>
            </w:pPr>
            <w:r>
              <w:rPr>
                <w:rFonts w:ascii="Arial" w:cs="Arial" w:eastAsia="Arial" w:hAnsi="Arial"/>
                <w:sz w:val="16"/>
                <w:szCs w:val="16"/>
                <w:b w:val="1"/>
                <w:bCs w:val="1"/>
                <w:color w:val="auto"/>
                <w:w w:val="79"/>
              </w:rPr>
              <w:t>Losses</w:t>
            </w:r>
          </w:p>
        </w:tc>
        <w:tc>
          <w:tcPr>
            <w:tcW w:w="0" w:type="dxa"/>
            <w:vAlign w:val="bottom"/>
          </w:tcPr>
          <w:p>
            <w:pPr>
              <w:spacing w:after="0"/>
              <w:rPr>
                <w:sz w:val="1"/>
                <w:szCs w:val="1"/>
                <w:color w:val="auto"/>
              </w:rPr>
            </w:pPr>
          </w:p>
        </w:tc>
      </w:tr>
      <w:tr>
        <w:trPr>
          <w:trHeight w:val="208"/>
        </w:trPr>
        <w:tc>
          <w:tcPr>
            <w:tcW w:w="3960" w:type="dxa"/>
            <w:vAlign w:val="bottom"/>
          </w:tcPr>
          <w:p>
            <w:pPr>
              <w:spacing w:after="0"/>
              <w:rPr>
                <w:sz w:val="20"/>
                <w:szCs w:val="20"/>
                <w:color w:val="auto"/>
              </w:rPr>
            </w:pPr>
            <w:r>
              <w:rPr>
                <w:rFonts w:ascii="Arial" w:cs="Arial" w:eastAsia="Arial" w:hAnsi="Arial"/>
                <w:sz w:val="16"/>
                <w:szCs w:val="16"/>
                <w:b w:val="1"/>
                <w:bCs w:val="1"/>
                <w:color w:val="auto"/>
              </w:rPr>
              <w:t>Investment grade:</w:t>
            </w: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60" w:type="dxa"/>
            <w:vAlign w:val="bottom"/>
            <w:gridSpan w:val="6"/>
          </w:tcPr>
          <w:p>
            <w:pPr>
              <w:jc w:val="center"/>
              <w:ind w:left="542"/>
              <w:spacing w:after="0"/>
              <w:rPr>
                <w:sz w:val="20"/>
                <w:szCs w:val="20"/>
                <w:color w:val="auto"/>
              </w:rPr>
            </w:pPr>
            <w:r>
              <w:rPr>
                <w:rFonts w:ascii="Arial" w:cs="Arial" w:eastAsia="Arial" w:hAnsi="Arial"/>
                <w:sz w:val="16"/>
                <w:szCs w:val="16"/>
                <w:b w:val="1"/>
                <w:bCs w:val="1"/>
                <w:color w:val="auto"/>
                <w:w w:val="88"/>
              </w:rPr>
              <w:t>(Dollars in millions)</w:t>
            </w: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3960" w:type="dxa"/>
            <w:vAlign w:val="bottom"/>
          </w:tcPr>
          <w:p>
            <w:pPr>
              <w:spacing w:after="0"/>
              <w:rPr>
                <w:sz w:val="20"/>
                <w:szCs w:val="20"/>
                <w:color w:val="auto"/>
              </w:rPr>
            </w:pPr>
            <w:r>
              <w:rPr>
                <w:rFonts w:ascii="Arial" w:cs="Arial" w:eastAsia="Arial" w:hAnsi="Arial"/>
                <w:sz w:val="16"/>
                <w:szCs w:val="16"/>
                <w:color w:val="auto"/>
              </w:rPr>
              <w:t>Less than six months</w:t>
            </w:r>
          </w:p>
        </w:tc>
        <w:tc>
          <w:tcPr>
            <w:tcW w:w="1160" w:type="dxa"/>
            <w:vAlign w:val="bottom"/>
          </w:tcPr>
          <w:p>
            <w:pPr>
              <w:jc w:val="right"/>
              <w:spacing w:after="0"/>
              <w:rPr>
                <w:sz w:val="20"/>
                <w:szCs w:val="20"/>
                <w:color w:val="auto"/>
              </w:rPr>
            </w:pPr>
            <w:r>
              <w:rPr>
                <w:rFonts w:ascii="Arial" w:cs="Arial" w:eastAsia="Arial" w:hAnsi="Arial"/>
                <w:sz w:val="16"/>
                <w:szCs w:val="16"/>
                <w:color w:val="auto"/>
              </w:rPr>
              <w:t>8</w:t>
            </w:r>
          </w:p>
        </w:tc>
        <w:tc>
          <w:tcPr>
            <w:tcW w:w="520" w:type="dxa"/>
            <w:vAlign w:val="bottom"/>
            <w:gridSpan w:val="2"/>
          </w:tcPr>
          <w:p>
            <w:pPr>
              <w:ind w:left="140"/>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54</w:t>
            </w:r>
          </w:p>
        </w:tc>
        <w:tc>
          <w:tcPr>
            <w:tcW w:w="28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52</w:t>
            </w:r>
          </w:p>
        </w:tc>
        <w:tc>
          <w:tcPr>
            <w:tcW w:w="8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35"/>
        </w:trPr>
        <w:tc>
          <w:tcPr>
            <w:tcW w:w="3960" w:type="dxa"/>
            <w:vAlign w:val="bottom"/>
          </w:tcPr>
          <w:p>
            <w:pPr>
              <w:spacing w:after="0"/>
              <w:rPr>
                <w:sz w:val="20"/>
                <w:szCs w:val="20"/>
                <w:color w:val="auto"/>
              </w:rPr>
            </w:pPr>
            <w:r>
              <w:rPr>
                <w:rFonts w:ascii="Arial" w:cs="Arial" w:eastAsia="Arial" w:hAnsi="Arial"/>
                <w:sz w:val="16"/>
                <w:szCs w:val="16"/>
                <w:color w:val="auto"/>
              </w:rPr>
              <w:t>Six months or more and less than twelve months</w:t>
            </w: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2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2"/>
        </w:trPr>
        <w:tc>
          <w:tcPr>
            <w:tcW w:w="3960" w:type="dxa"/>
            <w:vAlign w:val="bottom"/>
          </w:tcPr>
          <w:p>
            <w:pPr>
              <w:spacing w:after="0"/>
              <w:rPr>
                <w:sz w:val="20"/>
                <w:szCs w:val="20"/>
                <w:color w:val="auto"/>
              </w:rPr>
            </w:pPr>
            <w:r>
              <w:rPr>
                <w:rFonts w:ascii="Arial" w:cs="Arial" w:eastAsia="Arial" w:hAnsi="Arial"/>
                <w:sz w:val="16"/>
                <w:szCs w:val="16"/>
                <w:color w:val="auto"/>
              </w:rPr>
              <w:t>Twelve months or greater</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107</w:t>
            </w:r>
          </w:p>
        </w:tc>
        <w:tc>
          <w:tcPr>
            <w:tcW w:w="80" w:type="dxa"/>
            <w:vAlign w:val="bottom"/>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1,443</w:t>
            </w:r>
          </w:p>
        </w:tc>
        <w:tc>
          <w:tcPr>
            <w:tcW w:w="40" w:type="dxa"/>
            <w:vAlign w:val="bottom"/>
            <w:tcBorders>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959</w:t>
            </w:r>
          </w:p>
        </w:tc>
        <w:tc>
          <w:tcPr>
            <w:tcW w:w="8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(484)</w:t>
            </w:r>
          </w:p>
        </w:tc>
        <w:tc>
          <w:tcPr>
            <w:tcW w:w="0" w:type="dxa"/>
            <w:vAlign w:val="bottom"/>
          </w:tcPr>
          <w:p>
            <w:pPr>
              <w:spacing w:after="0"/>
              <w:rPr>
                <w:sz w:val="1"/>
                <w:szCs w:val="1"/>
                <w:color w:val="auto"/>
              </w:rPr>
            </w:pPr>
          </w:p>
        </w:tc>
      </w:tr>
      <w:tr>
        <w:trPr>
          <w:trHeight w:val="215"/>
        </w:trPr>
        <w:tc>
          <w:tcPr>
            <w:tcW w:w="3960" w:type="dxa"/>
            <w:vAlign w:val="bottom"/>
          </w:tcPr>
          <w:p>
            <w:pPr>
              <w:ind w:left="220"/>
              <w:spacing w:after="0"/>
              <w:rPr>
                <w:sz w:val="20"/>
                <w:szCs w:val="20"/>
                <w:color w:val="auto"/>
              </w:rPr>
            </w:pPr>
            <w:r>
              <w:rPr>
                <w:rFonts w:ascii="Arial" w:cs="Arial" w:eastAsia="Arial" w:hAnsi="Arial"/>
                <w:sz w:val="16"/>
                <w:szCs w:val="16"/>
                <w:color w:val="auto"/>
              </w:rPr>
              <w:t>Total investment grade</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115</w:t>
            </w:r>
          </w:p>
        </w:tc>
        <w:tc>
          <w:tcPr>
            <w:tcW w:w="8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1,497</w:t>
            </w:r>
          </w:p>
        </w:tc>
        <w:tc>
          <w:tcPr>
            <w:tcW w:w="4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1,011</w:t>
            </w: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(486)</w:t>
            </w:r>
          </w:p>
        </w:tc>
        <w:tc>
          <w:tcPr>
            <w:tcW w:w="0" w:type="dxa"/>
            <w:vAlign w:val="bottom"/>
          </w:tcPr>
          <w:p>
            <w:pPr>
              <w:spacing w:after="0"/>
              <w:rPr>
                <w:sz w:val="1"/>
                <w:szCs w:val="1"/>
                <w:color w:val="auto"/>
              </w:rPr>
            </w:pPr>
          </w:p>
        </w:tc>
      </w:tr>
      <w:tr>
        <w:trPr>
          <w:trHeight w:val="458"/>
        </w:trPr>
        <w:tc>
          <w:tcPr>
            <w:tcW w:w="3960" w:type="dxa"/>
            <w:vAlign w:val="bottom"/>
          </w:tcPr>
          <w:p>
            <w:pPr>
              <w:spacing w:after="0"/>
              <w:rPr>
                <w:sz w:val="20"/>
                <w:szCs w:val="20"/>
                <w:color w:val="auto"/>
              </w:rPr>
            </w:pPr>
            <w:r>
              <w:rPr>
                <w:rFonts w:ascii="Arial" w:cs="Arial" w:eastAsia="Arial" w:hAnsi="Arial"/>
                <w:sz w:val="16"/>
                <w:szCs w:val="16"/>
                <w:b w:val="1"/>
                <w:bCs w:val="1"/>
                <w:color w:val="auto"/>
              </w:rPr>
              <w:t>Below investment grade:</w:t>
            </w: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5"/>
        </w:trPr>
        <w:tc>
          <w:tcPr>
            <w:tcW w:w="3960" w:type="dxa"/>
            <w:vAlign w:val="bottom"/>
          </w:tcPr>
          <w:p>
            <w:pPr>
              <w:spacing w:after="0"/>
              <w:rPr>
                <w:sz w:val="20"/>
                <w:szCs w:val="20"/>
                <w:color w:val="auto"/>
              </w:rPr>
            </w:pPr>
            <w:r>
              <w:rPr>
                <w:rFonts w:ascii="Arial" w:cs="Arial" w:eastAsia="Arial" w:hAnsi="Arial"/>
                <w:sz w:val="16"/>
                <w:szCs w:val="16"/>
                <w:color w:val="auto"/>
              </w:rPr>
              <w:t>Less than six months</w:t>
            </w: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2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5"/>
        </w:trPr>
        <w:tc>
          <w:tcPr>
            <w:tcW w:w="3960" w:type="dxa"/>
            <w:vAlign w:val="bottom"/>
          </w:tcPr>
          <w:p>
            <w:pPr>
              <w:spacing w:after="0"/>
              <w:rPr>
                <w:sz w:val="20"/>
                <w:szCs w:val="20"/>
                <w:color w:val="auto"/>
              </w:rPr>
            </w:pPr>
            <w:r>
              <w:rPr>
                <w:rFonts w:ascii="Arial" w:cs="Arial" w:eastAsia="Arial" w:hAnsi="Arial"/>
                <w:sz w:val="16"/>
                <w:szCs w:val="16"/>
                <w:color w:val="auto"/>
              </w:rPr>
              <w:t>Six months or more and less than twelve months</w:t>
            </w: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2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2"/>
        </w:trPr>
        <w:tc>
          <w:tcPr>
            <w:tcW w:w="3960" w:type="dxa"/>
            <w:vAlign w:val="bottom"/>
          </w:tcPr>
          <w:p>
            <w:pPr>
              <w:spacing w:after="0"/>
              <w:rPr>
                <w:sz w:val="20"/>
                <w:szCs w:val="20"/>
                <w:color w:val="auto"/>
              </w:rPr>
            </w:pPr>
            <w:r>
              <w:rPr>
                <w:rFonts w:ascii="Arial" w:cs="Arial" w:eastAsia="Arial" w:hAnsi="Arial"/>
                <w:sz w:val="16"/>
                <w:szCs w:val="16"/>
                <w:color w:val="auto"/>
              </w:rPr>
              <w:t>Twelve months or greater</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c>
          <w:tcPr>
            <w:tcW w:w="80" w:type="dxa"/>
            <w:vAlign w:val="bottom"/>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w:t>
            </w:r>
          </w:p>
        </w:tc>
        <w:tc>
          <w:tcPr>
            <w:tcW w:w="40" w:type="dxa"/>
            <w:vAlign w:val="bottom"/>
            <w:tcBorders>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w:t>
            </w:r>
          </w:p>
        </w:tc>
        <w:tc>
          <w:tcPr>
            <w:tcW w:w="8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w:t>
            </w:r>
          </w:p>
        </w:tc>
        <w:tc>
          <w:tcPr>
            <w:tcW w:w="0" w:type="dxa"/>
            <w:vAlign w:val="bottom"/>
          </w:tcPr>
          <w:p>
            <w:pPr>
              <w:spacing w:after="0"/>
              <w:rPr>
                <w:sz w:val="1"/>
                <w:szCs w:val="1"/>
                <w:color w:val="auto"/>
              </w:rPr>
            </w:pPr>
          </w:p>
        </w:tc>
      </w:tr>
      <w:tr>
        <w:trPr>
          <w:trHeight w:val="215"/>
        </w:trPr>
        <w:tc>
          <w:tcPr>
            <w:tcW w:w="3960" w:type="dxa"/>
            <w:vAlign w:val="bottom"/>
          </w:tcPr>
          <w:p>
            <w:pPr>
              <w:ind w:left="220"/>
              <w:spacing w:after="0"/>
              <w:rPr>
                <w:sz w:val="20"/>
                <w:szCs w:val="20"/>
                <w:color w:val="auto"/>
              </w:rPr>
            </w:pPr>
            <w:r>
              <w:rPr>
                <w:rFonts w:ascii="Arial" w:cs="Arial" w:eastAsia="Arial" w:hAnsi="Arial"/>
                <w:sz w:val="16"/>
                <w:szCs w:val="16"/>
                <w:color w:val="auto"/>
              </w:rPr>
              <w:t>Total below investment grade</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c>
          <w:tcPr>
            <w:tcW w:w="8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w:t>
            </w:r>
          </w:p>
        </w:tc>
        <w:tc>
          <w:tcPr>
            <w:tcW w:w="4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w:t>
            </w: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w:t>
            </w:r>
          </w:p>
        </w:tc>
        <w:tc>
          <w:tcPr>
            <w:tcW w:w="0" w:type="dxa"/>
            <w:vAlign w:val="bottom"/>
          </w:tcPr>
          <w:p>
            <w:pPr>
              <w:spacing w:after="0"/>
              <w:rPr>
                <w:sz w:val="1"/>
                <w:szCs w:val="1"/>
                <w:color w:val="auto"/>
              </w:rPr>
            </w:pPr>
          </w:p>
        </w:tc>
      </w:tr>
      <w:tr>
        <w:trPr>
          <w:trHeight w:val="196"/>
        </w:trPr>
        <w:tc>
          <w:tcPr>
            <w:tcW w:w="3960" w:type="dxa"/>
            <w:vAlign w:val="bottom"/>
          </w:tcPr>
          <w:p>
            <w:pPr>
              <w:spacing w:after="0"/>
              <w:rPr>
                <w:sz w:val="20"/>
                <w:szCs w:val="20"/>
                <w:color w:val="auto"/>
              </w:rPr>
            </w:pPr>
            <w:r>
              <w:rPr>
                <w:rFonts w:ascii="Arial" w:cs="Arial" w:eastAsia="Arial" w:hAnsi="Arial"/>
                <w:sz w:val="16"/>
                <w:szCs w:val="16"/>
                <w:b w:val="1"/>
                <w:bCs w:val="1"/>
                <w:color w:val="auto"/>
              </w:rPr>
              <w:t>Total</w:t>
            </w:r>
          </w:p>
        </w:tc>
        <w:tc>
          <w:tcPr>
            <w:tcW w:w="1160" w:type="dxa"/>
            <w:vAlign w:val="bottom"/>
          </w:tcPr>
          <w:p>
            <w:pPr>
              <w:jc w:val="right"/>
              <w:spacing w:after="0"/>
              <w:rPr>
                <w:sz w:val="20"/>
                <w:szCs w:val="20"/>
                <w:color w:val="auto"/>
              </w:rPr>
            </w:pPr>
            <w:r>
              <w:rPr>
                <w:rFonts w:ascii="Arial" w:cs="Arial" w:eastAsia="Arial" w:hAnsi="Arial"/>
                <w:sz w:val="16"/>
                <w:szCs w:val="16"/>
                <w:color w:val="auto"/>
              </w:rPr>
              <w:t>120</w:t>
            </w:r>
          </w:p>
        </w:tc>
        <w:tc>
          <w:tcPr>
            <w:tcW w:w="520" w:type="dxa"/>
            <w:vAlign w:val="bottom"/>
            <w:gridSpan w:val="2"/>
          </w:tcPr>
          <w:p>
            <w:pPr>
              <w:ind w:left="140"/>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1,579</w:t>
            </w:r>
          </w:p>
        </w:tc>
        <w:tc>
          <w:tcPr>
            <w:tcW w:w="28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1,062</w:t>
            </w:r>
          </w:p>
        </w:tc>
        <w:tc>
          <w:tcPr>
            <w:tcW w:w="8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(517)</w:t>
            </w:r>
          </w:p>
        </w:tc>
        <w:tc>
          <w:tcPr>
            <w:tcW w:w="0" w:type="dxa"/>
            <w:vAlign w:val="bottom"/>
          </w:tcPr>
          <w:p>
            <w:pPr>
              <w:spacing w:after="0"/>
              <w:rPr>
                <w:sz w:val="1"/>
                <w:szCs w:val="1"/>
                <w:color w:val="auto"/>
              </w:rPr>
            </w:pPr>
          </w:p>
        </w:tc>
      </w:tr>
      <w:tr>
        <w:trPr>
          <w:trHeight w:val="20"/>
        </w:trPr>
        <w:tc>
          <w:tcPr>
            <w:tcW w:w="396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-4109720</wp:posOffset>
            </wp:positionV>
            <wp:extent cx="6410325" cy="181737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62">
                      <a:extLst>
                        <a:ext uri="{28A0092B-C50C-407E-A947-70E740481C1C}"/>
                      </a:extLst>
                    </a:blip>
                    <a:srcRect/>
                    <a:stretch>
                      <a:fillRect/>
                    </a:stretch>
                  </pic:blipFill>
                  <pic:spPr bwMode="auto">
                    <a:xfrm>
                      <a:off x="0" y="0"/>
                      <a:ext cx="6410325" cy="1817370"/>
                    </a:xfrm>
                    <a:prstGeom prst="rect">
                      <a:avLst/>
                    </a:prstGeom>
                    <a:noFill/>
                  </pic:spPr>
                </pic:pic>
              </a:graphicData>
            </a:graphic>
          </wp:anchor>
        </w:drawing>
        <w:drawing>
          <wp:anchor simplePos="0" relativeHeight="251657728" behindDoc="1" locked="0" layoutInCell="0" allowOverlap="1">
            <wp:simplePos x="0" y="0"/>
            <wp:positionH relativeFrom="column">
              <wp:posOffset>-16510</wp:posOffset>
            </wp:positionH>
            <wp:positionV relativeFrom="paragraph">
              <wp:posOffset>-1682750</wp:posOffset>
            </wp:positionV>
            <wp:extent cx="6410325" cy="183642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63">
                      <a:extLst>
                        <a:ext uri="{28A0092B-C50C-407E-A947-70E740481C1C}"/>
                      </a:extLst>
                    </a:blip>
                    <a:srcRect/>
                    <a:stretch>
                      <a:fillRect/>
                    </a:stretch>
                  </pic:blipFill>
                  <pic:spPr bwMode="auto">
                    <a:xfrm>
                      <a:off x="0" y="0"/>
                      <a:ext cx="6410325" cy="1836420"/>
                    </a:xfrm>
                    <a:prstGeom prst="rect">
                      <a:avLst/>
                    </a:prstGeom>
                    <a:noFill/>
                  </pic:spPr>
                </pic:pic>
              </a:graphicData>
            </a:graphic>
          </wp:anchor>
        </w:drawing>
      </w:r>
    </w:p>
    <w:p>
      <w:pPr>
        <w:sectPr>
          <w:pgSz w:w="11880" w:h="15480" w:orient="portrait"/>
          <w:cols w:equalWidth="0" w:num="1">
            <w:col w:w="10040"/>
          </w:cols>
          <w:pgMar w:left="920" w:top="772"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86</w:t>
      </w:r>
    </w:p>
    <w:p>
      <w:pPr>
        <w:sectPr>
          <w:pgSz w:w="11880" w:h="15480" w:orient="portrait"/>
          <w:cols w:equalWidth="0" w:num="1">
            <w:col w:w="10040"/>
          </w:cols>
          <w:pgMar w:left="920" w:top="772" w:right="920" w:bottom="0" w:gutter="0" w:footer="0" w:header="0"/>
          <w:type w:val="continuous"/>
        </w:sectPr>
      </w:pPr>
    </w:p>
    <w:bookmarkStart w:id="98" w:name="page99"/>
    <w:bookmarkEnd w:id="98"/>
    <w:p>
      <w:pPr>
        <w:spacing w:after="0"/>
        <w:rPr>
          <w:sz w:val="20"/>
          <w:szCs w:val="20"/>
          <w:color w:val="auto"/>
        </w:rPr>
      </w:pPr>
      <w:r>
        <w:rPr>
          <w:rFonts w:ascii="Arial" w:cs="Arial" w:eastAsia="Arial" w:hAnsi="Arial"/>
          <w:sz w:val="20"/>
          <w:szCs w:val="20"/>
          <w:b w:val="1"/>
          <w:bCs w:val="1"/>
          <w:i w:val="1"/>
          <w:iCs w:val="1"/>
          <w:color w:val="auto"/>
        </w:rPr>
        <w:t>Expected Credit Losses and Watch List</w:t>
      </w:r>
    </w:p>
    <w:p>
      <w:pPr>
        <w:spacing w:after="0" w:line="71" w:lineRule="exact"/>
        <w:rPr>
          <w:sz w:val="20"/>
          <w:szCs w:val="20"/>
          <w:color w:val="auto"/>
        </w:rPr>
      </w:pPr>
    </w:p>
    <w:p>
      <w:pPr>
        <w:jc w:val="both"/>
        <w:ind w:firstLine="353"/>
        <w:spacing w:after="0" w:line="312" w:lineRule="auto"/>
        <w:rPr>
          <w:sz w:val="20"/>
          <w:szCs w:val="20"/>
          <w:color w:val="auto"/>
        </w:rPr>
      </w:pPr>
      <w:r>
        <w:rPr>
          <w:rFonts w:ascii="Arial" w:cs="Arial" w:eastAsia="Arial" w:hAnsi="Arial"/>
          <w:sz w:val="17"/>
          <w:szCs w:val="17"/>
          <w:color w:val="auto"/>
        </w:rPr>
        <w:t>F&amp;G prepares a watch list to identify securities to evaluate for expected credit losses. Factors used in preparing the watch list include fair values relative to amortized cost, ratings and negative ratings actions and other factors. Detailed analysis is performed for each security on the watch list to further assess the presence of credit impairment loss indicators and, where present, calculate an allowance for expected credit loss or direct write-down of a security’s amortized cost.</w:t>
      </w:r>
    </w:p>
    <w:p>
      <w:pPr>
        <w:spacing w:after="0" w:line="42" w:lineRule="exact"/>
        <w:rPr>
          <w:sz w:val="20"/>
          <w:szCs w:val="20"/>
          <w:color w:val="auto"/>
        </w:rPr>
      </w:pPr>
    </w:p>
    <w:p>
      <w:pPr>
        <w:jc w:val="both"/>
        <w:ind w:firstLine="353"/>
        <w:spacing w:after="0" w:line="271" w:lineRule="auto"/>
        <w:rPr>
          <w:sz w:val="20"/>
          <w:szCs w:val="20"/>
          <w:color w:val="auto"/>
        </w:rPr>
      </w:pPr>
      <w:r>
        <w:rPr>
          <w:rFonts w:ascii="Arial" w:cs="Arial" w:eastAsia="Arial" w:hAnsi="Arial"/>
          <w:sz w:val="20"/>
          <w:szCs w:val="20"/>
          <w:color w:val="auto"/>
        </w:rPr>
        <w:t>The watch list excludes structured securities as we have separate processes to evaluate the credit quality on the structured securities.</w:t>
      </w:r>
    </w:p>
    <w:p>
      <w:pPr>
        <w:spacing w:after="0" w:line="69" w:lineRule="exact"/>
        <w:rPr>
          <w:sz w:val="20"/>
          <w:szCs w:val="20"/>
          <w:color w:val="auto"/>
        </w:rPr>
      </w:pPr>
    </w:p>
    <w:p>
      <w:pPr>
        <w:jc w:val="both"/>
        <w:ind w:firstLine="353"/>
        <w:spacing w:after="0" w:line="254" w:lineRule="auto"/>
        <w:rPr>
          <w:sz w:val="20"/>
          <w:szCs w:val="20"/>
          <w:color w:val="auto"/>
        </w:rPr>
      </w:pPr>
      <w:r>
        <w:rPr>
          <w:rFonts w:ascii="Arial" w:cs="Arial" w:eastAsia="Arial" w:hAnsi="Arial"/>
          <w:sz w:val="20"/>
          <w:szCs w:val="20"/>
          <w:color w:val="auto"/>
        </w:rPr>
        <w:t>There were 71 and 45 structured securities with a fair value of $237 million and $146 million, respectively, to which we had potential credit exposure as of December 31, 2025 and 2024, respectively. Our analysis of these structured securities, which included cash flow testing, resulted in allowances for expected credit losses of $86 million and $62 million as of December 31, 2025 and 2024, respectively.</w:t>
      </w:r>
    </w:p>
    <w:p>
      <w:pPr>
        <w:spacing w:after="0" w:line="83" w:lineRule="exact"/>
        <w:rPr>
          <w:sz w:val="20"/>
          <w:szCs w:val="20"/>
          <w:color w:val="auto"/>
        </w:rPr>
      </w:pPr>
    </w:p>
    <w:p>
      <w:pPr>
        <w:jc w:val="both"/>
        <w:ind w:firstLine="441"/>
        <w:spacing w:after="0" w:line="273" w:lineRule="auto"/>
        <w:rPr>
          <w:sz w:val="20"/>
          <w:szCs w:val="20"/>
          <w:color w:val="auto"/>
        </w:rPr>
      </w:pPr>
      <w:r>
        <w:rPr>
          <w:rFonts w:ascii="Arial" w:cs="Arial" w:eastAsia="Arial" w:hAnsi="Arial"/>
          <w:sz w:val="20"/>
          <w:szCs w:val="20"/>
          <w:color w:val="auto"/>
        </w:rPr>
        <w:t xml:space="preserve">Refer to Note D </w:t>
      </w:r>
      <w:r>
        <w:rPr>
          <w:rFonts w:ascii="Arial" w:cs="Arial" w:eastAsia="Arial" w:hAnsi="Arial"/>
          <w:sz w:val="20"/>
          <w:szCs w:val="20"/>
          <w:b w:val="1"/>
          <w:bCs w:val="1"/>
          <w:i w:val="1"/>
          <w:iCs w:val="1"/>
          <w:color w:val="auto"/>
        </w:rPr>
        <w:t>Investments</w:t>
      </w:r>
      <w:r>
        <w:rPr>
          <w:rFonts w:ascii="Arial" w:cs="Arial" w:eastAsia="Arial" w:hAnsi="Arial"/>
          <w:sz w:val="20"/>
          <w:szCs w:val="20"/>
          <w:color w:val="auto"/>
        </w:rPr>
        <w:t xml:space="preserve"> to the Consolidated Financial Statements included in this Annual Report on Form 10-K for further information on the allowance for expected credit loss.</w:t>
      </w:r>
    </w:p>
    <w:p>
      <w:pPr>
        <w:spacing w:after="0" w:line="11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Exposure to Sovereign Debt and Certain Other Exposures</w:t>
      </w:r>
    </w:p>
    <w:p>
      <w:pPr>
        <w:spacing w:after="0" w:line="130" w:lineRule="exact"/>
        <w:rPr>
          <w:sz w:val="20"/>
          <w:szCs w:val="20"/>
          <w:color w:val="auto"/>
        </w:rPr>
      </w:pPr>
    </w:p>
    <w:p>
      <w:pPr>
        <w:jc w:val="both"/>
        <w:ind w:firstLine="353"/>
        <w:spacing w:after="0" w:line="258" w:lineRule="auto"/>
        <w:rPr>
          <w:sz w:val="20"/>
          <w:szCs w:val="20"/>
          <w:color w:val="auto"/>
        </w:rPr>
      </w:pPr>
      <w:r>
        <w:rPr>
          <w:rFonts w:ascii="Arial" w:cs="Arial" w:eastAsia="Arial" w:hAnsi="Arial"/>
          <w:sz w:val="20"/>
          <w:szCs w:val="20"/>
          <w:color w:val="auto"/>
        </w:rPr>
        <w:t>Our investment portfolio had an immaterial amount of direct exposure to European sovereign debt as of December 31, 2025, and 2024, respectively. We have no exposure to investments in Russia or Ukraine and de minimis investments in peripheral countries in the region.</w:t>
      </w:r>
    </w:p>
    <w:p>
      <w:pPr>
        <w:spacing w:after="0" w:line="13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Interest and Investment Income</w:t>
      </w:r>
    </w:p>
    <w:p>
      <w:pPr>
        <w:spacing w:after="0" w:line="128" w:lineRule="exact"/>
        <w:rPr>
          <w:sz w:val="20"/>
          <w:szCs w:val="20"/>
          <w:color w:val="auto"/>
        </w:rPr>
      </w:pPr>
    </w:p>
    <w:p>
      <w:pPr>
        <w:jc w:val="both"/>
        <w:ind w:firstLine="353"/>
        <w:spacing w:after="0" w:line="273" w:lineRule="auto"/>
        <w:rPr>
          <w:sz w:val="20"/>
          <w:szCs w:val="20"/>
          <w:color w:val="auto"/>
        </w:rPr>
      </w:pPr>
      <w:r>
        <w:rPr>
          <w:rFonts w:ascii="Arial" w:cs="Arial" w:eastAsia="Arial" w:hAnsi="Arial"/>
          <w:sz w:val="20"/>
          <w:szCs w:val="20"/>
          <w:color w:val="auto"/>
        </w:rPr>
        <w:t xml:space="preserve">For discussion regarding our interest and investment income and investment gains (losses), net, refer to Note D </w:t>
      </w:r>
      <w:r>
        <w:rPr>
          <w:rFonts w:ascii="Arial" w:cs="Arial" w:eastAsia="Arial" w:hAnsi="Arial"/>
          <w:sz w:val="20"/>
          <w:szCs w:val="20"/>
          <w:b w:val="1"/>
          <w:bCs w:val="1"/>
          <w:i w:val="1"/>
          <w:iCs w:val="1"/>
          <w:color w:val="auto"/>
        </w:rPr>
        <w:t>Investments</w:t>
      </w:r>
      <w:r>
        <w:rPr>
          <w:rFonts w:ascii="Arial" w:cs="Arial" w:eastAsia="Arial" w:hAnsi="Arial"/>
          <w:sz w:val="20"/>
          <w:szCs w:val="20"/>
          <w:color w:val="auto"/>
        </w:rPr>
        <w:t xml:space="preserve"> to the Consolidated Financial Statements included in this Annual Report on Form 10-K.</w:t>
      </w:r>
    </w:p>
    <w:p>
      <w:pPr>
        <w:spacing w:after="0" w:line="5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AFS Securities</w:t>
      </w:r>
    </w:p>
    <w:p>
      <w:pPr>
        <w:spacing w:after="0" w:line="130" w:lineRule="exact"/>
        <w:rPr>
          <w:sz w:val="20"/>
          <w:szCs w:val="20"/>
          <w:color w:val="auto"/>
        </w:rPr>
      </w:pPr>
    </w:p>
    <w:p>
      <w:pPr>
        <w:jc w:val="both"/>
        <w:ind w:firstLine="441"/>
        <w:spacing w:after="0" w:line="254" w:lineRule="auto"/>
        <w:rPr>
          <w:sz w:val="20"/>
          <w:szCs w:val="20"/>
          <w:color w:val="auto"/>
        </w:rPr>
      </w:pPr>
      <w:r>
        <w:rPr>
          <w:rFonts w:ascii="Arial" w:cs="Arial" w:eastAsia="Arial" w:hAnsi="Arial"/>
          <w:sz w:val="20"/>
          <w:szCs w:val="20"/>
          <w:color w:val="auto"/>
        </w:rPr>
        <w:t xml:space="preserve">For additional information regarding our AFS securities, including the amortized cost, gross unrealized gains (losses), and fair value as well as the amortized cost and fair value of fixed maturity AFS securities by contractual maturities, as of December 31, 2025 and 2024, refer to Note D </w:t>
      </w:r>
      <w:r>
        <w:rPr>
          <w:rFonts w:ascii="Arial" w:cs="Arial" w:eastAsia="Arial" w:hAnsi="Arial"/>
          <w:sz w:val="20"/>
          <w:szCs w:val="20"/>
          <w:b w:val="1"/>
          <w:bCs w:val="1"/>
          <w:i w:val="1"/>
          <w:iCs w:val="1"/>
          <w:color w:val="auto"/>
        </w:rPr>
        <w:t>Investments</w:t>
      </w:r>
      <w:r>
        <w:rPr>
          <w:rFonts w:ascii="Arial" w:cs="Arial" w:eastAsia="Arial" w:hAnsi="Arial"/>
          <w:sz w:val="20"/>
          <w:szCs w:val="20"/>
          <w:color w:val="auto"/>
        </w:rPr>
        <w:t xml:space="preserve"> to the Consolidated Financial Statements included in this Annual Report on Form 10-K.</w:t>
      </w:r>
    </w:p>
    <w:p>
      <w:pPr>
        <w:spacing w:after="0" w:line="13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Concentrations of Financial Instruments</w:t>
      </w:r>
    </w:p>
    <w:p>
      <w:pPr>
        <w:spacing w:after="0" w:line="128" w:lineRule="exact"/>
        <w:rPr>
          <w:sz w:val="20"/>
          <w:szCs w:val="20"/>
          <w:color w:val="auto"/>
        </w:rPr>
      </w:pPr>
    </w:p>
    <w:p>
      <w:pPr>
        <w:jc w:val="both"/>
        <w:ind w:firstLine="353"/>
        <w:spacing w:after="0" w:line="273" w:lineRule="auto"/>
        <w:rPr>
          <w:sz w:val="20"/>
          <w:szCs w:val="20"/>
          <w:color w:val="auto"/>
        </w:rPr>
      </w:pPr>
      <w:r>
        <w:rPr>
          <w:rFonts w:ascii="Arial" w:cs="Arial" w:eastAsia="Arial" w:hAnsi="Arial"/>
          <w:sz w:val="20"/>
          <w:szCs w:val="20"/>
          <w:color w:val="auto"/>
        </w:rPr>
        <w:t xml:space="preserve">For certain information regarding our concentrations of financial instruments, refer to Note D </w:t>
      </w:r>
      <w:r>
        <w:rPr>
          <w:rFonts w:ascii="Arial" w:cs="Arial" w:eastAsia="Arial" w:hAnsi="Arial"/>
          <w:sz w:val="20"/>
          <w:szCs w:val="20"/>
          <w:b w:val="1"/>
          <w:bCs w:val="1"/>
          <w:i w:val="1"/>
          <w:iCs w:val="1"/>
          <w:color w:val="auto"/>
        </w:rPr>
        <w:t>Investments</w:t>
      </w:r>
      <w:r>
        <w:rPr>
          <w:rFonts w:ascii="Arial" w:cs="Arial" w:eastAsia="Arial" w:hAnsi="Arial"/>
          <w:sz w:val="20"/>
          <w:szCs w:val="20"/>
          <w:color w:val="auto"/>
        </w:rPr>
        <w:t xml:space="preserve"> to the Consolidated Financial Statements included in this Annual Report on Form 10-K.</w:t>
      </w:r>
    </w:p>
    <w:p>
      <w:pPr>
        <w:spacing w:after="0" w:line="11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Derivatives</w:t>
      </w:r>
    </w:p>
    <w:p>
      <w:pPr>
        <w:spacing w:after="0" w:line="130" w:lineRule="exact"/>
        <w:rPr>
          <w:sz w:val="20"/>
          <w:szCs w:val="20"/>
          <w:color w:val="auto"/>
        </w:rPr>
      </w:pPr>
    </w:p>
    <w:p>
      <w:pPr>
        <w:jc w:val="both"/>
        <w:ind w:firstLine="353"/>
        <w:spacing w:after="0" w:line="360" w:lineRule="auto"/>
        <w:rPr>
          <w:sz w:val="20"/>
          <w:szCs w:val="20"/>
          <w:color w:val="auto"/>
        </w:rPr>
      </w:pPr>
      <w:r>
        <w:rPr>
          <w:rFonts w:ascii="Arial" w:cs="Arial" w:eastAsia="Arial" w:hAnsi="Arial"/>
          <w:sz w:val="17"/>
          <w:szCs w:val="17"/>
          <w:color w:val="auto"/>
        </w:rPr>
        <w:t>We are exposed to credit loss in the event of non-performance by our counterparties on derivative instruments. We attempt to reduce this credit risk by purchasing such derivative instruments from large, well-established financial institutions.</w:t>
      </w:r>
    </w:p>
    <w:p>
      <w:pPr>
        <w:spacing w:after="0" w:line="2" w:lineRule="exact"/>
        <w:rPr>
          <w:sz w:val="20"/>
          <w:szCs w:val="20"/>
          <w:color w:val="auto"/>
        </w:rPr>
      </w:pPr>
    </w:p>
    <w:p>
      <w:pPr>
        <w:jc w:val="both"/>
        <w:ind w:firstLine="353"/>
        <w:spacing w:after="0" w:line="258" w:lineRule="auto"/>
        <w:rPr>
          <w:sz w:val="20"/>
          <w:szCs w:val="20"/>
          <w:color w:val="auto"/>
        </w:rPr>
      </w:pPr>
      <w:r>
        <w:rPr>
          <w:rFonts w:ascii="Arial" w:cs="Arial" w:eastAsia="Arial" w:hAnsi="Arial"/>
          <w:sz w:val="20"/>
          <w:szCs w:val="20"/>
          <w:color w:val="auto"/>
        </w:rPr>
        <w:t>We also hold cash and cash equivalents received from counterparties for derivative instrument collateral, as well as U.S. Government securities pledged as derivative instrument collateral, if our counterparty’s net exposures exceed pre-determined thresholds.</w:t>
      </w:r>
    </w:p>
    <w:p>
      <w:pPr>
        <w:spacing w:after="0" w:line="82" w:lineRule="exact"/>
        <w:rPr>
          <w:sz w:val="20"/>
          <w:szCs w:val="20"/>
          <w:color w:val="auto"/>
        </w:rPr>
      </w:pPr>
    </w:p>
    <w:p>
      <w:pPr>
        <w:jc w:val="both"/>
        <w:ind w:firstLine="353"/>
        <w:spacing w:after="0" w:line="268" w:lineRule="auto"/>
        <w:rPr>
          <w:sz w:val="20"/>
          <w:szCs w:val="20"/>
          <w:color w:val="auto"/>
        </w:rPr>
      </w:pPr>
      <w:r>
        <w:rPr>
          <w:rFonts w:ascii="Arial" w:cs="Arial" w:eastAsia="Arial" w:hAnsi="Arial"/>
          <w:sz w:val="19"/>
          <w:szCs w:val="19"/>
          <w:color w:val="auto"/>
        </w:rPr>
        <w:t>We are required to pay counterparties the effective federal funds rate each day for cash collateral posted to F&amp;G for daily mark to market margin changes. We reduce the negative interest cost associated with cash collateral posted from counterparties under various ISDA agreements by reinvesting derivative cash collateral. This program permits collateral cash received to be invested in short term Treasury securities, bank deposits and commercial paper rated A1/P1, which are included in Cash and cash equivalents in the Consolidated Balance Sheets.</w:t>
      </w:r>
    </w:p>
    <w:p>
      <w:pPr>
        <w:spacing w:after="0" w:line="72" w:lineRule="exact"/>
        <w:rPr>
          <w:sz w:val="20"/>
          <w:szCs w:val="20"/>
          <w:color w:val="auto"/>
        </w:rPr>
      </w:pPr>
    </w:p>
    <w:p>
      <w:pPr>
        <w:jc w:val="both"/>
        <w:ind w:firstLine="353"/>
        <w:spacing w:after="0" w:line="259" w:lineRule="auto"/>
        <w:rPr>
          <w:sz w:val="20"/>
          <w:szCs w:val="20"/>
          <w:color w:val="auto"/>
        </w:rPr>
      </w:pPr>
      <w:r>
        <w:rPr>
          <w:rFonts w:ascii="Arial" w:cs="Arial" w:eastAsia="Arial" w:hAnsi="Arial"/>
          <w:sz w:val="20"/>
          <w:szCs w:val="20"/>
          <w:color w:val="auto"/>
        </w:rPr>
        <w:t xml:space="preserve">See Note E </w:t>
      </w:r>
      <w:r>
        <w:rPr>
          <w:rFonts w:ascii="Arial" w:cs="Arial" w:eastAsia="Arial" w:hAnsi="Arial"/>
          <w:sz w:val="20"/>
          <w:szCs w:val="20"/>
          <w:b w:val="1"/>
          <w:bCs w:val="1"/>
          <w:i w:val="1"/>
          <w:iCs w:val="1"/>
          <w:color w:val="auto"/>
        </w:rPr>
        <w:t>Derivative Financial Instruments</w:t>
      </w:r>
      <w:r>
        <w:rPr>
          <w:rFonts w:ascii="Arial" w:cs="Arial" w:eastAsia="Arial" w:hAnsi="Arial"/>
          <w:sz w:val="20"/>
          <w:szCs w:val="20"/>
          <w:color w:val="auto"/>
        </w:rPr>
        <w:t xml:space="preserve"> to the Consolidated Financial Statements included in Part II - Item 8 of this Annual Report on Form 10-K for additional information regarding our derivatives and our exposure to credit loss on derivatives.</w:t>
      </w:r>
    </w:p>
    <w:p>
      <w:pPr>
        <w:sectPr>
          <w:pgSz w:w="11880" w:h="15480" w:orient="portrait"/>
          <w:cols w:equalWidth="0" w:num="1">
            <w:col w:w="10040"/>
          </w:cols>
          <w:pgMar w:left="920" w:top="765"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87</w:t>
      </w:r>
    </w:p>
    <w:p>
      <w:pPr>
        <w:sectPr>
          <w:pgSz w:w="11880" w:h="15480" w:orient="portrait"/>
          <w:cols w:equalWidth="0" w:num="1">
            <w:col w:w="10040"/>
          </w:cols>
          <w:pgMar w:left="920" w:top="765" w:right="920" w:bottom="0" w:gutter="0" w:footer="0" w:header="0"/>
          <w:type w:val="continuous"/>
        </w:sectPr>
      </w:pPr>
    </w:p>
    <w:bookmarkStart w:id="99" w:name="page100"/>
    <w:bookmarkEnd w:id="99"/>
    <w:p>
      <w:pPr>
        <w:spacing w:after="0"/>
        <w:rPr>
          <w:sz w:val="20"/>
          <w:szCs w:val="20"/>
          <w:color w:val="auto"/>
        </w:rPr>
      </w:pPr>
      <w:r>
        <w:rPr>
          <w:rFonts w:ascii="Arial" w:cs="Arial" w:eastAsia="Arial" w:hAnsi="Arial"/>
          <w:sz w:val="20"/>
          <w:szCs w:val="20"/>
          <w:b w:val="1"/>
          <w:bCs w:val="1"/>
          <w:i w:val="1"/>
          <w:iCs w:val="1"/>
          <w:color w:val="auto"/>
        </w:rPr>
        <w:t>Corporate and Other</w:t>
      </w:r>
    </w:p>
    <w:p>
      <w:pPr>
        <w:spacing w:after="0" w:line="130" w:lineRule="exact"/>
        <w:rPr>
          <w:sz w:val="20"/>
          <w:szCs w:val="20"/>
          <w:color w:val="auto"/>
        </w:rPr>
      </w:pPr>
    </w:p>
    <w:p>
      <w:pPr>
        <w:jc w:val="both"/>
        <w:ind w:firstLine="353"/>
        <w:spacing w:after="0" w:line="325" w:lineRule="auto"/>
        <w:rPr>
          <w:sz w:val="20"/>
          <w:szCs w:val="20"/>
          <w:color w:val="auto"/>
        </w:rPr>
      </w:pPr>
      <w:r>
        <w:rPr>
          <w:rFonts w:ascii="Arial" w:cs="Arial" w:eastAsia="Arial" w:hAnsi="Arial"/>
          <w:sz w:val="17"/>
          <w:szCs w:val="17"/>
          <w:color w:val="auto"/>
        </w:rPr>
        <w:t>The Corporate and Other segment consists of the operations of the parent holding company, our various real estate brokerage businesses and our real estate technology subsidiaries. This segment also includes certain other unallocated corporate overhead expenses and eliminations of revenues and expenses between it and our Title segment.</w:t>
      </w:r>
    </w:p>
    <w:p>
      <w:pPr>
        <w:spacing w:after="0" w:line="29" w:lineRule="exact"/>
        <w:rPr>
          <w:sz w:val="20"/>
          <w:szCs w:val="20"/>
          <w:color w:val="auto"/>
        </w:rPr>
      </w:pPr>
    </w:p>
    <w:p>
      <w:pPr>
        <w:ind w:left="340"/>
        <w:spacing w:after="0"/>
        <w:rPr>
          <w:sz w:val="20"/>
          <w:szCs w:val="20"/>
          <w:color w:val="auto"/>
        </w:rPr>
      </w:pPr>
      <w:r>
        <w:rPr>
          <w:rFonts w:ascii="Arial" w:cs="Arial" w:eastAsia="Arial" w:hAnsi="Arial"/>
          <w:sz w:val="19"/>
          <w:szCs w:val="19"/>
          <w:color w:val="auto"/>
        </w:rPr>
        <w:t>The following table presents the results of operations of our Corporate and Other segment for the years indicated:</w:t>
      </w:r>
    </w:p>
    <w:p>
      <w:pPr>
        <w:spacing w:after="0" w:line="384" w:lineRule="exact"/>
        <w:rPr>
          <w:sz w:val="20"/>
          <w:szCs w:val="20"/>
          <w:color w:val="auto"/>
        </w:rPr>
      </w:pPr>
    </w:p>
    <w:tbl>
      <w:tblPr>
        <w:tblLayout w:type="fixed"/>
        <w:tblInd w:w="140" w:type="dxa"/>
        <w:tblCellMar>
          <w:top w:w="0" w:type="dxa"/>
          <w:left w:w="0" w:type="dxa"/>
          <w:bottom w:w="0" w:type="dxa"/>
          <w:right w:w="0" w:type="dxa"/>
        </w:tblCellMar>
      </w:tblPr>
      <w:tr>
        <w:trPr>
          <w:trHeight w:val="213"/>
        </w:trPr>
        <w:tc>
          <w:tcPr>
            <w:tcW w:w="6560" w:type="dxa"/>
            <w:vAlign w:val="bottom"/>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gridSpan w:val="6"/>
          </w:tcPr>
          <w:p>
            <w:pPr>
              <w:jc w:val="center"/>
              <w:spacing w:after="0"/>
              <w:rPr>
                <w:sz w:val="20"/>
                <w:szCs w:val="20"/>
                <w:color w:val="auto"/>
              </w:rPr>
            </w:pPr>
            <w:r>
              <w:rPr>
                <w:rFonts w:ascii="Arial" w:cs="Arial" w:eastAsia="Arial" w:hAnsi="Arial"/>
                <w:sz w:val="16"/>
                <w:szCs w:val="16"/>
                <w:b w:val="1"/>
                <w:bCs w:val="1"/>
                <w:color w:val="auto"/>
                <w:w w:val="89"/>
              </w:rPr>
              <w:t>Year Ended December 31,</w:t>
            </w:r>
          </w:p>
        </w:tc>
        <w:tc>
          <w:tcPr>
            <w:tcW w:w="7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560" w:type="dxa"/>
            <w:vAlign w:val="bottom"/>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2025</w:t>
            </w:r>
          </w:p>
        </w:tc>
        <w:tc>
          <w:tcPr>
            <w:tcW w:w="34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center"/>
              <w:ind w:right="162"/>
              <w:spacing w:after="0"/>
              <w:rPr>
                <w:sz w:val="20"/>
                <w:szCs w:val="20"/>
                <w:color w:val="auto"/>
              </w:rPr>
            </w:pPr>
            <w:r>
              <w:rPr>
                <w:rFonts w:ascii="Arial" w:cs="Arial" w:eastAsia="Arial" w:hAnsi="Arial"/>
                <w:sz w:val="16"/>
                <w:szCs w:val="16"/>
                <w:b w:val="1"/>
                <w:bCs w:val="1"/>
                <w:color w:val="auto"/>
                <w:w w:val="89"/>
              </w:rPr>
              <w:t>2024</w:t>
            </w:r>
          </w:p>
        </w:tc>
        <w:tc>
          <w:tcPr>
            <w:tcW w:w="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282"/>
              <w:spacing w:after="0"/>
              <w:rPr>
                <w:sz w:val="20"/>
                <w:szCs w:val="20"/>
                <w:color w:val="auto"/>
              </w:rPr>
            </w:pPr>
            <w:r>
              <w:rPr>
                <w:rFonts w:ascii="Arial" w:cs="Arial" w:eastAsia="Arial" w:hAnsi="Arial"/>
                <w:sz w:val="16"/>
                <w:szCs w:val="16"/>
                <w:b w:val="1"/>
                <w:bCs w:val="1"/>
                <w:color w:val="auto"/>
                <w:w w:val="95"/>
              </w:rPr>
              <w:t>2023</w:t>
            </w:r>
          </w:p>
        </w:tc>
        <w:tc>
          <w:tcPr>
            <w:tcW w:w="0" w:type="dxa"/>
            <w:vAlign w:val="bottom"/>
          </w:tcPr>
          <w:p>
            <w:pPr>
              <w:spacing w:after="0"/>
              <w:rPr>
                <w:sz w:val="1"/>
                <w:szCs w:val="1"/>
                <w:color w:val="auto"/>
              </w:rPr>
            </w:pPr>
          </w:p>
        </w:tc>
      </w:tr>
      <w:tr>
        <w:trPr>
          <w:trHeight w:val="208"/>
        </w:trPr>
        <w:tc>
          <w:tcPr>
            <w:tcW w:w="65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center"/>
              <w:spacing w:after="0"/>
              <w:rPr>
                <w:sz w:val="20"/>
                <w:szCs w:val="20"/>
                <w:color w:val="auto"/>
              </w:rPr>
            </w:pPr>
            <w:r>
              <w:rPr>
                <w:rFonts w:ascii="Arial" w:cs="Arial" w:eastAsia="Arial" w:hAnsi="Arial"/>
                <w:sz w:val="16"/>
                <w:szCs w:val="16"/>
                <w:b w:val="1"/>
                <w:bCs w:val="1"/>
                <w:color w:val="auto"/>
                <w:w w:val="91"/>
              </w:rPr>
              <w:t>(In millions)</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9"/>
        </w:trPr>
        <w:tc>
          <w:tcPr>
            <w:tcW w:w="6560" w:type="dxa"/>
            <w:vAlign w:val="bottom"/>
          </w:tcPr>
          <w:p>
            <w:pPr>
              <w:spacing w:after="0"/>
              <w:rPr>
                <w:sz w:val="20"/>
                <w:szCs w:val="20"/>
                <w:color w:val="auto"/>
              </w:rPr>
            </w:pPr>
            <w:r>
              <w:rPr>
                <w:rFonts w:ascii="Arial" w:cs="Arial" w:eastAsia="Arial" w:hAnsi="Arial"/>
                <w:sz w:val="16"/>
                <w:szCs w:val="16"/>
                <w:color w:val="auto"/>
              </w:rPr>
              <w:t>Revenues:</w:t>
            </w:r>
          </w:p>
        </w:tc>
        <w:tc>
          <w:tcPr>
            <w:tcW w:w="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6560" w:type="dxa"/>
            <w:vAlign w:val="bottom"/>
          </w:tcPr>
          <w:p>
            <w:pPr>
              <w:ind w:left="220"/>
              <w:spacing w:after="0"/>
              <w:rPr>
                <w:sz w:val="20"/>
                <w:szCs w:val="20"/>
                <w:color w:val="auto"/>
              </w:rPr>
            </w:pPr>
            <w:r>
              <w:rPr>
                <w:rFonts w:ascii="Arial" w:cs="Arial" w:eastAsia="Arial" w:hAnsi="Arial"/>
                <w:sz w:val="16"/>
                <w:szCs w:val="16"/>
                <w:color w:val="auto"/>
              </w:rPr>
              <w:t>Escrow, title-related and other fees</w:t>
            </w:r>
          </w:p>
        </w:tc>
        <w:tc>
          <w:tcPr>
            <w:tcW w:w="700" w:type="dxa"/>
            <w:vAlign w:val="bottom"/>
          </w:tcPr>
          <w:p>
            <w:pPr>
              <w:jc w:val="right"/>
              <w:ind w:right="502"/>
              <w:spacing w:after="0"/>
              <w:rPr>
                <w:sz w:val="20"/>
                <w:szCs w:val="20"/>
                <w:color w:val="auto"/>
              </w:rPr>
            </w:pPr>
            <w:r>
              <w:rPr>
                <w:rFonts w:ascii="Arial" w:cs="Arial" w:eastAsia="Arial" w:hAnsi="Arial"/>
                <w:sz w:val="16"/>
                <w:szCs w:val="16"/>
                <w:color w:val="auto"/>
              </w:rPr>
              <w:t>$</w:t>
            </w:r>
          </w:p>
        </w:tc>
        <w:tc>
          <w:tcPr>
            <w:tcW w:w="340" w:type="dxa"/>
            <w:vAlign w:val="bottom"/>
          </w:tcPr>
          <w:p>
            <w:pPr>
              <w:jc w:val="right"/>
              <w:spacing w:after="0"/>
              <w:rPr>
                <w:sz w:val="20"/>
                <w:szCs w:val="20"/>
                <w:color w:val="auto"/>
              </w:rPr>
            </w:pPr>
            <w:r>
              <w:rPr>
                <w:rFonts w:ascii="Arial" w:cs="Arial" w:eastAsia="Arial" w:hAnsi="Arial"/>
                <w:sz w:val="16"/>
                <w:szCs w:val="16"/>
                <w:color w:val="auto"/>
                <w:w w:val="97"/>
              </w:rPr>
              <w:t>179</w:t>
            </w:r>
          </w:p>
        </w:tc>
        <w:tc>
          <w:tcPr>
            <w:tcW w:w="320" w:type="dxa"/>
            <w:vAlign w:val="bottom"/>
            <w:gridSpan w:val="2"/>
          </w:tcPr>
          <w:p>
            <w:pPr>
              <w:jc w:val="right"/>
              <w:ind w:right="42"/>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2"/>
              <w:spacing w:after="0"/>
              <w:rPr>
                <w:sz w:val="20"/>
                <w:szCs w:val="20"/>
                <w:color w:val="auto"/>
              </w:rPr>
            </w:pPr>
            <w:r>
              <w:rPr>
                <w:rFonts w:ascii="Arial" w:cs="Arial" w:eastAsia="Arial" w:hAnsi="Arial"/>
                <w:sz w:val="16"/>
                <w:szCs w:val="16"/>
                <w:color w:val="auto"/>
              </w:rPr>
              <w:t>184</w:t>
            </w:r>
          </w:p>
        </w:tc>
        <w:tc>
          <w:tcPr>
            <w:tcW w:w="3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187</w:t>
            </w:r>
          </w:p>
        </w:tc>
        <w:tc>
          <w:tcPr>
            <w:tcW w:w="0" w:type="dxa"/>
            <w:vAlign w:val="bottom"/>
          </w:tcPr>
          <w:p>
            <w:pPr>
              <w:spacing w:after="0"/>
              <w:rPr>
                <w:sz w:val="1"/>
                <w:szCs w:val="1"/>
                <w:color w:val="auto"/>
              </w:rPr>
            </w:pPr>
          </w:p>
        </w:tc>
      </w:tr>
      <w:tr>
        <w:trPr>
          <w:trHeight w:val="279"/>
        </w:trPr>
        <w:tc>
          <w:tcPr>
            <w:tcW w:w="6560" w:type="dxa"/>
            <w:vAlign w:val="bottom"/>
          </w:tcPr>
          <w:p>
            <w:pPr>
              <w:ind w:left="220"/>
              <w:spacing w:after="0"/>
              <w:rPr>
                <w:sz w:val="20"/>
                <w:szCs w:val="20"/>
                <w:color w:val="auto"/>
              </w:rPr>
            </w:pPr>
            <w:r>
              <w:rPr>
                <w:rFonts w:ascii="Arial" w:cs="Arial" w:eastAsia="Arial" w:hAnsi="Arial"/>
                <w:sz w:val="16"/>
                <w:szCs w:val="16"/>
                <w:color w:val="auto"/>
              </w:rPr>
              <w:t>Interest and investment income</w:t>
            </w:r>
          </w:p>
        </w:tc>
        <w:tc>
          <w:tcPr>
            <w:tcW w:w="700" w:type="dxa"/>
            <w:vAlign w:val="bottom"/>
          </w:tcPr>
          <w:p>
            <w:pPr>
              <w:spacing w:after="0"/>
              <w:rPr>
                <w:sz w:val="24"/>
                <w:szCs w:val="24"/>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w w:val="97"/>
              </w:rPr>
              <w:t>154</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jc w:val="right"/>
              <w:ind w:right="2"/>
              <w:spacing w:after="0"/>
              <w:rPr>
                <w:sz w:val="20"/>
                <w:szCs w:val="20"/>
                <w:color w:val="auto"/>
              </w:rPr>
            </w:pPr>
            <w:r>
              <w:rPr>
                <w:rFonts w:ascii="Arial" w:cs="Arial" w:eastAsia="Arial" w:hAnsi="Arial"/>
                <w:sz w:val="16"/>
                <w:szCs w:val="16"/>
                <w:color w:val="auto"/>
              </w:rPr>
              <w:t>154</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123</w:t>
            </w:r>
          </w:p>
        </w:tc>
        <w:tc>
          <w:tcPr>
            <w:tcW w:w="0" w:type="dxa"/>
            <w:vAlign w:val="bottom"/>
          </w:tcPr>
          <w:p>
            <w:pPr>
              <w:spacing w:after="0"/>
              <w:rPr>
                <w:sz w:val="1"/>
                <w:szCs w:val="1"/>
                <w:color w:val="auto"/>
              </w:rPr>
            </w:pPr>
          </w:p>
        </w:tc>
      </w:tr>
      <w:tr>
        <w:trPr>
          <w:trHeight w:val="286"/>
        </w:trPr>
        <w:tc>
          <w:tcPr>
            <w:tcW w:w="6560" w:type="dxa"/>
            <w:vAlign w:val="bottom"/>
          </w:tcPr>
          <w:p>
            <w:pPr>
              <w:ind w:left="220"/>
              <w:spacing w:after="0"/>
              <w:rPr>
                <w:sz w:val="20"/>
                <w:szCs w:val="20"/>
                <w:color w:val="auto"/>
              </w:rPr>
            </w:pPr>
            <w:r>
              <w:rPr>
                <w:rFonts w:ascii="Arial" w:cs="Arial" w:eastAsia="Arial" w:hAnsi="Arial"/>
                <w:sz w:val="16"/>
                <w:szCs w:val="16"/>
                <w:color w:val="auto"/>
              </w:rPr>
              <w:t>Recognized gains and losses, net</w:t>
            </w:r>
          </w:p>
        </w:tc>
        <w:tc>
          <w:tcPr>
            <w:tcW w:w="7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w:t>
            </w:r>
          </w:p>
        </w:tc>
        <w:tc>
          <w:tcPr>
            <w:tcW w:w="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5</w:t>
            </w:r>
          </w:p>
        </w:tc>
        <w:tc>
          <w:tcPr>
            <w:tcW w:w="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w:t>
            </w:r>
          </w:p>
        </w:tc>
        <w:tc>
          <w:tcPr>
            <w:tcW w:w="0" w:type="dxa"/>
            <w:vAlign w:val="bottom"/>
          </w:tcPr>
          <w:p>
            <w:pPr>
              <w:spacing w:after="0"/>
              <w:rPr>
                <w:sz w:val="1"/>
                <w:szCs w:val="1"/>
                <w:color w:val="auto"/>
              </w:rPr>
            </w:pPr>
          </w:p>
        </w:tc>
      </w:tr>
      <w:tr>
        <w:trPr>
          <w:trHeight w:val="252"/>
        </w:trPr>
        <w:tc>
          <w:tcPr>
            <w:tcW w:w="6560" w:type="dxa"/>
            <w:vAlign w:val="bottom"/>
          </w:tcPr>
          <w:p>
            <w:pPr>
              <w:ind w:left="520"/>
              <w:spacing w:after="0"/>
              <w:rPr>
                <w:sz w:val="20"/>
                <w:szCs w:val="20"/>
                <w:color w:val="auto"/>
              </w:rPr>
            </w:pPr>
            <w:r>
              <w:rPr>
                <w:rFonts w:ascii="Arial" w:cs="Arial" w:eastAsia="Arial" w:hAnsi="Arial"/>
                <w:sz w:val="16"/>
                <w:szCs w:val="16"/>
                <w:color w:val="auto"/>
              </w:rPr>
              <w:t>Total revenues</w:t>
            </w:r>
          </w:p>
        </w:tc>
        <w:tc>
          <w:tcPr>
            <w:tcW w:w="700" w:type="dxa"/>
            <w:vAlign w:val="bottom"/>
          </w:tcPr>
          <w:p>
            <w:pPr>
              <w:spacing w:after="0"/>
              <w:rPr>
                <w:sz w:val="21"/>
                <w:szCs w:val="21"/>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w w:val="97"/>
              </w:rPr>
              <w:t>341</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ind w:right="2"/>
              <w:spacing w:after="0"/>
              <w:rPr>
                <w:sz w:val="20"/>
                <w:szCs w:val="20"/>
                <w:color w:val="auto"/>
              </w:rPr>
            </w:pPr>
            <w:r>
              <w:rPr>
                <w:rFonts w:ascii="Arial" w:cs="Arial" w:eastAsia="Arial" w:hAnsi="Arial"/>
                <w:sz w:val="16"/>
                <w:szCs w:val="16"/>
                <w:color w:val="auto"/>
              </w:rPr>
              <w:t>343</w:t>
            </w: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279</w:t>
            </w:r>
          </w:p>
        </w:tc>
        <w:tc>
          <w:tcPr>
            <w:tcW w:w="0" w:type="dxa"/>
            <w:vAlign w:val="bottom"/>
          </w:tcPr>
          <w:p>
            <w:pPr>
              <w:spacing w:after="0"/>
              <w:rPr>
                <w:sz w:val="1"/>
                <w:szCs w:val="1"/>
                <w:color w:val="auto"/>
              </w:rPr>
            </w:pPr>
          </w:p>
        </w:tc>
      </w:tr>
      <w:tr>
        <w:trPr>
          <w:trHeight w:val="279"/>
        </w:trPr>
        <w:tc>
          <w:tcPr>
            <w:tcW w:w="6560" w:type="dxa"/>
            <w:vAlign w:val="bottom"/>
          </w:tcPr>
          <w:p>
            <w:pPr>
              <w:spacing w:after="0"/>
              <w:rPr>
                <w:sz w:val="20"/>
                <w:szCs w:val="20"/>
                <w:color w:val="auto"/>
              </w:rPr>
            </w:pPr>
            <w:r>
              <w:rPr>
                <w:rFonts w:ascii="Arial" w:cs="Arial" w:eastAsia="Arial" w:hAnsi="Arial"/>
                <w:sz w:val="16"/>
                <w:szCs w:val="16"/>
                <w:color w:val="auto"/>
              </w:rPr>
              <w:t>Expenses:</w:t>
            </w:r>
          </w:p>
        </w:tc>
        <w:tc>
          <w:tcPr>
            <w:tcW w:w="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6560" w:type="dxa"/>
            <w:vAlign w:val="bottom"/>
          </w:tcPr>
          <w:p>
            <w:pPr>
              <w:ind w:left="220"/>
              <w:spacing w:after="0"/>
              <w:rPr>
                <w:sz w:val="20"/>
                <w:szCs w:val="20"/>
                <w:color w:val="auto"/>
              </w:rPr>
            </w:pPr>
            <w:r>
              <w:rPr>
                <w:rFonts w:ascii="Arial" w:cs="Arial" w:eastAsia="Arial" w:hAnsi="Arial"/>
                <w:sz w:val="16"/>
                <w:szCs w:val="16"/>
                <w:color w:val="auto"/>
              </w:rPr>
              <w:t>Personnel costs</w:t>
            </w:r>
          </w:p>
        </w:tc>
        <w:tc>
          <w:tcPr>
            <w:tcW w:w="700" w:type="dxa"/>
            <w:vAlign w:val="bottom"/>
          </w:tcPr>
          <w:p>
            <w:pPr>
              <w:spacing w:after="0"/>
              <w:rPr>
                <w:sz w:val="24"/>
                <w:szCs w:val="24"/>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w w:val="97"/>
              </w:rPr>
              <w:t>161</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jc w:val="right"/>
              <w:ind w:right="2"/>
              <w:spacing w:after="0"/>
              <w:rPr>
                <w:sz w:val="20"/>
                <w:szCs w:val="20"/>
                <w:color w:val="auto"/>
              </w:rPr>
            </w:pPr>
            <w:r>
              <w:rPr>
                <w:rFonts w:ascii="Arial" w:cs="Arial" w:eastAsia="Arial" w:hAnsi="Arial"/>
                <w:sz w:val="16"/>
                <w:szCs w:val="16"/>
                <w:color w:val="auto"/>
              </w:rPr>
              <w:t>157</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132</w:t>
            </w:r>
          </w:p>
        </w:tc>
        <w:tc>
          <w:tcPr>
            <w:tcW w:w="0" w:type="dxa"/>
            <w:vAlign w:val="bottom"/>
          </w:tcPr>
          <w:p>
            <w:pPr>
              <w:spacing w:after="0"/>
              <w:rPr>
                <w:sz w:val="1"/>
                <w:szCs w:val="1"/>
                <w:color w:val="auto"/>
              </w:rPr>
            </w:pPr>
          </w:p>
        </w:tc>
      </w:tr>
      <w:tr>
        <w:trPr>
          <w:trHeight w:val="279"/>
        </w:trPr>
        <w:tc>
          <w:tcPr>
            <w:tcW w:w="6560" w:type="dxa"/>
            <w:vAlign w:val="bottom"/>
          </w:tcPr>
          <w:p>
            <w:pPr>
              <w:ind w:left="220"/>
              <w:spacing w:after="0"/>
              <w:rPr>
                <w:sz w:val="20"/>
                <w:szCs w:val="20"/>
                <w:color w:val="auto"/>
              </w:rPr>
            </w:pPr>
            <w:r>
              <w:rPr>
                <w:rFonts w:ascii="Arial" w:cs="Arial" w:eastAsia="Arial" w:hAnsi="Arial"/>
                <w:sz w:val="16"/>
                <w:szCs w:val="16"/>
                <w:color w:val="auto"/>
              </w:rPr>
              <w:t>Other operating expenses</w:t>
            </w:r>
          </w:p>
        </w:tc>
        <w:tc>
          <w:tcPr>
            <w:tcW w:w="700" w:type="dxa"/>
            <w:vAlign w:val="bottom"/>
          </w:tcPr>
          <w:p>
            <w:pPr>
              <w:spacing w:after="0"/>
              <w:rPr>
                <w:sz w:val="24"/>
                <w:szCs w:val="24"/>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w w:val="97"/>
              </w:rPr>
              <w:t>106</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jc w:val="right"/>
              <w:ind w:right="2"/>
              <w:spacing w:after="0"/>
              <w:rPr>
                <w:sz w:val="20"/>
                <w:szCs w:val="20"/>
                <w:color w:val="auto"/>
              </w:rPr>
            </w:pPr>
            <w:r>
              <w:rPr>
                <w:rFonts w:ascii="Arial" w:cs="Arial" w:eastAsia="Arial" w:hAnsi="Arial"/>
                <w:sz w:val="16"/>
                <w:szCs w:val="16"/>
                <w:color w:val="auto"/>
              </w:rPr>
              <w:t>104</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133</w:t>
            </w:r>
          </w:p>
        </w:tc>
        <w:tc>
          <w:tcPr>
            <w:tcW w:w="0" w:type="dxa"/>
            <w:vAlign w:val="bottom"/>
          </w:tcPr>
          <w:p>
            <w:pPr>
              <w:spacing w:after="0"/>
              <w:rPr>
                <w:sz w:val="1"/>
                <w:szCs w:val="1"/>
                <w:color w:val="auto"/>
              </w:rPr>
            </w:pPr>
          </w:p>
        </w:tc>
      </w:tr>
      <w:tr>
        <w:trPr>
          <w:trHeight w:val="279"/>
        </w:trPr>
        <w:tc>
          <w:tcPr>
            <w:tcW w:w="6560" w:type="dxa"/>
            <w:vAlign w:val="bottom"/>
          </w:tcPr>
          <w:p>
            <w:pPr>
              <w:ind w:left="220"/>
              <w:spacing w:after="0"/>
              <w:rPr>
                <w:sz w:val="20"/>
                <w:szCs w:val="20"/>
                <w:color w:val="auto"/>
              </w:rPr>
            </w:pPr>
            <w:r>
              <w:rPr>
                <w:rFonts w:ascii="Arial" w:cs="Arial" w:eastAsia="Arial" w:hAnsi="Arial"/>
                <w:sz w:val="16"/>
                <w:szCs w:val="16"/>
                <w:color w:val="auto"/>
              </w:rPr>
              <w:t>Depreciation and amortization</w:t>
            </w:r>
          </w:p>
        </w:tc>
        <w:tc>
          <w:tcPr>
            <w:tcW w:w="700" w:type="dxa"/>
            <w:vAlign w:val="bottom"/>
          </w:tcPr>
          <w:p>
            <w:pPr>
              <w:spacing w:after="0"/>
              <w:rPr>
                <w:sz w:val="24"/>
                <w:szCs w:val="24"/>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rPr>
              <w:t>32</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jc w:val="right"/>
              <w:ind w:right="2"/>
              <w:spacing w:after="0"/>
              <w:rPr>
                <w:sz w:val="20"/>
                <w:szCs w:val="20"/>
                <w:color w:val="auto"/>
              </w:rPr>
            </w:pPr>
            <w:r>
              <w:rPr>
                <w:rFonts w:ascii="Arial" w:cs="Arial" w:eastAsia="Arial" w:hAnsi="Arial"/>
                <w:sz w:val="16"/>
                <w:szCs w:val="16"/>
                <w:color w:val="auto"/>
              </w:rPr>
              <w:t>29</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27</w:t>
            </w:r>
          </w:p>
        </w:tc>
        <w:tc>
          <w:tcPr>
            <w:tcW w:w="0" w:type="dxa"/>
            <w:vAlign w:val="bottom"/>
          </w:tcPr>
          <w:p>
            <w:pPr>
              <w:spacing w:after="0"/>
              <w:rPr>
                <w:sz w:val="1"/>
                <w:szCs w:val="1"/>
                <w:color w:val="auto"/>
              </w:rPr>
            </w:pPr>
          </w:p>
        </w:tc>
      </w:tr>
      <w:tr>
        <w:trPr>
          <w:trHeight w:val="286"/>
        </w:trPr>
        <w:tc>
          <w:tcPr>
            <w:tcW w:w="6560" w:type="dxa"/>
            <w:vAlign w:val="bottom"/>
          </w:tcPr>
          <w:p>
            <w:pPr>
              <w:ind w:left="220"/>
              <w:spacing w:after="0"/>
              <w:rPr>
                <w:sz w:val="20"/>
                <w:szCs w:val="20"/>
                <w:color w:val="auto"/>
              </w:rPr>
            </w:pPr>
            <w:r>
              <w:rPr>
                <w:rFonts w:ascii="Arial" w:cs="Arial" w:eastAsia="Arial" w:hAnsi="Arial"/>
                <w:sz w:val="16"/>
                <w:szCs w:val="16"/>
                <w:color w:val="auto"/>
              </w:rPr>
              <w:t>Interest expense</w:t>
            </w:r>
          </w:p>
        </w:tc>
        <w:tc>
          <w:tcPr>
            <w:tcW w:w="7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w:t>
            </w:r>
          </w:p>
        </w:tc>
        <w:tc>
          <w:tcPr>
            <w:tcW w:w="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77</w:t>
            </w:r>
          </w:p>
        </w:tc>
        <w:tc>
          <w:tcPr>
            <w:tcW w:w="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w:t>
            </w:r>
          </w:p>
        </w:tc>
        <w:tc>
          <w:tcPr>
            <w:tcW w:w="0" w:type="dxa"/>
            <w:vAlign w:val="bottom"/>
          </w:tcPr>
          <w:p>
            <w:pPr>
              <w:spacing w:after="0"/>
              <w:rPr>
                <w:sz w:val="1"/>
                <w:szCs w:val="1"/>
                <w:color w:val="auto"/>
              </w:rPr>
            </w:pPr>
          </w:p>
        </w:tc>
      </w:tr>
      <w:tr>
        <w:trPr>
          <w:trHeight w:val="259"/>
        </w:trPr>
        <w:tc>
          <w:tcPr>
            <w:tcW w:w="6560" w:type="dxa"/>
            <w:vAlign w:val="bottom"/>
          </w:tcPr>
          <w:p>
            <w:pPr>
              <w:ind w:left="520"/>
              <w:spacing w:after="0"/>
              <w:rPr>
                <w:sz w:val="20"/>
                <w:szCs w:val="20"/>
                <w:color w:val="auto"/>
              </w:rPr>
            </w:pPr>
            <w:r>
              <w:rPr>
                <w:rFonts w:ascii="Arial" w:cs="Arial" w:eastAsia="Arial" w:hAnsi="Arial"/>
                <w:sz w:val="16"/>
                <w:szCs w:val="16"/>
                <w:color w:val="auto"/>
              </w:rPr>
              <w:t>Total expenses</w:t>
            </w:r>
          </w:p>
        </w:tc>
        <w:tc>
          <w:tcPr>
            <w:tcW w:w="70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7"/>
              </w:rPr>
              <w:t>377</w:t>
            </w:r>
          </w:p>
        </w:tc>
        <w:tc>
          <w:tcPr>
            <w:tcW w:w="8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367</w:t>
            </w:r>
          </w:p>
        </w:tc>
        <w:tc>
          <w:tcPr>
            <w:tcW w:w="6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369</w:t>
            </w:r>
          </w:p>
        </w:tc>
        <w:tc>
          <w:tcPr>
            <w:tcW w:w="0" w:type="dxa"/>
            <w:vAlign w:val="bottom"/>
          </w:tcPr>
          <w:p>
            <w:pPr>
              <w:spacing w:after="0"/>
              <w:rPr>
                <w:sz w:val="1"/>
                <w:szCs w:val="1"/>
                <w:color w:val="auto"/>
              </w:rPr>
            </w:pPr>
          </w:p>
        </w:tc>
      </w:tr>
      <w:tr>
        <w:trPr>
          <w:trHeight w:val="240"/>
        </w:trPr>
        <w:tc>
          <w:tcPr>
            <w:tcW w:w="6560" w:type="dxa"/>
            <w:vAlign w:val="bottom"/>
          </w:tcPr>
          <w:p>
            <w:pPr>
              <w:spacing w:after="0"/>
              <w:rPr>
                <w:sz w:val="20"/>
                <w:szCs w:val="20"/>
                <w:color w:val="auto"/>
              </w:rPr>
            </w:pPr>
            <w:r>
              <w:rPr>
                <w:rFonts w:ascii="Arial" w:cs="Arial" w:eastAsia="Arial" w:hAnsi="Arial"/>
                <w:sz w:val="16"/>
                <w:szCs w:val="16"/>
                <w:color w:val="auto"/>
                <w:w w:val="97"/>
              </w:rPr>
              <w:t>Loss from continuing operations, before income taxes and equity in earnings of unconsolidated</w:t>
            </w:r>
          </w:p>
        </w:tc>
        <w:tc>
          <w:tcPr>
            <w:tcW w:w="700" w:type="dxa"/>
            <w:vAlign w:val="bottom"/>
            <w:vMerge w:val="restart"/>
          </w:tcPr>
          <w:p>
            <w:pPr>
              <w:jc w:val="right"/>
              <w:ind w:right="502"/>
              <w:spacing w:after="0"/>
              <w:rPr>
                <w:sz w:val="20"/>
                <w:szCs w:val="20"/>
                <w:color w:val="auto"/>
              </w:rPr>
            </w:pPr>
            <w:r>
              <w:rPr>
                <w:rFonts w:ascii="Arial" w:cs="Arial" w:eastAsia="Arial" w:hAnsi="Arial"/>
                <w:sz w:val="16"/>
                <w:szCs w:val="16"/>
                <w:color w:val="auto"/>
              </w:rPr>
              <w:t>$</w:t>
            </w:r>
          </w:p>
        </w:tc>
        <w:tc>
          <w:tcPr>
            <w:tcW w:w="340" w:type="dxa"/>
            <w:vAlign w:val="bottom"/>
            <w:vMerge w:val="restart"/>
          </w:tcPr>
          <w:p>
            <w:pPr>
              <w:jc w:val="right"/>
              <w:spacing w:after="0"/>
              <w:rPr>
                <w:sz w:val="20"/>
                <w:szCs w:val="20"/>
                <w:color w:val="auto"/>
              </w:rPr>
            </w:pPr>
            <w:r>
              <w:rPr>
                <w:rFonts w:ascii="Arial" w:cs="Arial" w:eastAsia="Arial" w:hAnsi="Arial"/>
                <w:sz w:val="16"/>
                <w:szCs w:val="16"/>
                <w:color w:val="auto"/>
              </w:rPr>
              <w:t>(36)</w:t>
            </w:r>
          </w:p>
        </w:tc>
        <w:tc>
          <w:tcPr>
            <w:tcW w:w="320" w:type="dxa"/>
            <w:vAlign w:val="bottom"/>
            <w:gridSpan w:val="2"/>
            <w:vMerge w:val="restart"/>
          </w:tcPr>
          <w:p>
            <w:pPr>
              <w:jc w:val="right"/>
              <w:ind w:right="42"/>
              <w:spacing w:after="0"/>
              <w:rPr>
                <w:sz w:val="20"/>
                <w:szCs w:val="20"/>
                <w:color w:val="auto"/>
              </w:rPr>
            </w:pPr>
            <w:r>
              <w:rPr>
                <w:rFonts w:ascii="Arial" w:cs="Arial" w:eastAsia="Arial" w:hAnsi="Arial"/>
                <w:sz w:val="16"/>
                <w:szCs w:val="16"/>
                <w:color w:val="auto"/>
              </w:rPr>
              <w:t>$</w:t>
            </w: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(24)</w:t>
            </w:r>
          </w:p>
        </w:tc>
        <w:tc>
          <w:tcPr>
            <w:tcW w:w="380" w:type="dxa"/>
            <w:vAlign w:val="bottom"/>
            <w:gridSpan w:val="2"/>
            <w:vMerge w:val="restart"/>
          </w:tcPr>
          <w:p>
            <w:pPr>
              <w:jc w:val="right"/>
              <w:ind w:right="200"/>
              <w:spacing w:after="0"/>
              <w:rPr>
                <w:sz w:val="20"/>
                <w:szCs w:val="20"/>
                <w:color w:val="auto"/>
              </w:rPr>
            </w:pPr>
            <w:r>
              <w:rPr>
                <w:rFonts w:ascii="Arial" w:cs="Arial" w:eastAsia="Arial" w:hAnsi="Arial"/>
                <w:sz w:val="16"/>
                <w:szCs w:val="16"/>
                <w:color w:val="auto"/>
              </w:rPr>
              <w:t>$</w:t>
            </w: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(90)</w:t>
            </w:r>
          </w:p>
        </w:tc>
        <w:tc>
          <w:tcPr>
            <w:tcW w:w="0" w:type="dxa"/>
            <w:vAlign w:val="bottom"/>
          </w:tcPr>
          <w:p>
            <w:pPr>
              <w:spacing w:after="0"/>
              <w:rPr>
                <w:sz w:val="1"/>
                <w:szCs w:val="1"/>
                <w:color w:val="auto"/>
              </w:rPr>
            </w:pPr>
          </w:p>
        </w:tc>
      </w:tr>
      <w:tr>
        <w:trPr>
          <w:trHeight w:val="190"/>
        </w:trPr>
        <w:tc>
          <w:tcPr>
            <w:tcW w:w="6560" w:type="dxa"/>
            <w:vAlign w:val="bottom"/>
          </w:tcPr>
          <w:p>
            <w:pPr>
              <w:spacing w:after="0"/>
              <w:rPr>
                <w:sz w:val="20"/>
                <w:szCs w:val="20"/>
                <w:color w:val="auto"/>
              </w:rPr>
            </w:pPr>
            <w:r>
              <w:rPr>
                <w:rFonts w:ascii="Arial" w:cs="Arial" w:eastAsia="Arial" w:hAnsi="Arial"/>
                <w:sz w:val="16"/>
                <w:szCs w:val="16"/>
                <w:color w:val="auto"/>
              </w:rPr>
              <w:t>affiliates</w:t>
            </w:r>
          </w:p>
        </w:tc>
        <w:tc>
          <w:tcPr>
            <w:tcW w:w="700" w:type="dxa"/>
            <w:vAlign w:val="bottom"/>
            <w:vMerge w:val="continue"/>
          </w:tcPr>
          <w:p>
            <w:pPr>
              <w:spacing w:after="0"/>
              <w:rPr>
                <w:sz w:val="16"/>
                <w:szCs w:val="16"/>
                <w:color w:val="auto"/>
              </w:rPr>
            </w:pPr>
          </w:p>
        </w:tc>
        <w:tc>
          <w:tcPr>
            <w:tcW w:w="340" w:type="dxa"/>
            <w:vAlign w:val="bottom"/>
            <w:vMerge w:val="continue"/>
          </w:tcPr>
          <w:p>
            <w:pPr>
              <w:spacing w:after="0"/>
              <w:rPr>
                <w:sz w:val="16"/>
                <w:szCs w:val="16"/>
                <w:color w:val="auto"/>
              </w:rPr>
            </w:pPr>
          </w:p>
        </w:tc>
        <w:tc>
          <w:tcPr>
            <w:tcW w:w="320" w:type="dxa"/>
            <w:vAlign w:val="bottom"/>
            <w:gridSpan w:val="2"/>
            <w:vMerge w:val="continue"/>
          </w:tcPr>
          <w:p>
            <w:pPr>
              <w:spacing w:after="0"/>
              <w:rPr>
                <w:sz w:val="16"/>
                <w:szCs w:val="16"/>
                <w:color w:val="auto"/>
              </w:rPr>
            </w:pPr>
          </w:p>
        </w:tc>
        <w:tc>
          <w:tcPr>
            <w:tcW w:w="800" w:type="dxa"/>
            <w:vAlign w:val="bottom"/>
            <w:vMerge w:val="continue"/>
          </w:tcPr>
          <w:p>
            <w:pPr>
              <w:spacing w:after="0"/>
              <w:rPr>
                <w:sz w:val="16"/>
                <w:szCs w:val="16"/>
                <w:color w:val="auto"/>
              </w:rPr>
            </w:pPr>
          </w:p>
        </w:tc>
        <w:tc>
          <w:tcPr>
            <w:tcW w:w="380" w:type="dxa"/>
            <w:vAlign w:val="bottom"/>
            <w:gridSpan w:val="2"/>
            <w:vMerge w:val="continue"/>
          </w:tcPr>
          <w:p>
            <w:pPr>
              <w:spacing w:after="0"/>
              <w:rPr>
                <w:sz w:val="16"/>
                <w:szCs w:val="16"/>
                <w:color w:val="auto"/>
              </w:rPr>
            </w:pPr>
          </w:p>
        </w:tc>
        <w:tc>
          <w:tcPr>
            <w:tcW w:w="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5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38735</wp:posOffset>
            </wp:positionH>
            <wp:positionV relativeFrom="paragraph">
              <wp:posOffset>-2103120</wp:posOffset>
            </wp:positionV>
            <wp:extent cx="6297930" cy="211010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64">
                      <a:extLst>
                        <a:ext uri="{28A0092B-C50C-407E-A947-70E740481C1C}"/>
                      </a:extLst>
                    </a:blip>
                    <a:srcRect/>
                    <a:stretch>
                      <a:fillRect/>
                    </a:stretch>
                  </pic:blipFill>
                  <pic:spPr bwMode="auto">
                    <a:xfrm>
                      <a:off x="0" y="0"/>
                      <a:ext cx="6297930" cy="2110105"/>
                    </a:xfrm>
                    <a:prstGeom prst="rect">
                      <a:avLst/>
                    </a:prstGeom>
                    <a:noFill/>
                  </pic:spPr>
                </pic:pic>
              </a:graphicData>
            </a:graphic>
          </wp:anchor>
        </w:drawing>
      </w:r>
    </w:p>
    <w:p>
      <w:pPr>
        <w:spacing w:after="0" w:line="144" w:lineRule="exact"/>
        <w:rPr>
          <w:sz w:val="20"/>
          <w:szCs w:val="20"/>
          <w:color w:val="auto"/>
        </w:rPr>
      </w:pPr>
    </w:p>
    <w:p>
      <w:pPr>
        <w:jc w:val="both"/>
        <w:ind w:firstLine="353"/>
        <w:spacing w:after="0" w:line="258" w:lineRule="auto"/>
        <w:rPr>
          <w:sz w:val="20"/>
          <w:szCs w:val="20"/>
          <w:color w:val="auto"/>
        </w:rPr>
      </w:pPr>
      <w:r>
        <w:rPr>
          <w:rFonts w:ascii="Arial" w:cs="Arial" w:eastAsia="Arial" w:hAnsi="Arial"/>
          <w:sz w:val="20"/>
          <w:szCs w:val="20"/>
          <w:color w:val="auto"/>
        </w:rPr>
        <w:t>The revenue in the Corporate and Other segment for all years represents revenue generated by our non-title real estate technology and brokerage subsidiaries as well as mark-to-market valuation changes on certain corporate deferred compensation plans.</w:t>
      </w:r>
    </w:p>
    <w:p>
      <w:pPr>
        <w:spacing w:after="0" w:line="82" w:lineRule="exact"/>
        <w:rPr>
          <w:sz w:val="20"/>
          <w:szCs w:val="20"/>
          <w:color w:val="auto"/>
        </w:rPr>
      </w:pPr>
    </w:p>
    <w:p>
      <w:pPr>
        <w:jc w:val="both"/>
        <w:ind w:firstLine="353"/>
        <w:spacing w:after="0" w:line="264" w:lineRule="auto"/>
        <w:rPr>
          <w:sz w:val="20"/>
          <w:szCs w:val="20"/>
          <w:color w:val="auto"/>
        </w:rPr>
      </w:pPr>
      <w:r>
        <w:rPr>
          <w:rFonts w:ascii="Arial" w:cs="Arial" w:eastAsia="Arial" w:hAnsi="Arial"/>
          <w:sz w:val="19"/>
          <w:szCs w:val="19"/>
          <w:color w:val="auto"/>
        </w:rPr>
        <w:t>Total revenues in the Corporate and Other segment decreased $2 million, or 1% in the year ended December 31, 2025, as compared to 2024, and increased $64 million, or 23%, in the year ended December 31, 2024, as compared to 2023. The decrease in the year ended December 31, 2025, as compared to 2024 is attributable to various immaterial items. The increase in the year ended December 31, 2024, as compared to 2023 is primarily attributable to a $43 million increase in dividends received from F&amp;G and a $33 million impairment of cost method investments in 2023, partially offset by a $12 million decrease in interest and investment income related to short-term investments and various other immaterial items. The dividends received from F&amp;G are eliminated upon consolidation.</w:t>
      </w:r>
    </w:p>
    <w:p>
      <w:pPr>
        <w:spacing w:after="0" w:line="82" w:lineRule="exact"/>
        <w:rPr>
          <w:sz w:val="20"/>
          <w:szCs w:val="20"/>
          <w:color w:val="auto"/>
        </w:rPr>
      </w:pPr>
    </w:p>
    <w:p>
      <w:pPr>
        <w:jc w:val="both"/>
        <w:ind w:firstLine="353"/>
        <w:spacing w:after="0" w:line="306" w:lineRule="auto"/>
        <w:rPr>
          <w:sz w:val="20"/>
          <w:szCs w:val="20"/>
          <w:color w:val="auto"/>
        </w:rPr>
      </w:pPr>
      <w:r>
        <w:rPr>
          <w:rFonts w:ascii="Arial" w:cs="Arial" w:eastAsia="Arial" w:hAnsi="Arial"/>
          <w:sz w:val="17"/>
          <w:szCs w:val="17"/>
          <w:color w:val="auto"/>
        </w:rPr>
        <w:t>Personnel costs in the Corporate and Other segment increased $4 million, or 3%, in the year ended December 31, 2025, as compared to 2024, and increased $25 million, or 19%, in the year ended December 31, 2024, as compared to 2023. The increase in the year ended December 31, 2025, as compared to 2024 is attributable to various immaterial items. The increase in the year ended December 31, 2024, as compared to 2023 is primarily attributable to inflationary pressures on salaries expense and a $13 million increase is stock compensation expense associated with a restricted stock grant to our chairman.</w:t>
      </w:r>
    </w:p>
    <w:p>
      <w:pPr>
        <w:spacing w:after="0" w:line="47" w:lineRule="exact"/>
        <w:rPr>
          <w:sz w:val="20"/>
          <w:szCs w:val="20"/>
          <w:color w:val="auto"/>
        </w:rPr>
      </w:pPr>
    </w:p>
    <w:p>
      <w:pPr>
        <w:jc w:val="both"/>
        <w:ind w:firstLine="353"/>
        <w:spacing w:after="0" w:line="250" w:lineRule="auto"/>
        <w:rPr>
          <w:sz w:val="20"/>
          <w:szCs w:val="20"/>
          <w:color w:val="auto"/>
        </w:rPr>
      </w:pPr>
      <w:r>
        <w:rPr>
          <w:rFonts w:ascii="Arial" w:cs="Arial" w:eastAsia="Arial" w:hAnsi="Arial"/>
          <w:sz w:val="20"/>
          <w:szCs w:val="20"/>
          <w:color w:val="auto"/>
        </w:rPr>
        <w:t>Other operating expenses in the Corporate and Other segment increased $2 million, or 2%, in the year ended December 31, 2025, as compared to 2024, and decreased $29 million, or 22%, in the year ended December 31, 2024, as compared to 2023. The increase in the year ended December 31, 2025 as compared to 2024 is attributable to various immaterial items. The decrease in the year ended December 31, 2024 as compared to 2023 is primarily attributable to a $10 million reduction in expenses related to the 2023 cybersecurity incident, a $9 million reduction in expenses related to the termination of our pension plan and other various immaterial items.</w:t>
      </w:r>
    </w:p>
    <w:p>
      <w:pPr>
        <w:spacing w:after="0" w:line="8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Liquidity and Capital Resources</w:t>
      </w:r>
    </w:p>
    <w:p>
      <w:pPr>
        <w:spacing w:after="0" w:line="128" w:lineRule="exact"/>
        <w:rPr>
          <w:sz w:val="20"/>
          <w:szCs w:val="20"/>
          <w:color w:val="auto"/>
        </w:rPr>
      </w:pPr>
    </w:p>
    <w:p>
      <w:pPr>
        <w:jc w:val="both"/>
        <w:ind w:firstLine="353"/>
        <w:spacing w:after="0" w:line="301" w:lineRule="auto"/>
        <w:rPr>
          <w:sz w:val="20"/>
          <w:szCs w:val="20"/>
          <w:color w:val="auto"/>
        </w:rPr>
      </w:pPr>
      <w:r>
        <w:rPr>
          <w:rFonts w:ascii="Arial" w:cs="Arial" w:eastAsia="Arial" w:hAnsi="Arial"/>
          <w:sz w:val="17"/>
          <w:szCs w:val="17"/>
          <w:b w:val="1"/>
          <w:bCs w:val="1"/>
          <w:i w:val="1"/>
          <w:iCs w:val="1"/>
          <w:color w:val="auto"/>
        </w:rPr>
        <w:t xml:space="preserve">Cash Requirements. </w:t>
      </w:r>
      <w:r>
        <w:rPr>
          <w:rFonts w:ascii="Arial" w:cs="Arial" w:eastAsia="Arial" w:hAnsi="Arial"/>
          <w:sz w:val="17"/>
          <w:szCs w:val="17"/>
          <w:color w:val="auto"/>
        </w:rPr>
        <w:t>Our current cash requirements include personnel costs, operating expenses, claim payments, taxes,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payments of interest and principal on our debt, capital expenditures, business acquisitions, stock repurchases and dividends on our common stock. We paid dividends of $2.02 per share in 2025, or approximately $546 million to our common shareholders. On February 19, 2026, our Board of Directors declared cash dividends of $0.52 per share, payable on March 31, 2026, to FNF common shareholders of record as of March 17, 2026. There are no restrictions on our retained earnings regarding our ability to pay dividends to our shareholders, although there are limits on the ability of certain subsidiaries to pay dividends to us, as described below. The declaration of any future dividends is at the discretion of our Board of Directors.</w:t>
      </w:r>
    </w:p>
    <w:p>
      <w:pPr>
        <w:sectPr>
          <w:pgSz w:w="11880" w:h="15480" w:orient="portrait"/>
          <w:cols w:equalWidth="0" w:num="1">
            <w:col w:w="10040"/>
          </w:cols>
          <w:pgMar w:left="920" w:top="765" w:right="920" w:bottom="0" w:gutter="0" w:footer="0" w:header="0"/>
        </w:sect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88</w:t>
      </w:r>
    </w:p>
    <w:p>
      <w:pPr>
        <w:sectPr>
          <w:pgSz w:w="11880" w:h="15480" w:orient="portrait"/>
          <w:cols w:equalWidth="0" w:num="1">
            <w:col w:w="10040"/>
          </w:cols>
          <w:pgMar w:left="920" w:top="765" w:right="920" w:bottom="0" w:gutter="0" w:footer="0" w:header="0"/>
          <w:type w:val="continuous"/>
        </w:sectPr>
      </w:pPr>
    </w:p>
    <w:bookmarkStart w:id="100" w:name="page101"/>
    <w:bookmarkEnd w:id="100"/>
    <w:p>
      <w:pPr>
        <w:jc w:val="both"/>
        <w:ind w:firstLine="353"/>
        <w:spacing w:after="0" w:line="258" w:lineRule="auto"/>
        <w:rPr>
          <w:sz w:val="20"/>
          <w:szCs w:val="20"/>
          <w:color w:val="auto"/>
        </w:rPr>
      </w:pPr>
      <w:r>
        <w:rPr>
          <w:rFonts w:ascii="Arial" w:cs="Arial" w:eastAsia="Arial" w:hAnsi="Arial"/>
          <w:sz w:val="20"/>
          <w:szCs w:val="20"/>
          <w:color w:val="auto"/>
        </w:rPr>
        <w:t>As of December 31, 2025, we had cash and cash equivalents of $2,636 million, short term investments of $1,920 million and available capacity under our Revolving Credit Facility of $800 million and available capacity under the Amended F&amp;G Credit Agreement of $750 million.</w:t>
      </w:r>
    </w:p>
    <w:p>
      <w:pPr>
        <w:spacing w:after="0" w:line="82" w:lineRule="exact"/>
        <w:rPr>
          <w:sz w:val="20"/>
          <w:szCs w:val="20"/>
          <w:color w:val="auto"/>
        </w:rPr>
      </w:pPr>
    </w:p>
    <w:p>
      <w:pPr>
        <w:jc w:val="both"/>
        <w:ind w:firstLine="353"/>
        <w:spacing w:after="0" w:line="296" w:lineRule="auto"/>
        <w:rPr>
          <w:sz w:val="20"/>
          <w:szCs w:val="20"/>
          <w:color w:val="auto"/>
        </w:rPr>
      </w:pPr>
      <w:r>
        <w:rPr>
          <w:rFonts w:ascii="Arial" w:cs="Arial" w:eastAsia="Arial" w:hAnsi="Arial"/>
          <w:sz w:val="17"/>
          <w:szCs w:val="17"/>
          <w:color w:val="auto"/>
        </w:rPr>
        <w:t xml:space="preserve">On January 13, 2025, F&amp;G completed its public offering of its 7.30% Junior Subordinated Notes due 2065 with an aggregate principal amount of $375 million (the "7.30% F&amp;G Notes"). F&amp;G used a portion of the net proceeds of this offering to redeem the outstanding $300 million aggregate principal amount of its 5.50% F&amp;G Senior Notes. Refer to Note A </w:t>
      </w:r>
      <w:r>
        <w:rPr>
          <w:rFonts w:ascii="Arial" w:cs="Arial" w:eastAsia="Arial" w:hAnsi="Arial"/>
          <w:sz w:val="17"/>
          <w:szCs w:val="17"/>
          <w:b w:val="1"/>
          <w:bCs w:val="1"/>
          <w:i w:val="1"/>
          <w:iCs w:val="1"/>
          <w:color w:val="auto"/>
        </w:rPr>
        <w:t>Business</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 xml:space="preserve">and Summary of Significant Account Policies </w:t>
      </w:r>
      <w:r>
        <w:rPr>
          <w:rFonts w:ascii="Arial" w:cs="Arial" w:eastAsia="Arial" w:hAnsi="Arial"/>
          <w:sz w:val="17"/>
          <w:szCs w:val="17"/>
          <w:color w:val="auto"/>
        </w:rPr>
        <w:t>and Note F</w:t>
      </w:r>
      <w:r>
        <w:rPr>
          <w:rFonts w:ascii="Arial" w:cs="Arial" w:eastAsia="Arial" w:hAnsi="Arial"/>
          <w:sz w:val="17"/>
          <w:szCs w:val="17"/>
          <w:b w:val="1"/>
          <w:bCs w:val="1"/>
          <w:i w:val="1"/>
          <w:iCs w:val="1"/>
          <w:color w:val="auto"/>
        </w:rPr>
        <w:t xml:space="preserve"> Notes Payable </w:t>
      </w:r>
      <w:r>
        <w:rPr>
          <w:rFonts w:ascii="Arial" w:cs="Arial" w:eastAsia="Arial" w:hAnsi="Arial"/>
          <w:sz w:val="17"/>
          <w:szCs w:val="17"/>
          <w:color w:val="auto"/>
        </w:rPr>
        <w:t>to the Consolidated Financial Statements included in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Item 8 of Part II of this Annual Report for additional details on the 7.30% F&amp;G Notes. On March 24, 2025, F&amp;G completed a public offering of 8,000,000 shares of F&amp;G common stock, par value $0.001 per share. In connection with the offering, F&amp;G entered into an underwriting agreement, pursuant to which they granted the underwriters of the offering a 30-day option to purchase up to an additional 1,200,000 shares of common stock. Pursuant to the underwriting agreement, the underwriters agreed to resell to FNF 4,500,000 shares of F&amp;G common stock at the same price per share paid by the underwriters, which was $33.60 per share. The underwriters option expired unexercised. F&amp;G is using the net proceeds from the offering for general corporate purposes, including the support of organic growth opportunities.</w:t>
      </w:r>
    </w:p>
    <w:p>
      <w:pPr>
        <w:spacing w:after="0" w:line="53" w:lineRule="exact"/>
        <w:rPr>
          <w:sz w:val="20"/>
          <w:szCs w:val="20"/>
          <w:color w:val="auto"/>
        </w:rPr>
      </w:pPr>
    </w:p>
    <w:p>
      <w:pPr>
        <w:jc w:val="both"/>
        <w:ind w:firstLine="353"/>
        <w:spacing w:after="0" w:line="299" w:lineRule="auto"/>
        <w:rPr>
          <w:sz w:val="20"/>
          <w:szCs w:val="20"/>
          <w:color w:val="auto"/>
        </w:rPr>
      </w:pPr>
      <w:r>
        <w:rPr>
          <w:rFonts w:ascii="Arial" w:cs="Arial" w:eastAsia="Arial" w:hAnsi="Arial"/>
          <w:sz w:val="17"/>
          <w:szCs w:val="17"/>
          <w:color w:val="auto"/>
        </w:rPr>
        <w:t>We continually assess our capital allocation strategy, including decisions relating to the amount of our dividend, reducing debt, repurchasing our stock, investing in growth of our subsidiaries, making acquisitions and/or conserving cash. We believe that all anticipated cash requirements for current operations will be met from internally generated funds, through cash dividends from subsidiaries, cash generated by investment securities, potential sales of non-strategic assets, potential issuances of additional debt or equity securities, and borrowings on our Revolving Credit Facility and the F&amp;G Credit Facility. Our short-term and long-term liquidity requirements are monitored regularly to ensure that we can meet our cash requirements. We forecast the needs of all of our subsidiaries and periodically review their short-term and long-term projected sources and uses of funds, as well as the asset, liability, investment and cash flow assumptions underlying such forecasts.</w:t>
      </w:r>
    </w:p>
    <w:p>
      <w:pPr>
        <w:spacing w:after="0" w:line="51" w:lineRule="exact"/>
        <w:rPr>
          <w:sz w:val="20"/>
          <w:szCs w:val="20"/>
          <w:color w:val="auto"/>
        </w:rPr>
      </w:pPr>
    </w:p>
    <w:p>
      <w:pPr>
        <w:jc w:val="both"/>
        <w:ind w:firstLine="353"/>
        <w:spacing w:after="0" w:line="271" w:lineRule="auto"/>
        <w:rPr>
          <w:sz w:val="20"/>
          <w:szCs w:val="20"/>
          <w:color w:val="auto"/>
        </w:rPr>
      </w:pPr>
      <w:r>
        <w:rPr>
          <w:rFonts w:ascii="Arial" w:cs="Arial" w:eastAsia="Arial" w:hAnsi="Arial"/>
          <w:sz w:val="19"/>
          <w:szCs w:val="19"/>
          <w:color w:val="auto"/>
        </w:rPr>
        <w:t>Our title insurance subsidiaries generate cash from premiums earned and their respective investment portfolios, and these funds are adequate to satisfy the payments of claims and other liabilities. Due to the magnitude of our title segment investment portfolio in relation to our title claim loss reserves, we do not specifically match durations of our investments to the cash outflows required to pay claims, but do manage outflows on a shorter time frame.</w:t>
      </w:r>
    </w:p>
    <w:p>
      <w:pPr>
        <w:spacing w:after="0" w:line="72" w:lineRule="exact"/>
        <w:rPr>
          <w:sz w:val="20"/>
          <w:szCs w:val="20"/>
          <w:color w:val="auto"/>
        </w:rPr>
      </w:pPr>
    </w:p>
    <w:p>
      <w:pPr>
        <w:jc w:val="both"/>
        <w:ind w:firstLine="353"/>
        <w:spacing w:after="0" w:line="297" w:lineRule="auto"/>
        <w:rPr>
          <w:sz w:val="20"/>
          <w:szCs w:val="20"/>
          <w:color w:val="auto"/>
        </w:rPr>
      </w:pPr>
      <w:r>
        <w:rPr>
          <w:rFonts w:ascii="Arial" w:cs="Arial" w:eastAsia="Arial" w:hAnsi="Arial"/>
          <w:sz w:val="17"/>
          <w:szCs w:val="17"/>
          <w:color w:val="auto"/>
        </w:rPr>
        <w:t>Our two significant sources of internally generated funds are dividends and other payments from our subsidiaries. As a holding company, we receive cash from our subsidiaries in the form of dividends and as reimbursement for operating and other administrative expenses we incur. The reimbursements are paid within the guidelines of management agreements among us and our subsidiaries. Our insurance subsidiaries are restricted by state regulation in their ability to pay dividends and make distributions. Each applicable state of domicile regulates the extent to which our title underwriters can pay dividends or make other distributions. As of December 31, 2025, $1,141 million of our net assets were restricted from dividend payments without prior approval from the relevant departments of insurance. We anticipate that our title insurance subsidiaries will pay or make dividends to us in 2026 of approximately $437 million. Our underwritten title companies and non-insurance subsidiaries are not regulated to the same extent as our insurance subsidiaries.</w:t>
      </w:r>
    </w:p>
    <w:p>
      <w:pPr>
        <w:spacing w:after="0" w:line="57" w:lineRule="exact"/>
        <w:rPr>
          <w:sz w:val="20"/>
          <w:szCs w:val="20"/>
          <w:color w:val="auto"/>
        </w:rPr>
      </w:pPr>
    </w:p>
    <w:p>
      <w:pPr>
        <w:jc w:val="both"/>
        <w:ind w:firstLine="353"/>
        <w:spacing w:after="0" w:line="300" w:lineRule="auto"/>
        <w:rPr>
          <w:sz w:val="20"/>
          <w:szCs w:val="20"/>
          <w:color w:val="auto"/>
        </w:rPr>
      </w:pPr>
      <w:r>
        <w:rPr>
          <w:rFonts w:ascii="Arial" w:cs="Arial" w:eastAsia="Arial" w:hAnsi="Arial"/>
          <w:sz w:val="17"/>
          <w:szCs w:val="17"/>
          <w:color w:val="auto"/>
        </w:rPr>
        <w:t>The maximum dividend permitted by law is not necessarily indicative of an insurer’s actual ability to pay dividends, which may be constrained by business and regulatory considerations, such as the impact of dividends on surplus, which could affect an insurer’s ratings or competitive position, the amount of premiums that can be written and the ability to pay future dividends. Further, depending on business and regulatory conditions, we may in the future need to retain cash in our underwriters or even contribute cash to one or more of them in order to maintain their ratings or their statutory capital position. Such a requirement could be the result of investment losses, reserve charges, adverse operating conditions in the current economic environment or changes in statutory accounting requirements by regulators.</w:t>
      </w:r>
    </w:p>
    <w:p>
      <w:pPr>
        <w:spacing w:after="0" w:line="54" w:lineRule="exact"/>
        <w:rPr>
          <w:sz w:val="20"/>
          <w:szCs w:val="20"/>
          <w:color w:val="auto"/>
        </w:rPr>
      </w:pPr>
    </w:p>
    <w:p>
      <w:pPr>
        <w:jc w:val="both"/>
        <w:ind w:firstLine="353"/>
        <w:spacing w:after="0" w:line="271" w:lineRule="auto"/>
        <w:rPr>
          <w:sz w:val="20"/>
          <w:szCs w:val="20"/>
          <w:color w:val="auto"/>
        </w:rPr>
      </w:pPr>
      <w:r>
        <w:rPr>
          <w:rFonts w:ascii="Arial" w:cs="Arial" w:eastAsia="Arial" w:hAnsi="Arial"/>
          <w:sz w:val="20"/>
          <w:szCs w:val="20"/>
          <w:color w:val="auto"/>
        </w:rPr>
        <w:t>Cash flow from our operations will be used for general corporate purposes including to reinvest in operations, repay debt, pay dividends, repurchase stock, pursue other strategic initiatives and/or conserve cash.</w:t>
      </w:r>
    </w:p>
    <w:p>
      <w:pPr>
        <w:spacing w:after="0" w:line="67" w:lineRule="exact"/>
        <w:rPr>
          <w:sz w:val="20"/>
          <w:szCs w:val="20"/>
          <w:color w:val="auto"/>
        </w:rPr>
      </w:pPr>
    </w:p>
    <w:p>
      <w:pPr>
        <w:jc w:val="both"/>
        <w:ind w:firstLine="353"/>
        <w:spacing w:after="0" w:line="297" w:lineRule="auto"/>
        <w:rPr>
          <w:sz w:val="20"/>
          <w:szCs w:val="20"/>
          <w:color w:val="auto"/>
        </w:rPr>
      </w:pPr>
      <w:r>
        <w:rPr>
          <w:rFonts w:ascii="Arial" w:cs="Arial" w:eastAsia="Arial" w:hAnsi="Arial"/>
          <w:sz w:val="17"/>
          <w:szCs w:val="17"/>
          <w:b w:val="1"/>
          <w:bCs w:val="1"/>
          <w:i w:val="1"/>
          <w:iCs w:val="1"/>
          <w:color w:val="auto"/>
        </w:rPr>
        <w:t>Operating Cash Flow</w:t>
      </w:r>
      <w:r>
        <w:rPr>
          <w:rFonts w:ascii="Arial" w:cs="Arial" w:eastAsia="Arial" w:hAnsi="Arial"/>
          <w:sz w:val="17"/>
          <w:szCs w:val="17"/>
          <w:color w:val="auto"/>
        </w:rPr>
        <w:t>. Our cash flows provided by operations for the years ended December 31, 2025, 2024, and 2023</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were $5,828 million, $6,815 million, and $6,478 million, respectively. The decrease in cash provided by operating activities of $987 million in 2025 as compared to 2024 is primarily attributable to the decrease in cash inflows from net earnings, decreased cash inflows associated with the change in funds withheld from reinsurers of $518 million and decreased cash inflows associated with the change in future policy benefits of $143 million, partially offset by increased cash inflows from the change in derivative collateral liabilities of $158 million and increased cash inflows associated with the change in other assets and other liabilities of $206 million. The increase in cash provided by operating activities of $337 million in 2024 as compared to 2023 is primarily attributable to the increase in net earnings of $873 million, increased cash inflows associated with the change in future policy benefits of $528 million, increased cash inflows associated with the change in funds withheld from reinsurers of $409 million and net cash inflows associated with the change in income taxes of $83 million in 2024 as compared to net cash</w:t>
      </w:r>
    </w:p>
    <w:p>
      <w:pPr>
        <w:sectPr>
          <w:pgSz w:w="11880" w:h="15480" w:orient="portrait"/>
          <w:cols w:equalWidth="0" w:num="1">
            <w:col w:w="10040"/>
          </w:cols>
          <w:pgMar w:left="920" w:top="772" w:right="920" w:bottom="0" w:gutter="0" w:footer="0" w:header="0"/>
        </w:sect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89</w:t>
      </w:r>
    </w:p>
    <w:p>
      <w:pPr>
        <w:sectPr>
          <w:pgSz w:w="11880" w:h="15480" w:orient="portrait"/>
          <w:cols w:equalWidth="0" w:num="1">
            <w:col w:w="10040"/>
          </w:cols>
          <w:pgMar w:left="920" w:top="772" w:right="920" w:bottom="0" w:gutter="0" w:footer="0" w:header="0"/>
          <w:type w:val="continuous"/>
        </w:sectPr>
      </w:pPr>
    </w:p>
    <w:bookmarkStart w:id="101" w:name="page102"/>
    <w:bookmarkEnd w:id="101"/>
    <w:p>
      <w:pPr>
        <w:jc w:val="both"/>
        <w:spacing w:after="0" w:line="258" w:lineRule="auto"/>
        <w:rPr>
          <w:sz w:val="20"/>
          <w:szCs w:val="20"/>
          <w:color w:val="auto"/>
        </w:rPr>
      </w:pPr>
      <w:r>
        <w:rPr>
          <w:rFonts w:ascii="Arial" w:cs="Arial" w:eastAsia="Arial" w:hAnsi="Arial"/>
          <w:sz w:val="20"/>
          <w:szCs w:val="20"/>
          <w:color w:val="auto"/>
        </w:rPr>
        <w:t>outflows of $50 million in 2023, partially offset by reduced net cash inflows associated with the change in derivative collateral liabilities of $319 million and increased net cash outflows associated with the timing of receipts and payments of prepaid assets, payables, and receivables of $268 million.</w:t>
      </w:r>
    </w:p>
    <w:p>
      <w:pPr>
        <w:spacing w:after="0" w:line="80" w:lineRule="exact"/>
        <w:rPr>
          <w:sz w:val="20"/>
          <w:szCs w:val="20"/>
          <w:color w:val="auto"/>
        </w:rPr>
      </w:pPr>
    </w:p>
    <w:p>
      <w:pPr>
        <w:jc w:val="both"/>
        <w:ind w:firstLine="353"/>
        <w:spacing w:after="0" w:line="295" w:lineRule="auto"/>
        <w:rPr>
          <w:sz w:val="20"/>
          <w:szCs w:val="20"/>
          <w:color w:val="auto"/>
        </w:rPr>
      </w:pPr>
      <w:r>
        <w:rPr>
          <w:rFonts w:ascii="Arial" w:cs="Arial" w:eastAsia="Arial" w:hAnsi="Arial"/>
          <w:sz w:val="17"/>
          <w:szCs w:val="17"/>
          <w:b w:val="1"/>
          <w:bCs w:val="1"/>
          <w:i w:val="1"/>
          <w:iCs w:val="1"/>
          <w:color w:val="auto"/>
        </w:rPr>
        <w:t xml:space="preserve">Investing Cash Flows. </w:t>
      </w:r>
      <w:r>
        <w:rPr>
          <w:rFonts w:ascii="Arial" w:cs="Arial" w:eastAsia="Arial" w:hAnsi="Arial"/>
          <w:sz w:val="17"/>
          <w:szCs w:val="17"/>
          <w:color w:val="auto"/>
        </w:rPr>
        <w:t>Our cash used in investing activities for the years ended December 31, 2025, 2024, and 2023 were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$8,934 million, $7,862 million, and $9,090 million, respectively. The increase in cash used in investing activities in 2025 as compared to 2024 of $1,072 million is primarily associated with increased cash outflows for purchases of investment securities of $5,373 million, increased cash outflows for additional investments in unconsolidated affiliates of $1,362 million, partially increased cash inflows from proceeds, sales and calls of investment securities of $2,711 million, increased net proceeds from sales and maturities of short-term investment securities of $2,374 million and reduced cash outflows associated with acquisitions of $524 million. The decrease in cash used in investing activities in 2024 as compared to 2023 of $1,228 million is primarily associated with increased cash inflows from proceeds from sales, calls and maturities of investment securities of $6,399 million, increased cash inflows from distributions received from unconsolidated affiliates of $198 million and decreased investments in unconsolidated affiliates of $165 million, partially offset by increased purchases of investment securities of $3,840 million, increased cash outflows associated with acquisitions of $287 million and net purchases of short-term investment securities of $1,416 million in 2024 as compared to net proceeds from sales and maturities of short-term investment securities of $340 million in 2023.</w:t>
      </w:r>
    </w:p>
    <w:p>
      <w:pPr>
        <w:spacing w:after="0" w:line="292" w:lineRule="exact"/>
        <w:rPr>
          <w:sz w:val="20"/>
          <w:szCs w:val="20"/>
          <w:color w:val="auto"/>
        </w:rPr>
      </w:pPr>
    </w:p>
    <w:p>
      <w:pPr>
        <w:jc w:val="both"/>
        <w:ind w:firstLine="353"/>
        <w:spacing w:after="0" w:line="273" w:lineRule="auto"/>
        <w:rPr>
          <w:sz w:val="20"/>
          <w:szCs w:val="20"/>
          <w:color w:val="auto"/>
        </w:rPr>
      </w:pPr>
      <w:r>
        <w:rPr>
          <w:rFonts w:ascii="Arial" w:cs="Arial" w:eastAsia="Arial" w:hAnsi="Arial"/>
          <w:sz w:val="20"/>
          <w:szCs w:val="20"/>
          <w:b w:val="1"/>
          <w:bCs w:val="1"/>
          <w:i w:val="1"/>
          <w:iCs w:val="1"/>
          <w:color w:val="auto"/>
        </w:rPr>
        <w:t xml:space="preserve">Capital Expenditures. </w:t>
      </w:r>
      <w:r>
        <w:rPr>
          <w:rFonts w:ascii="Arial" w:cs="Arial" w:eastAsia="Arial" w:hAnsi="Arial"/>
          <w:sz w:val="20"/>
          <w:szCs w:val="20"/>
          <w:color w:val="auto"/>
        </w:rPr>
        <w:t>Total capital expenditures for property and equipment and capitalized software were $147 million,</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$146 million, and $132 million for the year ended December 31, 2025, 2024, and 2023 respectively.</w:t>
      </w:r>
    </w:p>
    <w:p>
      <w:pPr>
        <w:spacing w:after="0" w:line="65" w:lineRule="exact"/>
        <w:rPr>
          <w:sz w:val="20"/>
          <w:szCs w:val="20"/>
          <w:color w:val="auto"/>
        </w:rPr>
      </w:pPr>
    </w:p>
    <w:p>
      <w:pPr>
        <w:jc w:val="both"/>
        <w:ind w:firstLine="353"/>
        <w:spacing w:after="0" w:line="294" w:lineRule="auto"/>
        <w:rPr>
          <w:sz w:val="20"/>
          <w:szCs w:val="20"/>
          <w:color w:val="auto"/>
        </w:rPr>
      </w:pPr>
      <w:r>
        <w:rPr>
          <w:rFonts w:ascii="Arial" w:cs="Arial" w:eastAsia="Arial" w:hAnsi="Arial"/>
          <w:sz w:val="17"/>
          <w:szCs w:val="17"/>
          <w:b w:val="1"/>
          <w:bCs w:val="1"/>
          <w:i w:val="1"/>
          <w:iCs w:val="1"/>
          <w:color w:val="auto"/>
        </w:rPr>
        <w:t xml:space="preserve">Financing Cash Flows. </w:t>
      </w:r>
      <w:r>
        <w:rPr>
          <w:rFonts w:ascii="Arial" w:cs="Arial" w:eastAsia="Arial" w:hAnsi="Arial"/>
          <w:sz w:val="17"/>
          <w:szCs w:val="17"/>
          <w:color w:val="auto"/>
        </w:rPr>
        <w:t>Our cash flows provided by financing activities for the years ended December 31, 2025, 2024,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2023 were $2,263 million, $1,759 million, and $3,093 million, respectively. The increase in cash provided by financing activities of $504 million in 2025 as compared to 2024 is primarily associated with increased cash inflows from contractholder deposits of $1,428 million, repayments under the F&amp;G credit agreement of $365 million in 2024, cash inflows from the offering of F&amp;G common stock of $117 million and net cash inflows associated with the change in secured trust deposits of $180 million in 2025 as compared to net cash outflows of $179 million in 2024, partially offset by increased contractholder withdrawals of $753 million, reduced cash inflows from debt offerings of $675 million and increased purchases of treasury stock of $251 million. The decrease in cash provided by financing activities of $1,334 million in 2024 as compared to 2023 is primarily associated with increased cash outflows from contractholder withdrawals of $3,385 million, cash outflows for the tender offer of $250 million of our 5.50% F&amp;G Notes and increased cash outflows associated with repayments of principal outstanding on our F&amp;G Credit Agreement of $180 million, partially offset by increased cash inflows from contractholder deposits of $2,360 million and increased cash inflows associated with the issuance of our 6.25% F&amp;G Senior Notes of $500 million and the issuance of our 6.50% F&amp;G Senior Notes of $550 million in 2024, as compared to the issuance of our 7.95% F&amp;G Notes of $345 million and the issuance of our 7.40% F&amp;G Notes of $500 million in 2023.</w:t>
      </w:r>
    </w:p>
    <w:p>
      <w:pPr>
        <w:spacing w:after="0" w:line="297" w:lineRule="exact"/>
        <w:rPr>
          <w:sz w:val="20"/>
          <w:szCs w:val="20"/>
          <w:color w:val="auto"/>
        </w:rPr>
      </w:pPr>
    </w:p>
    <w:p>
      <w:pPr>
        <w:jc w:val="both"/>
        <w:ind w:firstLine="353"/>
        <w:spacing w:after="0" w:line="262" w:lineRule="auto"/>
        <w:rPr>
          <w:sz w:val="20"/>
          <w:szCs w:val="20"/>
          <w:color w:val="auto"/>
        </w:rPr>
      </w:pPr>
      <w:r>
        <w:rPr>
          <w:rFonts w:ascii="Arial" w:cs="Arial" w:eastAsia="Arial" w:hAnsi="Arial"/>
          <w:sz w:val="20"/>
          <w:szCs w:val="20"/>
          <w:b w:val="1"/>
          <w:bCs w:val="1"/>
          <w:i w:val="1"/>
          <w:iCs w:val="1"/>
          <w:color w:val="auto"/>
        </w:rPr>
        <w:t xml:space="preserve">Financing Arrangements. </w:t>
      </w:r>
      <w:r>
        <w:rPr>
          <w:rFonts w:ascii="Arial" w:cs="Arial" w:eastAsia="Arial" w:hAnsi="Arial"/>
          <w:sz w:val="20"/>
          <w:szCs w:val="20"/>
          <w:color w:val="auto"/>
        </w:rPr>
        <w:t>For a description of our financing arrangements see Note F</w:t>
      </w:r>
      <w:r>
        <w:rPr>
          <w:rFonts w:ascii="Arial" w:cs="Arial" w:eastAsia="Arial" w:hAnsi="Arial"/>
          <w:sz w:val="20"/>
          <w:szCs w:val="20"/>
          <w:b w:val="1"/>
          <w:bCs w:val="1"/>
          <w:i w:val="1"/>
          <w:iCs w:val="1"/>
          <w:color w:val="auto"/>
        </w:rPr>
        <w:t xml:space="preserve"> Notes Payable </w:t>
      </w:r>
      <w:r>
        <w:rPr>
          <w:rFonts w:ascii="Arial" w:cs="Arial" w:eastAsia="Arial" w:hAnsi="Arial"/>
          <w:sz w:val="20"/>
          <w:szCs w:val="20"/>
          <w:color w:val="auto"/>
        </w:rPr>
        <w:t>included in Item 8 of</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Part II of this Annual Report, which is incorporated by reference into this Item 7 of Part II.</w:t>
      </w:r>
    </w:p>
    <w:p>
      <w:pPr>
        <w:spacing w:after="0" w:line="66" w:lineRule="exact"/>
        <w:rPr>
          <w:sz w:val="20"/>
          <w:szCs w:val="20"/>
          <w:color w:val="auto"/>
        </w:rPr>
      </w:pPr>
    </w:p>
    <w:p>
      <w:pPr>
        <w:jc w:val="both"/>
        <w:ind w:firstLine="353"/>
        <w:spacing w:after="0" w:line="262" w:lineRule="auto"/>
        <w:rPr>
          <w:sz w:val="20"/>
          <w:szCs w:val="20"/>
          <w:color w:val="auto"/>
        </w:rPr>
      </w:pPr>
      <w:r>
        <w:rPr>
          <w:rFonts w:ascii="Arial" w:cs="Arial" w:eastAsia="Arial" w:hAnsi="Arial"/>
          <w:sz w:val="20"/>
          <w:szCs w:val="20"/>
          <w:b w:val="1"/>
          <w:bCs w:val="1"/>
          <w:i w:val="1"/>
          <w:iCs w:val="1"/>
          <w:color w:val="auto"/>
        </w:rPr>
        <w:t xml:space="preserve">Obligations - Contractual and Other. </w:t>
      </w:r>
      <w:r>
        <w:rPr>
          <w:rFonts w:ascii="Arial" w:cs="Arial" w:eastAsia="Arial" w:hAnsi="Arial"/>
          <w:sz w:val="20"/>
          <w:szCs w:val="20"/>
          <w:color w:val="auto"/>
        </w:rPr>
        <w:t>As of December 31, 2025, our required annual payments relating to contractual and</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other obligations were as follows:</w:t>
      </w:r>
    </w:p>
    <w:p>
      <w:pPr>
        <w:spacing w:after="0" w:line="156" w:lineRule="exact"/>
        <w:rPr>
          <w:sz w:val="20"/>
          <w:szCs w:val="20"/>
          <w:color w:val="auto"/>
        </w:rPr>
      </w:pPr>
    </w:p>
    <w:tbl>
      <w:tblPr>
        <w:tblLayout w:type="fixed"/>
        <w:tblInd w:w="400" w:type="dxa"/>
        <w:tblCellMar>
          <w:top w:w="0" w:type="dxa"/>
          <w:left w:w="0" w:type="dxa"/>
          <w:bottom w:w="0" w:type="dxa"/>
          <w:right w:w="0" w:type="dxa"/>
        </w:tblCellMar>
      </w:tblPr>
      <w:tr>
        <w:trPr>
          <w:trHeight w:val="213"/>
        </w:trPr>
        <w:tc>
          <w:tcPr>
            <w:tcW w:w="30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202"/>
              <w:spacing w:after="0"/>
              <w:rPr>
                <w:sz w:val="20"/>
                <w:szCs w:val="20"/>
                <w:color w:val="auto"/>
              </w:rPr>
            </w:pPr>
            <w:r>
              <w:rPr>
                <w:rFonts w:ascii="Arial" w:cs="Arial" w:eastAsia="Arial" w:hAnsi="Arial"/>
                <w:sz w:val="16"/>
                <w:szCs w:val="16"/>
                <w:b w:val="1"/>
                <w:bCs w:val="1"/>
                <w:color w:val="auto"/>
              </w:rPr>
              <w:t>2026</w:t>
            </w:r>
          </w:p>
        </w:tc>
        <w:tc>
          <w:tcPr>
            <w:tcW w:w="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202"/>
              <w:spacing w:after="0"/>
              <w:rPr>
                <w:sz w:val="20"/>
                <w:szCs w:val="20"/>
                <w:color w:val="auto"/>
              </w:rPr>
            </w:pPr>
            <w:r>
              <w:rPr>
                <w:rFonts w:ascii="Arial" w:cs="Arial" w:eastAsia="Arial" w:hAnsi="Arial"/>
                <w:sz w:val="16"/>
                <w:szCs w:val="16"/>
                <w:b w:val="1"/>
                <w:bCs w:val="1"/>
                <w:color w:val="auto"/>
              </w:rPr>
              <w:t>2027</w:t>
            </w: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202"/>
              <w:spacing w:after="0"/>
              <w:rPr>
                <w:sz w:val="20"/>
                <w:szCs w:val="20"/>
                <w:color w:val="auto"/>
              </w:rPr>
            </w:pPr>
            <w:r>
              <w:rPr>
                <w:rFonts w:ascii="Arial" w:cs="Arial" w:eastAsia="Arial" w:hAnsi="Arial"/>
                <w:sz w:val="16"/>
                <w:szCs w:val="16"/>
                <w:b w:val="1"/>
                <w:bCs w:val="1"/>
                <w:color w:val="auto"/>
              </w:rPr>
              <w:t>2028</w:t>
            </w:r>
          </w:p>
        </w:tc>
        <w:tc>
          <w:tcPr>
            <w:tcW w:w="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202"/>
              <w:spacing w:after="0"/>
              <w:rPr>
                <w:sz w:val="20"/>
                <w:szCs w:val="20"/>
                <w:color w:val="auto"/>
              </w:rPr>
            </w:pPr>
            <w:r>
              <w:rPr>
                <w:rFonts w:ascii="Arial" w:cs="Arial" w:eastAsia="Arial" w:hAnsi="Arial"/>
                <w:sz w:val="16"/>
                <w:szCs w:val="16"/>
                <w:b w:val="1"/>
                <w:bCs w:val="1"/>
                <w:color w:val="auto"/>
              </w:rPr>
              <w:t>2029</w:t>
            </w:r>
          </w:p>
        </w:tc>
        <w:tc>
          <w:tcPr>
            <w:tcW w:w="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202"/>
              <w:spacing w:after="0"/>
              <w:rPr>
                <w:sz w:val="20"/>
                <w:szCs w:val="20"/>
                <w:color w:val="auto"/>
              </w:rPr>
            </w:pPr>
            <w:r>
              <w:rPr>
                <w:rFonts w:ascii="Arial" w:cs="Arial" w:eastAsia="Arial" w:hAnsi="Arial"/>
                <w:sz w:val="16"/>
                <w:szCs w:val="16"/>
                <w:b w:val="1"/>
                <w:bCs w:val="1"/>
                <w:color w:val="auto"/>
              </w:rPr>
              <w:t>2030</w:t>
            </w:r>
          </w:p>
        </w:tc>
        <w:tc>
          <w:tcPr>
            <w:tcW w:w="60" w:type="dxa"/>
            <w:vAlign w:val="bottom"/>
          </w:tcPr>
          <w:p>
            <w:pPr>
              <w:spacing w:after="0"/>
              <w:rPr>
                <w:sz w:val="18"/>
                <w:szCs w:val="18"/>
                <w:color w:val="auto"/>
              </w:rPr>
            </w:pPr>
          </w:p>
        </w:tc>
        <w:tc>
          <w:tcPr>
            <w:tcW w:w="900" w:type="dxa"/>
            <w:vAlign w:val="bottom"/>
            <w:tcBorders>
              <w:bottom w:val="single" w:sz="8" w:color="auto"/>
            </w:tcBorders>
            <w:gridSpan w:val="2"/>
          </w:tcPr>
          <w:p>
            <w:pPr>
              <w:jc w:val="right"/>
              <w:ind w:right="2"/>
              <w:spacing w:after="0"/>
              <w:rPr>
                <w:sz w:val="20"/>
                <w:szCs w:val="20"/>
                <w:color w:val="auto"/>
              </w:rPr>
            </w:pPr>
            <w:r>
              <w:rPr>
                <w:rFonts w:ascii="Arial" w:cs="Arial" w:eastAsia="Arial" w:hAnsi="Arial"/>
                <w:sz w:val="16"/>
                <w:szCs w:val="16"/>
                <w:b w:val="1"/>
                <w:bCs w:val="1"/>
                <w:color w:val="auto"/>
              </w:rPr>
              <w:t>Thereafter</w:t>
            </w:r>
          </w:p>
        </w:tc>
        <w:tc>
          <w:tcPr>
            <w:tcW w:w="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82"/>
              <w:spacing w:after="0"/>
              <w:rPr>
                <w:sz w:val="20"/>
                <w:szCs w:val="20"/>
                <w:color w:val="auto"/>
              </w:rPr>
            </w:pPr>
            <w:r>
              <w:rPr>
                <w:rFonts w:ascii="Arial" w:cs="Arial" w:eastAsia="Arial" w:hAnsi="Arial"/>
                <w:sz w:val="16"/>
                <w:szCs w:val="16"/>
                <w:b w:val="1"/>
                <w:bCs w:val="1"/>
                <w:color w:val="auto"/>
              </w:rPr>
              <w:t>Total</w:t>
            </w:r>
          </w:p>
        </w:tc>
      </w:tr>
      <w:tr>
        <w:trPr>
          <w:trHeight w:val="208"/>
        </w:trPr>
        <w:tc>
          <w:tcPr>
            <w:tcW w:w="3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ind w:left="40"/>
              <w:spacing w:after="0"/>
              <w:rPr>
                <w:sz w:val="20"/>
                <w:szCs w:val="20"/>
                <w:color w:val="auto"/>
              </w:rPr>
            </w:pPr>
            <w:r>
              <w:rPr>
                <w:rFonts w:ascii="Arial" w:cs="Arial" w:eastAsia="Arial" w:hAnsi="Arial"/>
                <w:sz w:val="16"/>
                <w:szCs w:val="16"/>
                <w:b w:val="1"/>
                <w:bCs w:val="1"/>
                <w:color w:val="auto"/>
                <w:w w:val="91"/>
              </w:rPr>
              <w:t>(In millions)</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35"/>
        </w:trPr>
        <w:tc>
          <w:tcPr>
            <w:tcW w:w="3040" w:type="dxa"/>
            <w:vAlign w:val="bottom"/>
          </w:tcPr>
          <w:p>
            <w:pPr>
              <w:spacing w:after="0"/>
              <w:rPr>
                <w:sz w:val="20"/>
                <w:szCs w:val="20"/>
                <w:color w:val="auto"/>
              </w:rPr>
            </w:pPr>
            <w:r>
              <w:rPr>
                <w:rFonts w:ascii="Arial" w:cs="Arial" w:eastAsia="Arial" w:hAnsi="Arial"/>
                <w:sz w:val="16"/>
                <w:szCs w:val="16"/>
                <w:color w:val="auto"/>
              </w:rPr>
              <w:t>Notes payable principal repayment</w:t>
            </w:r>
          </w:p>
        </w:tc>
        <w:tc>
          <w:tcPr>
            <w:tcW w:w="22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660" w:type="dxa"/>
            <w:vAlign w:val="bottom"/>
          </w:tcPr>
          <w:p>
            <w:pPr>
              <w:jc w:val="right"/>
              <w:ind w:right="2"/>
              <w:spacing w:after="0"/>
              <w:rPr>
                <w:sz w:val="20"/>
                <w:szCs w:val="20"/>
                <w:color w:val="auto"/>
              </w:rPr>
            </w:pPr>
            <w:r>
              <w:rPr>
                <w:rFonts w:ascii="Arial" w:cs="Arial" w:eastAsia="Arial" w:hAnsi="Arial"/>
                <w:sz w:val="16"/>
                <w:szCs w:val="16"/>
                <w:color w:val="auto"/>
              </w:rPr>
              <w:t>32</w:t>
            </w:r>
          </w:p>
        </w:tc>
        <w:tc>
          <w:tcPr>
            <w:tcW w:w="28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3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950</w:t>
            </w:r>
          </w:p>
        </w:tc>
        <w:tc>
          <w:tcPr>
            <w:tcW w:w="280" w:type="dxa"/>
            <w:vAlign w:val="bottom"/>
            <w:gridSpan w:val="2"/>
          </w:tcPr>
          <w:p>
            <w:pPr>
              <w:ind w:left="140"/>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550</w:t>
            </w:r>
          </w:p>
        </w:tc>
        <w:tc>
          <w:tcPr>
            <w:tcW w:w="28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680" w:type="dxa"/>
            <w:vAlign w:val="bottom"/>
          </w:tcPr>
          <w:p>
            <w:pPr>
              <w:jc w:val="right"/>
              <w:ind w:right="2"/>
              <w:spacing w:after="0"/>
              <w:rPr>
                <w:sz w:val="20"/>
                <w:szCs w:val="20"/>
                <w:color w:val="auto"/>
              </w:rPr>
            </w:pPr>
            <w:r>
              <w:rPr>
                <w:rFonts w:ascii="Arial" w:cs="Arial" w:eastAsia="Arial" w:hAnsi="Arial"/>
                <w:sz w:val="16"/>
                <w:szCs w:val="16"/>
                <w:color w:val="auto"/>
              </w:rPr>
              <w:t>650</w:t>
            </w:r>
          </w:p>
        </w:tc>
        <w:tc>
          <w:tcPr>
            <w:tcW w:w="320" w:type="dxa"/>
            <w:vAlign w:val="bottom"/>
            <w:gridSpan w:val="2"/>
          </w:tcPr>
          <w:p>
            <w:pPr>
              <w:jc w:val="right"/>
              <w:ind w:right="42"/>
              <w:spacing w:after="0"/>
              <w:rPr>
                <w:sz w:val="20"/>
                <w:szCs w:val="20"/>
                <w:color w:val="auto"/>
              </w:rPr>
            </w:pPr>
            <w:r>
              <w:rPr>
                <w:rFonts w:ascii="Arial" w:cs="Arial" w:eastAsia="Arial" w:hAnsi="Arial"/>
                <w:sz w:val="16"/>
                <w:szCs w:val="16"/>
                <w:color w:val="auto"/>
              </w:rPr>
              <w:t>$</w:t>
            </w:r>
          </w:p>
        </w:tc>
        <w:tc>
          <w:tcPr>
            <w:tcW w:w="640" w:type="dxa"/>
            <w:vAlign w:val="bottom"/>
          </w:tcPr>
          <w:p>
            <w:pPr>
              <w:jc w:val="right"/>
              <w:ind w:right="2"/>
              <w:spacing w:after="0"/>
              <w:rPr>
                <w:sz w:val="20"/>
                <w:szCs w:val="20"/>
                <w:color w:val="auto"/>
              </w:rPr>
            </w:pPr>
            <w:r>
              <w:rPr>
                <w:rFonts w:ascii="Arial" w:cs="Arial" w:eastAsia="Arial" w:hAnsi="Arial"/>
                <w:sz w:val="16"/>
                <w:szCs w:val="16"/>
                <w:color w:val="auto"/>
              </w:rPr>
              <w:t>2,270</w:t>
            </w:r>
          </w:p>
        </w:tc>
        <w:tc>
          <w:tcPr>
            <w:tcW w:w="26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4,452</w:t>
            </w:r>
          </w:p>
        </w:tc>
      </w:tr>
      <w:tr>
        <w:trPr>
          <w:trHeight w:val="235"/>
        </w:trPr>
        <w:tc>
          <w:tcPr>
            <w:tcW w:w="3040" w:type="dxa"/>
            <w:vAlign w:val="bottom"/>
          </w:tcPr>
          <w:p>
            <w:pPr>
              <w:spacing w:after="0"/>
              <w:rPr>
                <w:sz w:val="20"/>
                <w:szCs w:val="20"/>
                <w:color w:val="auto"/>
              </w:rPr>
            </w:pPr>
            <w:r>
              <w:rPr>
                <w:rFonts w:ascii="Arial" w:cs="Arial" w:eastAsia="Arial" w:hAnsi="Arial"/>
                <w:sz w:val="16"/>
                <w:szCs w:val="16"/>
                <w:color w:val="auto"/>
              </w:rPr>
              <w:t>Operating lease payments</w:t>
            </w:r>
          </w:p>
        </w:tc>
        <w:tc>
          <w:tcPr>
            <w:tcW w:w="220" w:type="dxa"/>
            <w:vAlign w:val="bottom"/>
          </w:tcPr>
          <w:p>
            <w:pPr>
              <w:spacing w:after="0"/>
              <w:rPr>
                <w:sz w:val="20"/>
                <w:szCs w:val="20"/>
                <w:color w:val="auto"/>
              </w:rPr>
            </w:pPr>
          </w:p>
        </w:tc>
        <w:tc>
          <w:tcPr>
            <w:tcW w:w="660" w:type="dxa"/>
            <w:vAlign w:val="bottom"/>
          </w:tcPr>
          <w:p>
            <w:pPr>
              <w:jc w:val="right"/>
              <w:ind w:right="2"/>
              <w:spacing w:after="0"/>
              <w:rPr>
                <w:sz w:val="20"/>
                <w:szCs w:val="20"/>
                <w:color w:val="auto"/>
              </w:rPr>
            </w:pPr>
            <w:r>
              <w:rPr>
                <w:rFonts w:ascii="Arial" w:cs="Arial" w:eastAsia="Arial" w:hAnsi="Arial"/>
                <w:sz w:val="16"/>
                <w:szCs w:val="16"/>
                <w:color w:val="auto"/>
              </w:rPr>
              <w:t>130</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101</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76</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52</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jc w:val="right"/>
              <w:ind w:right="2"/>
              <w:spacing w:after="0"/>
              <w:rPr>
                <w:sz w:val="20"/>
                <w:szCs w:val="20"/>
                <w:color w:val="auto"/>
              </w:rPr>
            </w:pPr>
            <w:r>
              <w:rPr>
                <w:rFonts w:ascii="Arial" w:cs="Arial" w:eastAsia="Arial" w:hAnsi="Arial"/>
                <w:sz w:val="16"/>
                <w:szCs w:val="16"/>
                <w:color w:val="auto"/>
              </w:rPr>
              <w:t>29</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jc w:val="right"/>
              <w:ind w:right="2"/>
              <w:spacing w:after="0"/>
              <w:rPr>
                <w:sz w:val="20"/>
                <w:szCs w:val="20"/>
                <w:color w:val="auto"/>
              </w:rPr>
            </w:pPr>
            <w:r>
              <w:rPr>
                <w:rFonts w:ascii="Arial" w:cs="Arial" w:eastAsia="Arial" w:hAnsi="Arial"/>
                <w:sz w:val="16"/>
                <w:szCs w:val="16"/>
                <w:color w:val="auto"/>
              </w:rPr>
              <w:t>20</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408</w:t>
            </w:r>
          </w:p>
        </w:tc>
      </w:tr>
      <w:tr>
        <w:trPr>
          <w:trHeight w:val="235"/>
        </w:trPr>
        <w:tc>
          <w:tcPr>
            <w:tcW w:w="3040" w:type="dxa"/>
            <w:vAlign w:val="bottom"/>
          </w:tcPr>
          <w:p>
            <w:pPr>
              <w:spacing w:after="0"/>
              <w:rPr>
                <w:sz w:val="20"/>
                <w:szCs w:val="20"/>
                <w:color w:val="auto"/>
              </w:rPr>
            </w:pPr>
            <w:r>
              <w:rPr>
                <w:rFonts w:ascii="Arial" w:cs="Arial" w:eastAsia="Arial" w:hAnsi="Arial"/>
                <w:sz w:val="16"/>
                <w:szCs w:val="16"/>
                <w:color w:val="auto"/>
              </w:rPr>
              <w:t>Annuity and universal life products</w:t>
            </w:r>
          </w:p>
        </w:tc>
        <w:tc>
          <w:tcPr>
            <w:tcW w:w="220" w:type="dxa"/>
            <w:vAlign w:val="bottom"/>
          </w:tcPr>
          <w:p>
            <w:pPr>
              <w:spacing w:after="0"/>
              <w:rPr>
                <w:sz w:val="20"/>
                <w:szCs w:val="20"/>
                <w:color w:val="auto"/>
              </w:rPr>
            </w:pPr>
          </w:p>
        </w:tc>
        <w:tc>
          <w:tcPr>
            <w:tcW w:w="660" w:type="dxa"/>
            <w:vAlign w:val="bottom"/>
          </w:tcPr>
          <w:p>
            <w:pPr>
              <w:jc w:val="right"/>
              <w:ind w:right="2"/>
              <w:spacing w:after="0"/>
              <w:rPr>
                <w:sz w:val="20"/>
                <w:szCs w:val="20"/>
                <w:color w:val="auto"/>
              </w:rPr>
            </w:pPr>
            <w:r>
              <w:rPr>
                <w:rFonts w:ascii="Arial" w:cs="Arial" w:eastAsia="Arial" w:hAnsi="Arial"/>
                <w:sz w:val="16"/>
                <w:szCs w:val="16"/>
                <w:color w:val="auto"/>
              </w:rPr>
              <w:t>7,316</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7,900</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8,850</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7,724</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jc w:val="right"/>
              <w:ind w:right="2"/>
              <w:spacing w:after="0"/>
              <w:rPr>
                <w:sz w:val="20"/>
                <w:szCs w:val="20"/>
                <w:color w:val="auto"/>
              </w:rPr>
            </w:pPr>
            <w:r>
              <w:rPr>
                <w:rFonts w:ascii="Arial" w:cs="Arial" w:eastAsia="Arial" w:hAnsi="Arial"/>
                <w:sz w:val="16"/>
                <w:szCs w:val="16"/>
                <w:color w:val="auto"/>
              </w:rPr>
              <w:t>6,881</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jc w:val="right"/>
              <w:ind w:right="2"/>
              <w:spacing w:after="0"/>
              <w:rPr>
                <w:sz w:val="20"/>
                <w:szCs w:val="20"/>
                <w:color w:val="auto"/>
              </w:rPr>
            </w:pPr>
            <w:r>
              <w:rPr>
                <w:rFonts w:ascii="Arial" w:cs="Arial" w:eastAsia="Arial" w:hAnsi="Arial"/>
                <w:sz w:val="16"/>
                <w:szCs w:val="16"/>
                <w:color w:val="auto"/>
              </w:rPr>
              <w:t>48,267</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86,938</w:t>
            </w:r>
          </w:p>
        </w:tc>
      </w:tr>
      <w:tr>
        <w:trPr>
          <w:trHeight w:val="235"/>
        </w:trPr>
        <w:tc>
          <w:tcPr>
            <w:tcW w:w="3040" w:type="dxa"/>
            <w:vAlign w:val="bottom"/>
          </w:tcPr>
          <w:p>
            <w:pPr>
              <w:spacing w:after="0"/>
              <w:rPr>
                <w:sz w:val="20"/>
                <w:szCs w:val="20"/>
                <w:color w:val="auto"/>
              </w:rPr>
            </w:pPr>
            <w:r>
              <w:rPr>
                <w:rFonts w:ascii="Arial" w:cs="Arial" w:eastAsia="Arial" w:hAnsi="Arial"/>
                <w:sz w:val="16"/>
                <w:szCs w:val="16"/>
                <w:color w:val="auto"/>
              </w:rPr>
              <w:t>Pension risk transfer annuity payments</w:t>
            </w:r>
          </w:p>
        </w:tc>
        <w:tc>
          <w:tcPr>
            <w:tcW w:w="220" w:type="dxa"/>
            <w:vAlign w:val="bottom"/>
          </w:tcPr>
          <w:p>
            <w:pPr>
              <w:spacing w:after="0"/>
              <w:rPr>
                <w:sz w:val="20"/>
                <w:szCs w:val="20"/>
                <w:color w:val="auto"/>
              </w:rPr>
            </w:pPr>
          </w:p>
        </w:tc>
        <w:tc>
          <w:tcPr>
            <w:tcW w:w="660" w:type="dxa"/>
            <w:vAlign w:val="bottom"/>
          </w:tcPr>
          <w:p>
            <w:pPr>
              <w:jc w:val="right"/>
              <w:ind w:right="2"/>
              <w:spacing w:after="0"/>
              <w:rPr>
                <w:sz w:val="20"/>
                <w:szCs w:val="20"/>
                <w:color w:val="auto"/>
              </w:rPr>
            </w:pPr>
            <w:r>
              <w:rPr>
                <w:rFonts w:ascii="Arial" w:cs="Arial" w:eastAsia="Arial" w:hAnsi="Arial"/>
                <w:sz w:val="16"/>
                <w:szCs w:val="16"/>
                <w:color w:val="auto"/>
              </w:rPr>
              <w:t>843</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810</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783</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755</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jc w:val="right"/>
              <w:ind w:right="2"/>
              <w:spacing w:after="0"/>
              <w:rPr>
                <w:sz w:val="20"/>
                <w:szCs w:val="20"/>
                <w:color w:val="auto"/>
              </w:rPr>
            </w:pPr>
            <w:r>
              <w:rPr>
                <w:rFonts w:ascii="Arial" w:cs="Arial" w:eastAsia="Arial" w:hAnsi="Arial"/>
                <w:sz w:val="16"/>
                <w:szCs w:val="16"/>
                <w:color w:val="auto"/>
              </w:rPr>
              <w:t>727</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jc w:val="right"/>
              <w:ind w:right="2"/>
              <w:spacing w:after="0"/>
              <w:rPr>
                <w:sz w:val="20"/>
                <w:szCs w:val="20"/>
                <w:color w:val="auto"/>
              </w:rPr>
            </w:pPr>
            <w:r>
              <w:rPr>
                <w:rFonts w:ascii="Arial" w:cs="Arial" w:eastAsia="Arial" w:hAnsi="Arial"/>
                <w:sz w:val="16"/>
                <w:szCs w:val="16"/>
                <w:color w:val="auto"/>
              </w:rPr>
              <w:t>8,936</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12,854</w:t>
            </w:r>
          </w:p>
        </w:tc>
      </w:tr>
      <w:tr>
        <w:trPr>
          <w:trHeight w:val="235"/>
        </w:trPr>
        <w:tc>
          <w:tcPr>
            <w:tcW w:w="3040" w:type="dxa"/>
            <w:vAlign w:val="bottom"/>
          </w:tcPr>
          <w:p>
            <w:pPr>
              <w:spacing w:after="0"/>
              <w:rPr>
                <w:sz w:val="20"/>
                <w:szCs w:val="20"/>
                <w:color w:val="auto"/>
              </w:rPr>
            </w:pPr>
            <w:r>
              <w:rPr>
                <w:rFonts w:ascii="Arial" w:cs="Arial" w:eastAsia="Arial" w:hAnsi="Arial"/>
                <w:sz w:val="16"/>
                <w:szCs w:val="16"/>
                <w:color w:val="auto"/>
              </w:rPr>
              <w:t>Funding agreements (FABN/FHLB)</w:t>
            </w:r>
          </w:p>
        </w:tc>
        <w:tc>
          <w:tcPr>
            <w:tcW w:w="220" w:type="dxa"/>
            <w:vAlign w:val="bottom"/>
          </w:tcPr>
          <w:p>
            <w:pPr>
              <w:spacing w:after="0"/>
              <w:rPr>
                <w:sz w:val="20"/>
                <w:szCs w:val="20"/>
                <w:color w:val="auto"/>
              </w:rPr>
            </w:pPr>
          </w:p>
        </w:tc>
        <w:tc>
          <w:tcPr>
            <w:tcW w:w="660" w:type="dxa"/>
            <w:vAlign w:val="bottom"/>
          </w:tcPr>
          <w:p>
            <w:pPr>
              <w:jc w:val="right"/>
              <w:ind w:right="2"/>
              <w:spacing w:after="0"/>
              <w:rPr>
                <w:sz w:val="20"/>
                <w:szCs w:val="20"/>
                <w:color w:val="auto"/>
              </w:rPr>
            </w:pPr>
            <w:r>
              <w:rPr>
                <w:rFonts w:ascii="Arial" w:cs="Arial" w:eastAsia="Arial" w:hAnsi="Arial"/>
                <w:sz w:val="16"/>
                <w:szCs w:val="16"/>
                <w:color w:val="auto"/>
              </w:rPr>
              <w:t>1,938</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1,776</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1,710</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723</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jc w:val="right"/>
              <w:ind w:right="2"/>
              <w:spacing w:after="0"/>
              <w:rPr>
                <w:sz w:val="20"/>
                <w:szCs w:val="20"/>
                <w:color w:val="auto"/>
              </w:rPr>
            </w:pPr>
            <w:r>
              <w:rPr>
                <w:rFonts w:ascii="Arial" w:cs="Arial" w:eastAsia="Arial" w:hAnsi="Arial"/>
                <w:sz w:val="16"/>
                <w:szCs w:val="16"/>
                <w:color w:val="auto"/>
              </w:rPr>
              <w:t>360</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6,507</w:t>
            </w:r>
          </w:p>
        </w:tc>
      </w:tr>
      <w:tr>
        <w:trPr>
          <w:trHeight w:val="235"/>
        </w:trPr>
        <w:tc>
          <w:tcPr>
            <w:tcW w:w="3040" w:type="dxa"/>
            <w:vAlign w:val="bottom"/>
          </w:tcPr>
          <w:p>
            <w:pPr>
              <w:spacing w:after="0"/>
              <w:rPr>
                <w:sz w:val="20"/>
                <w:szCs w:val="20"/>
                <w:color w:val="auto"/>
              </w:rPr>
            </w:pPr>
            <w:r>
              <w:rPr>
                <w:rFonts w:ascii="Arial" w:cs="Arial" w:eastAsia="Arial" w:hAnsi="Arial"/>
                <w:sz w:val="16"/>
                <w:szCs w:val="16"/>
                <w:color w:val="auto"/>
              </w:rPr>
              <w:t>Title claim loss estimated payments</w:t>
            </w:r>
          </w:p>
        </w:tc>
        <w:tc>
          <w:tcPr>
            <w:tcW w:w="220" w:type="dxa"/>
            <w:vAlign w:val="bottom"/>
          </w:tcPr>
          <w:p>
            <w:pPr>
              <w:spacing w:after="0"/>
              <w:rPr>
                <w:sz w:val="20"/>
                <w:szCs w:val="20"/>
                <w:color w:val="auto"/>
              </w:rPr>
            </w:pPr>
          </w:p>
        </w:tc>
        <w:tc>
          <w:tcPr>
            <w:tcW w:w="660" w:type="dxa"/>
            <w:vAlign w:val="bottom"/>
          </w:tcPr>
          <w:p>
            <w:pPr>
              <w:jc w:val="right"/>
              <w:ind w:right="2"/>
              <w:spacing w:after="0"/>
              <w:rPr>
                <w:sz w:val="20"/>
                <w:szCs w:val="20"/>
                <w:color w:val="auto"/>
              </w:rPr>
            </w:pPr>
            <w:r>
              <w:rPr>
                <w:rFonts w:ascii="Arial" w:cs="Arial" w:eastAsia="Arial" w:hAnsi="Arial"/>
                <w:sz w:val="16"/>
                <w:szCs w:val="16"/>
                <w:color w:val="auto"/>
              </w:rPr>
              <w:t>265</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235</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184</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152</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jc w:val="right"/>
              <w:ind w:right="2"/>
              <w:spacing w:after="0"/>
              <w:rPr>
                <w:sz w:val="20"/>
                <w:szCs w:val="20"/>
                <w:color w:val="auto"/>
              </w:rPr>
            </w:pPr>
            <w:r>
              <w:rPr>
                <w:rFonts w:ascii="Arial" w:cs="Arial" w:eastAsia="Arial" w:hAnsi="Arial"/>
                <w:sz w:val="16"/>
                <w:szCs w:val="16"/>
                <w:color w:val="auto"/>
              </w:rPr>
              <w:t>109</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jc w:val="right"/>
              <w:ind w:right="2"/>
              <w:spacing w:after="0"/>
              <w:rPr>
                <w:sz w:val="20"/>
                <w:szCs w:val="20"/>
                <w:color w:val="auto"/>
              </w:rPr>
            </w:pPr>
            <w:r>
              <w:rPr>
                <w:rFonts w:ascii="Arial" w:cs="Arial" w:eastAsia="Arial" w:hAnsi="Arial"/>
                <w:sz w:val="16"/>
                <w:szCs w:val="16"/>
                <w:color w:val="auto"/>
              </w:rPr>
              <w:t>756</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1,701</w:t>
            </w:r>
          </w:p>
        </w:tc>
      </w:tr>
      <w:tr>
        <w:trPr>
          <w:trHeight w:val="242"/>
        </w:trPr>
        <w:tc>
          <w:tcPr>
            <w:tcW w:w="3040" w:type="dxa"/>
            <w:vAlign w:val="bottom"/>
          </w:tcPr>
          <w:p>
            <w:pPr>
              <w:spacing w:after="0"/>
              <w:rPr>
                <w:sz w:val="20"/>
                <w:szCs w:val="20"/>
                <w:color w:val="auto"/>
              </w:rPr>
            </w:pPr>
            <w:r>
              <w:rPr>
                <w:rFonts w:ascii="Arial" w:cs="Arial" w:eastAsia="Arial" w:hAnsi="Arial"/>
                <w:sz w:val="16"/>
                <w:szCs w:val="16"/>
                <w:color w:val="auto"/>
              </w:rPr>
              <w:t>Interest on fixed rate notes payable</w:t>
            </w:r>
          </w:p>
        </w:tc>
        <w:tc>
          <w:tcPr>
            <w:tcW w:w="22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136</w:t>
            </w:r>
          </w:p>
        </w:tc>
        <w:tc>
          <w:tcPr>
            <w:tcW w:w="6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136</w:t>
            </w:r>
          </w:p>
        </w:tc>
        <w:tc>
          <w:tcPr>
            <w:tcW w:w="8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92</w:t>
            </w:r>
          </w:p>
        </w:tc>
        <w:tc>
          <w:tcPr>
            <w:tcW w:w="8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w:t>
            </w:r>
          </w:p>
        </w:tc>
        <w:tc>
          <w:tcPr>
            <w:tcW w:w="8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66</w:t>
            </w:r>
          </w:p>
        </w:tc>
        <w:tc>
          <w:tcPr>
            <w:tcW w:w="6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930</w:t>
            </w:r>
          </w:p>
        </w:tc>
        <w:tc>
          <w:tcPr>
            <w:tcW w:w="6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1,438</w:t>
            </w:r>
          </w:p>
        </w:tc>
      </w:tr>
      <w:tr>
        <w:trPr>
          <w:trHeight w:val="196"/>
        </w:trPr>
        <w:tc>
          <w:tcPr>
            <w:tcW w:w="3040" w:type="dxa"/>
            <w:vAlign w:val="bottom"/>
          </w:tcPr>
          <w:p>
            <w:pPr>
              <w:spacing w:after="0"/>
              <w:rPr>
                <w:sz w:val="20"/>
                <w:szCs w:val="20"/>
                <w:color w:val="auto"/>
              </w:rPr>
            </w:pPr>
            <w:r>
              <w:rPr>
                <w:rFonts w:ascii="Arial" w:cs="Arial" w:eastAsia="Arial" w:hAnsi="Arial"/>
                <w:sz w:val="16"/>
                <w:szCs w:val="16"/>
                <w:color w:val="auto"/>
              </w:rPr>
              <w:t>Total</w:t>
            </w:r>
          </w:p>
        </w:tc>
        <w:tc>
          <w:tcPr>
            <w:tcW w:w="22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660" w:type="dxa"/>
            <w:vAlign w:val="bottom"/>
          </w:tcPr>
          <w:p>
            <w:pPr>
              <w:jc w:val="right"/>
              <w:ind w:right="2"/>
              <w:spacing w:after="0"/>
              <w:rPr>
                <w:sz w:val="20"/>
                <w:szCs w:val="20"/>
                <w:color w:val="auto"/>
              </w:rPr>
            </w:pPr>
            <w:r>
              <w:rPr>
                <w:rFonts w:ascii="Arial" w:cs="Arial" w:eastAsia="Arial" w:hAnsi="Arial"/>
                <w:sz w:val="16"/>
                <w:szCs w:val="16"/>
                <w:color w:val="auto"/>
              </w:rPr>
              <w:t>10,660</w:t>
            </w:r>
          </w:p>
        </w:tc>
        <w:tc>
          <w:tcPr>
            <w:tcW w:w="28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10,958</w:t>
            </w:r>
          </w:p>
        </w:tc>
        <w:tc>
          <w:tcPr>
            <w:tcW w:w="3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12,645</w:t>
            </w:r>
          </w:p>
        </w:tc>
        <w:tc>
          <w:tcPr>
            <w:tcW w:w="280" w:type="dxa"/>
            <w:vAlign w:val="bottom"/>
            <w:gridSpan w:val="2"/>
          </w:tcPr>
          <w:p>
            <w:pPr>
              <w:ind w:left="140"/>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10,034</w:t>
            </w:r>
          </w:p>
        </w:tc>
        <w:tc>
          <w:tcPr>
            <w:tcW w:w="28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680" w:type="dxa"/>
            <w:vAlign w:val="bottom"/>
          </w:tcPr>
          <w:p>
            <w:pPr>
              <w:jc w:val="right"/>
              <w:ind w:right="2"/>
              <w:spacing w:after="0"/>
              <w:rPr>
                <w:sz w:val="20"/>
                <w:szCs w:val="20"/>
                <w:color w:val="auto"/>
              </w:rPr>
            </w:pPr>
            <w:r>
              <w:rPr>
                <w:rFonts w:ascii="Arial" w:cs="Arial" w:eastAsia="Arial" w:hAnsi="Arial"/>
                <w:sz w:val="16"/>
                <w:szCs w:val="16"/>
                <w:color w:val="auto"/>
              </w:rPr>
              <w:t>8,822</w:t>
            </w:r>
          </w:p>
        </w:tc>
        <w:tc>
          <w:tcPr>
            <w:tcW w:w="320" w:type="dxa"/>
            <w:vAlign w:val="bottom"/>
            <w:gridSpan w:val="2"/>
          </w:tcPr>
          <w:p>
            <w:pPr>
              <w:jc w:val="right"/>
              <w:ind w:right="42"/>
              <w:spacing w:after="0"/>
              <w:rPr>
                <w:sz w:val="20"/>
                <w:szCs w:val="20"/>
                <w:color w:val="auto"/>
              </w:rPr>
            </w:pPr>
            <w:r>
              <w:rPr>
                <w:rFonts w:ascii="Arial" w:cs="Arial" w:eastAsia="Arial" w:hAnsi="Arial"/>
                <w:sz w:val="16"/>
                <w:szCs w:val="16"/>
                <w:color w:val="auto"/>
              </w:rPr>
              <w:t>$</w:t>
            </w:r>
          </w:p>
        </w:tc>
        <w:tc>
          <w:tcPr>
            <w:tcW w:w="640" w:type="dxa"/>
            <w:vAlign w:val="bottom"/>
          </w:tcPr>
          <w:p>
            <w:pPr>
              <w:jc w:val="right"/>
              <w:ind w:right="2"/>
              <w:spacing w:after="0"/>
              <w:rPr>
                <w:sz w:val="20"/>
                <w:szCs w:val="20"/>
                <w:color w:val="auto"/>
              </w:rPr>
            </w:pPr>
            <w:r>
              <w:rPr>
                <w:rFonts w:ascii="Arial" w:cs="Arial" w:eastAsia="Arial" w:hAnsi="Arial"/>
                <w:sz w:val="16"/>
                <w:szCs w:val="16"/>
                <w:color w:val="auto"/>
              </w:rPr>
              <w:t>61,179</w:t>
            </w:r>
          </w:p>
        </w:tc>
        <w:tc>
          <w:tcPr>
            <w:tcW w:w="26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114,298</w:t>
            </w:r>
          </w:p>
        </w:tc>
      </w:tr>
      <w:tr>
        <w:trPr>
          <w:trHeight w:val="20"/>
        </w:trPr>
        <w:tc>
          <w:tcPr>
            <w:tcW w:w="30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-1225550</wp:posOffset>
            </wp:positionV>
            <wp:extent cx="6186170" cy="12325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65">
                      <a:extLst>
                        <a:ext uri="{28A0092B-C50C-407E-A947-70E740481C1C}"/>
                      </a:extLst>
                    </a:blip>
                    <a:srcRect/>
                    <a:stretch>
                      <a:fillRect/>
                    </a:stretch>
                  </pic:blipFill>
                  <pic:spPr bwMode="auto">
                    <a:xfrm>
                      <a:off x="0" y="0"/>
                      <a:ext cx="6186170" cy="1232535"/>
                    </a:xfrm>
                    <a:prstGeom prst="rect">
                      <a:avLst/>
                    </a:prstGeom>
                    <a:noFill/>
                  </pic:spPr>
                </pic:pic>
              </a:graphicData>
            </a:graphic>
          </wp:anchor>
        </w:drawing>
      </w:r>
    </w:p>
    <w:p>
      <w:pPr>
        <w:spacing w:after="0" w:line="105" w:lineRule="exact"/>
        <w:rPr>
          <w:sz w:val="20"/>
          <w:szCs w:val="20"/>
          <w:color w:val="auto"/>
        </w:rPr>
      </w:pPr>
    </w:p>
    <w:p>
      <w:pPr>
        <w:jc w:val="both"/>
        <w:ind w:firstLine="353"/>
        <w:spacing w:after="0" w:line="254" w:lineRule="auto"/>
        <w:rPr>
          <w:sz w:val="20"/>
          <w:szCs w:val="20"/>
          <w:color w:val="auto"/>
        </w:rPr>
      </w:pPr>
      <w:r>
        <w:rPr>
          <w:rFonts w:ascii="Arial" w:cs="Arial" w:eastAsia="Arial" w:hAnsi="Arial"/>
          <w:sz w:val="20"/>
          <w:szCs w:val="20"/>
          <w:color w:val="auto"/>
        </w:rPr>
        <w:t>As of December 31, 2025, we had title insurance reserves of $1,700 million. The amounts and timing of these obligations are estimated and are not set contractually. While we believe that historical loss payments are a reasonable source for projecting future claim payments, there is significant inherent uncertainty in this payment pattern estimate because of the potential impact of changes in:</w:t>
      </w:r>
    </w:p>
    <w:p>
      <w:pPr>
        <w:spacing w:after="0" w:line="85" w:lineRule="exact"/>
        <w:rPr>
          <w:sz w:val="20"/>
          <w:szCs w:val="20"/>
          <w:color w:val="auto"/>
        </w:rPr>
      </w:pPr>
    </w:p>
    <w:p>
      <w:pPr>
        <w:ind w:left="700" w:hanging="355"/>
        <w:spacing w:after="0" w:line="271" w:lineRule="auto"/>
        <w:tabs>
          <w:tab w:leader="none" w:pos="700" w:val="left"/>
        </w:tabs>
        <w:numPr>
          <w:ilvl w:val="0"/>
          <w:numId w:val="44"/>
        </w:numPr>
        <w:rPr>
          <w:rFonts w:ascii="Arial" w:cs="Arial" w:eastAsia="Arial" w:hAnsi="Arial"/>
          <w:sz w:val="20"/>
          <w:szCs w:val="20"/>
          <w:color w:val="auto"/>
        </w:rPr>
      </w:pPr>
      <w:r>
        <w:rPr>
          <w:rFonts w:ascii="Arial" w:cs="Arial" w:eastAsia="Arial" w:hAnsi="Arial"/>
          <w:sz w:val="20"/>
          <w:szCs w:val="20"/>
          <w:color w:val="auto"/>
        </w:rPr>
        <w:t>future mortgage interest rates, which will affect the number of real estate and refinancing transactions and; therefore, the rate at which title insurance claims will emerge;</w:t>
      </w:r>
    </w:p>
    <w:p>
      <w:pPr>
        <w:sectPr>
          <w:pgSz w:w="11880" w:h="15480" w:orient="portrait"/>
          <w:cols w:equalWidth="0" w:num="1">
            <w:col w:w="10040"/>
          </w:cols>
          <w:pgMar w:left="920" w:top="772"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90</w:t>
      </w:r>
    </w:p>
    <w:p>
      <w:pPr>
        <w:sectPr>
          <w:pgSz w:w="11880" w:h="15480" w:orient="portrait"/>
          <w:cols w:equalWidth="0" w:num="1">
            <w:col w:w="10040"/>
          </w:cols>
          <w:pgMar w:left="920" w:top="772" w:right="920" w:bottom="0" w:gutter="0" w:footer="0" w:header="0"/>
          <w:type w:val="continuous"/>
        </w:sectPr>
      </w:pPr>
    </w:p>
    <w:bookmarkStart w:id="102" w:name="page103"/>
    <w:bookmarkEnd w:id="102"/>
    <w:p>
      <w:pPr>
        <w:ind w:left="700" w:hanging="355"/>
        <w:spacing w:after="0" w:line="271" w:lineRule="auto"/>
        <w:tabs>
          <w:tab w:leader="none" w:pos="700" w:val="left"/>
        </w:tabs>
        <w:numPr>
          <w:ilvl w:val="0"/>
          <w:numId w:val="45"/>
        </w:numPr>
        <w:rPr>
          <w:rFonts w:ascii="Arial" w:cs="Arial" w:eastAsia="Arial" w:hAnsi="Arial"/>
          <w:sz w:val="20"/>
          <w:szCs w:val="20"/>
          <w:color w:val="auto"/>
        </w:rPr>
      </w:pPr>
      <w:r>
        <w:rPr>
          <w:rFonts w:ascii="Arial" w:cs="Arial" w:eastAsia="Arial" w:hAnsi="Arial"/>
          <w:sz w:val="20"/>
          <w:szCs w:val="20"/>
          <w:color w:val="auto"/>
        </w:rPr>
        <w:t>the legal environment whereby court decisions and reinterpretations of title insurance policy language to broaden coverage could increase total obligations and influence claim payout patterns;</w:t>
      </w:r>
    </w:p>
    <w:p>
      <w:pPr>
        <w:spacing w:after="0" w:line="68" w:lineRule="exact"/>
        <w:rPr>
          <w:rFonts w:ascii="Arial" w:cs="Arial" w:eastAsia="Arial" w:hAnsi="Arial"/>
          <w:sz w:val="20"/>
          <w:szCs w:val="20"/>
          <w:color w:val="auto"/>
        </w:rPr>
      </w:pPr>
    </w:p>
    <w:p>
      <w:pPr>
        <w:jc w:val="both"/>
        <w:ind w:left="700" w:hanging="355"/>
        <w:spacing w:after="0" w:line="258" w:lineRule="auto"/>
        <w:tabs>
          <w:tab w:leader="none" w:pos="700" w:val="left"/>
        </w:tabs>
        <w:numPr>
          <w:ilvl w:val="0"/>
          <w:numId w:val="45"/>
        </w:numPr>
        <w:rPr>
          <w:rFonts w:ascii="Arial" w:cs="Arial" w:eastAsia="Arial" w:hAnsi="Arial"/>
          <w:sz w:val="20"/>
          <w:szCs w:val="20"/>
          <w:color w:val="auto"/>
        </w:rPr>
      </w:pPr>
      <w:r>
        <w:rPr>
          <w:rFonts w:ascii="Arial" w:cs="Arial" w:eastAsia="Arial" w:hAnsi="Arial"/>
          <w:sz w:val="20"/>
          <w:szCs w:val="20"/>
          <w:color w:val="auto"/>
        </w:rPr>
        <w:t>events such as fraud, escrow theft, multiple property title defects, foreclosure rates and individual large loss events that can substantially and unexpectedly cause increases in both the amount and timing of estimated title insurance loss payments; and</w:t>
      </w:r>
    </w:p>
    <w:p>
      <w:pPr>
        <w:spacing w:after="0" w:line="81" w:lineRule="exact"/>
        <w:rPr>
          <w:rFonts w:ascii="Arial" w:cs="Arial" w:eastAsia="Arial" w:hAnsi="Arial"/>
          <w:sz w:val="20"/>
          <w:szCs w:val="20"/>
          <w:color w:val="auto"/>
        </w:rPr>
      </w:pPr>
    </w:p>
    <w:p>
      <w:pPr>
        <w:ind w:left="700" w:hanging="355"/>
        <w:spacing w:after="0" w:line="271" w:lineRule="auto"/>
        <w:tabs>
          <w:tab w:leader="none" w:pos="700" w:val="left"/>
        </w:tabs>
        <w:numPr>
          <w:ilvl w:val="0"/>
          <w:numId w:val="45"/>
        </w:numPr>
        <w:rPr>
          <w:rFonts w:ascii="Arial" w:cs="Arial" w:eastAsia="Arial" w:hAnsi="Arial"/>
          <w:sz w:val="20"/>
          <w:szCs w:val="20"/>
          <w:color w:val="auto"/>
        </w:rPr>
      </w:pPr>
      <w:r>
        <w:rPr>
          <w:rFonts w:ascii="Arial" w:cs="Arial" w:eastAsia="Arial" w:hAnsi="Arial"/>
          <w:sz w:val="20"/>
          <w:szCs w:val="20"/>
          <w:color w:val="auto"/>
        </w:rPr>
        <w:t>loss cost trends whereby increases or decreases in inflationary factors (including the value of real estate) will influence the ultimate amount of title insurance loss payments.</w:t>
      </w:r>
    </w:p>
    <w:p>
      <w:pPr>
        <w:spacing w:after="0" w:line="127" w:lineRule="exact"/>
        <w:rPr>
          <w:sz w:val="20"/>
          <w:szCs w:val="20"/>
          <w:color w:val="auto"/>
        </w:rPr>
      </w:pPr>
    </w:p>
    <w:p>
      <w:pPr>
        <w:jc w:val="both"/>
        <w:ind w:firstLine="353"/>
        <w:spacing w:after="0" w:line="258" w:lineRule="auto"/>
        <w:rPr>
          <w:sz w:val="20"/>
          <w:szCs w:val="20"/>
          <w:color w:val="auto"/>
        </w:rPr>
      </w:pPr>
      <w:r>
        <w:rPr>
          <w:rFonts w:ascii="Arial" w:cs="Arial" w:eastAsia="Arial" w:hAnsi="Arial"/>
          <w:sz w:val="20"/>
          <w:szCs w:val="20"/>
          <w:color w:val="auto"/>
        </w:rPr>
        <w:t>Based on historical title insurance claim experience, we anticipate the above payment patterns. The uncertainty and variation in the timing and amount of claim payments could have a material impact on our cash flows from operations in a particular period.</w:t>
      </w:r>
    </w:p>
    <w:p>
      <w:pPr>
        <w:spacing w:after="0" w:line="80" w:lineRule="exact"/>
        <w:rPr>
          <w:sz w:val="20"/>
          <w:szCs w:val="20"/>
          <w:color w:val="auto"/>
        </w:rPr>
      </w:pPr>
    </w:p>
    <w:p>
      <w:pPr>
        <w:jc w:val="both"/>
        <w:ind w:firstLine="353"/>
        <w:spacing w:after="0" w:line="300" w:lineRule="auto"/>
        <w:rPr>
          <w:sz w:val="20"/>
          <w:szCs w:val="20"/>
          <w:color w:val="auto"/>
        </w:rPr>
      </w:pPr>
      <w:r>
        <w:rPr>
          <w:rFonts w:ascii="Arial" w:cs="Arial" w:eastAsia="Arial" w:hAnsi="Arial"/>
          <w:sz w:val="19"/>
          <w:szCs w:val="19"/>
          <w:color w:val="auto"/>
        </w:rPr>
        <w:t xml:space="preserve">We sponsor certain frozen pension and other post-retirement benefit plans. See Note T </w:t>
      </w:r>
      <w:r>
        <w:rPr>
          <w:rFonts w:ascii="Arial" w:cs="Arial" w:eastAsia="Arial" w:hAnsi="Arial"/>
          <w:sz w:val="19"/>
          <w:szCs w:val="19"/>
          <w:b w:val="1"/>
          <w:bCs w:val="1"/>
          <w:i w:val="1"/>
          <w:iCs w:val="1"/>
          <w:color w:val="auto"/>
        </w:rPr>
        <w:t>Employee Benefit Plans</w:t>
      </w:r>
      <w:r>
        <w:rPr>
          <w:rFonts w:ascii="Arial" w:cs="Arial" w:eastAsia="Arial" w:hAnsi="Arial"/>
          <w:sz w:val="19"/>
          <w:szCs w:val="19"/>
          <w:color w:val="auto"/>
        </w:rPr>
        <w:t xml:space="preserve"> to our Consolidated Financial Statements included in Item 8 of Part II of this Annual Report for further information.</w:t>
      </w:r>
    </w:p>
    <w:p>
      <w:pPr>
        <w:spacing w:after="0" w:line="42" w:lineRule="exact"/>
        <w:rPr>
          <w:sz w:val="20"/>
          <w:szCs w:val="20"/>
          <w:color w:val="auto"/>
        </w:rPr>
      </w:pPr>
    </w:p>
    <w:p>
      <w:pPr>
        <w:jc w:val="both"/>
        <w:ind w:firstLine="353"/>
        <w:spacing w:after="0" w:line="298" w:lineRule="auto"/>
        <w:rPr>
          <w:sz w:val="20"/>
          <w:szCs w:val="20"/>
          <w:color w:val="auto"/>
        </w:rPr>
      </w:pPr>
      <w:r>
        <w:rPr>
          <w:rFonts w:ascii="Arial" w:cs="Arial" w:eastAsia="Arial" w:hAnsi="Arial"/>
          <w:sz w:val="17"/>
          <w:szCs w:val="17"/>
          <w:b w:val="1"/>
          <w:bCs w:val="1"/>
          <w:i w:val="1"/>
          <w:iCs w:val="1"/>
          <w:color w:val="auto"/>
        </w:rPr>
        <w:t>Capital Stock Tran</w:t>
      </w:r>
      <w:r>
        <w:rPr>
          <w:rFonts w:ascii="Arial" w:cs="Arial" w:eastAsia="Arial" w:hAnsi="Arial"/>
          <w:sz w:val="17"/>
          <w:szCs w:val="17"/>
          <w:color w:val="auto"/>
        </w:rPr>
        <w:t>s</w:t>
      </w:r>
      <w:r>
        <w:rPr>
          <w:rFonts w:ascii="Arial" w:cs="Arial" w:eastAsia="Arial" w:hAnsi="Arial"/>
          <w:sz w:val="17"/>
          <w:szCs w:val="17"/>
          <w:b w:val="1"/>
          <w:bCs w:val="1"/>
          <w:i w:val="1"/>
          <w:iCs w:val="1"/>
          <w:color w:val="auto"/>
        </w:rPr>
        <w:t>actions</w:t>
      </w:r>
      <w:r>
        <w:rPr>
          <w:rFonts w:ascii="Arial" w:cs="Arial" w:eastAsia="Arial" w:hAnsi="Arial"/>
          <w:sz w:val="17"/>
          <w:szCs w:val="17"/>
          <w:color w:val="auto"/>
        </w:rPr>
        <w:t>. On August 3, 2021, our Board of Directors approved the 2021 Repurchase Program under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which we may purchase up to 25 million shares of our FNF common stock through July 31, 2024 (the "2021 Repurchase Program"). On July 31, 2024, our Board of Directors approved a new three-year stock repurchase program effective July 31, 2024 (the "2024 Repurchase Program") under which we are authorized to purchase up to 25 million shares of our FNF common stock through July 31, 2027. During the year ended December 31, 2024, we did not repurchase any FNF common stock under the 2021 Repurchase Program or the 2024 Repurchase Program. During the year ended December 31, 2025, we repurchased a total of 4,426,224 FNF common shares for an aggregate amount of $252 million, or an average of $56.80 per share. Subsequent to December 31, 2025 and through market close on February 19, 2026, we repurchased a total of 60,000 shares, for approximately $3 million, or an average of $55.66 under the 2024 Repurchase Program.</w:t>
      </w:r>
    </w:p>
    <w:p>
      <w:pPr>
        <w:spacing w:after="0" w:line="50" w:lineRule="exact"/>
        <w:rPr>
          <w:sz w:val="20"/>
          <w:szCs w:val="20"/>
          <w:color w:val="auto"/>
        </w:rPr>
      </w:pPr>
    </w:p>
    <w:p>
      <w:pPr>
        <w:jc w:val="both"/>
        <w:ind w:firstLine="353"/>
        <w:spacing w:after="0" w:line="254" w:lineRule="auto"/>
        <w:rPr>
          <w:sz w:val="20"/>
          <w:szCs w:val="20"/>
          <w:color w:val="auto"/>
        </w:rPr>
      </w:pPr>
      <w:r>
        <w:rPr>
          <w:rFonts w:ascii="Arial" w:cs="Arial" w:eastAsia="Arial" w:hAnsi="Arial"/>
          <w:sz w:val="20"/>
          <w:szCs w:val="20"/>
          <w:b w:val="1"/>
          <w:bCs w:val="1"/>
          <w:i w:val="1"/>
          <w:iCs w:val="1"/>
          <w:color w:val="auto"/>
        </w:rPr>
        <w:t xml:space="preserve">Equity and Preferred Security Investments. </w:t>
      </w:r>
      <w:r>
        <w:rPr>
          <w:rFonts w:ascii="Arial" w:cs="Arial" w:eastAsia="Arial" w:hAnsi="Arial"/>
          <w:sz w:val="20"/>
          <w:szCs w:val="20"/>
          <w:color w:val="auto"/>
        </w:rPr>
        <w:t>Our equity and preferred security investments may be subject to significant</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volatility. Currently prevailing accounting standards require us to record the change in fair value of equity and preferred security investments held as of any given period end within earnings. Our results of operations in future periods are anticipated to be subject to such volatility.</w:t>
      </w:r>
    </w:p>
    <w:p>
      <w:pPr>
        <w:spacing w:after="0" w:line="85" w:lineRule="exact"/>
        <w:rPr>
          <w:sz w:val="20"/>
          <w:szCs w:val="20"/>
          <w:color w:val="auto"/>
        </w:rPr>
      </w:pPr>
    </w:p>
    <w:p>
      <w:pPr>
        <w:jc w:val="both"/>
        <w:ind w:firstLine="353"/>
        <w:spacing w:after="0" w:line="250" w:lineRule="auto"/>
        <w:rPr>
          <w:sz w:val="20"/>
          <w:szCs w:val="20"/>
          <w:color w:val="auto"/>
        </w:rPr>
      </w:pPr>
      <w:r>
        <w:rPr>
          <w:rFonts w:ascii="Arial" w:cs="Arial" w:eastAsia="Arial" w:hAnsi="Arial"/>
          <w:sz w:val="20"/>
          <w:szCs w:val="20"/>
          <w:b w:val="1"/>
          <w:bCs w:val="1"/>
          <w:i w:val="1"/>
          <w:iCs w:val="1"/>
          <w:color w:val="auto"/>
        </w:rPr>
        <w:t xml:space="preserve">Off-Balance Sheet Arrangements. </w:t>
      </w:r>
      <w:r>
        <w:rPr>
          <w:rFonts w:ascii="Arial" w:cs="Arial" w:eastAsia="Arial" w:hAnsi="Arial"/>
          <w:sz w:val="20"/>
          <w:szCs w:val="20"/>
          <w:color w:val="auto"/>
        </w:rPr>
        <w:t>In conducting our operations, we routinely hold customers’ assets in escrow, pending</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completion of real estate transactions, and are responsible for the proper disposition of these balances for our customers. Certain of these amounts are maintained in segregated bank accounts and have not been included in the accompanying Consolidated Balance Sheets, consistent with GAAP and industry practice. These balances amounted to $16.2 billion and $14.4 billion at December 31, 2025, and 2024, respectively. As a result of holding these customers’ assets in escrow, we have ongoing programs for realizing economic benefits during the year through favorable borrowing and vendor arrangements with various banks.</w:t>
      </w:r>
    </w:p>
    <w:p>
      <w:pPr>
        <w:spacing w:after="0" w:line="148" w:lineRule="exact"/>
        <w:rPr>
          <w:sz w:val="20"/>
          <w:szCs w:val="20"/>
          <w:color w:val="auto"/>
        </w:rPr>
      </w:pPr>
    </w:p>
    <w:p>
      <w:pPr>
        <w:jc w:val="both"/>
        <w:ind w:firstLine="353"/>
        <w:spacing w:after="0" w:line="268" w:lineRule="auto"/>
        <w:rPr>
          <w:sz w:val="20"/>
          <w:szCs w:val="20"/>
          <w:color w:val="auto"/>
        </w:rPr>
      </w:pPr>
      <w:r>
        <w:rPr>
          <w:rFonts w:ascii="Arial" w:cs="Arial" w:eastAsia="Arial" w:hAnsi="Arial"/>
          <w:sz w:val="19"/>
          <w:szCs w:val="19"/>
          <w:color w:val="auto"/>
        </w:rPr>
        <w:t xml:space="preserve">We have unfunded investment commitments as of December 31, 2025, based upon the timing of when investments are executed compared to when the actual investments are funded, as some investments require that funding occur over a period of months or years. We also have unfunded commitments to consolidated VIEs. Please refer to Note D </w:t>
      </w:r>
      <w:r>
        <w:rPr>
          <w:rFonts w:ascii="Arial" w:cs="Arial" w:eastAsia="Arial" w:hAnsi="Arial"/>
          <w:sz w:val="19"/>
          <w:szCs w:val="19"/>
          <w:b w:val="1"/>
          <w:bCs w:val="1"/>
          <w:i w:val="1"/>
          <w:iCs w:val="1"/>
          <w:color w:val="auto"/>
        </w:rPr>
        <w:t>Investments</w:t>
      </w:r>
      <w:r>
        <w:rPr>
          <w:rFonts w:ascii="Arial" w:cs="Arial" w:eastAsia="Arial" w:hAnsi="Arial"/>
          <w:sz w:val="19"/>
          <w:szCs w:val="19"/>
          <w:color w:val="auto"/>
        </w:rPr>
        <w:t xml:space="preserve"> and Note G </w:t>
      </w:r>
      <w:r>
        <w:rPr>
          <w:rFonts w:ascii="Arial" w:cs="Arial" w:eastAsia="Arial" w:hAnsi="Arial"/>
          <w:sz w:val="19"/>
          <w:szCs w:val="19"/>
          <w:b w:val="1"/>
          <w:bCs w:val="1"/>
          <w:i w:val="1"/>
          <w:iCs w:val="1"/>
          <w:color w:val="auto"/>
        </w:rPr>
        <w:t xml:space="preserve">Commitments and Contingencies </w:t>
      </w:r>
      <w:r>
        <w:rPr>
          <w:rFonts w:ascii="Arial" w:cs="Arial" w:eastAsia="Arial" w:hAnsi="Arial"/>
          <w:sz w:val="19"/>
          <w:szCs w:val="19"/>
          <w:color w:val="auto"/>
        </w:rPr>
        <w:t>to the Consolidated Financial Statements included in Item 8 of Part II of this Annual Report</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for additional details on unfunded investment commitments.</w:t>
      </w:r>
    </w:p>
    <w:p>
      <w:pPr>
        <w:spacing w:after="0" w:line="72" w:lineRule="exact"/>
        <w:rPr>
          <w:sz w:val="20"/>
          <w:szCs w:val="20"/>
          <w:color w:val="auto"/>
        </w:rPr>
      </w:pPr>
    </w:p>
    <w:p>
      <w:pPr>
        <w:jc w:val="both"/>
        <w:ind w:firstLine="353"/>
        <w:spacing w:after="0" w:line="287" w:lineRule="auto"/>
        <w:rPr>
          <w:sz w:val="20"/>
          <w:szCs w:val="20"/>
          <w:color w:val="auto"/>
        </w:rPr>
      </w:pPr>
      <w:r>
        <w:rPr>
          <w:rFonts w:ascii="Arial" w:cs="Arial" w:eastAsia="Arial" w:hAnsi="Arial"/>
          <w:sz w:val="17"/>
          <w:szCs w:val="17"/>
          <w:b w:val="1"/>
          <w:bCs w:val="1"/>
          <w:i w:val="1"/>
          <w:iCs w:val="1"/>
          <w:color w:val="auto"/>
        </w:rPr>
        <w:t xml:space="preserve">FHLB Collateral. </w:t>
      </w:r>
      <w:r>
        <w:rPr>
          <w:rFonts w:ascii="Arial" w:cs="Arial" w:eastAsia="Arial" w:hAnsi="Arial"/>
          <w:sz w:val="17"/>
          <w:szCs w:val="17"/>
          <w:color w:val="auto"/>
        </w:rPr>
        <w:t>We are currently a member of the FHLB and are required to maintain a collateral deposit that backs any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funding agreements issued. We use these funding agreements as part of a spread enhancement strategy. We have the ability to obtain funding from the FHLB based on a percentage of the value of our assets, subject to the availability of eligible collateral. Collateral is pledged based on the outstanding balances of FHLB funding agreements. The amount of funding varies based on the type, rating and maturity of the collateral posted to the FHLB. Generally, U.S. government agency notes, mortgage-backed securities, municipal bonds, and commercial and residential whole loans are pledged to the FHLB as collateral. Market value fluctuations resulting from changes in interest rates, spreads and other risk factors for each type of asset are monitored and additional collateral is either pledged or released as needed.</w:t>
      </w:r>
    </w:p>
    <w:p>
      <w:pPr>
        <w:spacing w:after="0" w:line="33" w:lineRule="exact"/>
        <w:rPr>
          <w:sz w:val="20"/>
          <w:szCs w:val="20"/>
          <w:color w:val="auto"/>
        </w:rPr>
      </w:pPr>
    </w:p>
    <w:p>
      <w:pPr>
        <w:jc w:val="both"/>
        <w:ind w:firstLine="353"/>
        <w:spacing w:after="0" w:line="266" w:lineRule="auto"/>
        <w:rPr>
          <w:sz w:val="20"/>
          <w:szCs w:val="20"/>
          <w:color w:val="auto"/>
        </w:rPr>
      </w:pPr>
      <w:r>
        <w:rPr>
          <w:rFonts w:ascii="Arial" w:cs="Arial" w:eastAsia="Arial" w:hAnsi="Arial"/>
          <w:sz w:val="19"/>
          <w:szCs w:val="19"/>
          <w:color w:val="auto"/>
        </w:rPr>
        <w:t>Our borrowing capacity under these credit facilities does not have an expiration date as long as we maintain a satisfactory level of creditworthiness based on the FHLB’s credit assessment. As of December 31, 2025, and 2024, we had $2,899 million and $2,852 million, respectively, in FHLB non-putable funding agreements included under contractholder funds on our consolidated balance sheet. As of December 31, 2025, and 2024, we had assets with a fair value of approximately $4,621 million and $4,289 million, respectively, which collateralized the FHLB funding agreements. Assets pledged to the FHLB are included in fixed maturities, AFS, on our consolidated balance sheets.</w:t>
      </w:r>
    </w:p>
    <w:p>
      <w:pPr>
        <w:sectPr>
          <w:pgSz w:w="11880" w:h="15480" w:orient="portrait"/>
          <w:cols w:equalWidth="0" w:num="1">
            <w:col w:w="10040"/>
          </w:cols>
          <w:pgMar w:left="920" w:top="772"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91</w:t>
      </w:r>
    </w:p>
    <w:p>
      <w:pPr>
        <w:sectPr>
          <w:pgSz w:w="11880" w:h="15480" w:orient="portrait"/>
          <w:cols w:equalWidth="0" w:num="1">
            <w:col w:w="10040"/>
          </w:cols>
          <w:pgMar w:left="920" w:top="772" w:right="920" w:bottom="0" w:gutter="0" w:footer="0" w:header="0"/>
          <w:type w:val="continuous"/>
        </w:sectPr>
      </w:pPr>
    </w:p>
    <w:bookmarkStart w:id="103" w:name="page104"/>
    <w:bookmarkEnd w:id="103"/>
    <w:p>
      <w:pPr>
        <w:jc w:val="both"/>
        <w:ind w:firstLine="353"/>
        <w:spacing w:after="0" w:line="265" w:lineRule="auto"/>
        <w:rPr>
          <w:sz w:val="20"/>
          <w:szCs w:val="20"/>
          <w:color w:val="auto"/>
        </w:rPr>
      </w:pPr>
      <w:r>
        <w:rPr>
          <w:rFonts w:ascii="Arial" w:cs="Arial" w:eastAsia="Arial" w:hAnsi="Arial"/>
          <w:sz w:val="19"/>
          <w:szCs w:val="19"/>
          <w:b w:val="1"/>
          <w:bCs w:val="1"/>
          <w:i w:val="1"/>
          <w:iCs w:val="1"/>
          <w:color w:val="auto"/>
        </w:rPr>
        <w:t xml:space="preserve">Collateral-Derivative Contracts. </w:t>
      </w:r>
      <w:r>
        <w:rPr>
          <w:rFonts w:ascii="Arial" w:cs="Arial" w:eastAsia="Arial" w:hAnsi="Arial"/>
          <w:sz w:val="19"/>
          <w:szCs w:val="19"/>
          <w:color w:val="auto"/>
        </w:rPr>
        <w:t>Under the terms of our ISDA agreements, we may receive from, or deliver to,</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counterparties collateral to assure that all terms of the ISDA agreements will be met with regard to the Credit Support Annex (“CSA”). The terms of the CSA call for us to pay interest on any cash received equal to the federal funds rate. As of December 31, 2025, and 2024, respectively, $1,185 million and $771 million of collateral was posted by our counterparties as they did not meet the net exposure thresholds. Collateral requirements are monitored on a daily basis and incorporate changes in market values of both the derivatives contract as well as the collateral pledged. Market value fluctuations are due to changes in interest rates, spreads and other risk factors.</w:t>
      </w:r>
    </w:p>
    <w:p>
      <w:pPr>
        <w:spacing w:after="0" w:line="70" w:lineRule="exact"/>
        <w:rPr>
          <w:sz w:val="20"/>
          <w:szCs w:val="20"/>
          <w:color w:val="auto"/>
        </w:rPr>
      </w:pPr>
    </w:p>
    <w:p>
      <w:pPr>
        <w:spacing w:after="0"/>
        <w:tabs>
          <w:tab w:leader="none" w:pos="1380" w:val="left"/>
        </w:tabs>
        <w:rPr>
          <w:sz w:val="20"/>
          <w:szCs w:val="20"/>
          <w:color w:val="auto"/>
        </w:rPr>
      </w:pPr>
      <w:r>
        <w:rPr>
          <w:rFonts w:ascii="Arial" w:cs="Arial" w:eastAsia="Arial" w:hAnsi="Arial"/>
          <w:sz w:val="20"/>
          <w:szCs w:val="20"/>
          <w:b w:val="1"/>
          <w:bCs w:val="1"/>
          <w:color w:val="auto"/>
        </w:rPr>
        <w:t>Item 7A.</w:t>
      </w:r>
      <w:r>
        <w:rPr>
          <w:sz w:val="20"/>
          <w:szCs w:val="20"/>
          <w:color w:val="auto"/>
        </w:rPr>
        <w:tab/>
      </w:r>
      <w:r>
        <w:rPr>
          <w:rFonts w:ascii="Arial" w:cs="Arial" w:eastAsia="Arial" w:hAnsi="Arial"/>
          <w:sz w:val="17"/>
          <w:szCs w:val="17"/>
          <w:b w:val="1"/>
          <w:bCs w:val="1"/>
          <w:i w:val="1"/>
          <w:iCs w:val="1"/>
          <w:color w:val="auto"/>
        </w:rPr>
        <w:t>Quantitative and Qualitative Disclosure about Market Risk</w:t>
      </w:r>
    </w:p>
    <w:p>
      <w:pPr>
        <w:spacing w:after="0" w:line="128" w:lineRule="exact"/>
        <w:rPr>
          <w:sz w:val="20"/>
          <w:szCs w:val="20"/>
          <w:color w:val="auto"/>
        </w:rPr>
      </w:pPr>
    </w:p>
    <w:p>
      <w:pPr>
        <w:jc w:val="both"/>
        <w:ind w:firstLine="353"/>
        <w:spacing w:after="0" w:line="259" w:lineRule="auto"/>
        <w:rPr>
          <w:sz w:val="20"/>
          <w:szCs w:val="20"/>
          <w:color w:val="auto"/>
        </w:rPr>
      </w:pPr>
      <w:r>
        <w:rPr>
          <w:rFonts w:ascii="Arial" w:cs="Arial" w:eastAsia="Arial" w:hAnsi="Arial"/>
          <w:sz w:val="20"/>
          <w:szCs w:val="20"/>
          <w:color w:val="auto"/>
        </w:rPr>
        <w:t xml:space="preserve">In the normal course of business, we are routinely subject to a variety of risks, as described in Item 1A. </w:t>
      </w:r>
      <w:r>
        <w:rPr>
          <w:rFonts w:ascii="Arial" w:cs="Arial" w:eastAsia="Arial" w:hAnsi="Arial"/>
          <w:sz w:val="20"/>
          <w:szCs w:val="20"/>
          <w:b w:val="1"/>
          <w:bCs w:val="1"/>
          <w:i w:val="1"/>
          <w:iCs w:val="1"/>
          <w:color w:val="auto"/>
        </w:rPr>
        <w:t>Risk Factors</w:t>
      </w:r>
      <w:r>
        <w:rPr>
          <w:rFonts w:ascii="Arial" w:cs="Arial" w:eastAsia="Arial" w:hAnsi="Arial"/>
          <w:sz w:val="20"/>
          <w:szCs w:val="20"/>
          <w:color w:val="auto"/>
        </w:rPr>
        <w:t xml:space="preserve"> of this Annual Report and in our other filings with the SEC. For example, we are exposed to the risk that decreased real estate activity, which depends in part on the level of interest rates, may reduce our revenues.</w:t>
      </w:r>
    </w:p>
    <w:p>
      <w:pPr>
        <w:spacing w:after="0" w:line="61" w:lineRule="exact"/>
        <w:rPr>
          <w:sz w:val="20"/>
          <w:szCs w:val="20"/>
          <w:color w:val="auto"/>
        </w:rPr>
      </w:pPr>
    </w:p>
    <w:p>
      <w:pPr>
        <w:jc w:val="both"/>
        <w:ind w:firstLine="353"/>
        <w:spacing w:after="0" w:line="258" w:lineRule="auto"/>
        <w:rPr>
          <w:sz w:val="20"/>
          <w:szCs w:val="20"/>
          <w:color w:val="auto"/>
        </w:rPr>
      </w:pPr>
      <w:r>
        <w:rPr>
          <w:rFonts w:ascii="Arial" w:cs="Arial" w:eastAsia="Arial" w:hAnsi="Arial"/>
          <w:sz w:val="20"/>
          <w:szCs w:val="20"/>
          <w:color w:val="auto"/>
        </w:rPr>
        <w:t>The risks related to our business also include certain market risks that may affect our debt and other financial instruments. At present, we face the market risks associated with our marketable equity securities subject to equity price volatility and with interest rate movements on our fixed income investments.</w:t>
      </w:r>
    </w:p>
    <w:p>
      <w:pPr>
        <w:spacing w:after="0" w:line="62" w:lineRule="exact"/>
        <w:rPr>
          <w:sz w:val="20"/>
          <w:szCs w:val="20"/>
          <w:color w:val="auto"/>
        </w:rPr>
      </w:pPr>
    </w:p>
    <w:p>
      <w:pPr>
        <w:jc w:val="both"/>
        <w:ind w:firstLine="353"/>
        <w:spacing w:after="0" w:line="271" w:lineRule="auto"/>
        <w:rPr>
          <w:sz w:val="20"/>
          <w:szCs w:val="20"/>
          <w:color w:val="auto"/>
        </w:rPr>
      </w:pPr>
      <w:r>
        <w:rPr>
          <w:rFonts w:ascii="Arial" w:cs="Arial" w:eastAsia="Arial" w:hAnsi="Arial"/>
          <w:sz w:val="20"/>
          <w:szCs w:val="20"/>
          <w:color w:val="auto"/>
        </w:rPr>
        <w:t>We regularly assess these market risks and have established policies and business practices designed to protect against the adverse effects of these exposures.</w:t>
      </w:r>
    </w:p>
    <w:p>
      <w:pPr>
        <w:spacing w:after="0" w:line="49" w:lineRule="exact"/>
        <w:rPr>
          <w:sz w:val="20"/>
          <w:szCs w:val="20"/>
          <w:color w:val="auto"/>
        </w:rPr>
      </w:pPr>
    </w:p>
    <w:p>
      <w:pPr>
        <w:ind w:left="340"/>
        <w:spacing w:after="0"/>
        <w:rPr>
          <w:sz w:val="20"/>
          <w:szCs w:val="20"/>
          <w:color w:val="auto"/>
        </w:rPr>
      </w:pPr>
      <w:r>
        <w:rPr>
          <w:rFonts w:ascii="Arial" w:cs="Arial" w:eastAsia="Arial" w:hAnsi="Arial"/>
          <w:sz w:val="19"/>
          <w:szCs w:val="19"/>
          <w:color w:val="auto"/>
        </w:rPr>
        <w:t>At December 31, 2025, we had $4,400 million in long-term debt, none of which bears interest at a floating rate.</w:t>
      </w:r>
    </w:p>
    <w:p>
      <w:pPr>
        <w:spacing w:after="0" w:line="36" w:lineRule="exact"/>
        <w:rPr>
          <w:sz w:val="20"/>
          <w:szCs w:val="20"/>
          <w:color w:val="auto"/>
        </w:rPr>
      </w:pPr>
    </w:p>
    <w:p>
      <w:pPr>
        <w:spacing w:after="0"/>
        <w:rPr>
          <w:sz w:val="20"/>
          <w:szCs w:val="20"/>
          <w:color w:val="auto"/>
        </w:rPr>
      </w:pPr>
      <w:r>
        <w:rPr>
          <w:rFonts w:ascii="Arial" w:cs="Arial" w:eastAsia="Arial" w:hAnsi="Arial"/>
          <w:sz w:val="20"/>
          <w:szCs w:val="20"/>
          <w:color w:val="auto"/>
        </w:rPr>
        <w:t>Accordingly, fluctuations in market interest rates will not have a material impact on our resulting interest expense.</w:t>
      </w:r>
    </w:p>
    <w:p>
      <w:pPr>
        <w:spacing w:after="0" w:line="84" w:lineRule="exact"/>
        <w:rPr>
          <w:sz w:val="20"/>
          <w:szCs w:val="20"/>
          <w:color w:val="auto"/>
        </w:rPr>
      </w:pPr>
    </w:p>
    <w:p>
      <w:pPr>
        <w:jc w:val="both"/>
        <w:ind w:firstLine="353"/>
        <w:spacing w:after="0" w:line="266" w:lineRule="auto"/>
        <w:rPr>
          <w:sz w:val="20"/>
          <w:szCs w:val="20"/>
          <w:color w:val="auto"/>
        </w:rPr>
      </w:pPr>
      <w:r>
        <w:rPr>
          <w:rFonts w:ascii="Arial" w:cs="Arial" w:eastAsia="Arial" w:hAnsi="Arial"/>
          <w:sz w:val="19"/>
          <w:szCs w:val="19"/>
          <w:color w:val="auto"/>
        </w:rPr>
        <w:t>Our fixed maturity investments, certain preferred securities and our floating rate debt are subject to an element of market risk from changes in interest rates. Increases and decreases in prevailing interest rates generally translate into decreases and increases in fair values of those instruments. Additionally, fair values of interest rate sensitive instruments may be affected by the creditworthiness of the issuer, prepayment options, relative values of alternative investments, the liquidity of the instrument and other general market conditions. We manage interest rate risk through a variety of measures. We monitor our interest rate risk and make investment decisions to manage the perceived risk.</w:t>
      </w:r>
    </w:p>
    <w:p>
      <w:pPr>
        <w:spacing w:after="0" w:line="56" w:lineRule="exact"/>
        <w:rPr>
          <w:sz w:val="20"/>
          <w:szCs w:val="20"/>
          <w:color w:val="auto"/>
        </w:rPr>
      </w:pPr>
    </w:p>
    <w:p>
      <w:pPr>
        <w:jc w:val="both"/>
        <w:ind w:firstLine="353"/>
        <w:spacing w:after="0" w:line="297" w:lineRule="auto"/>
        <w:rPr>
          <w:sz w:val="20"/>
          <w:szCs w:val="20"/>
          <w:color w:val="auto"/>
        </w:rPr>
      </w:pPr>
      <w:r>
        <w:rPr>
          <w:rFonts w:ascii="Arial" w:cs="Arial" w:eastAsia="Arial" w:hAnsi="Arial"/>
          <w:sz w:val="17"/>
          <w:szCs w:val="17"/>
          <w:color w:val="auto"/>
        </w:rPr>
        <w:t>Equity price risk is the risk that we will incur economic losses due to adverse changes in equity prices. In the past, our exposure to changes in equity prices primarily resulted from our holdings of equity securities. As of December 31, 2025, we held $493 million in marketable equity securities (not including our investments in preferred securities of $436 million and our investments in unconsolidated affiliates of $5,166 million). The carrying values of investments subject to equity price risks are based on quoted market prices as of the balance sheet date. Market prices are subject to fluctuation and, consequently, the amount realized in the subsequent sale of an investment may significantly differ from the reported market value. Fluctuation in the market price of a security may result from perceived changes in the underlying economic characteristics of the investee, the relative price of alternative investments and general market conditions. Furthermore, amounts realized in the sale of a particular security may be affected by the relative quantity of the security being sold.</w:t>
      </w:r>
    </w:p>
    <w:p>
      <w:pPr>
        <w:spacing w:after="0" w:line="38" w:lineRule="exact"/>
        <w:rPr>
          <w:sz w:val="20"/>
          <w:szCs w:val="20"/>
          <w:color w:val="auto"/>
        </w:rPr>
      </w:pPr>
    </w:p>
    <w:p>
      <w:pPr>
        <w:jc w:val="both"/>
        <w:ind w:firstLine="353"/>
        <w:spacing w:after="0" w:line="258" w:lineRule="auto"/>
        <w:rPr>
          <w:sz w:val="20"/>
          <w:szCs w:val="20"/>
          <w:color w:val="auto"/>
        </w:rPr>
      </w:pPr>
      <w:r>
        <w:rPr>
          <w:rFonts w:ascii="Arial" w:cs="Arial" w:eastAsia="Arial" w:hAnsi="Arial"/>
          <w:sz w:val="20"/>
          <w:szCs w:val="20"/>
          <w:color w:val="auto"/>
        </w:rPr>
        <w:t>Financial instruments, which potentially subject us to concentrations of credit risk, consist primarily of cash equivalents, short-term investments, and trade receivables. We require placement of cash in financial institutions evaluated as highly creditworthy.</w:t>
      </w:r>
    </w:p>
    <w:p>
      <w:pPr>
        <w:spacing w:after="0" w:line="62" w:lineRule="exact"/>
        <w:rPr>
          <w:sz w:val="20"/>
          <w:szCs w:val="20"/>
          <w:color w:val="auto"/>
        </w:rPr>
      </w:pPr>
    </w:p>
    <w:p>
      <w:pPr>
        <w:jc w:val="both"/>
        <w:ind w:firstLine="353"/>
        <w:spacing w:after="0" w:line="271" w:lineRule="auto"/>
        <w:rPr>
          <w:sz w:val="20"/>
          <w:szCs w:val="20"/>
          <w:color w:val="auto"/>
        </w:rPr>
      </w:pPr>
      <w:r>
        <w:rPr>
          <w:rFonts w:ascii="Arial" w:cs="Arial" w:eastAsia="Arial" w:hAnsi="Arial"/>
          <w:sz w:val="20"/>
          <w:szCs w:val="20"/>
          <w:color w:val="auto"/>
        </w:rPr>
        <w:t>For purposes of this Annual Report, we perform a sensitivity analysis to determine the effects that market risk exposures may have on the fair values of our debt and other financial instruments.</w:t>
      </w:r>
    </w:p>
    <w:p>
      <w:pPr>
        <w:spacing w:after="0" w:line="49" w:lineRule="exact"/>
        <w:rPr>
          <w:sz w:val="20"/>
          <w:szCs w:val="20"/>
          <w:color w:val="auto"/>
        </w:rPr>
      </w:pPr>
    </w:p>
    <w:p>
      <w:pPr>
        <w:jc w:val="both"/>
        <w:ind w:firstLine="353"/>
        <w:spacing w:after="0" w:line="306" w:lineRule="auto"/>
        <w:rPr>
          <w:sz w:val="20"/>
          <w:szCs w:val="20"/>
          <w:color w:val="auto"/>
        </w:rPr>
      </w:pPr>
      <w:r>
        <w:rPr>
          <w:rFonts w:ascii="Arial" w:cs="Arial" w:eastAsia="Arial" w:hAnsi="Arial"/>
          <w:sz w:val="17"/>
          <w:szCs w:val="17"/>
          <w:color w:val="auto"/>
        </w:rPr>
        <w:t>The financial instruments that are included in the sensitivity analysis with respect to interest rate risk include fixed maturity investments, preferred securities and notes payable. The financial instruments that are included in the sensitivity analysis with respect to equity price risk include marketable equity securities. With the exception of our equity method investments, it is not anticipated that there would be a significant change in the fair value of other long-term investments or short-term investments if there were a change in market conditions, based on the nature and duration of the financial instruments involved.</w:t>
      </w:r>
    </w:p>
    <w:p>
      <w:pPr>
        <w:spacing w:after="0" w:line="28" w:lineRule="exact"/>
        <w:rPr>
          <w:sz w:val="20"/>
          <w:szCs w:val="20"/>
          <w:color w:val="auto"/>
        </w:rPr>
      </w:pPr>
    </w:p>
    <w:p>
      <w:pPr>
        <w:jc w:val="both"/>
        <w:ind w:firstLine="353"/>
        <w:spacing w:after="0" w:line="251" w:lineRule="auto"/>
        <w:rPr>
          <w:sz w:val="20"/>
          <w:szCs w:val="20"/>
          <w:color w:val="auto"/>
        </w:rPr>
      </w:pPr>
      <w:r>
        <w:rPr>
          <w:rFonts w:ascii="Arial" w:cs="Arial" w:eastAsia="Arial" w:hAnsi="Arial"/>
          <w:sz w:val="20"/>
          <w:szCs w:val="20"/>
          <w:color w:val="auto"/>
        </w:rPr>
        <w:t>To perform the sensitivity analysis, we assess the risk of loss in fair values from the effect of hypothetical changes in interest rates and equity prices on market-sensitive instruments. The changes in fair values for interest rate risks are determined by estimating the present value of future cash flows using various models, primarily duration modeling. The changes in fair values for equity price risk are determined by comparing the market price of investments against their reported values as of the balance sheet date.</w:t>
      </w:r>
    </w:p>
    <w:p>
      <w:pPr>
        <w:spacing w:after="0" w:line="71" w:lineRule="exact"/>
        <w:rPr>
          <w:sz w:val="20"/>
          <w:szCs w:val="20"/>
          <w:color w:val="auto"/>
        </w:rPr>
      </w:pPr>
    </w:p>
    <w:p>
      <w:pPr>
        <w:jc w:val="both"/>
        <w:ind w:firstLine="353"/>
        <w:spacing w:after="0" w:line="254" w:lineRule="auto"/>
        <w:rPr>
          <w:sz w:val="20"/>
          <w:szCs w:val="20"/>
          <w:color w:val="auto"/>
        </w:rPr>
      </w:pPr>
      <w:r>
        <w:rPr>
          <w:rFonts w:ascii="Arial" w:cs="Arial" w:eastAsia="Arial" w:hAnsi="Arial"/>
          <w:sz w:val="20"/>
          <w:szCs w:val="20"/>
          <w:color w:val="auto"/>
        </w:rPr>
        <w:t>Information provided by the sensitivity analysis does not necessarily represent the actual changes in fair value that we would incur under normal market conditions because, due to practical limitations, all variables other than the specific market risk factor are held constant. For example, our reserve for title claim losses (representing 1.7% of total liabilities at December 31, 2025) is not included in the hypothetical effects.</w:t>
      </w:r>
    </w:p>
    <w:p>
      <w:pPr>
        <w:sectPr>
          <w:pgSz w:w="11880" w:h="15480" w:orient="portrait"/>
          <w:cols w:equalWidth="0" w:num="1">
            <w:col w:w="10040"/>
          </w:cols>
          <w:pgMar w:left="920" w:top="770"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92</w:t>
      </w:r>
    </w:p>
    <w:p>
      <w:pPr>
        <w:sectPr>
          <w:pgSz w:w="11880" w:h="15480" w:orient="portrait"/>
          <w:cols w:equalWidth="0" w:num="1">
            <w:col w:w="10040"/>
          </w:cols>
          <w:pgMar w:left="920" w:top="770" w:right="920" w:bottom="0" w:gutter="0" w:footer="0" w:header="0"/>
          <w:type w:val="continuous"/>
        </w:sectPr>
      </w:pPr>
    </w:p>
    <w:bookmarkStart w:id="104" w:name="page105"/>
    <w:bookmarkEnd w:id="104"/>
    <w:p>
      <w:pPr>
        <w:spacing w:after="0"/>
        <w:rPr>
          <w:sz w:val="20"/>
          <w:szCs w:val="20"/>
          <w:color w:val="auto"/>
        </w:rPr>
      </w:pPr>
      <w:r>
        <w:rPr>
          <w:rFonts w:ascii="Arial" w:cs="Arial" w:eastAsia="Arial" w:hAnsi="Arial"/>
          <w:sz w:val="20"/>
          <w:szCs w:val="20"/>
          <w:b w:val="1"/>
          <w:bCs w:val="1"/>
          <w:color w:val="auto"/>
        </w:rPr>
        <w:t>Market Risk Factors</w:t>
      </w:r>
    </w:p>
    <w:p>
      <w:pPr>
        <w:spacing w:after="0" w:line="110" w:lineRule="exact"/>
        <w:rPr>
          <w:sz w:val="20"/>
          <w:szCs w:val="20"/>
          <w:color w:val="auto"/>
        </w:rPr>
      </w:pPr>
    </w:p>
    <w:p>
      <w:pPr>
        <w:jc w:val="both"/>
        <w:ind w:firstLine="353"/>
        <w:spacing w:after="0" w:line="250" w:lineRule="auto"/>
        <w:rPr>
          <w:sz w:val="20"/>
          <w:szCs w:val="20"/>
          <w:color w:val="auto"/>
        </w:rPr>
      </w:pPr>
      <w:r>
        <w:rPr>
          <w:rFonts w:ascii="Arial" w:cs="Arial" w:eastAsia="Arial" w:hAnsi="Arial"/>
          <w:sz w:val="20"/>
          <w:szCs w:val="20"/>
          <w:color w:val="auto"/>
        </w:rPr>
        <w:t>Market risk is the risk of the loss of fair value resulting from adverse changes in market rates and prices, such as interest rates, foreign currency exchange rates, commodity prices and equity prices. Market risk is directly influenced by the volatility and liquidity in the markets in which the related underlying financial instruments are traded. We have significant holdings in financial instruments, which are naturally exposed to a variety of market risks. They are primarily exposed to interest rate risk, credit risk and equity price risk and have some exposure to counterparty risk, which affect the fair value of financial instruments subject to market risk.</w:t>
      </w:r>
    </w:p>
    <w:p>
      <w:pPr>
        <w:spacing w:after="0" w:line="72" w:lineRule="exact"/>
        <w:rPr>
          <w:sz w:val="20"/>
          <w:szCs w:val="20"/>
          <w:color w:val="auto"/>
        </w:rPr>
      </w:pPr>
    </w:p>
    <w:p>
      <w:pPr>
        <w:jc w:val="both"/>
        <w:ind w:firstLine="353"/>
        <w:spacing w:after="0" w:line="258" w:lineRule="auto"/>
        <w:rPr>
          <w:sz w:val="20"/>
          <w:szCs w:val="20"/>
          <w:color w:val="auto"/>
        </w:rPr>
      </w:pPr>
      <w:r>
        <w:rPr>
          <w:rFonts w:ascii="Arial" w:cs="Arial" w:eastAsia="Arial" w:hAnsi="Arial"/>
          <w:sz w:val="20"/>
          <w:szCs w:val="20"/>
          <w:color w:val="auto"/>
        </w:rPr>
        <w:t>We have no market risk sensitive instruments entered into for trading purposes; therefore, all of our market risk sensitive instruments were entered into for purposes other than trading. The results of the sensitivity analysis at December 31, 2025 and 2024, are as follows:</w:t>
      </w:r>
    </w:p>
    <w:p>
      <w:pPr>
        <w:spacing w:after="0" w:line="58" w:lineRule="exact"/>
        <w:rPr>
          <w:sz w:val="20"/>
          <w:szCs w:val="20"/>
          <w:color w:val="auto"/>
        </w:rPr>
      </w:pPr>
    </w:p>
    <w:p>
      <w:pPr>
        <w:ind w:left="40"/>
        <w:spacing w:after="0"/>
        <w:rPr>
          <w:sz w:val="20"/>
          <w:szCs w:val="20"/>
          <w:color w:val="auto"/>
        </w:rPr>
      </w:pPr>
      <w:r>
        <w:rPr>
          <w:rFonts w:ascii="Arial" w:cs="Arial" w:eastAsia="Arial" w:hAnsi="Arial"/>
          <w:sz w:val="20"/>
          <w:szCs w:val="20"/>
          <w:b w:val="1"/>
          <w:bCs w:val="1"/>
          <w:color w:val="auto"/>
        </w:rPr>
        <w:t>Interest Rate Risk</w:t>
      </w:r>
    </w:p>
    <w:p>
      <w:pPr>
        <w:spacing w:after="0" w:line="107" w:lineRule="exact"/>
        <w:rPr>
          <w:sz w:val="20"/>
          <w:szCs w:val="20"/>
          <w:color w:val="auto"/>
        </w:rPr>
      </w:pPr>
    </w:p>
    <w:p>
      <w:pPr>
        <w:jc w:val="both"/>
        <w:ind w:firstLine="353"/>
        <w:spacing w:after="0" w:line="254" w:lineRule="auto"/>
        <w:rPr>
          <w:sz w:val="20"/>
          <w:szCs w:val="20"/>
          <w:color w:val="auto"/>
        </w:rPr>
      </w:pPr>
      <w:r>
        <w:rPr>
          <w:rFonts w:ascii="Arial" w:cs="Arial" w:eastAsia="Arial" w:hAnsi="Arial"/>
          <w:sz w:val="20"/>
          <w:szCs w:val="20"/>
          <w:color w:val="auto"/>
        </w:rPr>
        <w:t>As of December 31, 2025, an increase (decrease) in the levels of interest rates of 100 basis points, with all other variables held constant, would result in a (decrease) increase in the fair value of our fixed maturity securities and certain of our investments in preferred securities, which are tied to interest rates of $3.2 billion as compared with a (decrease) increase of $2.7 billion at December 31, 2024.</w:t>
      </w:r>
    </w:p>
    <w:p>
      <w:pPr>
        <w:spacing w:after="0" w:line="104" w:lineRule="exact"/>
        <w:rPr>
          <w:sz w:val="20"/>
          <w:szCs w:val="20"/>
          <w:color w:val="auto"/>
        </w:rPr>
      </w:pPr>
    </w:p>
    <w:p>
      <w:pPr>
        <w:jc w:val="both"/>
        <w:ind w:firstLine="353"/>
        <w:spacing w:after="0" w:line="297" w:lineRule="auto"/>
        <w:rPr>
          <w:sz w:val="20"/>
          <w:szCs w:val="20"/>
          <w:color w:val="auto"/>
        </w:rPr>
      </w:pPr>
      <w:r>
        <w:rPr>
          <w:rFonts w:ascii="Arial" w:cs="Arial" w:eastAsia="Arial" w:hAnsi="Arial"/>
          <w:sz w:val="17"/>
          <w:szCs w:val="17"/>
          <w:color w:val="auto"/>
        </w:rPr>
        <w:t>The actuarial models used to estimate the impact of a one percentage point change in market interest rates incorporate numerous assumptions, require significant estimates and assume an immediate and parallel change in interest rates without any management of the investment portfolio in reaction to such change. Consequently, potential changes in value of financial instruments indicated by these simulations will likely be different from the actual changes experienced under given interest rate scenarios, and the differences may be material. Because we actively manage our investments and liabilities, the net exposure to interest rates can vary over time. However, any such decreases in the fair value of fixed maturity securities, unless related to credit concerns of the issuer requiring allowances for credit losses, would generally be realized only if we were required to sell such securities at losses prior to their maturity to meet liquidity needs. Within our F&amp;G segment, liquidity needs are managed using the surrender and withdrawal provisions of the annuity contracts and through other means.</w:t>
      </w:r>
    </w:p>
    <w:p>
      <w:pPr>
        <w:spacing w:after="0" w:line="3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Equity Price Risk</w:t>
      </w:r>
    </w:p>
    <w:p>
      <w:pPr>
        <w:spacing w:after="0" w:line="110" w:lineRule="exact"/>
        <w:rPr>
          <w:sz w:val="20"/>
          <w:szCs w:val="20"/>
          <w:color w:val="auto"/>
        </w:rPr>
      </w:pPr>
    </w:p>
    <w:p>
      <w:pPr>
        <w:jc w:val="both"/>
        <w:ind w:firstLine="353"/>
        <w:spacing w:after="0" w:line="258" w:lineRule="auto"/>
        <w:rPr>
          <w:sz w:val="20"/>
          <w:szCs w:val="20"/>
          <w:color w:val="auto"/>
        </w:rPr>
      </w:pPr>
      <w:r>
        <w:rPr>
          <w:rFonts w:ascii="Arial" w:cs="Arial" w:eastAsia="Arial" w:hAnsi="Arial"/>
          <w:sz w:val="20"/>
          <w:szCs w:val="20"/>
          <w:color w:val="auto"/>
        </w:rPr>
        <w:t>As of December 31, 2025, a 10% increase (decrease) in market prices, with all other variables held constant, would result in an increase (decrease) in the fair value of our equity securities portfolio of $49 million, as compared with an increase (decrease) of $64 million at December 31, 2024.</w:t>
      </w:r>
    </w:p>
    <w:p>
      <w:pPr>
        <w:spacing w:after="0" w:line="7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Foreign Currency Exchange Rate Risk</w:t>
      </w:r>
    </w:p>
    <w:p>
      <w:pPr>
        <w:spacing w:after="0" w:line="110" w:lineRule="exact"/>
        <w:rPr>
          <w:sz w:val="20"/>
          <w:szCs w:val="20"/>
          <w:color w:val="auto"/>
        </w:rPr>
      </w:pPr>
    </w:p>
    <w:p>
      <w:pPr>
        <w:jc w:val="both"/>
        <w:ind w:firstLine="353"/>
        <w:spacing w:after="0" w:line="271" w:lineRule="auto"/>
        <w:rPr>
          <w:sz w:val="20"/>
          <w:szCs w:val="20"/>
          <w:color w:val="auto"/>
        </w:rPr>
      </w:pPr>
      <w:r>
        <w:rPr>
          <w:rFonts w:ascii="Arial" w:cs="Arial" w:eastAsia="Arial" w:hAnsi="Arial"/>
          <w:sz w:val="20"/>
          <w:szCs w:val="20"/>
          <w:color w:val="auto"/>
        </w:rPr>
        <w:t>As noted above, we use various derivative instruments to hedge substantially all of our foreign currency exposure such that sensitivity to changes in foreign currencies is minimal.</w:t>
      </w:r>
    </w:p>
    <w:p>
      <w:pPr>
        <w:spacing w:after="0" w:line="6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Interest Rate Risk Related to our F&amp;G Segment</w:t>
      </w:r>
    </w:p>
    <w:p>
      <w:pPr>
        <w:spacing w:after="0" w:line="110" w:lineRule="exact"/>
        <w:rPr>
          <w:sz w:val="20"/>
          <w:szCs w:val="20"/>
          <w:color w:val="auto"/>
        </w:rPr>
      </w:pPr>
    </w:p>
    <w:p>
      <w:pPr>
        <w:jc w:val="both"/>
        <w:ind w:firstLine="353"/>
        <w:spacing w:after="0" w:line="263" w:lineRule="auto"/>
        <w:rPr>
          <w:sz w:val="20"/>
          <w:szCs w:val="20"/>
          <w:color w:val="auto"/>
        </w:rPr>
      </w:pPr>
      <w:r>
        <w:rPr>
          <w:rFonts w:ascii="Arial" w:cs="Arial" w:eastAsia="Arial" w:hAnsi="Arial"/>
          <w:sz w:val="19"/>
          <w:szCs w:val="19"/>
          <w:color w:val="auto"/>
        </w:rPr>
        <w:t>Interest rate risk is the F&amp;G segment's primary market risk exposure. An increase in the levels of interest rates of 100 basis points, with all other variables held constant, would result in a decrease in the fair value of our fixed maturity securities and certain investments in preferred securities of approximately $3.1 billion, a net decrease in the fair value of interest rate swaps of approximately $0.1 billion and a net decrease in the combined fair value of embedded derivatives and MRBs of approximately $0.8 billion at December 31, 2025. For comparison, a similar increase in the levels of interest rates of 100 basis points, with all other variables held constant, would have resulted in a decrease in the fair value of our fixed maturity securities and certain investments in preferred securities of approximately $2.6 billion, a net decrease in the fair value of interest rate swaps of approximately $0.1 billion and a net decrease in the combined fair value of embedded derivatives and MRBs of approximately $0.6 billion at December 31, 2024.</w:t>
      </w:r>
    </w:p>
    <w:p>
      <w:pPr>
        <w:spacing w:after="0" w:line="80" w:lineRule="exact"/>
        <w:rPr>
          <w:sz w:val="20"/>
          <w:szCs w:val="20"/>
          <w:color w:val="auto"/>
        </w:rPr>
      </w:pPr>
    </w:p>
    <w:p>
      <w:pPr>
        <w:jc w:val="both"/>
        <w:ind w:firstLine="353"/>
        <w:spacing w:after="0" w:line="312" w:lineRule="auto"/>
        <w:rPr>
          <w:sz w:val="20"/>
          <w:szCs w:val="20"/>
          <w:color w:val="auto"/>
        </w:rPr>
      </w:pPr>
      <w:r>
        <w:rPr>
          <w:rFonts w:ascii="Arial" w:cs="Arial" w:eastAsia="Arial" w:hAnsi="Arial"/>
          <w:sz w:val="17"/>
          <w:szCs w:val="17"/>
          <w:color w:val="auto"/>
        </w:rPr>
        <w:t>A 100 basis point shift in interest rates for our floating rate debt and funding agreements will increase or decrease floating expense by approximately $28 million and $17 million per year as of December 31, 2025 and 2024, respectively. As noted above, the impact to net earnings related to the interest rate swaps and floating rate notes payable and funding agreements will be significantly offset by corresponding changes in investment income associated with our floating rate investments.</w:t>
      </w:r>
    </w:p>
    <w:p>
      <w:pPr>
        <w:spacing w:after="0" w:line="42" w:lineRule="exact"/>
        <w:rPr>
          <w:sz w:val="20"/>
          <w:szCs w:val="20"/>
          <w:color w:val="auto"/>
        </w:rPr>
      </w:pPr>
    </w:p>
    <w:p>
      <w:pPr>
        <w:jc w:val="both"/>
        <w:ind w:firstLine="353"/>
        <w:spacing w:after="0" w:line="300" w:lineRule="auto"/>
        <w:rPr>
          <w:sz w:val="20"/>
          <w:szCs w:val="20"/>
          <w:color w:val="auto"/>
        </w:rPr>
      </w:pPr>
      <w:r>
        <w:rPr>
          <w:rFonts w:ascii="Arial" w:cs="Arial" w:eastAsia="Arial" w:hAnsi="Arial"/>
          <w:sz w:val="17"/>
          <w:szCs w:val="17"/>
          <w:color w:val="auto"/>
        </w:rPr>
        <w:t>The actuarial models used to estimate the impact of a one percentage point change in market interest rates incorporate numerous assumptions, require significant estimates and assume an immediate and parallel change in interest rates without any management of the investment portfolio in reaction to such change. Consequently, potential changes in value of financial instruments indicated by these simulations will likely be different from the actual changes experienced under given interest rate scenarios, and the differences may be material. Because we actively manage our investments and liabilities, the net exposure to interest rates can vary over time. However, any such decreases in the fair value of fixed maturity securities, unless related to credit concerns of the issuer requiring allowances for credit losses, would generally be realized only if we were required to sell</w:t>
      </w:r>
    </w:p>
    <w:p>
      <w:pPr>
        <w:sectPr>
          <w:pgSz w:w="11880" w:h="15480" w:orient="portrait"/>
          <w:cols w:equalWidth="0" w:num="1">
            <w:col w:w="10040"/>
          </w:cols>
          <w:pgMar w:left="920" w:top="765" w:right="920" w:bottom="0" w:gutter="0" w:footer="0" w:header="0"/>
        </w:sect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93</w:t>
      </w:r>
    </w:p>
    <w:p>
      <w:pPr>
        <w:sectPr>
          <w:pgSz w:w="11880" w:h="15480" w:orient="portrait"/>
          <w:cols w:equalWidth="0" w:num="1">
            <w:col w:w="10040"/>
          </w:cols>
          <w:pgMar w:left="920" w:top="765" w:right="920" w:bottom="0" w:gutter="0" w:footer="0" w:header="0"/>
          <w:type w:val="continuous"/>
        </w:sectPr>
      </w:pPr>
    </w:p>
    <w:bookmarkStart w:id="105" w:name="page106"/>
    <w:bookmarkEnd w:id="105"/>
    <w:p>
      <w:pPr>
        <w:jc w:val="both"/>
        <w:ind w:left="120" w:right="120"/>
        <w:spacing w:after="0" w:line="271" w:lineRule="auto"/>
        <w:rPr>
          <w:sz w:val="20"/>
          <w:szCs w:val="20"/>
          <w:color w:val="auto"/>
        </w:rPr>
      </w:pPr>
      <w:r>
        <w:rPr>
          <w:rFonts w:ascii="Arial" w:cs="Arial" w:eastAsia="Arial" w:hAnsi="Arial"/>
          <w:sz w:val="20"/>
          <w:szCs w:val="20"/>
          <w:color w:val="auto"/>
        </w:rPr>
        <w:t>such securities at losses prior to their maturity to meet liquidity needs. Our liquidity needs are managed using the surrender and withdrawal provisions of the annuity contracts and through other means.</w:t>
      </w:r>
    </w:p>
    <w:p>
      <w:pPr>
        <w:spacing w:after="0" w:line="69" w:lineRule="exact"/>
        <w:rPr>
          <w:sz w:val="20"/>
          <w:szCs w:val="20"/>
          <w:color w:val="auto"/>
        </w:rPr>
      </w:pPr>
    </w:p>
    <w:p>
      <w:pPr>
        <w:jc w:val="both"/>
        <w:ind w:left="120" w:right="120" w:firstLine="353"/>
        <w:spacing w:after="0" w:line="261" w:lineRule="auto"/>
        <w:rPr>
          <w:sz w:val="20"/>
          <w:szCs w:val="20"/>
          <w:color w:val="auto"/>
        </w:rPr>
      </w:pPr>
      <w:r>
        <w:rPr>
          <w:rFonts w:ascii="Arial" w:cs="Arial" w:eastAsia="Arial" w:hAnsi="Arial"/>
          <w:sz w:val="19"/>
          <w:szCs w:val="19"/>
          <w:color w:val="auto"/>
        </w:rPr>
        <w:t>As part of F&amp;G's asset liability management (“ALM”) program, F&amp;G has made a significant effort to identify the assets appropriate to different product lines and ensure investing strategies match the profile of these liabilities. The ALM strategy is designed to align the expected cash flows from the investment portfolio with the expected liability cash flows. As such, a major component of F&amp;G's effort to manage interest rate risk has been to structure the investment portfolio with cash flow characteristics that are consistent with the cash flow characteristics of the insurance liabilities. F&amp;G uses actuarial models to simulate the cash flows expected from the existing business under various interest rate scenarios. These simulations enable F&amp;G to measure the potential gain or loss in the fair value of interest rate-sensitive financial instruments, to evaluate the adequacy of expected cash flows from assets to meet the expected cash requirements of the liabilities and to determine if it is necessary to lengthen or shorten the average life and duration of our investment portfolio. Duration measures the price sensitivity of a security to a small change in interest rates. When the durations of assets and liabilities are similar, exposure to interest rate risk is minimized because a change in the value of assets could be expected to be largely offset by a change in the value of liabilities.</w:t>
      </w:r>
    </w:p>
    <w:p>
      <w:pPr>
        <w:spacing w:after="0" w:line="89" w:lineRule="exact"/>
        <w:rPr>
          <w:sz w:val="20"/>
          <w:szCs w:val="20"/>
          <w:color w:val="auto"/>
        </w:rPr>
      </w:pPr>
    </w:p>
    <w:p>
      <w:pPr>
        <w:jc w:val="both"/>
        <w:ind w:left="120" w:right="120" w:firstLine="353"/>
        <w:spacing w:after="0" w:line="271" w:lineRule="auto"/>
        <w:rPr>
          <w:sz w:val="20"/>
          <w:szCs w:val="20"/>
          <w:color w:val="auto"/>
        </w:rPr>
      </w:pPr>
      <w:r>
        <w:rPr>
          <w:rFonts w:ascii="Arial" w:cs="Arial" w:eastAsia="Arial" w:hAnsi="Arial"/>
          <w:sz w:val="20"/>
          <w:szCs w:val="20"/>
          <w:color w:val="auto"/>
        </w:rPr>
        <w:t>The duration of the investment portfolio, excluding cash and cash equivalents, derivatives, policy loans, and common stocks as of December 31, 2025, and 2024, is summarized as follows: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820" w:type="dxa"/>
            <w:vAlign w:val="bottom"/>
            <w:tcBorders>
              <w:bottom w:val="single" w:sz="8" w:color="auto"/>
            </w:tcBorders>
            <w:gridSpan w:val="3"/>
          </w:tcPr>
          <w:p>
            <w:pPr>
              <w:jc w:val="right"/>
              <w:ind w:right="782"/>
              <w:spacing w:after="0"/>
              <w:rPr>
                <w:sz w:val="20"/>
                <w:szCs w:val="20"/>
                <w:color w:val="auto"/>
              </w:rPr>
            </w:pPr>
            <w:r>
              <w:rPr>
                <w:rFonts w:ascii="Arial" w:cs="Arial" w:eastAsia="Arial" w:hAnsi="Arial"/>
                <w:sz w:val="16"/>
                <w:szCs w:val="16"/>
                <w:b w:val="1"/>
                <w:bCs w:val="1"/>
                <w:color w:val="auto"/>
              </w:rPr>
              <w:t>December 31, 2025</w:t>
            </w:r>
          </w:p>
        </w:tc>
        <w:tc>
          <w:tcPr>
            <w:tcW w:w="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720" w:type="dxa"/>
            <w:vAlign w:val="bottom"/>
            <w:tcBorders>
              <w:bottom w:val="single" w:sz="8" w:color="auto"/>
            </w:tcBorders>
            <w:gridSpan w:val="3"/>
          </w:tcPr>
          <w:p>
            <w:pPr>
              <w:jc w:val="right"/>
              <w:ind w:right="742"/>
              <w:spacing w:after="0"/>
              <w:rPr>
                <w:sz w:val="20"/>
                <w:szCs w:val="20"/>
                <w:color w:val="auto"/>
              </w:rPr>
            </w:pPr>
            <w:r>
              <w:rPr>
                <w:rFonts w:ascii="Arial" w:cs="Arial" w:eastAsia="Arial" w:hAnsi="Arial"/>
                <w:sz w:val="16"/>
                <w:szCs w:val="16"/>
                <w:b w:val="1"/>
                <w:bCs w:val="1"/>
                <w:color w:val="auto"/>
              </w:rPr>
              <w:t>December 31, 2024</w:t>
            </w:r>
          </w:p>
        </w:tc>
        <w:tc>
          <w:tcPr>
            <w:tcW w:w="0" w:type="dxa"/>
            <w:vAlign w:val="bottom"/>
          </w:tcPr>
          <w:p>
            <w:pPr>
              <w:spacing w:after="0"/>
              <w:rPr>
                <w:sz w:val="1"/>
                <w:szCs w:val="1"/>
                <w:color w:val="auto"/>
              </w:rPr>
            </w:pPr>
          </w:p>
        </w:tc>
      </w:tr>
      <w:tr>
        <w:trPr>
          <w:trHeight w:val="167"/>
        </w:trPr>
        <w:tc>
          <w:tcPr>
            <w:tcW w:w="4280" w:type="dxa"/>
            <w:vAlign w:val="bottom"/>
            <w:vMerge w:val="restart"/>
          </w:tcPr>
          <w:p>
            <w:pPr>
              <w:ind w:left="60"/>
              <w:spacing w:after="0"/>
              <w:rPr>
                <w:sz w:val="20"/>
                <w:szCs w:val="20"/>
                <w:color w:val="auto"/>
              </w:rPr>
            </w:pPr>
            <w:r>
              <w:rPr>
                <w:rFonts w:ascii="Arial" w:cs="Arial" w:eastAsia="Arial" w:hAnsi="Arial"/>
                <w:sz w:val="16"/>
                <w:szCs w:val="16"/>
                <w:b w:val="1"/>
                <w:bCs w:val="1"/>
                <w:color w:val="auto"/>
              </w:rPr>
              <w:t>Duration (years)</w:t>
            </w:r>
          </w:p>
        </w:tc>
        <w:tc>
          <w:tcPr>
            <w:tcW w:w="60" w:type="dxa"/>
            <w:vAlign w:val="bottom"/>
            <w:vMerge w:val="restart"/>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tcPr>
          <w:p>
            <w:pPr>
              <w:jc w:val="right"/>
              <w:ind w:right="102"/>
              <w:spacing w:after="0" w:line="167" w:lineRule="exact"/>
              <w:rPr>
                <w:sz w:val="20"/>
                <w:szCs w:val="20"/>
                <w:color w:val="auto"/>
              </w:rPr>
            </w:pPr>
            <w:r>
              <w:rPr>
                <w:rFonts w:ascii="Arial" w:cs="Arial" w:eastAsia="Arial" w:hAnsi="Arial"/>
                <w:sz w:val="16"/>
                <w:szCs w:val="16"/>
                <w:b w:val="1"/>
                <w:bCs w:val="1"/>
                <w:color w:val="auto"/>
                <w:w w:val="91"/>
              </w:rPr>
              <w:t>Amortized Cost</w:t>
            </w:r>
          </w:p>
        </w:tc>
        <w:tc>
          <w:tcPr>
            <w:tcW w:w="80" w:type="dxa"/>
            <w:vAlign w:val="bottom"/>
          </w:tcPr>
          <w:p>
            <w:pPr>
              <w:spacing w:after="0"/>
              <w:rPr>
                <w:sz w:val="14"/>
                <w:szCs w:val="14"/>
                <w:color w:val="auto"/>
              </w:rPr>
            </w:pPr>
          </w:p>
        </w:tc>
        <w:tc>
          <w:tcPr>
            <w:tcW w:w="1460" w:type="dxa"/>
            <w:vAlign w:val="bottom"/>
            <w:vMerge w:val="restart"/>
          </w:tcPr>
          <w:p>
            <w:pPr>
              <w:jc w:val="right"/>
              <w:ind w:right="282"/>
              <w:spacing w:after="0"/>
              <w:rPr>
                <w:sz w:val="20"/>
                <w:szCs w:val="20"/>
                <w:color w:val="auto"/>
              </w:rPr>
            </w:pPr>
            <w:r>
              <w:rPr>
                <w:rFonts w:ascii="Arial" w:cs="Arial" w:eastAsia="Arial" w:hAnsi="Arial"/>
                <w:sz w:val="16"/>
                <w:szCs w:val="16"/>
                <w:b w:val="1"/>
                <w:bCs w:val="1"/>
                <w:color w:val="auto"/>
              </w:rPr>
              <w:t>% of Total</w:t>
            </w: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tcPr>
          <w:p>
            <w:pPr>
              <w:jc w:val="right"/>
              <w:ind w:right="102"/>
              <w:spacing w:after="0" w:line="167" w:lineRule="exact"/>
              <w:rPr>
                <w:sz w:val="20"/>
                <w:szCs w:val="20"/>
                <w:color w:val="auto"/>
              </w:rPr>
            </w:pPr>
            <w:r>
              <w:rPr>
                <w:rFonts w:ascii="Arial" w:cs="Arial" w:eastAsia="Arial" w:hAnsi="Arial"/>
                <w:sz w:val="16"/>
                <w:szCs w:val="16"/>
                <w:b w:val="1"/>
                <w:bCs w:val="1"/>
                <w:color w:val="auto"/>
                <w:w w:val="89"/>
              </w:rPr>
              <w:t>Amortized Cost</w:t>
            </w:r>
          </w:p>
        </w:tc>
        <w:tc>
          <w:tcPr>
            <w:tcW w:w="60" w:type="dxa"/>
            <w:vAlign w:val="bottom"/>
          </w:tcPr>
          <w:p>
            <w:pPr>
              <w:spacing w:after="0"/>
              <w:rPr>
                <w:sz w:val="14"/>
                <w:szCs w:val="14"/>
                <w:color w:val="auto"/>
              </w:rPr>
            </w:pPr>
          </w:p>
        </w:tc>
        <w:tc>
          <w:tcPr>
            <w:tcW w:w="1400" w:type="dxa"/>
            <w:vAlign w:val="bottom"/>
            <w:vMerge w:val="restart"/>
          </w:tcPr>
          <w:p>
            <w:pPr>
              <w:jc w:val="right"/>
              <w:ind w:right="242"/>
              <w:spacing w:after="0"/>
              <w:rPr>
                <w:sz w:val="20"/>
                <w:szCs w:val="20"/>
                <w:color w:val="auto"/>
              </w:rPr>
            </w:pPr>
            <w:r>
              <w:rPr>
                <w:rFonts w:ascii="Arial" w:cs="Arial" w:eastAsia="Arial" w:hAnsi="Arial"/>
                <w:sz w:val="16"/>
                <w:szCs w:val="16"/>
                <w:b w:val="1"/>
                <w:bCs w:val="1"/>
                <w:color w:val="auto"/>
              </w:rPr>
              <w:t>% of Total</w:t>
            </w:r>
          </w:p>
        </w:tc>
        <w:tc>
          <w:tcPr>
            <w:tcW w:w="0" w:type="dxa"/>
            <w:vAlign w:val="bottom"/>
          </w:tcPr>
          <w:p>
            <w:pPr>
              <w:spacing w:after="0"/>
              <w:rPr>
                <w:sz w:val="1"/>
                <w:szCs w:val="1"/>
                <w:color w:val="auto"/>
              </w:rPr>
            </w:pPr>
          </w:p>
        </w:tc>
      </w:tr>
      <w:tr>
        <w:trPr>
          <w:trHeight w:val="210"/>
        </w:trPr>
        <w:tc>
          <w:tcPr>
            <w:tcW w:w="4280" w:type="dxa"/>
            <w:vAlign w:val="bottom"/>
            <w:tcBorders>
              <w:bottom w:val="single" w:sz="8" w:color="auto"/>
            </w:tcBorders>
            <w:vMerge w:val="continue"/>
          </w:tcPr>
          <w:p>
            <w:pPr>
              <w:spacing w:after="0"/>
              <w:rPr>
                <w:sz w:val="18"/>
                <w:szCs w:val="18"/>
                <w:color w:val="auto"/>
              </w:rPr>
            </w:pPr>
          </w:p>
        </w:tc>
        <w:tc>
          <w:tcPr>
            <w:tcW w:w="60" w:type="dxa"/>
            <w:vAlign w:val="bottom"/>
            <w:vMerge w:val="continue"/>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222"/>
              <w:spacing w:after="0"/>
              <w:rPr>
                <w:sz w:val="20"/>
                <w:szCs w:val="20"/>
                <w:color w:val="auto"/>
              </w:rPr>
            </w:pPr>
            <w:r>
              <w:rPr>
                <w:rFonts w:ascii="Arial" w:cs="Arial" w:eastAsia="Arial" w:hAnsi="Arial"/>
                <w:sz w:val="16"/>
                <w:szCs w:val="16"/>
                <w:b w:val="1"/>
                <w:bCs w:val="1"/>
                <w:color w:val="auto"/>
              </w:rPr>
              <w:t>(In millions)</w:t>
            </w:r>
          </w:p>
        </w:tc>
        <w:tc>
          <w:tcPr>
            <w:tcW w:w="80" w:type="dxa"/>
            <w:vAlign w:val="bottom"/>
          </w:tcPr>
          <w:p>
            <w:pPr>
              <w:spacing w:after="0"/>
              <w:rPr>
                <w:sz w:val="18"/>
                <w:szCs w:val="18"/>
                <w:color w:val="auto"/>
              </w:rPr>
            </w:pPr>
          </w:p>
        </w:tc>
        <w:tc>
          <w:tcPr>
            <w:tcW w:w="1460" w:type="dxa"/>
            <w:vAlign w:val="bottom"/>
            <w:tcBorders>
              <w:bottom w:val="single" w:sz="8" w:color="auto"/>
            </w:tcBorders>
            <w:vMerge w:val="continue"/>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202"/>
              <w:spacing w:after="0"/>
              <w:rPr>
                <w:sz w:val="20"/>
                <w:szCs w:val="20"/>
                <w:color w:val="auto"/>
              </w:rPr>
            </w:pPr>
            <w:r>
              <w:rPr>
                <w:rFonts w:ascii="Arial" w:cs="Arial" w:eastAsia="Arial" w:hAnsi="Arial"/>
                <w:sz w:val="16"/>
                <w:szCs w:val="16"/>
                <w:b w:val="1"/>
                <w:bCs w:val="1"/>
                <w:color w:val="auto"/>
              </w:rPr>
              <w:t>(In millions)</w:t>
            </w:r>
          </w:p>
        </w:tc>
        <w:tc>
          <w:tcPr>
            <w:tcW w:w="60" w:type="dxa"/>
            <w:vAlign w:val="bottom"/>
          </w:tcPr>
          <w:p>
            <w:pPr>
              <w:spacing w:after="0"/>
              <w:rPr>
                <w:sz w:val="18"/>
                <w:szCs w:val="18"/>
                <w:color w:val="auto"/>
              </w:rPr>
            </w:pPr>
          </w:p>
        </w:tc>
        <w:tc>
          <w:tcPr>
            <w:tcW w:w="14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280" w:type="dxa"/>
            <w:vAlign w:val="bottom"/>
          </w:tcPr>
          <w:p>
            <w:pPr>
              <w:ind w:left="60"/>
              <w:spacing w:after="0"/>
              <w:rPr>
                <w:sz w:val="20"/>
                <w:szCs w:val="20"/>
                <w:color w:val="auto"/>
              </w:rPr>
            </w:pPr>
            <w:r>
              <w:rPr>
                <w:rFonts w:ascii="Arial" w:cs="Arial" w:eastAsia="Arial" w:hAnsi="Arial"/>
                <w:sz w:val="16"/>
                <w:szCs w:val="16"/>
                <w:color w:val="auto"/>
              </w:rPr>
              <w:t>0-4</w:t>
            </w:r>
          </w:p>
        </w:tc>
        <w:tc>
          <w:tcPr>
            <w:tcW w:w="6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32,061</w:t>
            </w:r>
          </w:p>
        </w:tc>
        <w:tc>
          <w:tcPr>
            <w:tcW w:w="1540" w:type="dxa"/>
            <w:vAlign w:val="bottom"/>
            <w:gridSpan w:val="2"/>
          </w:tcPr>
          <w:p>
            <w:pPr>
              <w:jc w:val="right"/>
              <w:spacing w:after="0"/>
              <w:rPr>
                <w:sz w:val="20"/>
                <w:szCs w:val="20"/>
                <w:color w:val="auto"/>
              </w:rPr>
            </w:pPr>
            <w:r>
              <w:rPr>
                <w:rFonts w:ascii="Arial" w:cs="Arial" w:eastAsia="Arial" w:hAnsi="Arial"/>
                <w:sz w:val="16"/>
                <w:szCs w:val="16"/>
                <w:color w:val="auto"/>
              </w:rPr>
              <w:t>56 %</w:t>
            </w:r>
          </w:p>
        </w:tc>
        <w:tc>
          <w:tcPr>
            <w:tcW w:w="22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2"/>
              <w:spacing w:after="0"/>
              <w:rPr>
                <w:sz w:val="20"/>
                <w:szCs w:val="20"/>
                <w:color w:val="auto"/>
              </w:rPr>
            </w:pPr>
            <w:r>
              <w:rPr>
                <w:rFonts w:ascii="Arial" w:cs="Arial" w:eastAsia="Arial" w:hAnsi="Arial"/>
                <w:sz w:val="16"/>
                <w:szCs w:val="16"/>
                <w:color w:val="auto"/>
              </w:rPr>
              <w:t>29,363</w:t>
            </w:r>
          </w:p>
        </w:tc>
        <w:tc>
          <w:tcPr>
            <w:tcW w:w="1460" w:type="dxa"/>
            <w:vAlign w:val="bottom"/>
            <w:gridSpan w:val="2"/>
          </w:tcPr>
          <w:p>
            <w:pPr>
              <w:jc w:val="right"/>
              <w:spacing w:after="0"/>
              <w:rPr>
                <w:sz w:val="20"/>
                <w:szCs w:val="20"/>
                <w:color w:val="auto"/>
              </w:rPr>
            </w:pPr>
            <w:r>
              <w:rPr>
                <w:rFonts w:ascii="Arial" w:cs="Arial" w:eastAsia="Arial" w:hAnsi="Arial"/>
                <w:sz w:val="16"/>
                <w:szCs w:val="16"/>
                <w:color w:val="auto"/>
              </w:rPr>
              <w:t>54 %</w:t>
            </w:r>
          </w:p>
        </w:tc>
        <w:tc>
          <w:tcPr>
            <w:tcW w:w="0" w:type="dxa"/>
            <w:vAlign w:val="bottom"/>
          </w:tcPr>
          <w:p>
            <w:pPr>
              <w:spacing w:after="0"/>
              <w:rPr>
                <w:sz w:val="1"/>
                <w:szCs w:val="1"/>
                <w:color w:val="auto"/>
              </w:rPr>
            </w:pPr>
          </w:p>
        </w:tc>
      </w:tr>
      <w:tr>
        <w:trPr>
          <w:trHeight w:val="235"/>
        </w:trPr>
        <w:tc>
          <w:tcPr>
            <w:tcW w:w="4280" w:type="dxa"/>
            <w:vAlign w:val="bottom"/>
          </w:tcPr>
          <w:p>
            <w:pPr>
              <w:ind w:left="60"/>
              <w:spacing w:after="0"/>
              <w:rPr>
                <w:sz w:val="20"/>
                <w:szCs w:val="20"/>
                <w:color w:val="auto"/>
              </w:rPr>
            </w:pPr>
            <w:r>
              <w:rPr>
                <w:rFonts w:ascii="Arial" w:cs="Arial" w:eastAsia="Arial" w:hAnsi="Arial"/>
                <w:sz w:val="16"/>
                <w:szCs w:val="16"/>
                <w:color w:val="auto"/>
              </w:rPr>
              <w:t>5-9</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12,891</w:t>
            </w:r>
          </w:p>
        </w:tc>
        <w:tc>
          <w:tcPr>
            <w:tcW w:w="1540" w:type="dxa"/>
            <w:vAlign w:val="bottom"/>
            <w:gridSpan w:val="2"/>
          </w:tcPr>
          <w:p>
            <w:pPr>
              <w:jc w:val="right"/>
              <w:spacing w:after="0"/>
              <w:rPr>
                <w:sz w:val="20"/>
                <w:szCs w:val="20"/>
                <w:color w:val="auto"/>
              </w:rPr>
            </w:pPr>
            <w:r>
              <w:rPr>
                <w:rFonts w:ascii="Arial" w:cs="Arial" w:eastAsia="Arial" w:hAnsi="Arial"/>
                <w:sz w:val="16"/>
                <w:szCs w:val="16"/>
                <w:color w:val="auto"/>
              </w:rPr>
              <w:t>22 %</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tcPr>
          <w:p>
            <w:pPr>
              <w:jc w:val="right"/>
              <w:ind w:right="2"/>
              <w:spacing w:after="0"/>
              <w:rPr>
                <w:sz w:val="20"/>
                <w:szCs w:val="20"/>
                <w:color w:val="auto"/>
              </w:rPr>
            </w:pPr>
            <w:r>
              <w:rPr>
                <w:rFonts w:ascii="Arial" w:cs="Arial" w:eastAsia="Arial" w:hAnsi="Arial"/>
                <w:sz w:val="16"/>
                <w:szCs w:val="16"/>
                <w:color w:val="auto"/>
              </w:rPr>
              <w:t>12,526</w:t>
            </w:r>
          </w:p>
        </w:tc>
        <w:tc>
          <w:tcPr>
            <w:tcW w:w="1460" w:type="dxa"/>
            <w:vAlign w:val="bottom"/>
            <w:gridSpan w:val="2"/>
          </w:tcPr>
          <w:p>
            <w:pPr>
              <w:jc w:val="right"/>
              <w:spacing w:after="0"/>
              <w:rPr>
                <w:sz w:val="20"/>
                <w:szCs w:val="20"/>
                <w:color w:val="auto"/>
              </w:rPr>
            </w:pPr>
            <w:r>
              <w:rPr>
                <w:rFonts w:ascii="Arial" w:cs="Arial" w:eastAsia="Arial" w:hAnsi="Arial"/>
                <w:sz w:val="16"/>
                <w:szCs w:val="16"/>
                <w:color w:val="auto"/>
              </w:rPr>
              <w:t>23 %</w:t>
            </w:r>
          </w:p>
        </w:tc>
        <w:tc>
          <w:tcPr>
            <w:tcW w:w="0" w:type="dxa"/>
            <w:vAlign w:val="bottom"/>
          </w:tcPr>
          <w:p>
            <w:pPr>
              <w:spacing w:after="0"/>
              <w:rPr>
                <w:sz w:val="1"/>
                <w:szCs w:val="1"/>
                <w:color w:val="auto"/>
              </w:rPr>
            </w:pPr>
          </w:p>
        </w:tc>
      </w:tr>
      <w:tr>
        <w:trPr>
          <w:trHeight w:val="235"/>
        </w:trPr>
        <w:tc>
          <w:tcPr>
            <w:tcW w:w="4280" w:type="dxa"/>
            <w:vAlign w:val="bottom"/>
          </w:tcPr>
          <w:p>
            <w:pPr>
              <w:ind w:left="60"/>
              <w:spacing w:after="0"/>
              <w:rPr>
                <w:sz w:val="20"/>
                <w:szCs w:val="20"/>
                <w:color w:val="auto"/>
              </w:rPr>
            </w:pPr>
            <w:r>
              <w:rPr>
                <w:rFonts w:ascii="Arial" w:cs="Arial" w:eastAsia="Arial" w:hAnsi="Arial"/>
                <w:sz w:val="16"/>
                <w:szCs w:val="16"/>
                <w:color w:val="auto"/>
              </w:rPr>
              <w:t>10-14</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11,311</w:t>
            </w:r>
          </w:p>
        </w:tc>
        <w:tc>
          <w:tcPr>
            <w:tcW w:w="1540" w:type="dxa"/>
            <w:vAlign w:val="bottom"/>
            <w:gridSpan w:val="2"/>
          </w:tcPr>
          <w:p>
            <w:pPr>
              <w:jc w:val="right"/>
              <w:spacing w:after="0"/>
              <w:rPr>
                <w:sz w:val="20"/>
                <w:szCs w:val="20"/>
                <w:color w:val="auto"/>
              </w:rPr>
            </w:pPr>
            <w:r>
              <w:rPr>
                <w:rFonts w:ascii="Arial" w:cs="Arial" w:eastAsia="Arial" w:hAnsi="Arial"/>
                <w:sz w:val="16"/>
                <w:szCs w:val="16"/>
                <w:color w:val="auto"/>
              </w:rPr>
              <w:t>20 %</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tcPr>
          <w:p>
            <w:pPr>
              <w:jc w:val="right"/>
              <w:ind w:right="2"/>
              <w:spacing w:after="0"/>
              <w:rPr>
                <w:sz w:val="20"/>
                <w:szCs w:val="20"/>
                <w:color w:val="auto"/>
              </w:rPr>
            </w:pPr>
            <w:r>
              <w:rPr>
                <w:rFonts w:ascii="Arial" w:cs="Arial" w:eastAsia="Arial" w:hAnsi="Arial"/>
                <w:sz w:val="16"/>
                <w:szCs w:val="16"/>
                <w:color w:val="auto"/>
              </w:rPr>
              <w:t>10,448</w:t>
            </w:r>
          </w:p>
        </w:tc>
        <w:tc>
          <w:tcPr>
            <w:tcW w:w="1460" w:type="dxa"/>
            <w:vAlign w:val="bottom"/>
            <w:gridSpan w:val="2"/>
          </w:tcPr>
          <w:p>
            <w:pPr>
              <w:jc w:val="right"/>
              <w:spacing w:after="0"/>
              <w:rPr>
                <w:sz w:val="20"/>
                <w:szCs w:val="20"/>
                <w:color w:val="auto"/>
              </w:rPr>
            </w:pPr>
            <w:r>
              <w:rPr>
                <w:rFonts w:ascii="Arial" w:cs="Arial" w:eastAsia="Arial" w:hAnsi="Arial"/>
                <w:sz w:val="16"/>
                <w:szCs w:val="16"/>
                <w:color w:val="auto"/>
              </w:rPr>
              <w:t>19 %</w:t>
            </w:r>
          </w:p>
        </w:tc>
        <w:tc>
          <w:tcPr>
            <w:tcW w:w="0" w:type="dxa"/>
            <w:vAlign w:val="bottom"/>
          </w:tcPr>
          <w:p>
            <w:pPr>
              <w:spacing w:after="0"/>
              <w:rPr>
                <w:sz w:val="1"/>
                <w:szCs w:val="1"/>
                <w:color w:val="auto"/>
              </w:rPr>
            </w:pPr>
          </w:p>
        </w:tc>
      </w:tr>
      <w:tr>
        <w:trPr>
          <w:trHeight w:val="235"/>
        </w:trPr>
        <w:tc>
          <w:tcPr>
            <w:tcW w:w="4280" w:type="dxa"/>
            <w:vAlign w:val="bottom"/>
          </w:tcPr>
          <w:p>
            <w:pPr>
              <w:ind w:left="60"/>
              <w:spacing w:after="0"/>
              <w:rPr>
                <w:sz w:val="20"/>
                <w:szCs w:val="20"/>
                <w:color w:val="auto"/>
              </w:rPr>
            </w:pPr>
            <w:r>
              <w:rPr>
                <w:rFonts w:ascii="Arial" w:cs="Arial" w:eastAsia="Arial" w:hAnsi="Arial"/>
                <w:sz w:val="16"/>
                <w:szCs w:val="16"/>
                <w:color w:val="auto"/>
              </w:rPr>
              <w:t>15-19</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1,392</w:t>
            </w:r>
          </w:p>
        </w:tc>
        <w:tc>
          <w:tcPr>
            <w:tcW w:w="1540" w:type="dxa"/>
            <w:vAlign w:val="bottom"/>
            <w:gridSpan w:val="2"/>
          </w:tcPr>
          <w:p>
            <w:pPr>
              <w:jc w:val="right"/>
              <w:spacing w:after="0"/>
              <w:rPr>
                <w:sz w:val="20"/>
                <w:szCs w:val="20"/>
                <w:color w:val="auto"/>
              </w:rPr>
            </w:pPr>
            <w:r>
              <w:rPr>
                <w:rFonts w:ascii="Arial" w:cs="Arial" w:eastAsia="Arial" w:hAnsi="Arial"/>
                <w:sz w:val="16"/>
                <w:szCs w:val="16"/>
                <w:color w:val="auto"/>
              </w:rPr>
              <w:t>2 %</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tcPr>
          <w:p>
            <w:pPr>
              <w:jc w:val="right"/>
              <w:ind w:right="2"/>
              <w:spacing w:after="0"/>
              <w:rPr>
                <w:sz w:val="20"/>
                <w:szCs w:val="20"/>
                <w:color w:val="auto"/>
              </w:rPr>
            </w:pPr>
            <w:r>
              <w:rPr>
                <w:rFonts w:ascii="Arial" w:cs="Arial" w:eastAsia="Arial" w:hAnsi="Arial"/>
                <w:sz w:val="16"/>
                <w:szCs w:val="16"/>
                <w:color w:val="auto"/>
              </w:rPr>
              <w:t>1,862</w:t>
            </w:r>
          </w:p>
        </w:tc>
        <w:tc>
          <w:tcPr>
            <w:tcW w:w="1460" w:type="dxa"/>
            <w:vAlign w:val="bottom"/>
            <w:gridSpan w:val="2"/>
          </w:tcPr>
          <w:p>
            <w:pPr>
              <w:jc w:val="right"/>
              <w:spacing w:after="0"/>
              <w:rPr>
                <w:sz w:val="20"/>
                <w:szCs w:val="20"/>
                <w:color w:val="auto"/>
              </w:rPr>
            </w:pPr>
            <w:r>
              <w:rPr>
                <w:rFonts w:ascii="Arial" w:cs="Arial" w:eastAsia="Arial" w:hAnsi="Arial"/>
                <w:sz w:val="16"/>
                <w:szCs w:val="16"/>
                <w:color w:val="auto"/>
              </w:rPr>
              <w:t>4 %</w:t>
            </w:r>
          </w:p>
        </w:tc>
        <w:tc>
          <w:tcPr>
            <w:tcW w:w="0" w:type="dxa"/>
            <w:vAlign w:val="bottom"/>
          </w:tcPr>
          <w:p>
            <w:pPr>
              <w:spacing w:after="0"/>
              <w:rPr>
                <w:sz w:val="1"/>
                <w:szCs w:val="1"/>
                <w:color w:val="auto"/>
              </w:rPr>
            </w:pPr>
          </w:p>
        </w:tc>
      </w:tr>
      <w:tr>
        <w:trPr>
          <w:trHeight w:val="235"/>
        </w:trPr>
        <w:tc>
          <w:tcPr>
            <w:tcW w:w="4280" w:type="dxa"/>
            <w:vAlign w:val="bottom"/>
          </w:tcPr>
          <w:p>
            <w:pPr>
              <w:ind w:left="60"/>
              <w:spacing w:after="0"/>
              <w:rPr>
                <w:sz w:val="20"/>
                <w:szCs w:val="20"/>
                <w:color w:val="auto"/>
              </w:rPr>
            </w:pPr>
            <w:r>
              <w:rPr>
                <w:rFonts w:ascii="Arial" w:cs="Arial" w:eastAsia="Arial" w:hAnsi="Arial"/>
                <w:sz w:val="16"/>
                <w:szCs w:val="16"/>
                <w:color w:val="auto"/>
              </w:rPr>
              <w:t>20-29</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69</w:t>
            </w:r>
          </w:p>
        </w:tc>
        <w:tc>
          <w:tcPr>
            <w:tcW w:w="8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 %</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tcPr>
          <w:p>
            <w:pPr>
              <w:jc w:val="right"/>
              <w:ind w:right="2"/>
              <w:spacing w:after="0"/>
              <w:rPr>
                <w:sz w:val="20"/>
                <w:szCs w:val="20"/>
                <w:color w:val="auto"/>
              </w:rPr>
            </w:pPr>
            <w:r>
              <w:rPr>
                <w:rFonts w:ascii="Arial" w:cs="Arial" w:eastAsia="Arial" w:hAnsi="Arial"/>
                <w:sz w:val="16"/>
                <w:szCs w:val="16"/>
                <w:color w:val="auto"/>
              </w:rPr>
              <w:t>33</w:t>
            </w:r>
          </w:p>
        </w:tc>
        <w:tc>
          <w:tcPr>
            <w:tcW w:w="6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 %</w:t>
            </w:r>
          </w:p>
        </w:tc>
        <w:tc>
          <w:tcPr>
            <w:tcW w:w="0" w:type="dxa"/>
            <w:vAlign w:val="bottom"/>
          </w:tcPr>
          <w:p>
            <w:pPr>
              <w:spacing w:after="0"/>
              <w:rPr>
                <w:sz w:val="1"/>
                <w:szCs w:val="1"/>
                <w:color w:val="auto"/>
              </w:rPr>
            </w:pPr>
          </w:p>
        </w:tc>
      </w:tr>
      <w:tr>
        <w:trPr>
          <w:trHeight w:val="242"/>
        </w:trPr>
        <w:tc>
          <w:tcPr>
            <w:tcW w:w="4340" w:type="dxa"/>
            <w:vAlign w:val="bottom"/>
            <w:gridSpan w:val="2"/>
          </w:tcPr>
          <w:p>
            <w:pPr>
              <w:ind w:left="60"/>
              <w:spacing w:after="0"/>
              <w:rPr>
                <w:sz w:val="20"/>
                <w:szCs w:val="20"/>
                <w:color w:val="auto"/>
              </w:rPr>
            </w:pPr>
            <w:r>
              <w:rPr>
                <w:rFonts w:ascii="Arial" w:cs="Arial" w:eastAsia="Arial" w:hAnsi="Arial"/>
                <w:sz w:val="16"/>
                <w:szCs w:val="16"/>
                <w:color w:val="auto"/>
              </w:rPr>
              <w:t>30 and over</w:t>
            </w:r>
          </w:p>
        </w:tc>
        <w:tc>
          <w:tcPr>
            <w:tcW w:w="18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w:t>
            </w:r>
          </w:p>
        </w:tc>
        <w:tc>
          <w:tcPr>
            <w:tcW w:w="80" w:type="dxa"/>
            <w:vAlign w:val="bottom"/>
          </w:tcPr>
          <w:p>
            <w:pPr>
              <w:spacing w:after="0"/>
              <w:rPr>
                <w:sz w:val="21"/>
                <w:szCs w:val="21"/>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 %</w:t>
            </w:r>
          </w:p>
        </w:tc>
        <w:tc>
          <w:tcPr>
            <w:tcW w:w="4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1"/>
                <w:szCs w:val="21"/>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 %</w:t>
            </w:r>
          </w:p>
        </w:tc>
        <w:tc>
          <w:tcPr>
            <w:tcW w:w="0" w:type="dxa"/>
            <w:vAlign w:val="bottom"/>
          </w:tcPr>
          <w:p>
            <w:pPr>
              <w:spacing w:after="0"/>
              <w:rPr>
                <w:sz w:val="1"/>
                <w:szCs w:val="1"/>
                <w:color w:val="auto"/>
              </w:rPr>
            </w:pPr>
          </w:p>
        </w:tc>
      </w:tr>
      <w:tr>
        <w:trPr>
          <w:trHeight w:val="196"/>
        </w:trPr>
        <w:tc>
          <w:tcPr>
            <w:tcW w:w="4340" w:type="dxa"/>
            <w:vAlign w:val="bottom"/>
            <w:gridSpan w:val="2"/>
          </w:tcPr>
          <w:p>
            <w:pPr>
              <w:ind w:left="60"/>
              <w:spacing w:after="0"/>
              <w:rPr>
                <w:sz w:val="20"/>
                <w:szCs w:val="20"/>
                <w:color w:val="auto"/>
              </w:rPr>
            </w:pPr>
            <w:r>
              <w:rPr>
                <w:rFonts w:ascii="Arial" w:cs="Arial" w:eastAsia="Arial" w:hAnsi="Arial"/>
                <w:sz w:val="16"/>
                <w:szCs w:val="16"/>
                <w:b w:val="1"/>
                <w:bCs w:val="1"/>
                <w:color w:val="auto"/>
              </w:rPr>
              <w:t>Total</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57,750</w:t>
            </w:r>
          </w:p>
        </w:tc>
        <w:tc>
          <w:tcPr>
            <w:tcW w:w="1540" w:type="dxa"/>
            <w:vAlign w:val="bottom"/>
            <w:gridSpan w:val="2"/>
          </w:tcPr>
          <w:p>
            <w:pPr>
              <w:jc w:val="right"/>
              <w:spacing w:after="0"/>
              <w:rPr>
                <w:sz w:val="20"/>
                <w:szCs w:val="20"/>
                <w:color w:val="auto"/>
              </w:rPr>
            </w:pPr>
            <w:r>
              <w:rPr>
                <w:rFonts w:ascii="Arial" w:cs="Arial" w:eastAsia="Arial" w:hAnsi="Arial"/>
                <w:sz w:val="16"/>
                <w:szCs w:val="16"/>
                <w:color w:val="auto"/>
              </w:rPr>
              <w:t>100 %</w:t>
            </w:r>
          </w:p>
        </w:tc>
        <w:tc>
          <w:tcPr>
            <w:tcW w:w="22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2"/>
              <w:spacing w:after="0"/>
              <w:rPr>
                <w:sz w:val="20"/>
                <w:szCs w:val="20"/>
                <w:color w:val="auto"/>
              </w:rPr>
            </w:pPr>
            <w:r>
              <w:rPr>
                <w:rFonts w:ascii="Arial" w:cs="Arial" w:eastAsia="Arial" w:hAnsi="Arial"/>
                <w:sz w:val="16"/>
                <w:szCs w:val="16"/>
                <w:color w:val="auto"/>
              </w:rPr>
              <w:t>54,232</w:t>
            </w:r>
          </w:p>
        </w:tc>
        <w:tc>
          <w:tcPr>
            <w:tcW w:w="1460" w:type="dxa"/>
            <w:vAlign w:val="bottom"/>
            <w:gridSpan w:val="2"/>
          </w:tcPr>
          <w:p>
            <w:pPr>
              <w:jc w:val="right"/>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-1076325</wp:posOffset>
            </wp:positionV>
            <wp:extent cx="6541135" cy="108331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66">
                      <a:extLst>
                        <a:ext uri="{28A0092B-C50C-407E-A947-70E740481C1C}"/>
                      </a:extLst>
                    </a:blip>
                    <a:srcRect/>
                    <a:stretch>
                      <a:fillRect/>
                    </a:stretch>
                  </pic:blipFill>
                  <pic:spPr bwMode="auto">
                    <a:xfrm>
                      <a:off x="0" y="0"/>
                      <a:ext cx="6541135" cy="1083310"/>
                    </a:xfrm>
                    <a:prstGeom prst="rect">
                      <a:avLst/>
                    </a:prstGeom>
                    <a:noFill/>
                  </pic:spPr>
                </pic:pic>
              </a:graphicData>
            </a:graphic>
          </wp:anchor>
        </w:drawing>
      </w:r>
    </w:p>
    <w:p>
      <w:pPr>
        <w:spacing w:after="0" w:line="372"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auto"/>
        </w:rPr>
        <w:t>Equity Price Risk Related to our F&amp;G Segment</w:t>
      </w:r>
    </w:p>
    <w:p>
      <w:pPr>
        <w:spacing w:after="0" w:line="206" w:lineRule="exact"/>
        <w:rPr>
          <w:sz w:val="20"/>
          <w:szCs w:val="20"/>
          <w:color w:val="auto"/>
        </w:rPr>
      </w:pPr>
    </w:p>
    <w:p>
      <w:pPr>
        <w:jc w:val="both"/>
        <w:ind w:left="120" w:right="120" w:firstLine="353"/>
        <w:spacing w:after="0" w:line="248" w:lineRule="auto"/>
        <w:rPr>
          <w:sz w:val="20"/>
          <w:szCs w:val="20"/>
          <w:color w:val="auto"/>
        </w:rPr>
      </w:pPr>
      <w:r>
        <w:rPr>
          <w:rFonts w:ascii="Arial" w:cs="Arial" w:eastAsia="Arial" w:hAnsi="Arial"/>
          <w:sz w:val="20"/>
          <w:szCs w:val="20"/>
          <w:color w:val="auto"/>
        </w:rPr>
        <w:t xml:space="preserve">Our F&amp;G segment is exposed to equity price risk through certain insurance products. Equity price risk is the risk that we will incur economic losses due to adverse changes in equity prices. In the past, our exposure to changes in equity prices primarily resulted from our holdings of equity securities. Refer to Note C </w:t>
      </w:r>
      <w:r>
        <w:rPr>
          <w:rFonts w:ascii="Arial" w:cs="Arial" w:eastAsia="Arial" w:hAnsi="Arial"/>
          <w:sz w:val="20"/>
          <w:szCs w:val="20"/>
          <w:b w:val="1"/>
          <w:bCs w:val="1"/>
          <w:i w:val="1"/>
          <w:iCs w:val="1"/>
          <w:color w:val="auto"/>
        </w:rPr>
        <w:t>Fair Value of Financial Instruments</w:t>
      </w:r>
      <w:r>
        <w:rPr>
          <w:rFonts w:ascii="Arial" w:cs="Arial" w:eastAsia="Arial" w:hAnsi="Arial"/>
          <w:sz w:val="20"/>
          <w:szCs w:val="20"/>
          <w:color w:val="auto"/>
        </w:rPr>
        <w:t xml:space="preserve"> to the Consolidated Financial Statements included in Part II - Item 8 of this Annual Report on Form 10-K for additional details on how the carrying values of these investments are determined as of the balance sheet date. Carrying values are subject to fluctuation and, consequently, the amount realized in the subsequent sale of an investment may significantly differ from the reported carrying value. Fluctuation in the carrying value of a security may result from perceived changes in the underlying economic characteristics of the investee, the relative price of alternative investments and general market conditions. Furthermore, amounts realized in the sale of a particular security may be affected by the relative quantity of the security being sold.</w:t>
      </w:r>
    </w:p>
    <w:p>
      <w:pPr>
        <w:spacing w:after="0" w:line="64" w:lineRule="exact"/>
        <w:rPr>
          <w:sz w:val="20"/>
          <w:szCs w:val="20"/>
          <w:color w:val="auto"/>
        </w:rPr>
      </w:pPr>
    </w:p>
    <w:p>
      <w:pPr>
        <w:jc w:val="both"/>
        <w:ind w:left="120" w:right="120" w:firstLine="353"/>
        <w:spacing w:after="0" w:line="303" w:lineRule="auto"/>
        <w:rPr>
          <w:sz w:val="20"/>
          <w:szCs w:val="20"/>
          <w:color w:val="auto"/>
        </w:rPr>
      </w:pPr>
      <w:r>
        <w:rPr>
          <w:rFonts w:ascii="Arial" w:cs="Arial" w:eastAsia="Arial" w:hAnsi="Arial"/>
          <w:sz w:val="17"/>
          <w:szCs w:val="17"/>
          <w:color w:val="auto"/>
        </w:rPr>
        <w:t>We are also exposed to equity price risk through certain insurance products. We offer a variety of indexed annuities and IUL contracts with crediting strategies linked to the performance of indices such as the S&amp;P 500 Index, Dow Jones Industrials or the NASDAQ 100 Index, and target volatility indices. Additionally, the estimated cost of providing GMWB on indexed annuity products incorporates various assumptions about the overall performance of equity markets over certain time periods. Periods of significant and sustained downturns in equity markets or increased equity volatility could result in an increase in the valuation of the MRB liabilities and decrease in the valuation of contractholder funds liabilities associated with such products.</w:t>
      </w:r>
    </w:p>
    <w:p>
      <w:pPr>
        <w:spacing w:after="0" w:line="19" w:lineRule="exact"/>
        <w:rPr>
          <w:sz w:val="20"/>
          <w:szCs w:val="20"/>
          <w:color w:val="auto"/>
        </w:rPr>
      </w:pPr>
    </w:p>
    <w:p>
      <w:pPr>
        <w:jc w:val="both"/>
        <w:ind w:left="120" w:right="120" w:firstLine="353"/>
        <w:spacing w:after="0" w:line="297" w:lineRule="auto"/>
        <w:rPr>
          <w:sz w:val="20"/>
          <w:szCs w:val="20"/>
          <w:color w:val="auto"/>
        </w:rPr>
      </w:pPr>
      <w:r>
        <w:rPr>
          <w:rFonts w:ascii="Arial" w:cs="Arial" w:eastAsia="Arial" w:hAnsi="Arial"/>
          <w:sz w:val="17"/>
          <w:szCs w:val="17"/>
          <w:color w:val="auto"/>
        </w:rPr>
        <w:t>To economically hedge the equity returns on these products, we purchase derivatives to hedge the indexed annuities and IUL equity exposures. The primary way we hedge indexed annuities and IUL equity exposure is to purchase over the counter equity index equity options from broker-dealer derivative counterparties approved by F&amp;G. The second way to hedge indexed annuities and IUL equity exposure is by purchasing exchange traded equity index futures contracts. This hedging strategy enables us to reduce the overall hedging costs and achieve a high correlation of returns on the equity options purchased relative to the index credits earned by the indexed annuities/IUL contractholders. The majority of the equity options are one-year options purchased to match the funding requirements underlying the indexed annuities/IUL contracts. These hedge programs are limited to the current policy term of the indexed annuities/IUL contracts. Future returns, which may be reflected in indexed annuities IUL contracts’ credited rates beyond the current policy term, are not hedged. We attempt to manage the costs of these</w:t>
      </w:r>
    </w:p>
    <w:p>
      <w:pPr>
        <w:sectPr>
          <w:pgSz w:w="11880" w:h="15480" w:orient="portrait"/>
          <w:cols w:equalWidth="0" w:num="1">
            <w:col w:w="10280"/>
          </w:cols>
          <w:pgMar w:left="800" w:top="772" w:right="8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94</w:t>
      </w:r>
    </w:p>
    <w:p>
      <w:pPr>
        <w:sectPr>
          <w:pgSz w:w="11880" w:h="15480" w:orient="portrait"/>
          <w:cols w:equalWidth="0" w:num="1">
            <w:col w:w="10280"/>
          </w:cols>
          <w:pgMar w:left="800" w:top="772" w:right="800" w:bottom="0" w:gutter="0" w:footer="0" w:header="0"/>
          <w:type w:val="continuous"/>
        </w:sectPr>
      </w:pPr>
    </w:p>
    <w:bookmarkStart w:id="106" w:name="page107"/>
    <w:bookmarkEnd w:id="106"/>
    <w:p>
      <w:pPr>
        <w:jc w:val="both"/>
        <w:spacing w:after="0" w:line="271" w:lineRule="auto"/>
        <w:rPr>
          <w:sz w:val="20"/>
          <w:szCs w:val="20"/>
          <w:color w:val="auto"/>
        </w:rPr>
      </w:pPr>
      <w:r>
        <w:rPr>
          <w:rFonts w:ascii="Arial" w:cs="Arial" w:eastAsia="Arial" w:hAnsi="Arial"/>
          <w:sz w:val="20"/>
          <w:szCs w:val="20"/>
          <w:color w:val="auto"/>
        </w:rPr>
        <w:t>purchases through the terms of the indexed annuities/IUL contracts, which permit us to change cap, spread or participation rates, subject to certain guaranteed minimums that must be maintained.</w:t>
      </w:r>
    </w:p>
    <w:p>
      <w:pPr>
        <w:spacing w:after="0" w:line="39" w:lineRule="exact"/>
        <w:rPr>
          <w:sz w:val="20"/>
          <w:szCs w:val="20"/>
          <w:color w:val="auto"/>
        </w:rPr>
      </w:pPr>
    </w:p>
    <w:p>
      <w:pPr>
        <w:jc w:val="both"/>
        <w:ind w:firstLine="353"/>
        <w:spacing w:after="0" w:line="296" w:lineRule="auto"/>
        <w:rPr>
          <w:sz w:val="20"/>
          <w:szCs w:val="20"/>
          <w:color w:val="auto"/>
        </w:rPr>
      </w:pPr>
      <w:r>
        <w:rPr>
          <w:rFonts w:ascii="Arial" w:cs="Arial" w:eastAsia="Arial" w:hAnsi="Arial"/>
          <w:sz w:val="17"/>
          <w:szCs w:val="17"/>
          <w:color w:val="auto"/>
        </w:rPr>
        <w:t>The derivatives are used to fund the indexed annuities/IUL contract index credits and the cost of the equity options purchased is treated as a component of spread earnings. While the indexed annuities/IUL hedging program does not explicitly hedge GAAP income volatility, the indexed annuities/IUL hedging program tends to mitigate a significant portion of the GAAP reserve changes associated with movements in the equity market. This is due to the fact that a key component in the calculation of GAAP reserves is the market valuation of the current term embedded derivative. Due to the alignment of the embedded derivative reserve component with hedging of this same embedded derivative, there should be a reasonable match between changes in this component of the reserve and changes in the assets backing this component of the reserve. However, there may be an interim mismatch due to the fact that the hedges, which are put in place are only intended to cover exposures expected to remain until the end of an indexing term. To the extent index credits earned by the contractholder exceed the proceeds from option expirations and futures income, we incur a raw hedging loss.</w:t>
      </w:r>
    </w:p>
    <w:p>
      <w:pPr>
        <w:spacing w:after="0" w:line="57" w:lineRule="exact"/>
        <w:rPr>
          <w:sz w:val="20"/>
          <w:szCs w:val="20"/>
          <w:color w:val="auto"/>
        </w:rPr>
      </w:pPr>
    </w:p>
    <w:p>
      <w:pPr>
        <w:jc w:val="both"/>
        <w:ind w:firstLine="353"/>
        <w:spacing w:after="0" w:line="273" w:lineRule="auto"/>
        <w:rPr>
          <w:sz w:val="20"/>
          <w:szCs w:val="20"/>
          <w:color w:val="auto"/>
        </w:rPr>
      </w:pPr>
      <w:r>
        <w:rPr>
          <w:rFonts w:ascii="Arial" w:cs="Arial" w:eastAsia="Arial" w:hAnsi="Arial"/>
          <w:sz w:val="20"/>
          <w:szCs w:val="20"/>
          <w:color w:val="auto"/>
        </w:rPr>
        <w:t xml:space="preserve">See Note E </w:t>
      </w:r>
      <w:r>
        <w:rPr>
          <w:rFonts w:ascii="Arial" w:cs="Arial" w:eastAsia="Arial" w:hAnsi="Arial"/>
          <w:sz w:val="20"/>
          <w:szCs w:val="20"/>
          <w:b w:val="1"/>
          <w:bCs w:val="1"/>
          <w:i w:val="1"/>
          <w:iCs w:val="1"/>
          <w:color w:val="auto"/>
        </w:rPr>
        <w:t>Derivative Financial Instruments</w:t>
      </w:r>
      <w:r>
        <w:rPr>
          <w:rFonts w:ascii="Arial" w:cs="Arial" w:eastAsia="Arial" w:hAnsi="Arial"/>
          <w:sz w:val="20"/>
          <w:szCs w:val="20"/>
          <w:color w:val="auto"/>
        </w:rPr>
        <w:t xml:space="preserve"> to the Consolidated Financial Statements included in Part II - Item 8 of this Annual Report on Form 10-K for additional details on the derivatives portfolio.</w:t>
      </w:r>
    </w:p>
    <w:p>
      <w:pPr>
        <w:spacing w:after="0" w:line="125" w:lineRule="exact"/>
        <w:rPr>
          <w:sz w:val="20"/>
          <w:szCs w:val="20"/>
          <w:color w:val="auto"/>
        </w:rPr>
      </w:pPr>
    </w:p>
    <w:p>
      <w:pPr>
        <w:jc w:val="both"/>
        <w:ind w:firstLine="353"/>
        <w:spacing w:after="0" w:line="300" w:lineRule="auto"/>
        <w:rPr>
          <w:sz w:val="20"/>
          <w:szCs w:val="20"/>
          <w:color w:val="auto"/>
        </w:rPr>
      </w:pPr>
      <w:r>
        <w:rPr>
          <w:rFonts w:ascii="Arial" w:cs="Arial" w:eastAsia="Arial" w:hAnsi="Arial"/>
          <w:sz w:val="17"/>
          <w:szCs w:val="17"/>
          <w:color w:val="auto"/>
        </w:rPr>
        <w:t>Fair value changes associated with these investments are intended to, but do not always, substantially offset the increase or decrease in the amounts added to contractholder funds for indexed products. When index credits to policyholders exceed option proceeds received at expiration related to such credits, any shortfall is funded by our excess of net investment income earned over the sum of interest credited to policyholders and the cost of hedging our risk on indexed product policies and futures income. For the years ended December 31, 2025, 2024, and 2023, the annual index credits to policyholders on their anniversaries were $721 million, $725 million, and $203 million, respectively. Proceeds received at expiration of options related to such credits were $705 million, $849 million, and $212 million, respectively.</w:t>
      </w:r>
    </w:p>
    <w:p>
      <w:pPr>
        <w:spacing w:after="0" w:line="54" w:lineRule="exact"/>
        <w:rPr>
          <w:sz w:val="20"/>
          <w:szCs w:val="20"/>
          <w:color w:val="auto"/>
        </w:rPr>
      </w:pPr>
    </w:p>
    <w:p>
      <w:pPr>
        <w:jc w:val="both"/>
        <w:ind w:firstLine="353"/>
        <w:spacing w:after="0" w:line="251" w:lineRule="auto"/>
        <w:rPr>
          <w:sz w:val="20"/>
          <w:szCs w:val="20"/>
          <w:color w:val="auto"/>
        </w:rPr>
      </w:pPr>
      <w:r>
        <w:rPr>
          <w:rFonts w:ascii="Arial" w:cs="Arial" w:eastAsia="Arial" w:hAnsi="Arial"/>
          <w:sz w:val="20"/>
          <w:szCs w:val="20"/>
          <w:color w:val="auto"/>
        </w:rPr>
        <w:t>Other market exposures are hedged periodically depending on market conditions and our risk tolerance. The indexed annuities/IUL hedging strategy economically hedges the equity returns and exposes us to the risk that unhedged market exposures result in divergence between changes in the fair value of the liabilities and the hedging assets. We use a variety of techniques, including direct estimation of market sensitivities, to monitor this risk daily. We intend to continue to adjust the hedging strategy as market conditions and risk tolerance change.</w:t>
      </w:r>
    </w:p>
    <w:p>
      <w:pPr>
        <w:spacing w:after="0" w:line="8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Foreign Currency Exchange Rate Risk</w:t>
      </w:r>
    </w:p>
    <w:p>
      <w:pPr>
        <w:spacing w:after="0" w:line="236" w:lineRule="exact"/>
        <w:rPr>
          <w:sz w:val="20"/>
          <w:szCs w:val="20"/>
          <w:color w:val="auto"/>
        </w:rPr>
      </w:pPr>
    </w:p>
    <w:p>
      <w:pPr>
        <w:jc w:val="both"/>
        <w:ind w:firstLine="353"/>
        <w:spacing w:after="0" w:line="251" w:lineRule="auto"/>
        <w:rPr>
          <w:sz w:val="20"/>
          <w:szCs w:val="20"/>
          <w:color w:val="auto"/>
        </w:rPr>
      </w:pPr>
      <w:r>
        <w:rPr>
          <w:rFonts w:ascii="Arial" w:cs="Arial" w:eastAsia="Arial" w:hAnsi="Arial"/>
          <w:sz w:val="20"/>
          <w:szCs w:val="20"/>
          <w:color w:val="auto"/>
        </w:rPr>
        <w:t>Our F&amp;G segments fair value exposure to fluctuations in foreign currency exchange rates against the U.S. dollar results from our holdings in non-U.S. dollar denominated fixed maturity securities and an investment in an unconsolidated affiliate. The principal currencies that create foreign currency exchange rate risk in our investment portfolio are the Euro and the British Pound. We use various derivative instruments to hedge substantially all of our foreign currency exposure such that sensitivity to changes in foreign currencies is minimal.</w:t>
      </w:r>
    </w:p>
    <w:p>
      <w:pPr>
        <w:spacing w:after="0" w:line="8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Credit Risk and Counterparty Risk Related to our F&amp;G Segment</w:t>
      </w:r>
    </w:p>
    <w:p>
      <w:pPr>
        <w:spacing w:after="0" w:line="150" w:lineRule="exact"/>
        <w:rPr>
          <w:sz w:val="20"/>
          <w:szCs w:val="20"/>
          <w:color w:val="auto"/>
        </w:rPr>
      </w:pPr>
    </w:p>
    <w:p>
      <w:pPr>
        <w:jc w:val="both"/>
        <w:ind w:firstLine="353"/>
        <w:spacing w:after="0" w:line="263" w:lineRule="auto"/>
        <w:rPr>
          <w:sz w:val="20"/>
          <w:szCs w:val="20"/>
          <w:color w:val="auto"/>
        </w:rPr>
      </w:pPr>
      <w:r>
        <w:rPr>
          <w:rFonts w:ascii="Arial" w:cs="Arial" w:eastAsia="Arial" w:hAnsi="Arial"/>
          <w:sz w:val="19"/>
          <w:szCs w:val="19"/>
          <w:color w:val="auto"/>
        </w:rPr>
        <w:t>Our F&amp;G segment is exposed to the risk that a counterparty will default on its contractual obligation resulting in financial loss. Our major source of credit risk arises predominantly in our insurance operations’ portfolios of debt and similar securities. The fair value of our fixed maturity portfolio totaled $53 billion at December 31, 2025. Our credit risk materializes primarily as impairment losses. We are exposed to occasional cyclical economic downturns, during which impairment losses may be significantly higher than the long-term historical average. This is offset by years where it expects the actual impairment losses to be substantially lower than the long-term average. Credit risk in the portfolio can also materialize as increased capital requirements as assets migrate into lower credit qualities over time. The effect of rating migration on our capital requirements is also dependent on the economic cycle and increased asset impairment levels may go hand in hand with increased asset related capital requirements.</w:t>
      </w:r>
    </w:p>
    <w:p>
      <w:pPr>
        <w:spacing w:after="0" w:line="80" w:lineRule="exact"/>
        <w:rPr>
          <w:sz w:val="20"/>
          <w:szCs w:val="20"/>
          <w:color w:val="auto"/>
        </w:rPr>
      </w:pPr>
    </w:p>
    <w:p>
      <w:pPr>
        <w:jc w:val="both"/>
        <w:ind w:firstLine="353"/>
        <w:spacing w:after="0" w:line="268" w:lineRule="auto"/>
        <w:rPr>
          <w:sz w:val="20"/>
          <w:szCs w:val="20"/>
          <w:color w:val="auto"/>
        </w:rPr>
      </w:pPr>
      <w:r>
        <w:rPr>
          <w:rFonts w:ascii="Arial" w:cs="Arial" w:eastAsia="Arial" w:hAnsi="Arial"/>
          <w:sz w:val="19"/>
          <w:szCs w:val="19"/>
          <w:color w:val="auto"/>
        </w:rPr>
        <w:t>We attempt to manage the risk of default and rating migration by applying disciplined credit evaluation and underwriting standards and limiting allocations to lower quality, higher risk investments. In addition, we diversify exposure by issuer and country, using rating-based issuer and country limits. We also set investment constraints that limit our exposure by industry segment. To limit the impact that credit risk can have on earnings and capital adequacy levels, we have portfolio-level credit risk constraints in place. Limit compliance is monitored on a monthly basis.</w:t>
      </w:r>
    </w:p>
    <w:p>
      <w:pPr>
        <w:spacing w:after="0" w:line="44" w:lineRule="exact"/>
        <w:rPr>
          <w:sz w:val="20"/>
          <w:szCs w:val="20"/>
          <w:color w:val="auto"/>
        </w:rPr>
      </w:pPr>
    </w:p>
    <w:p>
      <w:pPr>
        <w:jc w:val="both"/>
        <w:ind w:firstLine="353"/>
        <w:spacing w:after="0" w:line="306" w:lineRule="auto"/>
        <w:rPr>
          <w:sz w:val="20"/>
          <w:szCs w:val="20"/>
          <w:color w:val="auto"/>
        </w:rPr>
      </w:pPr>
      <w:r>
        <w:rPr>
          <w:rFonts w:ascii="Arial" w:cs="Arial" w:eastAsia="Arial" w:hAnsi="Arial"/>
          <w:sz w:val="17"/>
          <w:szCs w:val="17"/>
          <w:color w:val="auto"/>
        </w:rPr>
        <w:t>In connection with the use of derivative instruments, we are exposed to counterparty credit risk-the risk that a counterparty fails to perform under the terms of the derivative contract. We have adopted a policy of only dealing with credit worthy counterparties and obtaining sufficient collateral where appropriate, as a means of attempting to mitigate the financial loss from defaults. The exposure and credit rating of the counterparties are continuously monitored, and the aggregate value of transactions concluded is spread amongst different approved counterparties to limit the concentration in one counterparty. This</w:t>
      </w:r>
    </w:p>
    <w:p>
      <w:pPr>
        <w:sectPr>
          <w:pgSz w:w="11880" w:h="15480" w:orient="portrait"/>
          <w:cols w:equalWidth="0" w:num="1">
            <w:col w:w="10040"/>
          </w:cols>
          <w:pgMar w:left="920" w:top="772" w:right="920" w:bottom="0" w:gutter="0" w:footer="0" w:header="0"/>
        </w:sect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95</w:t>
      </w:r>
    </w:p>
    <w:p>
      <w:pPr>
        <w:sectPr>
          <w:pgSz w:w="11880" w:h="15480" w:orient="portrait"/>
          <w:cols w:equalWidth="0" w:num="1">
            <w:col w:w="10040"/>
          </w:cols>
          <w:pgMar w:left="920" w:top="772" w:right="920" w:bottom="0" w:gutter="0" w:footer="0" w:header="0"/>
          <w:type w:val="continuous"/>
        </w:sectPr>
      </w:pPr>
    </w:p>
    <w:bookmarkStart w:id="107" w:name="page108"/>
    <w:bookmarkEnd w:id="107"/>
    <w:p>
      <w:pPr>
        <w:jc w:val="both"/>
        <w:spacing w:after="0" w:line="268" w:lineRule="auto"/>
        <w:rPr>
          <w:sz w:val="20"/>
          <w:szCs w:val="20"/>
          <w:color w:val="auto"/>
        </w:rPr>
      </w:pPr>
      <w:r>
        <w:rPr>
          <w:rFonts w:ascii="Arial" w:cs="Arial" w:eastAsia="Arial" w:hAnsi="Arial"/>
          <w:sz w:val="19"/>
          <w:szCs w:val="19"/>
          <w:color w:val="auto"/>
        </w:rPr>
        <w:t xml:space="preserve">policy allows for the purchase of derivative instruments from counterparties and/or clearinghouses that meet the required qualifications under the insurance laws of Iowa. We review the ratings of all the counterparties periodically. Collateral support documents are negotiated to further reduce the exposure when deemed necessary. See Note E </w:t>
      </w:r>
      <w:r>
        <w:rPr>
          <w:rFonts w:ascii="Arial" w:cs="Arial" w:eastAsia="Arial" w:hAnsi="Arial"/>
          <w:sz w:val="19"/>
          <w:szCs w:val="19"/>
          <w:b w:val="1"/>
          <w:bCs w:val="1"/>
          <w:i w:val="1"/>
          <w:iCs w:val="1"/>
          <w:color w:val="auto"/>
        </w:rPr>
        <w:t>Derivative Financial Instruments</w:t>
      </w:r>
      <w:r>
        <w:rPr>
          <w:rFonts w:ascii="Arial" w:cs="Arial" w:eastAsia="Arial" w:hAnsi="Arial"/>
          <w:sz w:val="19"/>
          <w:szCs w:val="19"/>
          <w:color w:val="auto"/>
        </w:rPr>
        <w:t xml:space="preserve"> in the Consolidated Financial Statements included in Part II - Item 8 of this Annual Report on Form 10-K for additional information regarding our exposure to credit loss.</w:t>
      </w:r>
    </w:p>
    <w:p>
      <w:pPr>
        <w:spacing w:after="0" w:line="44" w:lineRule="exact"/>
        <w:rPr>
          <w:sz w:val="20"/>
          <w:szCs w:val="20"/>
          <w:color w:val="auto"/>
        </w:rPr>
      </w:pPr>
    </w:p>
    <w:p>
      <w:pPr>
        <w:jc w:val="both"/>
        <w:ind w:firstLine="353"/>
        <w:spacing w:after="0" w:line="268" w:lineRule="auto"/>
        <w:rPr>
          <w:sz w:val="20"/>
          <w:szCs w:val="20"/>
          <w:color w:val="auto"/>
        </w:rPr>
      </w:pPr>
      <w:r>
        <w:rPr>
          <w:rFonts w:ascii="Arial" w:cs="Arial" w:eastAsia="Arial" w:hAnsi="Arial"/>
          <w:sz w:val="19"/>
          <w:szCs w:val="19"/>
          <w:color w:val="auto"/>
        </w:rPr>
        <w:t>We also have credit risk related to the ability of reinsurance counterparties to honor their obligations to pay the contract amounts under various agreements. To minimize the risk of credit loss on such contracts, we diversify exposures among many reinsurers and limit the amount of exposure to each based on credit rating. We also generally limit selection of counterparties with which to do new transactions to those with an “A-” credit rating or above from at least one of the major rating agencies and/or that are appropriately collateralized and provide credit for reinsurance.</w:t>
      </w:r>
    </w:p>
    <w:p>
      <w:pPr>
        <w:spacing w:after="0" w:line="74" w:lineRule="exact"/>
        <w:rPr>
          <w:sz w:val="20"/>
          <w:szCs w:val="20"/>
          <w:color w:val="auto"/>
        </w:rPr>
      </w:pPr>
    </w:p>
    <w:p>
      <w:pPr>
        <w:jc w:val="both"/>
        <w:ind w:firstLine="353"/>
        <w:spacing w:after="0" w:line="278" w:lineRule="auto"/>
        <w:rPr>
          <w:sz w:val="20"/>
          <w:szCs w:val="20"/>
          <w:color w:val="auto"/>
        </w:rPr>
      </w:pPr>
      <w:r>
        <w:rPr>
          <w:rFonts w:ascii="Arial" w:cs="Arial" w:eastAsia="Arial" w:hAnsi="Arial"/>
          <w:sz w:val="19"/>
          <w:szCs w:val="19"/>
          <w:color w:val="auto"/>
        </w:rPr>
        <w:t>In the normal course of business, certain reinsurance recoverables are subject to reviews by the reinsurers. We are not aware of any material disputes arising from these reviews or other communications with the counterparties as of December 31, 2025, and 2024, that would require an increase to the allowance for credit losses.</w:t>
      </w:r>
    </w:p>
    <w:p>
      <w:pPr>
        <w:spacing w:after="0" w:line="62" w:lineRule="exact"/>
        <w:rPr>
          <w:sz w:val="20"/>
          <w:szCs w:val="20"/>
          <w:color w:val="auto"/>
        </w:rPr>
      </w:pPr>
    </w:p>
    <w:p>
      <w:pPr>
        <w:jc w:val="both"/>
        <w:ind w:firstLine="353"/>
        <w:spacing w:after="0" w:line="273" w:lineRule="auto"/>
        <w:rPr>
          <w:sz w:val="20"/>
          <w:szCs w:val="20"/>
          <w:color w:val="auto"/>
        </w:rPr>
      </w:pPr>
      <w:r>
        <w:rPr>
          <w:rFonts w:ascii="Arial" w:cs="Arial" w:eastAsia="Arial" w:hAnsi="Arial"/>
          <w:sz w:val="20"/>
          <w:szCs w:val="20"/>
          <w:color w:val="auto"/>
        </w:rPr>
        <w:t xml:space="preserve">For information on concentrations of reinsurance risk, refer to Note N </w:t>
      </w:r>
      <w:r>
        <w:rPr>
          <w:rFonts w:ascii="Arial" w:cs="Arial" w:eastAsia="Arial" w:hAnsi="Arial"/>
          <w:sz w:val="20"/>
          <w:szCs w:val="20"/>
          <w:b w:val="1"/>
          <w:bCs w:val="1"/>
          <w:i w:val="1"/>
          <w:iCs w:val="1"/>
          <w:color w:val="auto"/>
        </w:rPr>
        <w:t>F&amp;G Reinsurance</w:t>
      </w:r>
      <w:r>
        <w:rPr>
          <w:rFonts w:ascii="Arial" w:cs="Arial" w:eastAsia="Arial" w:hAnsi="Arial"/>
          <w:sz w:val="20"/>
          <w:szCs w:val="20"/>
          <w:color w:val="auto"/>
        </w:rPr>
        <w:t xml:space="preserve"> in the Consolidated Financial Statements included in Part II - Item 8 of this Annual Report on Form 10-K.</w:t>
      </w:r>
    </w:p>
    <w:p>
      <w:pPr>
        <w:spacing w:after="0" w:line="65" w:lineRule="exact"/>
        <w:rPr>
          <w:sz w:val="20"/>
          <w:szCs w:val="20"/>
          <w:color w:val="auto"/>
        </w:rPr>
      </w:pPr>
    </w:p>
    <w:p>
      <w:pPr>
        <w:jc w:val="both"/>
        <w:ind w:firstLine="353"/>
        <w:spacing w:after="0" w:line="363" w:lineRule="auto"/>
        <w:rPr>
          <w:sz w:val="20"/>
          <w:szCs w:val="20"/>
          <w:color w:val="auto"/>
        </w:rPr>
      </w:pPr>
      <w:r>
        <w:rPr>
          <w:rFonts w:ascii="Arial" w:cs="Arial" w:eastAsia="Arial" w:hAnsi="Arial"/>
          <w:sz w:val="17"/>
          <w:szCs w:val="17"/>
          <w:color w:val="auto"/>
        </w:rPr>
        <w:t xml:space="preserve">For further information on certain risk associated with our business, refer to Note G </w:t>
      </w:r>
      <w:r>
        <w:rPr>
          <w:rFonts w:ascii="Arial" w:cs="Arial" w:eastAsia="Arial" w:hAnsi="Arial"/>
          <w:sz w:val="17"/>
          <w:szCs w:val="17"/>
          <w:b w:val="1"/>
          <w:bCs w:val="1"/>
          <w:i w:val="1"/>
          <w:iCs w:val="1"/>
          <w:color w:val="auto"/>
        </w:rPr>
        <w:t>Commitments and Contingencies</w:t>
      </w:r>
      <w:r>
        <w:rPr>
          <w:rFonts w:ascii="Arial" w:cs="Arial" w:eastAsia="Arial" w:hAnsi="Arial"/>
          <w:sz w:val="17"/>
          <w:szCs w:val="17"/>
          <w:color w:val="auto"/>
        </w:rPr>
        <w:t xml:space="preserve"> in the Consolidated Financial Statements included in Part II - Item 8 of this Annual Report on Form 10-K.</w:t>
      </w:r>
    </w:p>
    <w:p>
      <w:pPr>
        <w:spacing w:after="0" w:line="50" w:lineRule="exact"/>
        <w:rPr>
          <w:sz w:val="20"/>
          <w:szCs w:val="20"/>
          <w:color w:val="auto"/>
        </w:rPr>
      </w:pPr>
    </w:p>
    <w:p>
      <w:pPr>
        <w:ind w:left="260"/>
        <w:spacing w:after="0"/>
        <w:rPr>
          <w:sz w:val="20"/>
          <w:szCs w:val="20"/>
          <w:color w:val="auto"/>
        </w:rPr>
      </w:pPr>
      <w:r>
        <w:rPr>
          <w:rFonts w:ascii="Arial" w:cs="Arial" w:eastAsia="Arial" w:hAnsi="Arial"/>
          <w:sz w:val="20"/>
          <w:szCs w:val="20"/>
          <w:b w:val="1"/>
          <w:bCs w:val="1"/>
          <w:i w:val="1"/>
          <w:iCs w:val="1"/>
          <w:color w:val="auto"/>
        </w:rPr>
        <w:t>Use of Estimates and Assumptions</w:t>
      </w:r>
    </w:p>
    <w:p>
      <w:pPr>
        <w:spacing w:after="0" w:line="101" w:lineRule="exact"/>
        <w:rPr>
          <w:sz w:val="20"/>
          <w:szCs w:val="20"/>
          <w:color w:val="auto"/>
        </w:rPr>
      </w:pPr>
    </w:p>
    <w:p>
      <w:pPr>
        <w:jc w:val="both"/>
        <w:ind w:firstLine="353"/>
        <w:spacing w:after="0" w:line="312" w:lineRule="auto"/>
        <w:rPr>
          <w:sz w:val="20"/>
          <w:szCs w:val="20"/>
          <w:color w:val="auto"/>
        </w:rPr>
      </w:pPr>
      <w:r>
        <w:rPr>
          <w:rFonts w:ascii="Arial" w:cs="Arial" w:eastAsia="Arial" w:hAnsi="Arial"/>
          <w:sz w:val="17"/>
          <w:szCs w:val="17"/>
          <w:color w:val="auto"/>
        </w:rPr>
        <w:t>The preparation of our Consolidated Financial Statements included in Item 8 of Part II of this Annual Report in conformity with GAAP requires management to make estimates and assumptions that affect the reported amounts of assets and liabilities and disclosures of contingent assets and liabilities at the date of the financial statements and the reported amounts of revenues and expenses during the reporting period. Actual results could differ from those estimates and assumptions used.</w:t>
      </w:r>
    </w:p>
    <w:p>
      <w:pPr>
        <w:spacing w:after="0" w:line="94" w:lineRule="exact"/>
        <w:rPr>
          <w:sz w:val="20"/>
          <w:szCs w:val="20"/>
          <w:color w:val="auto"/>
        </w:rPr>
      </w:pPr>
    </w:p>
    <w:p>
      <w:pPr>
        <w:ind w:left="220"/>
        <w:spacing w:after="0"/>
        <w:rPr>
          <w:sz w:val="20"/>
          <w:szCs w:val="20"/>
          <w:color w:val="auto"/>
        </w:rPr>
      </w:pPr>
      <w:r>
        <w:rPr>
          <w:rFonts w:ascii="Arial" w:cs="Arial" w:eastAsia="Arial" w:hAnsi="Arial"/>
          <w:sz w:val="20"/>
          <w:szCs w:val="20"/>
          <w:b w:val="1"/>
          <w:bCs w:val="1"/>
          <w:i w:val="1"/>
          <w:iCs w:val="1"/>
          <w:color w:val="auto"/>
        </w:rPr>
        <w:t>Concentrations of Financial Instruments Related to our F&amp;G Segment</w:t>
      </w:r>
    </w:p>
    <w:p>
      <w:pPr>
        <w:spacing w:after="0" w:line="99" w:lineRule="exact"/>
        <w:rPr>
          <w:sz w:val="20"/>
          <w:szCs w:val="20"/>
          <w:color w:val="auto"/>
        </w:rPr>
      </w:pPr>
    </w:p>
    <w:p>
      <w:pPr>
        <w:jc w:val="both"/>
        <w:ind w:firstLine="353"/>
        <w:spacing w:after="0" w:line="272" w:lineRule="auto"/>
        <w:rPr>
          <w:sz w:val="20"/>
          <w:szCs w:val="20"/>
          <w:color w:val="auto"/>
        </w:rPr>
      </w:pPr>
      <w:r>
        <w:rPr>
          <w:rFonts w:ascii="Arial" w:cs="Arial" w:eastAsia="Arial" w:hAnsi="Arial"/>
          <w:sz w:val="19"/>
          <w:szCs w:val="19"/>
          <w:color w:val="auto"/>
        </w:rPr>
        <w:t xml:space="preserve">Refer to </w:t>
      </w:r>
      <w:r>
        <w:rPr>
          <w:rFonts w:ascii="Arial" w:cs="Arial" w:eastAsia="Arial" w:hAnsi="Arial"/>
          <w:sz w:val="19"/>
          <w:szCs w:val="19"/>
          <w:b w:val="1"/>
          <w:bCs w:val="1"/>
          <w:i w:val="1"/>
          <w:iCs w:val="1"/>
          <w:color w:val="auto"/>
        </w:rPr>
        <w:t>Management's Discussion and Analysis of Financial Condition and Results of Operations - Investment Portfolio -</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 xml:space="preserve">Investment Industry Concentrations </w:t>
      </w:r>
      <w:r>
        <w:rPr>
          <w:rFonts w:ascii="Arial" w:cs="Arial" w:eastAsia="Arial" w:hAnsi="Arial"/>
          <w:sz w:val="19"/>
          <w:szCs w:val="19"/>
          <w:color w:val="auto"/>
        </w:rPr>
        <w:t>included in Part II - Item 7 of this Annual Report on Form 10-K regarding the top ten</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investment concentrations of our fixed maturity and equity securities including the fair value and percent of total fixed maturity and equity securities fair value as of December 31, 2025, and 2024.</w:t>
      </w:r>
    </w:p>
    <w:p>
      <w:pPr>
        <w:spacing w:after="0" w:line="121" w:lineRule="exact"/>
        <w:rPr>
          <w:sz w:val="20"/>
          <w:szCs w:val="20"/>
          <w:color w:val="auto"/>
        </w:rPr>
      </w:pPr>
    </w:p>
    <w:p>
      <w:pPr>
        <w:ind w:left="220"/>
        <w:spacing w:after="0"/>
        <w:rPr>
          <w:sz w:val="20"/>
          <w:szCs w:val="20"/>
          <w:color w:val="auto"/>
        </w:rPr>
      </w:pPr>
      <w:r>
        <w:rPr>
          <w:rFonts w:ascii="Arial" w:cs="Arial" w:eastAsia="Arial" w:hAnsi="Arial"/>
          <w:sz w:val="20"/>
          <w:szCs w:val="20"/>
          <w:b w:val="1"/>
          <w:bCs w:val="1"/>
          <w:i w:val="1"/>
          <w:iCs w:val="1"/>
          <w:color w:val="auto"/>
        </w:rPr>
        <w:t>Concentrations of Financial and Capital Markets Risk Related to our F&amp;G Segment</w:t>
      </w:r>
    </w:p>
    <w:p>
      <w:pPr>
        <w:spacing w:after="0" w:line="101" w:lineRule="exact"/>
        <w:rPr>
          <w:sz w:val="20"/>
          <w:szCs w:val="20"/>
          <w:color w:val="auto"/>
        </w:rPr>
      </w:pPr>
    </w:p>
    <w:p>
      <w:pPr>
        <w:jc w:val="both"/>
        <w:ind w:firstLine="353"/>
        <w:spacing w:after="0" w:line="296" w:lineRule="auto"/>
        <w:rPr>
          <w:sz w:val="20"/>
          <w:szCs w:val="20"/>
          <w:color w:val="auto"/>
        </w:rPr>
      </w:pPr>
      <w:r>
        <w:rPr>
          <w:rFonts w:ascii="Arial" w:cs="Arial" w:eastAsia="Arial" w:hAnsi="Arial"/>
          <w:sz w:val="17"/>
          <w:szCs w:val="17"/>
          <w:color w:val="auto"/>
        </w:rPr>
        <w:t>Our F&amp;G segment is exposed to financial and capital markets risk, including changes in interest rates and credit spreads, which can have an adverse effect on its results of operations, financial condition and liquidity. Exposure to such financial and capital markets risk relates primarily to the market price and cash flow variability associated with changes in interest rates. A rise in interest rates, in the absence of other countervailing changes, will increase the net unrealized loss position and, if long-term interest rates rise dramatically within a six to twelve-month time period, certain of F&amp;G’s products may be exposed to disintermediation risk. Disintermediation risk refers to the risk that policyholders surrender their contracts in a rising interest rate environment, requiring F&amp;G to liquidate assets in an unrealized loss position. We attempt to mitigate the risk, including changes in interest rates by investing in less rate-sensitive investments, including senior tranches of collateralized loan obligations, non-agency residential mortgage-backed securities, and various types of asset backed securities. Management believes this risk is also mitigated to some extent by surrender charge protection provided by F&amp;G’s products. We expect to continue to face these challenges and uncertainties that could adversely affect our results of operations and financial condition.</w:t>
      </w:r>
    </w:p>
    <w:p>
      <w:pPr>
        <w:sectPr>
          <w:pgSz w:w="11880" w:h="15480" w:orient="portrait"/>
          <w:cols w:equalWidth="0" w:num="1">
            <w:col w:w="10040"/>
          </w:cols>
          <w:pgMar w:left="920" w:top="772"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96</w:t>
      </w:r>
    </w:p>
    <w:p>
      <w:pPr>
        <w:sectPr>
          <w:pgSz w:w="11880" w:h="15480" w:orient="portrait"/>
          <w:cols w:equalWidth="0" w:num="1">
            <w:col w:w="10040"/>
          </w:cols>
          <w:pgMar w:left="920" w:top="772" w:right="920" w:bottom="0" w:gutter="0" w:footer="0" w:header="0"/>
          <w:type w:val="continuous"/>
        </w:sectPr>
      </w:pPr>
    </w:p>
    <w:bookmarkStart w:id="108" w:name="page109"/>
    <w:bookmarkEnd w:id="108"/>
    <w:p>
      <w:pPr>
        <w:spacing w:after="0"/>
        <w:rPr>
          <w:sz w:val="20"/>
          <w:szCs w:val="20"/>
          <w:color w:val="auto"/>
        </w:rPr>
      </w:pPr>
      <w:r>
        <w:rPr>
          <w:rFonts w:ascii="Arial" w:cs="Arial" w:eastAsia="Arial" w:hAnsi="Arial"/>
          <w:sz w:val="20"/>
          <w:szCs w:val="20"/>
          <w:b w:val="1"/>
          <w:bCs w:val="1"/>
          <w:color w:val="auto"/>
        </w:rPr>
        <w:t xml:space="preserve">Item 8. </w:t>
      </w:r>
      <w:r>
        <w:rPr>
          <w:rFonts w:ascii="Arial" w:cs="Arial" w:eastAsia="Arial" w:hAnsi="Arial"/>
          <w:sz w:val="20"/>
          <w:szCs w:val="20"/>
          <w:b w:val="1"/>
          <w:bCs w:val="1"/>
          <w:i w:val="1"/>
          <w:iCs w:val="1"/>
          <w:color w:val="auto"/>
        </w:rPr>
        <w:t>Financial Statements and Supplementary Data</w:t>
      </w:r>
    </w:p>
    <w:p>
      <w:pPr>
        <w:spacing w:after="0" w:line="240" w:lineRule="exact"/>
        <w:rPr>
          <w:sz w:val="20"/>
          <w:szCs w:val="20"/>
          <w:color w:val="auto"/>
        </w:rPr>
      </w:pPr>
    </w:p>
    <w:p>
      <w:pPr>
        <w:ind w:left="2200"/>
        <w:spacing w:after="0"/>
        <w:rPr>
          <w:sz w:val="20"/>
          <w:szCs w:val="20"/>
          <w:color w:val="auto"/>
        </w:rPr>
      </w:pPr>
      <w:r>
        <w:rPr>
          <w:rFonts w:ascii="Arial" w:cs="Arial" w:eastAsia="Arial" w:hAnsi="Arial"/>
          <w:sz w:val="20"/>
          <w:szCs w:val="20"/>
          <w:b w:val="1"/>
          <w:bCs w:val="1"/>
          <w:color w:val="auto"/>
        </w:rPr>
        <w:t>FIDELITY NATIONAL FINANCIAL, INC. AND SUBSIDIARIES</w:t>
      </w:r>
    </w:p>
    <w:p>
      <w:pPr>
        <w:spacing w:after="0" w:line="182" w:lineRule="exact"/>
        <w:rPr>
          <w:sz w:val="20"/>
          <w:szCs w:val="20"/>
          <w:color w:val="auto"/>
        </w:rPr>
      </w:pPr>
    </w:p>
    <w:p>
      <w:pPr>
        <w:ind w:left="3200"/>
        <w:spacing w:after="0"/>
        <w:rPr>
          <w:sz w:val="20"/>
          <w:szCs w:val="20"/>
          <w:color w:val="auto"/>
        </w:rPr>
      </w:pPr>
      <w:r>
        <w:rPr>
          <w:rFonts w:ascii="Arial" w:cs="Arial" w:eastAsia="Arial" w:hAnsi="Arial"/>
          <w:sz w:val="20"/>
          <w:szCs w:val="20"/>
          <w:b w:val="1"/>
          <w:bCs w:val="1"/>
          <w:color w:val="auto"/>
        </w:rPr>
        <w:t>INDEX TO FINANCIAL INFORMATION</w:t>
      </w:r>
    </w:p>
    <w:p>
      <w:pPr>
        <w:spacing w:after="0" w:line="357" w:lineRule="exact"/>
        <w:rPr>
          <w:sz w:val="20"/>
          <w:szCs w:val="20"/>
          <w:color w:val="auto"/>
        </w:rPr>
      </w:pPr>
    </w:p>
    <w:p>
      <w:pPr>
        <w:ind w:left="9340"/>
        <w:spacing w:after="0"/>
        <w:rPr>
          <w:sz w:val="20"/>
          <w:szCs w:val="20"/>
          <w:color w:val="auto"/>
        </w:rPr>
      </w:pPr>
      <w:r>
        <w:rPr>
          <w:rFonts w:ascii="Arial" w:cs="Arial" w:eastAsia="Arial" w:hAnsi="Arial"/>
          <w:sz w:val="16"/>
          <w:szCs w:val="16"/>
          <w:b w:val="1"/>
          <w:bCs w:val="1"/>
          <w:color w:val="auto"/>
        </w:rPr>
        <w:t>Page</w:t>
      </w:r>
    </w:p>
    <w:p>
      <w:pPr>
        <w:jc w:val="right"/>
        <w:spacing w:after="0"/>
        <w:rPr>
          <w:sz w:val="20"/>
          <w:szCs w:val="20"/>
          <w:color w:val="auto"/>
        </w:rPr>
      </w:pPr>
      <w:r>
        <w:rPr>
          <w:rFonts w:ascii="Arial" w:cs="Arial" w:eastAsia="Arial" w:hAnsi="Arial"/>
          <w:sz w:val="16"/>
          <w:szCs w:val="16"/>
          <w:b w:val="1"/>
          <w:bCs w:val="1"/>
          <w:color w:val="auto"/>
        </w:rPr>
        <w:t>Number</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5716905</wp:posOffset>
                </wp:positionH>
                <wp:positionV relativeFrom="paragraph">
                  <wp:posOffset>11430</wp:posOffset>
                </wp:positionV>
                <wp:extent cx="644525" cy="0"/>
                <wp:wrapNone/>
                <wp:docPr id="101" name="Shape 10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452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101" o:spid="_x0000_s112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50.15pt,0.9pt" to="500.9pt,0.9pt" o:allowincell="f" strokecolor="#000000" strokeweight="1pt"/>
            </w:pict>
          </mc:Fallback>
        </mc:AlternateContent>
      </w:r>
    </w:p>
    <w:p>
      <w:pPr>
        <w:spacing w:after="0" w:line="8" w:lineRule="exact"/>
        <w:rPr>
          <w:sz w:val="20"/>
          <w:szCs w:val="20"/>
          <w:color w:val="auto"/>
        </w:rPr>
      </w:pPr>
    </w:p>
    <w:p>
      <w:pPr>
        <w:ind w:left="40"/>
        <w:spacing w:after="0"/>
        <w:rPr>
          <w:sz w:val="20"/>
          <w:szCs w:val="20"/>
          <w:color w:val="auto"/>
        </w:rPr>
      </w:pPr>
      <w:r>
        <w:rPr>
          <w:rFonts w:ascii="Arial" w:cs="Arial" w:eastAsia="Arial" w:hAnsi="Arial"/>
          <w:sz w:val="20"/>
          <w:szCs w:val="20"/>
          <w:u w:val="single" w:color="auto"/>
          <w:color w:val="auto"/>
        </w:rPr>
        <w:t>Report of Independent Registered Public Accounting Firm on Effectiveness of Internal Control over Financial</w:t>
      </w:r>
    </w:p>
    <w:p>
      <w:pPr>
        <w:ind w:left="40"/>
        <w:spacing w:after="0"/>
        <w:tabs>
          <w:tab w:leader="dot" w:pos="9400" w:val="left"/>
        </w:tabs>
        <w:rPr>
          <w:sz w:val="20"/>
          <w:szCs w:val="20"/>
          <w:color w:val="auto"/>
        </w:rPr>
      </w:pPr>
      <w:r>
        <w:rPr>
          <w:rFonts w:ascii="Arial" w:cs="Arial" w:eastAsia="Arial" w:hAnsi="Arial"/>
          <w:sz w:val="20"/>
          <w:szCs w:val="20"/>
          <w:u w:val="single" w:color="auto"/>
          <w:color w:val="auto"/>
        </w:rPr>
        <w:t>Reporting (Ernst &amp; Young, LLP, Jacksonville, FL, Auditor Firm ID:42)</w:t>
      </w:r>
      <w:r>
        <w:rPr>
          <w:sz w:val="20"/>
          <w:szCs w:val="20"/>
          <w:color w:val="auto"/>
        </w:rPr>
        <w:tab/>
      </w:r>
      <w:r>
        <w:rPr>
          <w:rFonts w:ascii="Arial" w:cs="Arial" w:eastAsia="Arial" w:hAnsi="Arial"/>
          <w:sz w:val="16"/>
          <w:szCs w:val="16"/>
          <w:u w:val="single" w:color="auto"/>
          <w:color w:val="auto"/>
        </w:rPr>
        <w:t>98</w:t>
      </w:r>
    </w:p>
    <w:p>
      <w:pPr>
        <w:spacing w:after="0" w:line="25" w:lineRule="exact"/>
        <w:rPr>
          <w:sz w:val="20"/>
          <w:szCs w:val="20"/>
          <w:color w:val="auto"/>
        </w:rPr>
      </w:pPr>
    </w:p>
    <w:p>
      <w:pPr>
        <w:ind w:left="40"/>
        <w:spacing w:after="0"/>
        <w:rPr>
          <w:sz w:val="20"/>
          <w:szCs w:val="20"/>
          <w:color w:val="auto"/>
        </w:rPr>
      </w:pPr>
      <w:r>
        <w:rPr>
          <w:rFonts w:ascii="Arial" w:cs="Arial" w:eastAsia="Arial" w:hAnsi="Arial"/>
          <w:sz w:val="20"/>
          <w:szCs w:val="20"/>
          <w:u w:val="single" w:color="auto"/>
          <w:color w:val="auto"/>
        </w:rPr>
        <w:t>Report of Independent Registered Public Accounting Firm on Consolidated Financial Statements (Ernst &amp;</w:t>
      </w:r>
    </w:p>
    <w:p>
      <w:pPr>
        <w:ind w:left="40"/>
        <w:spacing w:after="0"/>
        <w:tabs>
          <w:tab w:leader="dot" w:pos="9400" w:val="left"/>
        </w:tabs>
        <w:rPr>
          <w:sz w:val="20"/>
          <w:szCs w:val="20"/>
          <w:color w:val="auto"/>
        </w:rPr>
      </w:pPr>
      <w:r>
        <w:rPr>
          <w:rFonts w:ascii="Arial" w:cs="Arial" w:eastAsia="Arial" w:hAnsi="Arial"/>
          <w:sz w:val="20"/>
          <w:szCs w:val="20"/>
          <w:u w:val="single" w:color="auto"/>
          <w:color w:val="auto"/>
        </w:rPr>
        <w:t>Young, LLP, Jacksonville, FL, Auditor Firm ID: 42)</w:t>
      </w:r>
      <w:r>
        <w:rPr>
          <w:sz w:val="20"/>
          <w:szCs w:val="20"/>
          <w:color w:val="auto"/>
        </w:rPr>
        <w:tab/>
      </w:r>
      <w:r>
        <w:rPr>
          <w:rFonts w:ascii="Arial" w:cs="Arial" w:eastAsia="Arial" w:hAnsi="Arial"/>
          <w:sz w:val="16"/>
          <w:szCs w:val="16"/>
          <w:u w:val="single" w:color="auto"/>
          <w:color w:val="auto"/>
        </w:rPr>
        <w:t>99</w:t>
      </w:r>
    </w:p>
    <w:p>
      <w:pPr>
        <w:spacing w:after="0" w:line="42" w:lineRule="exact"/>
        <w:rPr>
          <w:sz w:val="20"/>
          <w:szCs w:val="20"/>
          <w:color w:val="auto"/>
        </w:rPr>
      </w:pPr>
    </w:p>
    <w:p>
      <w:pPr>
        <w:ind w:left="40"/>
        <w:spacing w:after="0"/>
        <w:tabs>
          <w:tab w:leader="dot" w:pos="9340" w:val="left"/>
        </w:tabs>
        <w:rPr>
          <w:sz w:val="20"/>
          <w:szCs w:val="20"/>
          <w:color w:val="auto"/>
        </w:rPr>
      </w:pPr>
      <w:r>
        <w:rPr>
          <w:rFonts w:ascii="Arial" w:cs="Arial" w:eastAsia="Arial" w:hAnsi="Arial"/>
          <w:sz w:val="20"/>
          <w:szCs w:val="20"/>
          <w:u w:val="single" w:color="auto"/>
          <w:color w:val="auto"/>
        </w:rPr>
        <w:t>Consolidated Balance Sheets as of December 31, 2025 and 2024</w:t>
      </w:r>
      <w:r>
        <w:rPr>
          <w:sz w:val="20"/>
          <w:szCs w:val="20"/>
          <w:color w:val="auto"/>
        </w:rPr>
        <w:tab/>
      </w:r>
      <w:r>
        <w:rPr>
          <w:rFonts w:ascii="Arial" w:cs="Arial" w:eastAsia="Arial" w:hAnsi="Arial"/>
          <w:sz w:val="17"/>
          <w:szCs w:val="17"/>
          <w:u w:val="single" w:color="auto"/>
          <w:color w:val="auto"/>
        </w:rPr>
        <w:t>101</w:t>
      </w:r>
    </w:p>
    <w:p>
      <w:pPr>
        <w:spacing w:after="0" w:line="64" w:lineRule="exact"/>
        <w:rPr>
          <w:sz w:val="20"/>
          <w:szCs w:val="20"/>
          <w:color w:val="auto"/>
        </w:rPr>
      </w:pPr>
    </w:p>
    <w:p>
      <w:pPr>
        <w:ind w:left="40"/>
        <w:spacing w:after="0"/>
        <w:tabs>
          <w:tab w:leader="dot" w:pos="9340" w:val="left"/>
        </w:tabs>
        <w:rPr>
          <w:sz w:val="20"/>
          <w:szCs w:val="20"/>
          <w:color w:val="auto"/>
        </w:rPr>
      </w:pPr>
      <w:r>
        <w:rPr>
          <w:rFonts w:ascii="Arial" w:cs="Arial" w:eastAsia="Arial" w:hAnsi="Arial"/>
          <w:sz w:val="20"/>
          <w:szCs w:val="20"/>
          <w:u w:val="single" w:color="auto"/>
          <w:color w:val="auto"/>
        </w:rPr>
        <w:t>Consolidated Statements of Earnings for the years ended December 31, 2025, 2024, and 2023</w:t>
      </w:r>
      <w:r>
        <w:rPr>
          <w:sz w:val="20"/>
          <w:szCs w:val="20"/>
          <w:color w:val="auto"/>
        </w:rPr>
        <w:tab/>
      </w:r>
      <w:r>
        <w:rPr>
          <w:rFonts w:ascii="Arial" w:cs="Arial" w:eastAsia="Arial" w:hAnsi="Arial"/>
          <w:sz w:val="17"/>
          <w:szCs w:val="17"/>
          <w:u w:val="single" w:color="auto"/>
          <w:color w:val="auto"/>
        </w:rPr>
        <w:t>102</w:t>
      </w:r>
    </w:p>
    <w:p>
      <w:pPr>
        <w:spacing w:after="0" w:line="64" w:lineRule="exact"/>
        <w:rPr>
          <w:sz w:val="20"/>
          <w:szCs w:val="20"/>
          <w:color w:val="auto"/>
        </w:rPr>
      </w:pPr>
    </w:p>
    <w:p>
      <w:pPr>
        <w:ind w:left="40"/>
        <w:spacing w:after="0"/>
        <w:tabs>
          <w:tab w:leader="dot" w:pos="9340" w:val="left"/>
        </w:tabs>
        <w:rPr>
          <w:sz w:val="20"/>
          <w:szCs w:val="20"/>
          <w:color w:val="auto"/>
        </w:rPr>
      </w:pPr>
      <w:r>
        <w:rPr>
          <w:rFonts w:ascii="Arial" w:cs="Arial" w:eastAsia="Arial" w:hAnsi="Arial"/>
          <w:sz w:val="19"/>
          <w:szCs w:val="19"/>
          <w:u w:val="single" w:color="auto"/>
          <w:color w:val="auto"/>
        </w:rPr>
        <w:t>Consolidated Statements of Comprehensive Earnings for the years ended December 31, 2025, 2024, and 2023</w:t>
      </w:r>
      <w:r>
        <w:rPr>
          <w:sz w:val="20"/>
          <w:szCs w:val="20"/>
          <w:color w:val="auto"/>
        </w:rPr>
        <w:tab/>
      </w:r>
      <w:r>
        <w:rPr>
          <w:rFonts w:ascii="Arial" w:cs="Arial" w:eastAsia="Arial" w:hAnsi="Arial"/>
          <w:sz w:val="17"/>
          <w:szCs w:val="17"/>
          <w:u w:val="single" w:color="auto"/>
          <w:color w:val="auto"/>
        </w:rPr>
        <w:t>103</w:t>
      </w:r>
    </w:p>
    <w:p>
      <w:pPr>
        <w:spacing w:after="0" w:line="76" w:lineRule="exact"/>
        <w:rPr>
          <w:sz w:val="20"/>
          <w:szCs w:val="20"/>
          <w:color w:val="auto"/>
        </w:rPr>
      </w:pPr>
    </w:p>
    <w:p>
      <w:pPr>
        <w:ind w:left="40"/>
        <w:spacing w:after="0"/>
        <w:tabs>
          <w:tab w:leader="dot" w:pos="9340" w:val="left"/>
        </w:tabs>
        <w:rPr>
          <w:sz w:val="20"/>
          <w:szCs w:val="20"/>
          <w:color w:val="auto"/>
        </w:rPr>
      </w:pPr>
      <w:r>
        <w:rPr>
          <w:rFonts w:ascii="Arial" w:cs="Arial" w:eastAsia="Arial" w:hAnsi="Arial"/>
          <w:sz w:val="20"/>
          <w:szCs w:val="20"/>
          <w:u w:val="single" w:color="auto"/>
          <w:color w:val="auto"/>
        </w:rPr>
        <w:t>Consolidated Statements of Equity for the years ended December 31, 2025, 2024, and 2023</w:t>
      </w:r>
      <w:r>
        <w:rPr>
          <w:sz w:val="20"/>
          <w:szCs w:val="20"/>
          <w:color w:val="auto"/>
        </w:rPr>
        <w:tab/>
      </w:r>
      <w:r>
        <w:rPr>
          <w:rFonts w:ascii="Arial" w:cs="Arial" w:eastAsia="Arial" w:hAnsi="Arial"/>
          <w:sz w:val="17"/>
          <w:szCs w:val="17"/>
          <w:u w:val="single" w:color="auto"/>
          <w:color w:val="auto"/>
        </w:rPr>
        <w:t>104</w:t>
      </w:r>
    </w:p>
    <w:p>
      <w:pPr>
        <w:spacing w:after="0" w:line="64" w:lineRule="exact"/>
        <w:rPr>
          <w:sz w:val="20"/>
          <w:szCs w:val="20"/>
          <w:color w:val="auto"/>
        </w:rPr>
      </w:pPr>
    </w:p>
    <w:p>
      <w:pPr>
        <w:ind w:left="40"/>
        <w:spacing w:after="0"/>
        <w:tabs>
          <w:tab w:leader="dot" w:pos="9340" w:val="left"/>
        </w:tabs>
        <w:rPr>
          <w:sz w:val="20"/>
          <w:szCs w:val="20"/>
          <w:color w:val="auto"/>
        </w:rPr>
      </w:pPr>
      <w:r>
        <w:rPr>
          <w:rFonts w:ascii="Arial" w:cs="Arial" w:eastAsia="Arial" w:hAnsi="Arial"/>
          <w:sz w:val="20"/>
          <w:szCs w:val="20"/>
          <w:u w:val="single" w:color="auto"/>
          <w:color w:val="auto"/>
        </w:rPr>
        <w:t>Consolidated Statements of Cash Flows for the years ended December 31, 2025, 2024, and 2023</w:t>
      </w:r>
      <w:r>
        <w:rPr>
          <w:sz w:val="20"/>
          <w:szCs w:val="20"/>
          <w:color w:val="auto"/>
        </w:rPr>
        <w:tab/>
      </w:r>
      <w:r>
        <w:rPr>
          <w:rFonts w:ascii="Arial" w:cs="Arial" w:eastAsia="Arial" w:hAnsi="Arial"/>
          <w:sz w:val="17"/>
          <w:szCs w:val="17"/>
          <w:u w:val="single" w:color="auto"/>
          <w:color w:val="auto"/>
        </w:rPr>
        <w:t>107</w:t>
      </w:r>
    </w:p>
    <w:p>
      <w:pPr>
        <w:spacing w:after="0" w:line="64" w:lineRule="exact"/>
        <w:rPr>
          <w:sz w:val="20"/>
          <w:szCs w:val="20"/>
          <w:color w:val="auto"/>
        </w:rPr>
      </w:pPr>
    </w:p>
    <w:p>
      <w:pPr>
        <w:ind w:left="40"/>
        <w:spacing w:after="0"/>
        <w:tabs>
          <w:tab w:leader="dot" w:pos="9340" w:val="left"/>
        </w:tabs>
        <w:rPr>
          <w:sz w:val="20"/>
          <w:szCs w:val="20"/>
          <w:color w:val="auto"/>
        </w:rPr>
      </w:pPr>
      <w:r>
        <w:rPr>
          <w:rFonts w:ascii="Arial" w:cs="Arial" w:eastAsia="Arial" w:hAnsi="Arial"/>
          <w:sz w:val="20"/>
          <w:szCs w:val="20"/>
          <w:u w:val="single" w:color="auto"/>
          <w:color w:val="auto"/>
        </w:rPr>
        <w:t>Notes to Consolidated Financial Statements</w:t>
      </w:r>
      <w:r>
        <w:rPr>
          <w:sz w:val="20"/>
          <w:szCs w:val="20"/>
          <w:color w:val="auto"/>
        </w:rPr>
        <w:tab/>
      </w:r>
      <w:r>
        <w:rPr>
          <w:rFonts w:ascii="Arial" w:cs="Arial" w:eastAsia="Arial" w:hAnsi="Arial"/>
          <w:sz w:val="17"/>
          <w:szCs w:val="17"/>
          <w:u w:val="single" w:color="auto"/>
          <w:color w:val="auto"/>
        </w:rPr>
        <w:t>109</w:t>
      </w:r>
    </w:p>
    <w:p>
      <w:pPr>
        <w:sectPr>
          <w:pgSz w:w="11880" w:h="15480" w:orient="portrait"/>
          <w:cols w:equalWidth="0" w:num="1">
            <w:col w:w="9780"/>
          </w:cols>
          <w:pgMar w:left="920" w:top="633" w:right="11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259"/>
        <w:spacing w:after="0"/>
        <w:rPr>
          <w:sz w:val="20"/>
          <w:szCs w:val="20"/>
          <w:color w:val="auto"/>
        </w:rPr>
      </w:pPr>
      <w:r>
        <w:rPr>
          <w:rFonts w:ascii="Arial" w:cs="Arial" w:eastAsia="Arial" w:hAnsi="Arial"/>
          <w:sz w:val="17"/>
          <w:szCs w:val="17"/>
          <w:color w:val="auto"/>
        </w:rPr>
        <w:t>97</w:t>
      </w:r>
    </w:p>
    <w:p>
      <w:pPr>
        <w:sectPr>
          <w:pgSz w:w="11880" w:h="15480" w:orient="portrait"/>
          <w:cols w:equalWidth="0" w:num="1">
            <w:col w:w="9780"/>
          </w:cols>
          <w:pgMar w:left="920" w:top="633" w:right="1180" w:bottom="0" w:gutter="0" w:footer="0" w:header="0"/>
          <w:type w:val="continuous"/>
        </w:sectPr>
      </w:pPr>
    </w:p>
    <w:bookmarkStart w:id="109" w:name="page110"/>
    <w:bookmarkEnd w:id="109"/>
    <w:p>
      <w:pPr>
        <w:ind w:left="1660"/>
        <w:spacing w:after="0"/>
        <w:rPr>
          <w:sz w:val="20"/>
          <w:szCs w:val="20"/>
          <w:color w:val="auto"/>
        </w:rPr>
      </w:pPr>
      <w:r>
        <w:rPr>
          <w:rFonts w:ascii="Arial" w:cs="Arial" w:eastAsia="Arial" w:hAnsi="Arial"/>
          <w:sz w:val="20"/>
          <w:szCs w:val="20"/>
          <w:b w:val="1"/>
          <w:bCs w:val="1"/>
          <w:color w:val="auto"/>
        </w:rPr>
        <w:t>REPORT OF INDEPENDENT REGISTERED PUBLIC ACCOUNTING FIRM</w:t>
      </w:r>
    </w:p>
    <w:p>
      <w:pPr>
        <w:spacing w:after="0" w:line="248" w:lineRule="exact"/>
        <w:rPr>
          <w:sz w:val="20"/>
          <w:szCs w:val="20"/>
          <w:color w:val="auto"/>
        </w:rPr>
      </w:pPr>
    </w:p>
    <w:p>
      <w:pPr>
        <w:spacing w:after="0"/>
        <w:rPr>
          <w:sz w:val="20"/>
          <w:szCs w:val="20"/>
          <w:color w:val="auto"/>
        </w:rPr>
      </w:pPr>
      <w:r>
        <w:rPr>
          <w:rFonts w:ascii="Arial" w:cs="Arial" w:eastAsia="Arial" w:hAnsi="Arial"/>
          <w:sz w:val="20"/>
          <w:szCs w:val="20"/>
          <w:color w:val="auto"/>
        </w:rPr>
        <w:t>To the Shareholders and the Board of Directors of Fidelity National Financial, Inc.</w:t>
      </w:r>
    </w:p>
    <w:p>
      <w:pPr>
        <w:spacing w:after="0" w:line="23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Opinion on Internal Control over Financial Reporting</w:t>
      </w:r>
    </w:p>
    <w:p>
      <w:pPr>
        <w:spacing w:after="0" w:line="169" w:lineRule="exact"/>
        <w:rPr>
          <w:sz w:val="20"/>
          <w:szCs w:val="20"/>
          <w:color w:val="auto"/>
        </w:rPr>
      </w:pPr>
    </w:p>
    <w:p>
      <w:pPr>
        <w:jc w:val="both"/>
        <w:spacing w:after="0" w:line="251" w:lineRule="auto"/>
        <w:rPr>
          <w:sz w:val="20"/>
          <w:szCs w:val="20"/>
          <w:color w:val="auto"/>
        </w:rPr>
      </w:pPr>
      <w:r>
        <w:rPr>
          <w:rFonts w:ascii="Arial" w:cs="Arial" w:eastAsia="Arial" w:hAnsi="Arial"/>
          <w:sz w:val="20"/>
          <w:szCs w:val="20"/>
          <w:color w:val="auto"/>
        </w:rPr>
        <w:t>We have audited Fidelity National Financial, Inc. and subsidiaries’ internal control over financial reporting as of December 31, 2025, based on criteria established in Internal Control—Integrated Framework issued by the Committee of Sponsoring Organizations of the Treadway Commission (2013 framework) (the COSO criteria). In our opinion, Fidelity National Financial, Inc. and subsidiaries (the Company) maintained, in all material respects, effective internal control over financial reporting as of December 31, 2025, based on the COSO criteria.</w:t>
      </w:r>
    </w:p>
    <w:p>
      <w:pPr>
        <w:spacing w:after="0" w:line="130" w:lineRule="exact"/>
        <w:rPr>
          <w:sz w:val="20"/>
          <w:szCs w:val="20"/>
          <w:color w:val="auto"/>
        </w:rPr>
      </w:pPr>
    </w:p>
    <w:p>
      <w:pPr>
        <w:jc w:val="both"/>
        <w:spacing w:after="0" w:line="268" w:lineRule="auto"/>
        <w:rPr>
          <w:sz w:val="20"/>
          <w:szCs w:val="20"/>
          <w:color w:val="auto"/>
        </w:rPr>
      </w:pPr>
      <w:r>
        <w:rPr>
          <w:rFonts w:ascii="Arial" w:cs="Arial" w:eastAsia="Arial" w:hAnsi="Arial"/>
          <w:sz w:val="19"/>
          <w:szCs w:val="19"/>
          <w:color w:val="auto"/>
        </w:rPr>
        <w:t>We also have audited, in accordance with the standards of the Public Company Accounting Oversight Board (United States) (PCAOB), the consolidated balance sheets of the Company as of December 31, 2025 and 2024, the related consolidated statements of earnings, comprehensive earnings, equity and cash flows for each of the three years in the period ended December 31, 2025, and the related notes and financial statement schedules listed in the Index at Item 15(a)(2) and our report dated February 26, 2026 expressed an unqualified opinion thereon.</w:t>
      </w:r>
    </w:p>
    <w:p>
      <w:pPr>
        <w:spacing w:after="0" w:line="31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Basis for Opinion</w:t>
      </w:r>
    </w:p>
    <w:p>
      <w:pPr>
        <w:spacing w:after="0" w:line="166" w:lineRule="exact"/>
        <w:rPr>
          <w:sz w:val="20"/>
          <w:szCs w:val="20"/>
          <w:color w:val="auto"/>
        </w:rPr>
      </w:pPr>
    </w:p>
    <w:p>
      <w:pPr>
        <w:jc w:val="both"/>
        <w:spacing w:after="0" w:line="266" w:lineRule="auto"/>
        <w:rPr>
          <w:sz w:val="20"/>
          <w:szCs w:val="20"/>
          <w:color w:val="auto"/>
        </w:rPr>
      </w:pPr>
      <w:r>
        <w:rPr>
          <w:rFonts w:ascii="Arial" w:cs="Arial" w:eastAsia="Arial" w:hAnsi="Arial"/>
          <w:sz w:val="19"/>
          <w:szCs w:val="19"/>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15" w:lineRule="exact"/>
        <w:rPr>
          <w:sz w:val="20"/>
          <w:szCs w:val="20"/>
          <w:color w:val="auto"/>
        </w:rPr>
      </w:pPr>
    </w:p>
    <w:p>
      <w:pPr>
        <w:jc w:val="both"/>
        <w:spacing w:after="0" w:line="258" w:lineRule="auto"/>
        <w:rPr>
          <w:sz w:val="20"/>
          <w:szCs w:val="20"/>
          <w:color w:val="auto"/>
        </w:rPr>
      </w:pPr>
      <w:r>
        <w:rPr>
          <w:rFonts w:ascii="Arial" w:cs="Arial" w:eastAsia="Arial" w:hAnsi="Arial"/>
          <w:sz w:val="20"/>
          <w:szCs w:val="20"/>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121" w:lineRule="exact"/>
        <w:rPr>
          <w:sz w:val="20"/>
          <w:szCs w:val="20"/>
          <w:color w:val="auto"/>
        </w:rPr>
      </w:pPr>
    </w:p>
    <w:p>
      <w:pPr>
        <w:jc w:val="both"/>
        <w:spacing w:after="0" w:line="254" w:lineRule="auto"/>
        <w:rPr>
          <w:sz w:val="20"/>
          <w:szCs w:val="20"/>
          <w:color w:val="auto"/>
        </w:rPr>
      </w:pPr>
      <w:r>
        <w:rPr>
          <w:rFonts w:ascii="Arial" w:cs="Arial" w:eastAsia="Arial" w:hAnsi="Arial"/>
          <w:sz w:val="20"/>
          <w:szCs w:val="20"/>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1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Definition and Limitations of Internal Control Over Financial Reporting</w:t>
      </w:r>
    </w:p>
    <w:p>
      <w:pPr>
        <w:spacing w:after="0" w:line="169" w:lineRule="exact"/>
        <w:rPr>
          <w:sz w:val="20"/>
          <w:szCs w:val="20"/>
          <w:color w:val="auto"/>
        </w:rPr>
      </w:pPr>
    </w:p>
    <w:p>
      <w:pPr>
        <w:jc w:val="both"/>
        <w:spacing w:after="0" w:line="297" w:lineRule="auto"/>
        <w:rPr>
          <w:sz w:val="20"/>
          <w:szCs w:val="20"/>
          <w:color w:val="auto"/>
        </w:rPr>
      </w:pPr>
      <w:r>
        <w:rPr>
          <w:rFonts w:ascii="Arial" w:cs="Arial" w:eastAsia="Arial" w:hAnsi="Arial"/>
          <w:sz w:val="17"/>
          <w:szCs w:val="17"/>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97" w:lineRule="exact"/>
        <w:rPr>
          <w:sz w:val="20"/>
          <w:szCs w:val="20"/>
          <w:color w:val="auto"/>
        </w:rPr>
      </w:pPr>
    </w:p>
    <w:p>
      <w:pPr>
        <w:jc w:val="both"/>
        <w:spacing w:after="0" w:line="325" w:lineRule="auto"/>
        <w:rPr>
          <w:sz w:val="20"/>
          <w:szCs w:val="20"/>
          <w:color w:val="auto"/>
        </w:rPr>
      </w:pPr>
      <w:r>
        <w:rPr>
          <w:rFonts w:ascii="Arial" w:cs="Arial" w:eastAsia="Arial" w:hAnsi="Arial"/>
          <w:sz w:val="17"/>
          <w:szCs w:val="17"/>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316" w:lineRule="exact"/>
        <w:rPr>
          <w:sz w:val="20"/>
          <w:szCs w:val="20"/>
          <w:color w:val="auto"/>
        </w:rPr>
      </w:pPr>
    </w:p>
    <w:p>
      <w:pPr>
        <w:spacing w:after="0"/>
        <w:rPr>
          <w:sz w:val="20"/>
          <w:szCs w:val="20"/>
          <w:color w:val="auto"/>
        </w:rPr>
      </w:pPr>
      <w:r>
        <w:rPr>
          <w:rFonts w:ascii="Arial" w:cs="Arial" w:eastAsia="Arial" w:hAnsi="Arial"/>
          <w:sz w:val="20"/>
          <w:szCs w:val="20"/>
          <w:color w:val="auto"/>
        </w:rPr>
        <w:t>/s/ Ernst &amp; Young LLP</w:t>
      </w:r>
    </w:p>
    <w:p>
      <w:pPr>
        <w:spacing w:after="0" w:line="64" w:lineRule="exact"/>
        <w:rPr>
          <w:sz w:val="20"/>
          <w:szCs w:val="20"/>
          <w:color w:val="auto"/>
        </w:rPr>
      </w:pPr>
    </w:p>
    <w:p>
      <w:pPr>
        <w:spacing w:after="0"/>
        <w:rPr>
          <w:sz w:val="20"/>
          <w:szCs w:val="20"/>
          <w:color w:val="auto"/>
        </w:rPr>
      </w:pPr>
      <w:r>
        <w:rPr>
          <w:rFonts w:ascii="Arial" w:cs="Arial" w:eastAsia="Arial" w:hAnsi="Arial"/>
          <w:sz w:val="20"/>
          <w:szCs w:val="20"/>
          <w:color w:val="auto"/>
        </w:rPr>
        <w:t>Jacksonville, Florida</w:t>
      </w:r>
    </w:p>
    <w:p>
      <w:pPr>
        <w:spacing w:after="0" w:line="64" w:lineRule="exact"/>
        <w:rPr>
          <w:sz w:val="20"/>
          <w:szCs w:val="20"/>
          <w:color w:val="auto"/>
        </w:rPr>
      </w:pPr>
    </w:p>
    <w:p>
      <w:pPr>
        <w:spacing w:after="0"/>
        <w:rPr>
          <w:sz w:val="20"/>
          <w:szCs w:val="20"/>
          <w:color w:val="auto"/>
        </w:rPr>
      </w:pPr>
      <w:r>
        <w:rPr>
          <w:rFonts w:ascii="Arial" w:cs="Arial" w:eastAsia="Arial" w:hAnsi="Arial"/>
          <w:sz w:val="20"/>
          <w:szCs w:val="20"/>
          <w:color w:val="auto"/>
        </w:rPr>
        <w:t>February 26, 2026</w:t>
      </w:r>
    </w:p>
    <w:p>
      <w:pPr>
        <w:sectPr>
          <w:pgSz w:w="11880" w:h="15480" w:orient="portrait"/>
          <w:cols w:equalWidth="0" w:num="1">
            <w:col w:w="10040"/>
          </w:cols>
          <w:pgMar w:left="920" w:top="633"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98</w:t>
      </w:r>
    </w:p>
    <w:p>
      <w:pPr>
        <w:sectPr>
          <w:pgSz w:w="11880" w:h="15480" w:orient="portrait"/>
          <w:cols w:equalWidth="0" w:num="1">
            <w:col w:w="10040"/>
          </w:cols>
          <w:pgMar w:left="920" w:top="633" w:right="920" w:bottom="0" w:gutter="0" w:footer="0" w:header="0"/>
          <w:type w:val="continuous"/>
        </w:sectPr>
      </w:pPr>
    </w:p>
    <w:bookmarkStart w:id="110" w:name="page111"/>
    <w:bookmarkEnd w:id="110"/>
    <w:p>
      <w:pPr>
        <w:ind w:left="1660"/>
        <w:spacing w:after="0"/>
        <w:rPr>
          <w:sz w:val="20"/>
          <w:szCs w:val="20"/>
          <w:color w:val="auto"/>
        </w:rPr>
      </w:pPr>
      <w:r>
        <w:rPr>
          <w:rFonts w:ascii="Arial" w:cs="Arial" w:eastAsia="Arial" w:hAnsi="Arial"/>
          <w:sz w:val="20"/>
          <w:szCs w:val="20"/>
          <w:b w:val="1"/>
          <w:bCs w:val="1"/>
          <w:color w:val="auto"/>
        </w:rPr>
        <w:t>REPORT OF INDEPENDENT REGISTERED PUBLIC ACCOUNTING FIRM</w:t>
      </w:r>
    </w:p>
    <w:p>
      <w:pPr>
        <w:spacing w:after="0" w:line="248" w:lineRule="exact"/>
        <w:rPr>
          <w:sz w:val="20"/>
          <w:szCs w:val="20"/>
          <w:color w:val="auto"/>
        </w:rPr>
      </w:pPr>
    </w:p>
    <w:p>
      <w:pPr>
        <w:spacing w:after="0"/>
        <w:rPr>
          <w:sz w:val="20"/>
          <w:szCs w:val="20"/>
          <w:color w:val="auto"/>
        </w:rPr>
      </w:pPr>
      <w:r>
        <w:rPr>
          <w:rFonts w:ascii="Arial" w:cs="Arial" w:eastAsia="Arial" w:hAnsi="Arial"/>
          <w:sz w:val="20"/>
          <w:szCs w:val="20"/>
          <w:color w:val="auto"/>
        </w:rPr>
        <w:t>To the Shareholders and the Board of Directors of Fidelity National Financial, Inc.</w:t>
      </w:r>
    </w:p>
    <w:p>
      <w:pPr>
        <w:spacing w:after="0" w:line="23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Opinion on the Financial Statements</w:t>
      </w:r>
    </w:p>
    <w:p>
      <w:pPr>
        <w:spacing w:after="0" w:line="169" w:lineRule="exact"/>
        <w:rPr>
          <w:sz w:val="20"/>
          <w:szCs w:val="20"/>
          <w:color w:val="auto"/>
        </w:rPr>
      </w:pPr>
    </w:p>
    <w:p>
      <w:pPr>
        <w:jc w:val="both"/>
        <w:spacing w:after="0" w:line="300" w:lineRule="auto"/>
        <w:rPr>
          <w:sz w:val="20"/>
          <w:szCs w:val="20"/>
          <w:color w:val="auto"/>
        </w:rPr>
      </w:pPr>
      <w:r>
        <w:rPr>
          <w:rFonts w:ascii="Arial" w:cs="Arial" w:eastAsia="Arial" w:hAnsi="Arial"/>
          <w:sz w:val="17"/>
          <w:szCs w:val="17"/>
          <w:color w:val="auto"/>
        </w:rPr>
        <w:t>We have audited the accompanying consolidated balance sheets of Fidelity National Financial, Inc. and subsidiaries (the Company) as of December 31, 2025 and 2024, the related consolidated statements of earnings, comprehensive earnings, equity and cash flows for each of the three years in the period ended December 31, 2025, and the related notes and financial statement schedules listed in the Index at Item 15(a)(2) (collectively referred to as the “consolidated financial statements”). In our opinion, the consolidated financial statements present fairly, in all material respects, the financial position of the Company at December 31, 2025 and 2024, and the results of its operations and its cash flows for each of the three years in the period ended December 31, 2025, in conformity with U.S. generally accepted accounting principles.</w:t>
      </w:r>
    </w:p>
    <w:p>
      <w:pPr>
        <w:spacing w:after="0" w:line="171" w:lineRule="exact"/>
        <w:rPr>
          <w:sz w:val="20"/>
          <w:szCs w:val="20"/>
          <w:color w:val="auto"/>
        </w:rPr>
      </w:pPr>
    </w:p>
    <w:p>
      <w:pPr>
        <w:jc w:val="both"/>
        <w:spacing w:after="0" w:line="312" w:lineRule="auto"/>
        <w:rPr>
          <w:sz w:val="20"/>
          <w:szCs w:val="20"/>
          <w:color w:val="auto"/>
        </w:rPr>
      </w:pPr>
      <w:r>
        <w:rPr>
          <w:rFonts w:ascii="Arial" w:cs="Arial" w:eastAsia="Arial" w:hAnsi="Arial"/>
          <w:sz w:val="17"/>
          <w:szCs w:val="17"/>
          <w:color w:val="auto"/>
        </w:rPr>
        <w:t>We also have audited, in accordance with the standards of the Public Company Accounting Oversight Board (United States) (PCAOB), the Company's internal control over financial reporting as of December 31, 2025, based on criteria established in Internal Control–Integrated Framework issued by the Committee of Sponsoring Organizations of the Treadway Commission (2013 framework) and our report dated February 26, 2026, expressed an unqualified opinion thereon.</w:t>
      </w:r>
    </w:p>
    <w:p>
      <w:pPr>
        <w:spacing w:after="0" w:line="12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Basis for Opinion</w:t>
      </w:r>
    </w:p>
    <w:p>
      <w:pPr>
        <w:spacing w:after="0" w:line="169" w:lineRule="exact"/>
        <w:rPr>
          <w:sz w:val="20"/>
          <w:szCs w:val="20"/>
          <w:color w:val="auto"/>
        </w:rPr>
      </w:pPr>
    </w:p>
    <w:p>
      <w:pPr>
        <w:jc w:val="both"/>
        <w:spacing w:after="0" w:line="271" w:lineRule="auto"/>
        <w:rPr>
          <w:sz w:val="20"/>
          <w:szCs w:val="20"/>
          <w:color w:val="auto"/>
        </w:rPr>
      </w:pPr>
      <w:r>
        <w:rPr>
          <w:rFonts w:ascii="Arial" w:cs="Arial" w:eastAsia="Arial" w:hAnsi="Arial"/>
          <w:sz w:val="19"/>
          <w:szCs w:val="19"/>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9" w:lineRule="exact"/>
        <w:rPr>
          <w:sz w:val="20"/>
          <w:szCs w:val="20"/>
          <w:color w:val="auto"/>
        </w:rPr>
      </w:pPr>
    </w:p>
    <w:p>
      <w:pPr>
        <w:jc w:val="both"/>
        <w:spacing w:after="0" w:line="300"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6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Critical Audit Matters</w:t>
      </w:r>
    </w:p>
    <w:p>
      <w:pPr>
        <w:spacing w:after="0" w:line="169" w:lineRule="exact"/>
        <w:rPr>
          <w:sz w:val="20"/>
          <w:szCs w:val="20"/>
          <w:color w:val="auto"/>
        </w:rPr>
      </w:pPr>
    </w:p>
    <w:p>
      <w:pPr>
        <w:jc w:val="both"/>
        <w:spacing w:after="0" w:line="249" w:lineRule="auto"/>
        <w:rPr>
          <w:sz w:val="20"/>
          <w:szCs w:val="20"/>
          <w:color w:val="auto"/>
        </w:rPr>
      </w:pPr>
      <w:r>
        <w:rPr>
          <w:rFonts w:ascii="Arial" w:cs="Arial" w:eastAsia="Arial" w:hAnsi="Arial"/>
          <w:sz w:val="19"/>
          <w:szCs w:val="19"/>
          <w:color w:val="auto"/>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ectPr>
          <w:pgSz w:w="11880" w:h="15480" w:orient="portrait"/>
          <w:cols w:equalWidth="0" w:num="1">
            <w:col w:w="10040"/>
          </w:cols>
          <w:pgMar w:left="920" w:top="633"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99</w:t>
      </w:r>
    </w:p>
    <w:p>
      <w:pPr>
        <w:sectPr>
          <w:pgSz w:w="11880" w:h="15480" w:orient="portrait"/>
          <w:cols w:equalWidth="0" w:num="1">
            <w:col w:w="10040"/>
          </w:cols>
          <w:pgMar w:left="920" w:top="633" w:right="920" w:bottom="0" w:gutter="0" w:footer="0" w:header="0"/>
          <w:type w:val="continuous"/>
        </w:sectPr>
      </w:pPr>
    </w:p>
    <w:bookmarkStart w:id="111" w:name="page112"/>
    <w:bookmarkEnd w:id="111"/>
    <w:p>
      <w:pPr>
        <w:ind w:left="2340" w:right="460"/>
        <w:spacing w:after="0" w:line="265" w:lineRule="auto"/>
        <w:rPr>
          <w:sz w:val="20"/>
          <w:szCs w:val="20"/>
          <w:color w:val="auto"/>
        </w:rPr>
      </w:pPr>
      <w:r>
        <w:rPr>
          <w:rFonts w:ascii="Arial" w:cs="Arial" w:eastAsia="Arial" w:hAnsi="Arial"/>
          <w:sz w:val="20"/>
          <w:szCs w:val="20"/>
          <w:b w:val="1"/>
          <w:bCs w:val="1"/>
          <w:i w:val="1"/>
          <w:iCs w:val="1"/>
          <w:color w:val="auto"/>
        </w:rPr>
        <w:t>Fixed Indexed Annuity Embedded Derivative Liability, Market Risk Benefits, and Future Policy Benefits Liability</w:t>
      </w:r>
    </w:p>
    <w:p>
      <w:pPr>
        <w:spacing w:after="0" w:line="65" w:lineRule="exact"/>
        <w:rPr>
          <w:sz w:val="20"/>
          <w:szCs w:val="20"/>
          <w:color w:val="auto"/>
        </w:rPr>
      </w:pPr>
    </w:p>
    <w:p>
      <w:pPr>
        <w:jc w:val="both"/>
        <w:ind w:left="2340" w:hanging="2278"/>
        <w:spacing w:after="0" w:line="261" w:lineRule="auto"/>
        <w:tabs>
          <w:tab w:leader="none" w:pos="2320" w:val="left"/>
        </w:tabs>
        <w:rPr>
          <w:sz w:val="20"/>
          <w:szCs w:val="20"/>
          <w:color w:val="auto"/>
        </w:rPr>
      </w:pPr>
      <w:r>
        <w:rPr>
          <w:rFonts w:ascii="Arial" w:cs="Arial" w:eastAsia="Arial" w:hAnsi="Arial"/>
          <w:sz w:val="20"/>
          <w:szCs w:val="20"/>
          <w:b w:val="1"/>
          <w:bCs w:val="1"/>
          <w:i w:val="1"/>
          <w:iCs w:val="1"/>
          <w:color w:val="auto"/>
        </w:rPr>
        <w:t>Description of the Matter</w:t>
      </w:r>
      <w:r>
        <w:rPr>
          <w:sz w:val="20"/>
          <w:szCs w:val="20"/>
          <w:color w:val="auto"/>
        </w:rPr>
        <w:tab/>
      </w:r>
      <w:r>
        <w:rPr>
          <w:rFonts w:ascii="Arial" w:cs="Arial" w:eastAsia="Arial" w:hAnsi="Arial"/>
          <w:sz w:val="19"/>
          <w:szCs w:val="19"/>
          <w:color w:val="auto"/>
        </w:rPr>
        <w:t>At December 31, 2025, the fair value of the Company’s fixed indexed annuity embedded derivative liability totaled $6.5 billion. Certain of the Company’s fixed indexed annuity (FIA) contracts allow the policyholder to elect an equity index linked feature, where amounts credited to the contract’s account value are linked to the performance of designated equity indices and crediting strategy selected by the policyholder. The equity index crediting feature is accounted for as an embedded derivative liability and reported at fair value as discussed in Notes A (see section on Contractholder Funds), C, and E to the consolidated financial statements. A subset of FIA contracts include certain contract features that provide minimum guarantees to policyholders, such as guaranteed minimum withdrawal benefits and guaranteed minimum death benefit features that are market risk benefits (MRB) measured at fair value as discussed in Notes A (see section on MRBs), C, and W to the consolidated financial statements. The Company’s MRB assets and MRB liabilities totaled $285 million and $903 million, respectively, as of December 31, 2025.</w:t>
      </w:r>
    </w:p>
    <w:p>
      <w:pPr>
        <w:spacing w:after="0" w:line="88" w:lineRule="exact"/>
        <w:rPr>
          <w:sz w:val="20"/>
          <w:szCs w:val="20"/>
          <w:color w:val="auto"/>
        </w:rPr>
      </w:pPr>
    </w:p>
    <w:p>
      <w:pPr>
        <w:jc w:val="both"/>
        <w:ind w:left="2340"/>
        <w:spacing w:after="0" w:line="290" w:lineRule="auto"/>
        <w:rPr>
          <w:sz w:val="20"/>
          <w:szCs w:val="20"/>
          <w:color w:val="auto"/>
        </w:rPr>
      </w:pPr>
      <w:r>
        <w:rPr>
          <w:rFonts w:ascii="Arial" w:cs="Arial" w:eastAsia="Arial" w:hAnsi="Arial"/>
          <w:sz w:val="17"/>
          <w:szCs w:val="17"/>
          <w:color w:val="auto"/>
        </w:rPr>
        <w:t>At December 31, 2025, future policy benefits (FPB) liabilities related to traditional life and life-contingent immediate annuity policies (which includes life-contingent pension risk transfer annuities) totaled $10.8 billion. The future policy benefits liability related to these products is based on estimates of how much the Company will need to pay for future benefits and related claim expenses and the amount of net premiums to be collected from policyholders as discussed in Notes A (see section on Future Policy Benefits) and Y to the consolidated financial statements. Auditing the valuation of the Company’s fixed indexed annuity embedded derivative, MRBs, and life-contingent immediate annuity policies liabilities was complex because of the highly judgmental nature of the determination of the assumptions required to determine the fair value of the embedded derivative and MRBs and valuation of life-contingent immediate annuity policies liabilities. In particular, the fair value of fixed indexed annuity embedded derivative and MRBs was sensitive to the significant assumptions including surrender rates, GMWB utilization, partial withdrawal, and option cost. In addition, mortality and capital market performance scenarios were significant assumptions used in the valuation of MRBs. Mortality is a significant</w:t>
      </w:r>
    </w:p>
    <w:p>
      <w:pPr>
        <w:sectPr>
          <w:pgSz w:w="11880" w:h="15480" w:orient="portrait"/>
          <w:cols w:equalWidth="0" w:num="1">
            <w:col w:w="9980"/>
          </w:cols>
          <w:pgMar w:left="920" w:top="771"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60"/>
        <w:spacing w:after="0" w:line="350" w:lineRule="auto"/>
        <w:rPr>
          <w:sz w:val="20"/>
          <w:szCs w:val="20"/>
          <w:color w:val="auto"/>
        </w:rPr>
      </w:pPr>
      <w:r>
        <w:rPr>
          <w:rFonts w:ascii="Arial" w:cs="Arial" w:eastAsia="Arial" w:hAnsi="Arial"/>
          <w:sz w:val="16"/>
          <w:szCs w:val="16"/>
          <w:b w:val="1"/>
          <w:bCs w:val="1"/>
          <w:i w:val="1"/>
          <w:iCs w:val="1"/>
          <w:color w:val="auto"/>
        </w:rPr>
        <w:t>How we Addressed the Matter in Our Audit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assumption used in the valuation of life-contingent immediate annuity policies liabilities.</w:t>
      </w:r>
    </w:p>
    <w:p>
      <w:pPr>
        <w:spacing w:after="0" w:line="200" w:lineRule="exact"/>
        <w:rPr>
          <w:sz w:val="20"/>
          <w:szCs w:val="20"/>
          <w:color w:val="auto"/>
        </w:rPr>
      </w:pPr>
    </w:p>
    <w:p>
      <w:pPr>
        <w:spacing w:after="0" w:line="206" w:lineRule="exact"/>
        <w:rPr>
          <w:sz w:val="20"/>
          <w:szCs w:val="20"/>
          <w:color w:val="auto"/>
        </w:rPr>
      </w:pPr>
    </w:p>
    <w:p>
      <w:pPr>
        <w:jc w:val="both"/>
        <w:spacing w:after="0" w:line="238" w:lineRule="auto"/>
        <w:rPr>
          <w:sz w:val="20"/>
          <w:szCs w:val="20"/>
          <w:color w:val="auto"/>
        </w:rPr>
      </w:pPr>
      <w:r>
        <w:rPr>
          <w:rFonts w:ascii="Arial" w:cs="Arial" w:eastAsia="Arial" w:hAnsi="Arial"/>
          <w:sz w:val="19"/>
          <w:szCs w:val="19"/>
          <w:color w:val="auto"/>
        </w:rPr>
        <w:t>We obtained an understanding, evaluated the design, and tested the operating effectiveness of the Company’s controls over management’s process for the development of the significant assumptions used in measuring the fair value of the embedded derivative for fixed indexed annuities and MRBs and the valuation of life-contingent immediate annuity policies. These controls included, among others, the review and approval process management has in place for the development of the significant assumptions.</w:t>
      </w:r>
    </w:p>
    <w:p>
      <w:pPr>
        <w:spacing w:after="0" w:line="76" w:lineRule="exact"/>
        <w:rPr>
          <w:sz w:val="20"/>
          <w:szCs w:val="20"/>
          <w:color w:val="auto"/>
        </w:rPr>
      </w:pPr>
    </w:p>
    <w:p>
      <w:pPr>
        <w:jc w:val="both"/>
        <w:spacing w:after="0" w:line="234" w:lineRule="auto"/>
        <w:rPr>
          <w:sz w:val="20"/>
          <w:szCs w:val="20"/>
          <w:color w:val="auto"/>
        </w:rPr>
      </w:pPr>
      <w:r>
        <w:rPr>
          <w:rFonts w:ascii="Arial" w:cs="Arial" w:eastAsia="Arial" w:hAnsi="Arial"/>
          <w:sz w:val="19"/>
          <w:szCs w:val="19"/>
          <w:color w:val="auto"/>
        </w:rPr>
        <w:t>To evaluate the judgment used by management in determining the assumptions used in measuring the fair value of the fixed indexed annuity embedded derivative and MRBs and the valuation of life-contingent immediate annuity policies liabilities, among other procedures, we involved actuarial specialists and evaluated the methodology applied by management in determining the valuation with those used in the prior period and in the industry. To evaluate the significant assumptions used by management in the methodology applied, we compared as applicable, the significant assumptions noted above to historical experience, observable market data, and management’s estimates of prospective changes in these assumptions. We also performed an independent recalculation of the embedded derivative, MRB, and life-contingent immediate annuity policies liabilities for a sample of policies or cohorts for comparison with the actuarial models used by management.</w:t>
      </w:r>
    </w:p>
    <w:p>
      <w:pPr>
        <w:spacing w:after="0" w:line="200" w:lineRule="exact"/>
        <w:rPr>
          <w:sz w:val="20"/>
          <w:szCs w:val="20"/>
          <w:color w:val="auto"/>
        </w:rPr>
      </w:pPr>
    </w:p>
    <w:p>
      <w:pPr>
        <w:sectPr>
          <w:pgSz w:w="11880" w:h="15480" w:orient="portrait"/>
          <w:cols w:equalWidth="0" w:num="2">
            <w:col w:w="1840" w:space="500"/>
            <w:col w:w="7640"/>
          </w:cols>
          <w:pgMar w:left="920" w:top="771" w:right="980" w:bottom="0" w:gutter="0" w:footer="0" w:header="0"/>
          <w:type w:val="continuous"/>
        </w:sect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7"/>
          <w:szCs w:val="17"/>
          <w:color w:val="auto"/>
        </w:rPr>
        <w:t>We have served as the Company's auditor since 2017.</w:t>
      </w:r>
    </w:p>
    <w:p>
      <w:pPr>
        <w:spacing w:after="0" w:line="275" w:lineRule="exact"/>
        <w:rPr>
          <w:sz w:val="20"/>
          <w:szCs w:val="20"/>
          <w:color w:val="auto"/>
        </w:rPr>
      </w:pPr>
    </w:p>
    <w:p>
      <w:pPr>
        <w:spacing w:after="0"/>
        <w:rPr>
          <w:sz w:val="20"/>
          <w:szCs w:val="20"/>
          <w:color w:val="auto"/>
        </w:rPr>
      </w:pPr>
      <w:r>
        <w:rPr>
          <w:rFonts w:ascii="Arial" w:cs="Arial" w:eastAsia="Arial" w:hAnsi="Arial"/>
          <w:sz w:val="20"/>
          <w:szCs w:val="20"/>
          <w:color w:val="auto"/>
        </w:rPr>
        <w:t>/s/ Ernst &amp; Young LLP</w:t>
      </w:r>
    </w:p>
    <w:p>
      <w:pPr>
        <w:spacing w:after="0" w:line="240" w:lineRule="exact"/>
        <w:rPr>
          <w:sz w:val="20"/>
          <w:szCs w:val="20"/>
          <w:color w:val="auto"/>
        </w:rPr>
      </w:pPr>
    </w:p>
    <w:p>
      <w:pPr>
        <w:spacing w:after="0"/>
        <w:rPr>
          <w:sz w:val="20"/>
          <w:szCs w:val="20"/>
          <w:color w:val="auto"/>
        </w:rPr>
      </w:pPr>
      <w:r>
        <w:rPr>
          <w:rFonts w:ascii="Arial" w:cs="Arial" w:eastAsia="Arial" w:hAnsi="Arial"/>
          <w:sz w:val="20"/>
          <w:szCs w:val="20"/>
          <w:color w:val="auto"/>
        </w:rPr>
        <w:t>Jacksonville, Florida</w:t>
      </w:r>
    </w:p>
    <w:p>
      <w:pPr>
        <w:spacing w:after="0" w:line="64" w:lineRule="exact"/>
        <w:rPr>
          <w:sz w:val="20"/>
          <w:szCs w:val="20"/>
          <w:color w:val="auto"/>
        </w:rPr>
      </w:pPr>
    </w:p>
    <w:p>
      <w:pPr>
        <w:spacing w:after="0"/>
        <w:rPr>
          <w:sz w:val="20"/>
          <w:szCs w:val="20"/>
          <w:color w:val="auto"/>
        </w:rPr>
      </w:pPr>
      <w:r>
        <w:rPr>
          <w:rFonts w:ascii="Arial" w:cs="Arial" w:eastAsia="Arial" w:hAnsi="Arial"/>
          <w:sz w:val="20"/>
          <w:szCs w:val="20"/>
          <w:color w:val="auto"/>
        </w:rPr>
        <w:t>February 26, 2026</w:t>
      </w:r>
    </w:p>
    <w:p>
      <w:pPr>
        <w:sectPr>
          <w:pgSz w:w="11880" w:h="15480" w:orient="portrait"/>
          <w:cols w:equalWidth="0" w:num="1">
            <w:col w:w="9980"/>
          </w:cols>
          <w:pgMar w:left="920" w:top="771" w:right="980" w:bottom="0" w:gutter="0" w:footer="0" w:header="0"/>
          <w:type w:val="continuous"/>
        </w:sectPr>
      </w:pPr>
    </w:p>
    <w:p>
      <w:pPr>
        <w:spacing w:after="0" w:line="200" w:lineRule="exact"/>
        <w:rPr>
          <w:sz w:val="20"/>
          <w:szCs w:val="20"/>
          <w:color w:val="auto"/>
        </w:rPr>
      </w:pPr>
    </w:p>
    <w:p>
      <w:pPr>
        <w:spacing w:after="0" w:line="294"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100</w:t>
      </w:r>
    </w:p>
    <w:p>
      <w:pPr>
        <w:sectPr>
          <w:pgSz w:w="11880" w:h="15480" w:orient="portrait"/>
          <w:cols w:equalWidth="0" w:num="1">
            <w:col w:w="9980"/>
          </w:cols>
          <w:pgMar w:left="920" w:top="771" w:right="980" w:bottom="0" w:gutter="0" w:footer="0" w:header="0"/>
          <w:type w:val="continuous"/>
        </w:sectPr>
      </w:pPr>
    </w:p>
    <w:bookmarkStart w:id="112" w:name="page113"/>
    <w:bookmarkEnd w:id="112"/>
    <w:p>
      <w:pPr>
        <w:jc w:val="center"/>
        <w:ind w:right="60"/>
        <w:spacing w:after="0"/>
        <w:rPr>
          <w:sz w:val="20"/>
          <w:szCs w:val="20"/>
          <w:color w:val="auto"/>
        </w:rPr>
      </w:pPr>
      <w:r>
        <w:rPr>
          <w:rFonts w:ascii="Arial" w:cs="Arial" w:eastAsia="Arial" w:hAnsi="Arial"/>
          <w:sz w:val="20"/>
          <w:szCs w:val="20"/>
          <w:b w:val="1"/>
          <w:bCs w:val="1"/>
          <w:color w:val="auto"/>
        </w:rPr>
        <w:t>FIDELITY NATIONAL FINANCIAL, INC. AND SUBSIDIARIES</w:t>
      </w:r>
    </w:p>
    <w:p>
      <w:pPr>
        <w:spacing w:after="0" w:line="35" w:lineRule="exact"/>
        <w:rPr>
          <w:sz w:val="20"/>
          <w:szCs w:val="20"/>
          <w:color w:val="auto"/>
        </w:rPr>
      </w:pPr>
    </w:p>
    <w:p>
      <w:pPr>
        <w:jc w:val="center"/>
        <w:ind w:right="60"/>
        <w:spacing w:after="0"/>
        <w:rPr>
          <w:sz w:val="20"/>
          <w:szCs w:val="20"/>
          <w:color w:val="auto"/>
        </w:rPr>
      </w:pPr>
      <w:r>
        <w:rPr>
          <w:rFonts w:ascii="Arial" w:cs="Arial" w:eastAsia="Arial" w:hAnsi="Arial"/>
          <w:sz w:val="20"/>
          <w:szCs w:val="20"/>
          <w:b w:val="1"/>
          <w:bCs w:val="1"/>
          <w:color w:val="auto"/>
        </w:rPr>
        <w:t>CONSOLIDATED BALANCE SHEETS</w:t>
      </w:r>
    </w:p>
    <w:p>
      <w:pPr>
        <w:spacing w:after="0" w:line="29" w:lineRule="exact"/>
        <w:rPr>
          <w:sz w:val="20"/>
          <w:szCs w:val="20"/>
          <w:color w:val="auto"/>
        </w:rPr>
      </w:pPr>
    </w:p>
    <w:p>
      <w:pPr>
        <w:jc w:val="center"/>
        <w:ind w:right="60"/>
        <w:spacing w:after="0"/>
        <w:rPr>
          <w:sz w:val="20"/>
          <w:szCs w:val="20"/>
          <w:color w:val="auto"/>
        </w:rPr>
      </w:pPr>
      <w:r>
        <w:rPr>
          <w:rFonts w:ascii="Arial" w:cs="Arial" w:eastAsia="Arial" w:hAnsi="Arial"/>
          <w:sz w:val="16"/>
          <w:szCs w:val="16"/>
          <w:color w:val="auto"/>
        </w:rPr>
        <w:t>(In millions)</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5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900" w:type="dxa"/>
            <w:vAlign w:val="bottom"/>
          </w:tcPr>
          <w:p>
            <w:pPr>
              <w:spacing w:after="0"/>
              <w:rPr>
                <w:sz w:val="16"/>
                <w:szCs w:val="16"/>
                <w:color w:val="auto"/>
              </w:rPr>
            </w:pPr>
          </w:p>
        </w:tc>
        <w:tc>
          <w:tcPr>
            <w:tcW w:w="1140" w:type="dxa"/>
            <w:vAlign w:val="bottom"/>
            <w:gridSpan w:val="2"/>
          </w:tcPr>
          <w:p>
            <w:pPr>
              <w:jc w:val="right"/>
              <w:ind w:right="22"/>
              <w:spacing w:after="0"/>
              <w:rPr>
                <w:sz w:val="20"/>
                <w:szCs w:val="20"/>
                <w:color w:val="auto"/>
              </w:rPr>
            </w:pPr>
            <w:r>
              <w:rPr>
                <w:rFonts w:ascii="Arial" w:cs="Arial" w:eastAsia="Arial" w:hAnsi="Arial"/>
                <w:sz w:val="16"/>
                <w:szCs w:val="16"/>
                <w:b w:val="1"/>
                <w:bCs w:val="1"/>
                <w:color w:val="auto"/>
                <w:w w:val="97"/>
              </w:rPr>
              <w:t>December 31,</w:t>
            </w:r>
          </w:p>
        </w:tc>
        <w:tc>
          <w:tcPr>
            <w:tcW w:w="80" w:type="dxa"/>
            <w:vAlign w:val="bottom"/>
          </w:tcPr>
          <w:p>
            <w:pPr>
              <w:spacing w:after="0"/>
              <w:rPr>
                <w:sz w:val="16"/>
                <w:szCs w:val="16"/>
                <w:color w:val="auto"/>
              </w:rPr>
            </w:pPr>
          </w:p>
        </w:tc>
        <w:tc>
          <w:tcPr>
            <w:tcW w:w="1140" w:type="dxa"/>
            <w:vAlign w:val="bottom"/>
            <w:gridSpan w:val="2"/>
          </w:tcPr>
          <w:p>
            <w:pPr>
              <w:jc w:val="right"/>
              <w:ind w:right="42"/>
              <w:spacing w:after="0"/>
              <w:rPr>
                <w:sz w:val="20"/>
                <w:szCs w:val="20"/>
                <w:color w:val="auto"/>
              </w:rPr>
            </w:pPr>
            <w:r>
              <w:rPr>
                <w:rFonts w:ascii="Arial" w:cs="Arial" w:eastAsia="Arial" w:hAnsi="Arial"/>
                <w:sz w:val="16"/>
                <w:szCs w:val="16"/>
                <w:b w:val="1"/>
                <w:bCs w:val="1"/>
                <w:color w:val="auto"/>
                <w:w w:val="96"/>
              </w:rPr>
              <w:t>December 31,</w:t>
            </w:r>
          </w:p>
        </w:tc>
        <w:tc>
          <w:tcPr>
            <w:tcW w:w="0" w:type="dxa"/>
            <w:vAlign w:val="bottom"/>
          </w:tcPr>
          <w:p>
            <w:pPr>
              <w:spacing w:after="0"/>
              <w:rPr>
                <w:sz w:val="1"/>
                <w:szCs w:val="1"/>
                <w:color w:val="auto"/>
              </w:rPr>
            </w:pPr>
          </w:p>
        </w:tc>
      </w:tr>
      <w:tr>
        <w:trPr>
          <w:trHeight w:val="210"/>
        </w:trPr>
        <w:tc>
          <w:tcPr>
            <w:tcW w:w="4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42"/>
              <w:spacing w:after="0"/>
              <w:rPr>
                <w:sz w:val="20"/>
                <w:szCs w:val="20"/>
                <w:color w:val="auto"/>
              </w:rPr>
            </w:pPr>
            <w:r>
              <w:rPr>
                <w:rFonts w:ascii="Arial" w:cs="Arial" w:eastAsia="Arial" w:hAnsi="Arial"/>
                <w:sz w:val="16"/>
                <w:szCs w:val="16"/>
                <w:b w:val="1"/>
                <w:bCs w:val="1"/>
                <w:color w:val="auto"/>
              </w:rPr>
              <w:t>2025</w:t>
            </w:r>
          </w:p>
        </w:tc>
        <w:tc>
          <w:tcPr>
            <w:tcW w:w="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42"/>
              <w:spacing w:after="0"/>
              <w:rPr>
                <w:sz w:val="20"/>
                <w:szCs w:val="20"/>
                <w:color w:val="auto"/>
              </w:rPr>
            </w:pPr>
            <w:r>
              <w:rPr>
                <w:rFonts w:ascii="Arial" w:cs="Arial" w:eastAsia="Arial" w:hAnsi="Arial"/>
                <w:sz w:val="16"/>
                <w:szCs w:val="16"/>
                <w:b w:val="1"/>
                <w:bCs w:val="1"/>
                <w:color w:val="auto"/>
              </w:rPr>
              <w:t>2024</w:t>
            </w:r>
          </w:p>
        </w:tc>
        <w:tc>
          <w:tcPr>
            <w:tcW w:w="0" w:type="dxa"/>
            <w:vAlign w:val="bottom"/>
          </w:tcPr>
          <w:p>
            <w:pPr>
              <w:spacing w:after="0"/>
              <w:rPr>
                <w:sz w:val="1"/>
                <w:szCs w:val="1"/>
                <w:color w:val="auto"/>
              </w:rPr>
            </w:pPr>
          </w:p>
        </w:tc>
      </w:tr>
      <w:tr>
        <w:trPr>
          <w:trHeight w:val="208"/>
        </w:trPr>
        <w:tc>
          <w:tcPr>
            <w:tcW w:w="4520" w:type="dxa"/>
            <w:vAlign w:val="bottom"/>
          </w:tcPr>
          <w:p>
            <w:pPr>
              <w:spacing w:after="0"/>
              <w:rPr>
                <w:sz w:val="18"/>
                <w:szCs w:val="18"/>
                <w:color w:val="auto"/>
              </w:rPr>
            </w:pPr>
          </w:p>
        </w:tc>
        <w:tc>
          <w:tcPr>
            <w:tcW w:w="3220" w:type="dxa"/>
            <w:vAlign w:val="bottom"/>
            <w:gridSpan w:val="2"/>
          </w:tcPr>
          <w:p>
            <w:pPr>
              <w:jc w:val="center"/>
              <w:ind w:right="2142"/>
              <w:spacing w:after="0"/>
              <w:rPr>
                <w:sz w:val="20"/>
                <w:szCs w:val="20"/>
                <w:color w:val="auto"/>
              </w:rPr>
            </w:pPr>
            <w:r>
              <w:rPr>
                <w:rFonts w:ascii="Arial" w:cs="Arial" w:eastAsia="Arial" w:hAnsi="Arial"/>
                <w:sz w:val="16"/>
                <w:szCs w:val="16"/>
                <w:b w:val="1"/>
                <w:bCs w:val="1"/>
                <w:color w:val="auto"/>
                <w:w w:val="93"/>
              </w:rPr>
              <w:t>ASSETS</w:t>
            </w: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7740" w:type="dxa"/>
            <w:vAlign w:val="bottom"/>
            <w:gridSpan w:val="3"/>
          </w:tcPr>
          <w:p>
            <w:pPr>
              <w:spacing w:after="0"/>
              <w:rPr>
                <w:sz w:val="20"/>
                <w:szCs w:val="20"/>
                <w:color w:val="auto"/>
              </w:rPr>
            </w:pPr>
            <w:r>
              <w:rPr>
                <w:rFonts w:ascii="Arial" w:cs="Arial" w:eastAsia="Arial" w:hAnsi="Arial"/>
                <w:sz w:val="16"/>
                <w:szCs w:val="16"/>
                <w:color w:val="auto"/>
              </w:rPr>
              <w:t>Investments:</w:t>
            </w:r>
          </w:p>
        </w:tc>
        <w:tc>
          <w:tcPr>
            <w:tcW w:w="2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4"/>
        </w:trPr>
        <w:tc>
          <w:tcPr>
            <w:tcW w:w="7740" w:type="dxa"/>
            <w:vAlign w:val="bottom"/>
            <w:gridSpan w:val="3"/>
          </w:tcPr>
          <w:p>
            <w:pPr>
              <w:ind w:left="220"/>
              <w:spacing w:after="0"/>
              <w:rPr>
                <w:sz w:val="20"/>
                <w:szCs w:val="20"/>
                <w:color w:val="auto"/>
              </w:rPr>
            </w:pPr>
            <w:r>
              <w:rPr>
                <w:rFonts w:ascii="Arial" w:cs="Arial" w:eastAsia="Arial" w:hAnsi="Arial"/>
                <w:sz w:val="16"/>
                <w:szCs w:val="16"/>
                <w:color w:val="auto"/>
                <w:w w:val="91"/>
              </w:rPr>
              <w:t>Fixed maturity securities available for sale, at fair value, as of December 31, 2025 and 2024, at an amortized cost of</w:t>
            </w:r>
          </w:p>
        </w:tc>
        <w:tc>
          <w:tcPr>
            <w:tcW w:w="2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7"/>
        </w:trPr>
        <w:tc>
          <w:tcPr>
            <w:tcW w:w="7740" w:type="dxa"/>
            <w:vAlign w:val="bottom"/>
            <w:gridSpan w:val="3"/>
          </w:tcPr>
          <w:p>
            <w:pPr>
              <w:ind w:left="220"/>
              <w:spacing w:after="0" w:line="157" w:lineRule="exact"/>
              <w:rPr>
                <w:sz w:val="20"/>
                <w:szCs w:val="20"/>
                <w:color w:val="auto"/>
              </w:rPr>
            </w:pPr>
            <w:r>
              <w:rPr>
                <w:rFonts w:ascii="Arial" w:cs="Arial" w:eastAsia="Arial" w:hAnsi="Arial"/>
                <w:sz w:val="16"/>
                <w:szCs w:val="16"/>
                <w:color w:val="auto"/>
                <w:w w:val="94"/>
              </w:rPr>
              <w:t>$57,161 and $51,681, respectively, net of allowance for credit losses of $112 and $67, respectively, and includes</w:t>
            </w:r>
          </w:p>
        </w:tc>
        <w:tc>
          <w:tcPr>
            <w:tcW w:w="280" w:type="dxa"/>
            <w:vAlign w:val="bottom"/>
            <w:vMerge w:val="restart"/>
          </w:tcPr>
          <w:p>
            <w:pPr>
              <w:jc w:val="right"/>
              <w:ind w:right="82"/>
              <w:spacing w:after="0"/>
              <w:rPr>
                <w:sz w:val="20"/>
                <w:szCs w:val="20"/>
                <w:color w:val="auto"/>
              </w:rPr>
            </w:pPr>
            <w:r>
              <w:rPr>
                <w:rFonts w:ascii="Arial" w:cs="Arial" w:eastAsia="Arial" w:hAnsi="Arial"/>
                <w:sz w:val="16"/>
                <w:szCs w:val="16"/>
                <w:color w:val="auto"/>
              </w:rPr>
              <w:t>$</w:t>
            </w: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54,561</w:t>
            </w:r>
          </w:p>
        </w:tc>
        <w:tc>
          <w:tcPr>
            <w:tcW w:w="340" w:type="dxa"/>
            <w:vAlign w:val="bottom"/>
            <w:gridSpan w:val="2"/>
            <w:vMerge w:val="restart"/>
          </w:tcPr>
          <w:p>
            <w:pPr>
              <w:jc w:val="right"/>
              <w:ind w:right="62"/>
              <w:spacing w:after="0"/>
              <w:rPr>
                <w:sz w:val="20"/>
                <w:szCs w:val="20"/>
                <w:color w:val="auto"/>
              </w:rPr>
            </w:pPr>
            <w:r>
              <w:rPr>
                <w:rFonts w:ascii="Arial" w:cs="Arial" w:eastAsia="Arial" w:hAnsi="Arial"/>
                <w:sz w:val="16"/>
                <w:szCs w:val="16"/>
                <w:color w:val="auto"/>
              </w:rPr>
              <w:t>$</w:t>
            </w:r>
          </w:p>
        </w:tc>
        <w:tc>
          <w:tcPr>
            <w:tcW w:w="880" w:type="dxa"/>
            <w:vAlign w:val="bottom"/>
            <w:vMerge w:val="restart"/>
          </w:tcPr>
          <w:p>
            <w:pPr>
              <w:jc w:val="right"/>
              <w:ind w:right="2"/>
              <w:spacing w:after="0"/>
              <w:rPr>
                <w:sz w:val="20"/>
                <w:szCs w:val="20"/>
                <w:color w:val="auto"/>
              </w:rPr>
            </w:pPr>
            <w:r>
              <w:rPr>
                <w:rFonts w:ascii="Arial" w:cs="Arial" w:eastAsia="Arial" w:hAnsi="Arial"/>
                <w:sz w:val="16"/>
                <w:szCs w:val="16"/>
                <w:color w:val="auto"/>
              </w:rPr>
              <w:t>48,218</w:t>
            </w:r>
          </w:p>
        </w:tc>
        <w:tc>
          <w:tcPr>
            <w:tcW w:w="0" w:type="dxa"/>
            <w:vAlign w:val="bottom"/>
          </w:tcPr>
          <w:p>
            <w:pPr>
              <w:spacing w:after="0"/>
              <w:rPr>
                <w:sz w:val="1"/>
                <w:szCs w:val="1"/>
                <w:color w:val="auto"/>
              </w:rPr>
            </w:pPr>
          </w:p>
        </w:tc>
      </w:tr>
      <w:tr>
        <w:trPr>
          <w:trHeight w:val="204"/>
        </w:trPr>
        <w:tc>
          <w:tcPr>
            <w:tcW w:w="7740" w:type="dxa"/>
            <w:vAlign w:val="bottom"/>
            <w:gridSpan w:val="3"/>
          </w:tcPr>
          <w:p>
            <w:pPr>
              <w:ind w:left="220"/>
              <w:spacing w:after="0"/>
              <w:rPr>
                <w:sz w:val="20"/>
                <w:szCs w:val="20"/>
                <w:color w:val="auto"/>
              </w:rPr>
            </w:pPr>
            <w:r>
              <w:rPr>
                <w:rFonts w:ascii="Arial" w:cs="Arial" w:eastAsia="Arial" w:hAnsi="Arial"/>
                <w:sz w:val="16"/>
                <w:szCs w:val="16"/>
                <w:color w:val="auto"/>
              </w:rPr>
              <w:t>pledged fixed maturity securities of $446 and $495, respectively, related to secured trust deposits</w:t>
            </w:r>
          </w:p>
        </w:tc>
        <w:tc>
          <w:tcPr>
            <w:tcW w:w="280" w:type="dxa"/>
            <w:vAlign w:val="bottom"/>
            <w:vMerge w:val="continue"/>
          </w:tcPr>
          <w:p>
            <w:pPr>
              <w:spacing w:after="0"/>
              <w:rPr>
                <w:sz w:val="17"/>
                <w:szCs w:val="17"/>
                <w:color w:val="auto"/>
              </w:rPr>
            </w:pPr>
          </w:p>
        </w:tc>
        <w:tc>
          <w:tcPr>
            <w:tcW w:w="860" w:type="dxa"/>
            <w:vAlign w:val="bottom"/>
            <w:vMerge w:val="continue"/>
          </w:tcPr>
          <w:p>
            <w:pPr>
              <w:spacing w:after="0"/>
              <w:rPr>
                <w:sz w:val="17"/>
                <w:szCs w:val="17"/>
                <w:color w:val="auto"/>
              </w:rPr>
            </w:pPr>
          </w:p>
        </w:tc>
        <w:tc>
          <w:tcPr>
            <w:tcW w:w="340" w:type="dxa"/>
            <w:vAlign w:val="bottom"/>
            <w:gridSpan w:val="2"/>
            <w:vMerge w:val="continue"/>
          </w:tcPr>
          <w:p>
            <w:pPr>
              <w:spacing w:after="0"/>
              <w:rPr>
                <w:sz w:val="17"/>
                <w:szCs w:val="17"/>
                <w:color w:val="auto"/>
              </w:rPr>
            </w:pPr>
          </w:p>
        </w:tc>
        <w:tc>
          <w:tcPr>
            <w:tcW w:w="8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740" w:type="dxa"/>
            <w:vAlign w:val="bottom"/>
            <w:gridSpan w:val="3"/>
          </w:tcPr>
          <w:p>
            <w:pPr>
              <w:ind w:left="220"/>
              <w:spacing w:after="0"/>
              <w:rPr>
                <w:sz w:val="20"/>
                <w:szCs w:val="20"/>
                <w:color w:val="auto"/>
              </w:rPr>
            </w:pPr>
            <w:r>
              <w:rPr>
                <w:rFonts w:ascii="Arial" w:cs="Arial" w:eastAsia="Arial" w:hAnsi="Arial"/>
                <w:sz w:val="16"/>
                <w:szCs w:val="16"/>
                <w:color w:val="auto"/>
              </w:rPr>
              <w:t>Preferred securities, at fair value</w:t>
            </w:r>
          </w:p>
        </w:tc>
        <w:tc>
          <w:tcPr>
            <w:tcW w:w="2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436</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2"/>
              <w:spacing w:after="0"/>
              <w:rPr>
                <w:sz w:val="20"/>
                <w:szCs w:val="20"/>
                <w:color w:val="auto"/>
              </w:rPr>
            </w:pPr>
            <w:r>
              <w:rPr>
                <w:rFonts w:ascii="Arial" w:cs="Arial" w:eastAsia="Arial" w:hAnsi="Arial"/>
                <w:sz w:val="16"/>
                <w:szCs w:val="16"/>
                <w:color w:val="auto"/>
              </w:rPr>
              <w:t>443</w:t>
            </w:r>
          </w:p>
        </w:tc>
        <w:tc>
          <w:tcPr>
            <w:tcW w:w="0" w:type="dxa"/>
            <w:vAlign w:val="bottom"/>
          </w:tcPr>
          <w:p>
            <w:pPr>
              <w:spacing w:after="0"/>
              <w:rPr>
                <w:sz w:val="1"/>
                <w:szCs w:val="1"/>
                <w:color w:val="auto"/>
              </w:rPr>
            </w:pPr>
          </w:p>
        </w:tc>
      </w:tr>
      <w:tr>
        <w:trPr>
          <w:trHeight w:val="235"/>
        </w:trPr>
        <w:tc>
          <w:tcPr>
            <w:tcW w:w="7740" w:type="dxa"/>
            <w:vAlign w:val="bottom"/>
            <w:gridSpan w:val="3"/>
          </w:tcPr>
          <w:p>
            <w:pPr>
              <w:ind w:left="220"/>
              <w:spacing w:after="0"/>
              <w:rPr>
                <w:sz w:val="20"/>
                <w:szCs w:val="20"/>
                <w:color w:val="auto"/>
              </w:rPr>
            </w:pPr>
            <w:r>
              <w:rPr>
                <w:rFonts w:ascii="Arial" w:cs="Arial" w:eastAsia="Arial" w:hAnsi="Arial"/>
                <w:sz w:val="16"/>
                <w:szCs w:val="16"/>
                <w:color w:val="auto"/>
              </w:rPr>
              <w:t>Equity securities, at fair value</w:t>
            </w:r>
          </w:p>
        </w:tc>
        <w:tc>
          <w:tcPr>
            <w:tcW w:w="2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493</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2"/>
              <w:spacing w:after="0"/>
              <w:rPr>
                <w:sz w:val="20"/>
                <w:szCs w:val="20"/>
                <w:color w:val="auto"/>
              </w:rPr>
            </w:pPr>
            <w:r>
              <w:rPr>
                <w:rFonts w:ascii="Arial" w:cs="Arial" w:eastAsia="Arial" w:hAnsi="Arial"/>
                <w:sz w:val="16"/>
                <w:szCs w:val="16"/>
                <w:color w:val="auto"/>
              </w:rPr>
              <w:t>642</w:t>
            </w:r>
          </w:p>
        </w:tc>
        <w:tc>
          <w:tcPr>
            <w:tcW w:w="0" w:type="dxa"/>
            <w:vAlign w:val="bottom"/>
          </w:tcPr>
          <w:p>
            <w:pPr>
              <w:spacing w:after="0"/>
              <w:rPr>
                <w:sz w:val="1"/>
                <w:szCs w:val="1"/>
                <w:color w:val="auto"/>
              </w:rPr>
            </w:pPr>
          </w:p>
        </w:tc>
      </w:tr>
      <w:tr>
        <w:trPr>
          <w:trHeight w:val="235"/>
        </w:trPr>
        <w:tc>
          <w:tcPr>
            <w:tcW w:w="7740" w:type="dxa"/>
            <w:vAlign w:val="bottom"/>
            <w:gridSpan w:val="3"/>
          </w:tcPr>
          <w:p>
            <w:pPr>
              <w:ind w:left="220"/>
              <w:spacing w:after="0"/>
              <w:rPr>
                <w:sz w:val="20"/>
                <w:szCs w:val="20"/>
                <w:color w:val="auto"/>
              </w:rPr>
            </w:pPr>
            <w:r>
              <w:rPr>
                <w:rFonts w:ascii="Arial" w:cs="Arial" w:eastAsia="Arial" w:hAnsi="Arial"/>
                <w:sz w:val="16"/>
                <w:szCs w:val="16"/>
                <w:color w:val="auto"/>
              </w:rPr>
              <w:t>Derivative investments</w:t>
            </w:r>
          </w:p>
        </w:tc>
        <w:tc>
          <w:tcPr>
            <w:tcW w:w="2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1,156</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2"/>
              <w:spacing w:after="0"/>
              <w:rPr>
                <w:sz w:val="20"/>
                <w:szCs w:val="20"/>
                <w:color w:val="auto"/>
              </w:rPr>
            </w:pPr>
            <w:r>
              <w:rPr>
                <w:rFonts w:ascii="Arial" w:cs="Arial" w:eastAsia="Arial" w:hAnsi="Arial"/>
                <w:sz w:val="16"/>
                <w:szCs w:val="16"/>
                <w:color w:val="auto"/>
              </w:rPr>
              <w:t>794</w:t>
            </w:r>
          </w:p>
        </w:tc>
        <w:tc>
          <w:tcPr>
            <w:tcW w:w="0" w:type="dxa"/>
            <w:vAlign w:val="bottom"/>
          </w:tcPr>
          <w:p>
            <w:pPr>
              <w:spacing w:after="0"/>
              <w:rPr>
                <w:sz w:val="1"/>
                <w:szCs w:val="1"/>
                <w:color w:val="auto"/>
              </w:rPr>
            </w:pPr>
          </w:p>
        </w:tc>
      </w:tr>
      <w:tr>
        <w:trPr>
          <w:trHeight w:val="235"/>
        </w:trPr>
        <w:tc>
          <w:tcPr>
            <w:tcW w:w="7740" w:type="dxa"/>
            <w:vAlign w:val="bottom"/>
            <w:gridSpan w:val="3"/>
          </w:tcPr>
          <w:p>
            <w:pPr>
              <w:ind w:left="220"/>
              <w:spacing w:after="0"/>
              <w:rPr>
                <w:sz w:val="20"/>
                <w:szCs w:val="20"/>
                <w:color w:val="auto"/>
              </w:rPr>
            </w:pPr>
            <w:r>
              <w:rPr>
                <w:rFonts w:ascii="Arial" w:cs="Arial" w:eastAsia="Arial" w:hAnsi="Arial"/>
                <w:sz w:val="16"/>
                <w:szCs w:val="16"/>
                <w:color w:val="auto"/>
                <w:w w:val="92"/>
              </w:rPr>
              <w:t>Mortgage loans, net of allowance for credit losses of $86 and $70 as of December 31, 2025 and 2024, respectively</w:t>
            </w:r>
          </w:p>
        </w:tc>
        <w:tc>
          <w:tcPr>
            <w:tcW w:w="2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7,891</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2"/>
              <w:spacing w:after="0"/>
              <w:rPr>
                <w:sz w:val="20"/>
                <w:szCs w:val="20"/>
                <w:color w:val="auto"/>
              </w:rPr>
            </w:pPr>
            <w:r>
              <w:rPr>
                <w:rFonts w:ascii="Arial" w:cs="Arial" w:eastAsia="Arial" w:hAnsi="Arial"/>
                <w:sz w:val="16"/>
                <w:szCs w:val="16"/>
                <w:color w:val="auto"/>
              </w:rPr>
              <w:t>5,926</w:t>
            </w:r>
          </w:p>
        </w:tc>
        <w:tc>
          <w:tcPr>
            <w:tcW w:w="0" w:type="dxa"/>
            <w:vAlign w:val="bottom"/>
          </w:tcPr>
          <w:p>
            <w:pPr>
              <w:spacing w:after="0"/>
              <w:rPr>
                <w:sz w:val="1"/>
                <w:szCs w:val="1"/>
                <w:color w:val="auto"/>
              </w:rPr>
            </w:pPr>
          </w:p>
        </w:tc>
      </w:tr>
      <w:tr>
        <w:trPr>
          <w:trHeight w:val="209"/>
        </w:trPr>
        <w:tc>
          <w:tcPr>
            <w:tcW w:w="7740" w:type="dxa"/>
            <w:vAlign w:val="bottom"/>
            <w:gridSpan w:val="3"/>
          </w:tcPr>
          <w:p>
            <w:pPr>
              <w:ind w:left="220"/>
              <w:spacing w:after="0"/>
              <w:rPr>
                <w:sz w:val="20"/>
                <w:szCs w:val="20"/>
                <w:color w:val="auto"/>
              </w:rPr>
            </w:pPr>
            <w:r>
              <w:rPr>
                <w:rFonts w:ascii="Arial" w:cs="Arial" w:eastAsia="Arial" w:hAnsi="Arial"/>
                <w:sz w:val="16"/>
                <w:szCs w:val="16"/>
                <w:color w:val="auto"/>
                <w:w w:val="93"/>
              </w:rPr>
              <w:t>Investments in unconsolidated affiliates (2025 includes $262 related to investments held by consolidated variable</w:t>
            </w:r>
          </w:p>
        </w:tc>
        <w:tc>
          <w:tcPr>
            <w:tcW w:w="280" w:type="dxa"/>
            <w:vAlign w:val="bottom"/>
          </w:tcPr>
          <w:p>
            <w:pPr>
              <w:spacing w:after="0"/>
              <w:rPr>
                <w:sz w:val="18"/>
                <w:szCs w:val="18"/>
                <w:color w:val="auto"/>
              </w:rPr>
            </w:pP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5,166</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vMerge w:val="restart"/>
          </w:tcPr>
          <w:p>
            <w:pPr>
              <w:jc w:val="right"/>
              <w:ind w:right="2"/>
              <w:spacing w:after="0"/>
              <w:rPr>
                <w:sz w:val="20"/>
                <w:szCs w:val="20"/>
                <w:color w:val="auto"/>
              </w:rPr>
            </w:pPr>
            <w:r>
              <w:rPr>
                <w:rFonts w:ascii="Arial" w:cs="Arial" w:eastAsia="Arial" w:hAnsi="Arial"/>
                <w:sz w:val="16"/>
                <w:szCs w:val="16"/>
                <w:color w:val="auto"/>
              </w:rPr>
              <w:t>3,731</w:t>
            </w:r>
          </w:p>
        </w:tc>
        <w:tc>
          <w:tcPr>
            <w:tcW w:w="0" w:type="dxa"/>
            <w:vAlign w:val="bottom"/>
          </w:tcPr>
          <w:p>
            <w:pPr>
              <w:spacing w:after="0"/>
              <w:rPr>
                <w:sz w:val="1"/>
                <w:szCs w:val="1"/>
                <w:color w:val="auto"/>
              </w:rPr>
            </w:pPr>
          </w:p>
        </w:tc>
      </w:tr>
      <w:tr>
        <w:trPr>
          <w:trHeight w:val="204"/>
        </w:trPr>
        <w:tc>
          <w:tcPr>
            <w:tcW w:w="7740" w:type="dxa"/>
            <w:vAlign w:val="bottom"/>
            <w:gridSpan w:val="3"/>
          </w:tcPr>
          <w:p>
            <w:pPr>
              <w:ind w:left="220"/>
              <w:spacing w:after="0"/>
              <w:rPr>
                <w:sz w:val="20"/>
                <w:szCs w:val="20"/>
                <w:color w:val="auto"/>
              </w:rPr>
            </w:pPr>
            <w:r>
              <w:rPr>
                <w:rFonts w:ascii="Arial" w:cs="Arial" w:eastAsia="Arial" w:hAnsi="Arial"/>
                <w:sz w:val="16"/>
                <w:szCs w:val="16"/>
                <w:color w:val="auto"/>
                <w:w w:val="91"/>
              </w:rPr>
              <w:t>interest entities (“VIEs”) and 2025 and 2024 include certain investments at fair value of $270 and $272, respectively)</w:t>
            </w:r>
          </w:p>
        </w:tc>
        <w:tc>
          <w:tcPr>
            <w:tcW w:w="280" w:type="dxa"/>
            <w:vAlign w:val="bottom"/>
          </w:tcPr>
          <w:p>
            <w:pPr>
              <w:spacing w:after="0"/>
              <w:rPr>
                <w:sz w:val="17"/>
                <w:szCs w:val="17"/>
                <w:color w:val="auto"/>
              </w:rPr>
            </w:pPr>
          </w:p>
        </w:tc>
        <w:tc>
          <w:tcPr>
            <w:tcW w:w="86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7740" w:type="dxa"/>
            <w:vAlign w:val="bottom"/>
            <w:gridSpan w:val="3"/>
          </w:tcPr>
          <w:p>
            <w:pPr>
              <w:ind w:left="220"/>
              <w:spacing w:after="0"/>
              <w:rPr>
                <w:sz w:val="20"/>
                <w:szCs w:val="20"/>
                <w:color w:val="auto"/>
              </w:rPr>
            </w:pPr>
            <w:r>
              <w:rPr>
                <w:rFonts w:ascii="Arial" w:cs="Arial" w:eastAsia="Arial" w:hAnsi="Arial"/>
                <w:sz w:val="16"/>
                <w:szCs w:val="16"/>
                <w:color w:val="auto"/>
              </w:rPr>
              <w:t>Other long-term investments (2025 includes $248 related to investments held by consolidated VIEs)</w:t>
            </w: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1,572</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ind w:right="2"/>
              <w:spacing w:after="0"/>
              <w:rPr>
                <w:sz w:val="20"/>
                <w:szCs w:val="20"/>
                <w:color w:val="auto"/>
              </w:rPr>
            </w:pPr>
            <w:r>
              <w:rPr>
                <w:rFonts w:ascii="Arial" w:cs="Arial" w:eastAsia="Arial" w:hAnsi="Arial"/>
                <w:sz w:val="16"/>
                <w:szCs w:val="16"/>
                <w:color w:val="auto"/>
              </w:rPr>
              <w:t>811</w:t>
            </w:r>
          </w:p>
        </w:tc>
        <w:tc>
          <w:tcPr>
            <w:tcW w:w="0" w:type="dxa"/>
            <w:vAlign w:val="bottom"/>
          </w:tcPr>
          <w:p>
            <w:pPr>
              <w:spacing w:after="0"/>
              <w:rPr>
                <w:sz w:val="1"/>
                <w:szCs w:val="1"/>
                <w:color w:val="auto"/>
              </w:rPr>
            </w:pPr>
          </w:p>
        </w:tc>
      </w:tr>
      <w:tr>
        <w:trPr>
          <w:trHeight w:val="242"/>
        </w:trPr>
        <w:tc>
          <w:tcPr>
            <w:tcW w:w="7740" w:type="dxa"/>
            <w:vAlign w:val="bottom"/>
            <w:gridSpan w:val="3"/>
          </w:tcPr>
          <w:p>
            <w:pPr>
              <w:ind w:left="220"/>
              <w:spacing w:after="0"/>
              <w:rPr>
                <w:sz w:val="20"/>
                <w:szCs w:val="20"/>
                <w:color w:val="auto"/>
              </w:rPr>
            </w:pPr>
            <w:r>
              <w:rPr>
                <w:rFonts w:ascii="Arial" w:cs="Arial" w:eastAsia="Arial" w:hAnsi="Arial"/>
                <w:sz w:val="16"/>
                <w:szCs w:val="16"/>
                <w:color w:val="auto"/>
              </w:rPr>
              <w:t>Short-term investments (2025 includes $116 related to investments held by consolidated VIEs)</w:t>
            </w:r>
          </w:p>
        </w:tc>
        <w:tc>
          <w:tcPr>
            <w:tcW w:w="28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1,920</w:t>
            </w:r>
          </w:p>
        </w:tc>
        <w:tc>
          <w:tcPr>
            <w:tcW w:w="8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3,050</w:t>
            </w:r>
          </w:p>
        </w:tc>
        <w:tc>
          <w:tcPr>
            <w:tcW w:w="0" w:type="dxa"/>
            <w:vAlign w:val="bottom"/>
          </w:tcPr>
          <w:p>
            <w:pPr>
              <w:spacing w:after="0"/>
              <w:rPr>
                <w:sz w:val="1"/>
                <w:szCs w:val="1"/>
                <w:color w:val="auto"/>
              </w:rPr>
            </w:pPr>
          </w:p>
        </w:tc>
      </w:tr>
      <w:tr>
        <w:trPr>
          <w:trHeight w:val="208"/>
        </w:trPr>
        <w:tc>
          <w:tcPr>
            <w:tcW w:w="7740" w:type="dxa"/>
            <w:vAlign w:val="bottom"/>
            <w:gridSpan w:val="3"/>
          </w:tcPr>
          <w:p>
            <w:pPr>
              <w:ind w:left="520"/>
              <w:spacing w:after="0"/>
              <w:rPr>
                <w:sz w:val="20"/>
                <w:szCs w:val="20"/>
                <w:color w:val="auto"/>
              </w:rPr>
            </w:pPr>
            <w:r>
              <w:rPr>
                <w:rFonts w:ascii="Arial" w:cs="Arial" w:eastAsia="Arial" w:hAnsi="Arial"/>
                <w:sz w:val="16"/>
                <w:szCs w:val="16"/>
                <w:color w:val="auto"/>
              </w:rPr>
              <w:t>Total investments</w:t>
            </w: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73,195</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ind w:right="2"/>
              <w:spacing w:after="0"/>
              <w:rPr>
                <w:sz w:val="20"/>
                <w:szCs w:val="20"/>
                <w:color w:val="auto"/>
              </w:rPr>
            </w:pPr>
            <w:r>
              <w:rPr>
                <w:rFonts w:ascii="Arial" w:cs="Arial" w:eastAsia="Arial" w:hAnsi="Arial"/>
                <w:sz w:val="16"/>
                <w:szCs w:val="16"/>
                <w:color w:val="auto"/>
              </w:rPr>
              <w:t>63,615</w:t>
            </w:r>
          </w:p>
        </w:tc>
        <w:tc>
          <w:tcPr>
            <w:tcW w:w="0" w:type="dxa"/>
            <w:vAlign w:val="bottom"/>
          </w:tcPr>
          <w:p>
            <w:pPr>
              <w:spacing w:after="0"/>
              <w:rPr>
                <w:sz w:val="1"/>
                <w:szCs w:val="1"/>
                <w:color w:val="auto"/>
              </w:rPr>
            </w:pPr>
          </w:p>
        </w:tc>
      </w:tr>
      <w:tr>
        <w:trPr>
          <w:trHeight w:val="86"/>
        </w:trPr>
        <w:tc>
          <w:tcPr>
            <w:tcW w:w="4520" w:type="dxa"/>
            <w:vAlign w:val="bottom"/>
            <w:vMerge w:val="restart"/>
          </w:tcPr>
          <w:p>
            <w:pPr>
              <w:spacing w:after="0"/>
              <w:rPr>
                <w:sz w:val="20"/>
                <w:szCs w:val="20"/>
                <w:color w:val="auto"/>
              </w:rPr>
            </w:pPr>
            <w:r>
              <w:rPr>
                <w:rFonts w:ascii="Arial" w:cs="Arial" w:eastAsia="Arial" w:hAnsi="Arial"/>
                <w:sz w:val="16"/>
                <w:szCs w:val="16"/>
                <w:color w:val="auto"/>
                <w:w w:val="87"/>
              </w:rPr>
              <w:t>Cash and cash equivalents, as of December 31, 2025 and 2024 includes</w:t>
            </w:r>
          </w:p>
        </w:tc>
        <w:tc>
          <w:tcPr>
            <w:tcW w:w="320" w:type="dxa"/>
            <w:vAlign w:val="bottom"/>
          </w:tcPr>
          <w:p>
            <w:pPr>
              <w:spacing w:after="0"/>
              <w:rPr>
                <w:sz w:val="7"/>
                <w:szCs w:val="7"/>
                <w:color w:val="auto"/>
              </w:rPr>
            </w:pPr>
          </w:p>
        </w:tc>
        <w:tc>
          <w:tcPr>
            <w:tcW w:w="2900" w:type="dxa"/>
            <w:vAlign w:val="bottom"/>
            <w:vMerge w:val="restart"/>
          </w:tcPr>
          <w:p>
            <w:pPr>
              <w:ind w:left="40"/>
              <w:spacing w:after="0"/>
              <w:rPr>
                <w:sz w:val="20"/>
                <w:szCs w:val="20"/>
                <w:color w:val="auto"/>
              </w:rPr>
            </w:pPr>
            <w:r>
              <w:rPr>
                <w:rFonts w:ascii="Arial" w:cs="Arial" w:eastAsia="Arial" w:hAnsi="Arial"/>
                <w:sz w:val="16"/>
                <w:szCs w:val="16"/>
                <w:color w:val="auto"/>
              </w:rPr>
              <w:t>and $69, respectively, of pledged cash</w:t>
            </w:r>
          </w:p>
        </w:tc>
        <w:tc>
          <w:tcPr>
            <w:tcW w:w="280" w:type="dxa"/>
            <w:vAlign w:val="bottom"/>
          </w:tcPr>
          <w:p>
            <w:pPr>
              <w:spacing w:after="0"/>
              <w:rPr>
                <w:sz w:val="7"/>
                <w:szCs w:val="7"/>
                <w:color w:val="auto"/>
              </w:rPr>
            </w:pPr>
          </w:p>
        </w:tc>
        <w:tc>
          <w:tcPr>
            <w:tcW w:w="860" w:type="dxa"/>
            <w:vAlign w:val="bottom"/>
          </w:tcPr>
          <w:p>
            <w:pPr>
              <w:spacing w:after="0"/>
              <w:rPr>
                <w:sz w:val="7"/>
                <w:szCs w:val="7"/>
                <w:color w:val="auto"/>
              </w:rPr>
            </w:pPr>
          </w:p>
        </w:tc>
        <w:tc>
          <w:tcPr>
            <w:tcW w:w="80" w:type="dxa"/>
            <w:vAlign w:val="bottom"/>
          </w:tcPr>
          <w:p>
            <w:pPr>
              <w:spacing w:after="0"/>
              <w:rPr>
                <w:sz w:val="7"/>
                <w:szCs w:val="7"/>
                <w:color w:val="auto"/>
              </w:rPr>
            </w:pPr>
          </w:p>
        </w:tc>
        <w:tc>
          <w:tcPr>
            <w:tcW w:w="260" w:type="dxa"/>
            <w:vAlign w:val="bottom"/>
          </w:tcPr>
          <w:p>
            <w:pPr>
              <w:spacing w:after="0"/>
              <w:rPr>
                <w:sz w:val="7"/>
                <w:szCs w:val="7"/>
                <w:color w:val="auto"/>
              </w:rPr>
            </w:pPr>
          </w:p>
        </w:tc>
        <w:tc>
          <w:tcPr>
            <w:tcW w:w="8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9"/>
        </w:trPr>
        <w:tc>
          <w:tcPr>
            <w:tcW w:w="4520" w:type="dxa"/>
            <w:vAlign w:val="bottom"/>
            <w:vMerge w:val="continue"/>
          </w:tcPr>
          <w:p>
            <w:pPr>
              <w:spacing w:after="0"/>
              <w:rPr>
                <w:sz w:val="9"/>
                <w:szCs w:val="9"/>
                <w:color w:val="auto"/>
              </w:rPr>
            </w:pPr>
          </w:p>
        </w:tc>
        <w:tc>
          <w:tcPr>
            <w:tcW w:w="320" w:type="dxa"/>
            <w:vAlign w:val="bottom"/>
          </w:tcPr>
          <w:p>
            <w:pPr>
              <w:jc w:val="right"/>
              <w:spacing w:after="0" w:line="109" w:lineRule="exact"/>
              <w:rPr>
                <w:sz w:val="20"/>
                <w:szCs w:val="20"/>
                <w:color w:val="auto"/>
              </w:rPr>
            </w:pPr>
            <w:r>
              <w:rPr>
                <w:rFonts w:ascii="Arial" w:cs="Arial" w:eastAsia="Arial" w:hAnsi="Arial"/>
                <w:sz w:val="12"/>
                <w:szCs w:val="12"/>
                <w:color w:val="auto"/>
                <w:highlight w:val="white"/>
              </w:rPr>
              <w:t>$261</w:t>
            </w:r>
          </w:p>
        </w:tc>
        <w:tc>
          <w:tcPr>
            <w:tcW w:w="290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860" w:type="dxa"/>
            <w:vAlign w:val="bottom"/>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Pr>
          <w:p>
            <w:pPr>
              <w:spacing w:after="0"/>
              <w:rPr>
                <w:sz w:val="9"/>
                <w:szCs w:val="9"/>
                <w:color w:val="auto"/>
              </w:rPr>
            </w:pPr>
          </w:p>
        </w:tc>
        <w:tc>
          <w:tcPr>
            <w:tcW w:w="8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4"/>
        </w:trPr>
        <w:tc>
          <w:tcPr>
            <w:tcW w:w="4520" w:type="dxa"/>
            <w:vAlign w:val="bottom"/>
            <w:vMerge w:val="restart"/>
          </w:tcPr>
          <w:p>
            <w:pPr>
              <w:spacing w:after="0"/>
              <w:rPr>
                <w:sz w:val="20"/>
                <w:szCs w:val="20"/>
                <w:color w:val="auto"/>
              </w:rPr>
            </w:pPr>
            <w:r>
              <w:rPr>
                <w:rFonts w:ascii="Arial" w:cs="Arial" w:eastAsia="Arial" w:hAnsi="Arial"/>
                <w:sz w:val="16"/>
                <w:szCs w:val="16"/>
                <w:color w:val="auto"/>
              </w:rPr>
              <w:t>related to secured trust deposits</w:t>
            </w:r>
          </w:p>
        </w:tc>
        <w:tc>
          <w:tcPr>
            <w:tcW w:w="320" w:type="dxa"/>
            <w:vAlign w:val="bottom"/>
          </w:tcPr>
          <w:p>
            <w:pPr>
              <w:spacing w:after="0"/>
              <w:rPr>
                <w:sz w:val="2"/>
                <w:szCs w:val="2"/>
                <w:color w:val="auto"/>
              </w:rPr>
            </w:pPr>
          </w:p>
        </w:tc>
        <w:tc>
          <w:tcPr>
            <w:tcW w:w="2900" w:type="dxa"/>
            <w:vAlign w:val="bottom"/>
            <w:vMerge w:val="restart"/>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2,636</w:t>
            </w: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vMerge w:val="restart"/>
          </w:tcPr>
          <w:p>
            <w:pPr>
              <w:jc w:val="right"/>
              <w:ind w:right="2"/>
              <w:spacing w:after="0"/>
              <w:rPr>
                <w:sz w:val="20"/>
                <w:szCs w:val="20"/>
                <w:color w:val="auto"/>
              </w:rPr>
            </w:pPr>
            <w:r>
              <w:rPr>
                <w:rFonts w:ascii="Arial" w:cs="Arial" w:eastAsia="Arial" w:hAnsi="Arial"/>
                <w:sz w:val="16"/>
                <w:szCs w:val="16"/>
                <w:color w:val="auto"/>
              </w:rPr>
              <w:t>3,479</w:t>
            </w:r>
          </w:p>
        </w:tc>
        <w:tc>
          <w:tcPr>
            <w:tcW w:w="0" w:type="dxa"/>
            <w:vAlign w:val="bottom"/>
          </w:tcPr>
          <w:p>
            <w:pPr>
              <w:spacing w:after="0" w:line="20" w:lineRule="exact"/>
              <w:rPr>
                <w:sz w:val="1"/>
                <w:szCs w:val="1"/>
                <w:color w:val="auto"/>
              </w:rPr>
            </w:pPr>
          </w:p>
        </w:tc>
      </w:tr>
      <w:tr>
        <w:trPr>
          <w:trHeight w:val="170"/>
        </w:trPr>
        <w:tc>
          <w:tcPr>
            <w:tcW w:w="452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290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0"/>
        </w:trPr>
        <w:tc>
          <w:tcPr>
            <w:tcW w:w="7740" w:type="dxa"/>
            <w:vAlign w:val="bottom"/>
            <w:gridSpan w:val="3"/>
          </w:tcPr>
          <w:p>
            <w:pPr>
              <w:spacing w:after="0"/>
              <w:rPr>
                <w:sz w:val="20"/>
                <w:szCs w:val="20"/>
                <w:color w:val="auto"/>
              </w:rPr>
            </w:pPr>
            <w:r>
              <w:rPr>
                <w:rFonts w:ascii="Arial" w:cs="Arial" w:eastAsia="Arial" w:hAnsi="Arial"/>
                <w:sz w:val="16"/>
                <w:szCs w:val="16"/>
                <w:color w:val="auto"/>
                <w:w w:val="98"/>
              </w:rPr>
              <w:t>Trade and notes receivables, net of allowance of $31 and $32 as of December 31, 2025 and 2024, respectively</w:t>
            </w: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473</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ind w:right="2"/>
              <w:spacing w:after="0"/>
              <w:rPr>
                <w:sz w:val="20"/>
                <w:szCs w:val="20"/>
                <w:color w:val="auto"/>
              </w:rPr>
            </w:pPr>
            <w:r>
              <w:rPr>
                <w:rFonts w:ascii="Arial" w:cs="Arial" w:eastAsia="Arial" w:hAnsi="Arial"/>
                <w:sz w:val="16"/>
                <w:szCs w:val="16"/>
                <w:color w:val="auto"/>
              </w:rPr>
              <w:t>471</w:t>
            </w:r>
          </w:p>
        </w:tc>
        <w:tc>
          <w:tcPr>
            <w:tcW w:w="0" w:type="dxa"/>
            <w:vAlign w:val="bottom"/>
          </w:tcPr>
          <w:p>
            <w:pPr>
              <w:spacing w:after="0"/>
              <w:rPr>
                <w:sz w:val="1"/>
                <w:szCs w:val="1"/>
                <w:color w:val="auto"/>
              </w:rPr>
            </w:pPr>
          </w:p>
        </w:tc>
      </w:tr>
      <w:tr>
        <w:trPr>
          <w:trHeight w:val="220"/>
        </w:trPr>
        <w:tc>
          <w:tcPr>
            <w:tcW w:w="7740" w:type="dxa"/>
            <w:vAlign w:val="bottom"/>
            <w:gridSpan w:val="3"/>
          </w:tcPr>
          <w:p>
            <w:pPr>
              <w:spacing w:after="0"/>
              <w:rPr>
                <w:sz w:val="20"/>
                <w:szCs w:val="20"/>
                <w:color w:val="auto"/>
              </w:rPr>
            </w:pPr>
            <w:r>
              <w:rPr>
                <w:rFonts w:ascii="Arial" w:cs="Arial" w:eastAsia="Arial" w:hAnsi="Arial"/>
                <w:sz w:val="16"/>
                <w:szCs w:val="16"/>
                <w:color w:val="auto"/>
                <w:w w:val="90"/>
              </w:rPr>
              <w:t>Reinsurance recoverable, net of allowance for credit losses of $18 and $20 at December 31, 2025 and 2024, respectively</w:t>
            </w: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17,551</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ind w:right="2"/>
              <w:spacing w:after="0"/>
              <w:rPr>
                <w:sz w:val="20"/>
                <w:szCs w:val="20"/>
                <w:color w:val="auto"/>
              </w:rPr>
            </w:pPr>
            <w:r>
              <w:rPr>
                <w:rFonts w:ascii="Arial" w:cs="Arial" w:eastAsia="Arial" w:hAnsi="Arial"/>
                <w:sz w:val="16"/>
                <w:szCs w:val="16"/>
                <w:color w:val="auto"/>
              </w:rPr>
              <w:t>13,380</w:t>
            </w:r>
          </w:p>
        </w:tc>
        <w:tc>
          <w:tcPr>
            <w:tcW w:w="0" w:type="dxa"/>
            <w:vAlign w:val="bottom"/>
          </w:tcPr>
          <w:p>
            <w:pPr>
              <w:spacing w:after="0"/>
              <w:rPr>
                <w:sz w:val="1"/>
                <w:szCs w:val="1"/>
                <w:color w:val="auto"/>
              </w:rPr>
            </w:pPr>
          </w:p>
        </w:tc>
      </w:tr>
      <w:tr>
        <w:trPr>
          <w:trHeight w:val="220"/>
        </w:trPr>
        <w:tc>
          <w:tcPr>
            <w:tcW w:w="7740" w:type="dxa"/>
            <w:vAlign w:val="bottom"/>
            <w:gridSpan w:val="3"/>
          </w:tcPr>
          <w:p>
            <w:pPr>
              <w:spacing w:after="0"/>
              <w:rPr>
                <w:sz w:val="20"/>
                <w:szCs w:val="20"/>
                <w:color w:val="auto"/>
              </w:rPr>
            </w:pPr>
            <w:r>
              <w:rPr>
                <w:rFonts w:ascii="Arial" w:cs="Arial" w:eastAsia="Arial" w:hAnsi="Arial"/>
                <w:sz w:val="16"/>
                <w:szCs w:val="16"/>
                <w:color w:val="auto"/>
              </w:rPr>
              <w:t>Goodwill</w:t>
            </w: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5,272</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ind w:right="2"/>
              <w:spacing w:after="0"/>
              <w:rPr>
                <w:sz w:val="20"/>
                <w:szCs w:val="20"/>
                <w:color w:val="auto"/>
              </w:rPr>
            </w:pPr>
            <w:r>
              <w:rPr>
                <w:rFonts w:ascii="Arial" w:cs="Arial" w:eastAsia="Arial" w:hAnsi="Arial"/>
                <w:sz w:val="16"/>
                <w:szCs w:val="16"/>
                <w:color w:val="auto"/>
              </w:rPr>
              <w:t>5,271</w:t>
            </w:r>
          </w:p>
        </w:tc>
        <w:tc>
          <w:tcPr>
            <w:tcW w:w="0" w:type="dxa"/>
            <w:vAlign w:val="bottom"/>
          </w:tcPr>
          <w:p>
            <w:pPr>
              <w:spacing w:after="0"/>
              <w:rPr>
                <w:sz w:val="1"/>
                <w:szCs w:val="1"/>
                <w:color w:val="auto"/>
              </w:rPr>
            </w:pPr>
          </w:p>
        </w:tc>
      </w:tr>
      <w:tr>
        <w:trPr>
          <w:trHeight w:val="220"/>
        </w:trPr>
        <w:tc>
          <w:tcPr>
            <w:tcW w:w="7740" w:type="dxa"/>
            <w:vAlign w:val="bottom"/>
            <w:gridSpan w:val="3"/>
          </w:tcPr>
          <w:p>
            <w:pPr>
              <w:spacing w:after="0"/>
              <w:rPr>
                <w:sz w:val="20"/>
                <w:szCs w:val="20"/>
                <w:color w:val="auto"/>
              </w:rPr>
            </w:pPr>
            <w:r>
              <w:rPr>
                <w:rFonts w:ascii="Arial" w:cs="Arial" w:eastAsia="Arial" w:hAnsi="Arial"/>
                <w:sz w:val="16"/>
                <w:szCs w:val="16"/>
                <w:color w:val="auto"/>
              </w:rPr>
              <w:t>Prepaid expenses and other assets</w:t>
            </w: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2,012</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ind w:right="2"/>
              <w:spacing w:after="0"/>
              <w:rPr>
                <w:sz w:val="20"/>
                <w:szCs w:val="20"/>
                <w:color w:val="auto"/>
              </w:rPr>
            </w:pPr>
            <w:r>
              <w:rPr>
                <w:rFonts w:ascii="Arial" w:cs="Arial" w:eastAsia="Arial" w:hAnsi="Arial"/>
                <w:sz w:val="16"/>
                <w:szCs w:val="16"/>
                <w:color w:val="auto"/>
              </w:rPr>
              <w:t>1,938</w:t>
            </w:r>
          </w:p>
        </w:tc>
        <w:tc>
          <w:tcPr>
            <w:tcW w:w="0" w:type="dxa"/>
            <w:vAlign w:val="bottom"/>
          </w:tcPr>
          <w:p>
            <w:pPr>
              <w:spacing w:after="0"/>
              <w:rPr>
                <w:sz w:val="1"/>
                <w:szCs w:val="1"/>
                <w:color w:val="auto"/>
              </w:rPr>
            </w:pPr>
          </w:p>
        </w:tc>
      </w:tr>
      <w:tr>
        <w:trPr>
          <w:trHeight w:val="221"/>
        </w:trPr>
        <w:tc>
          <w:tcPr>
            <w:tcW w:w="7740" w:type="dxa"/>
            <w:vAlign w:val="bottom"/>
            <w:gridSpan w:val="3"/>
          </w:tcPr>
          <w:p>
            <w:pPr>
              <w:spacing w:after="0"/>
              <w:rPr>
                <w:sz w:val="20"/>
                <w:szCs w:val="20"/>
                <w:color w:val="auto"/>
              </w:rPr>
            </w:pPr>
            <w:r>
              <w:rPr>
                <w:rFonts w:ascii="Arial" w:cs="Arial" w:eastAsia="Arial" w:hAnsi="Arial"/>
                <w:sz w:val="16"/>
                <w:szCs w:val="16"/>
                <w:color w:val="auto"/>
              </w:rPr>
              <w:t>Market risk benefits assets</w:t>
            </w: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285</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ind w:right="2"/>
              <w:spacing w:after="0"/>
              <w:rPr>
                <w:sz w:val="20"/>
                <w:szCs w:val="20"/>
                <w:color w:val="auto"/>
              </w:rPr>
            </w:pPr>
            <w:r>
              <w:rPr>
                <w:rFonts w:ascii="Arial" w:cs="Arial" w:eastAsia="Arial" w:hAnsi="Arial"/>
                <w:sz w:val="16"/>
                <w:szCs w:val="16"/>
                <w:color w:val="auto"/>
              </w:rPr>
              <w:t>189</w:t>
            </w:r>
          </w:p>
        </w:tc>
        <w:tc>
          <w:tcPr>
            <w:tcW w:w="0" w:type="dxa"/>
            <w:vAlign w:val="bottom"/>
          </w:tcPr>
          <w:p>
            <w:pPr>
              <w:spacing w:after="0"/>
              <w:rPr>
                <w:sz w:val="1"/>
                <w:szCs w:val="1"/>
                <w:color w:val="auto"/>
              </w:rPr>
            </w:pPr>
          </w:p>
        </w:tc>
      </w:tr>
      <w:tr>
        <w:trPr>
          <w:trHeight w:val="220"/>
        </w:trPr>
        <w:tc>
          <w:tcPr>
            <w:tcW w:w="7740" w:type="dxa"/>
            <w:vAlign w:val="bottom"/>
            <w:gridSpan w:val="3"/>
          </w:tcPr>
          <w:p>
            <w:pPr>
              <w:spacing w:after="0"/>
              <w:rPr>
                <w:sz w:val="20"/>
                <w:szCs w:val="20"/>
                <w:color w:val="auto"/>
              </w:rPr>
            </w:pPr>
            <w:r>
              <w:rPr>
                <w:rFonts w:ascii="Arial" w:cs="Arial" w:eastAsia="Arial" w:hAnsi="Arial"/>
                <w:sz w:val="16"/>
                <w:szCs w:val="16"/>
                <w:color w:val="auto"/>
              </w:rPr>
              <w:t>Lease assets</w:t>
            </w: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336</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ind w:right="2"/>
              <w:spacing w:after="0"/>
              <w:rPr>
                <w:sz w:val="20"/>
                <w:szCs w:val="20"/>
                <w:color w:val="auto"/>
              </w:rPr>
            </w:pPr>
            <w:r>
              <w:rPr>
                <w:rFonts w:ascii="Arial" w:cs="Arial" w:eastAsia="Arial" w:hAnsi="Arial"/>
                <w:sz w:val="16"/>
                <w:szCs w:val="16"/>
                <w:color w:val="auto"/>
              </w:rPr>
              <w:t>351</w:t>
            </w:r>
          </w:p>
        </w:tc>
        <w:tc>
          <w:tcPr>
            <w:tcW w:w="0" w:type="dxa"/>
            <w:vAlign w:val="bottom"/>
          </w:tcPr>
          <w:p>
            <w:pPr>
              <w:spacing w:after="0"/>
              <w:rPr>
                <w:sz w:val="1"/>
                <w:szCs w:val="1"/>
                <w:color w:val="auto"/>
              </w:rPr>
            </w:pPr>
          </w:p>
        </w:tc>
      </w:tr>
      <w:tr>
        <w:trPr>
          <w:trHeight w:val="220"/>
        </w:trPr>
        <w:tc>
          <w:tcPr>
            <w:tcW w:w="7740" w:type="dxa"/>
            <w:vAlign w:val="bottom"/>
            <w:gridSpan w:val="3"/>
          </w:tcPr>
          <w:p>
            <w:pPr>
              <w:spacing w:after="0"/>
              <w:rPr>
                <w:sz w:val="20"/>
                <w:szCs w:val="20"/>
                <w:color w:val="auto"/>
              </w:rPr>
            </w:pPr>
            <w:r>
              <w:rPr>
                <w:rFonts w:ascii="Arial" w:cs="Arial" w:eastAsia="Arial" w:hAnsi="Arial"/>
                <w:sz w:val="16"/>
                <w:szCs w:val="16"/>
                <w:color w:val="auto"/>
              </w:rPr>
              <w:t>Other intangible assets, net</w:t>
            </w: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6,641</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ind w:right="2"/>
              <w:spacing w:after="0"/>
              <w:rPr>
                <w:sz w:val="20"/>
                <w:szCs w:val="20"/>
                <w:color w:val="auto"/>
              </w:rPr>
            </w:pPr>
            <w:r>
              <w:rPr>
                <w:rFonts w:ascii="Arial" w:cs="Arial" w:eastAsia="Arial" w:hAnsi="Arial"/>
                <w:sz w:val="16"/>
                <w:szCs w:val="16"/>
                <w:color w:val="auto"/>
              </w:rPr>
              <w:t>5,976</w:t>
            </w:r>
          </w:p>
        </w:tc>
        <w:tc>
          <w:tcPr>
            <w:tcW w:w="0" w:type="dxa"/>
            <w:vAlign w:val="bottom"/>
          </w:tcPr>
          <w:p>
            <w:pPr>
              <w:spacing w:after="0"/>
              <w:rPr>
                <w:sz w:val="1"/>
                <w:szCs w:val="1"/>
                <w:color w:val="auto"/>
              </w:rPr>
            </w:pPr>
          </w:p>
        </w:tc>
      </w:tr>
      <w:tr>
        <w:trPr>
          <w:trHeight w:val="220"/>
        </w:trPr>
        <w:tc>
          <w:tcPr>
            <w:tcW w:w="7740" w:type="dxa"/>
            <w:vAlign w:val="bottom"/>
            <w:gridSpan w:val="3"/>
          </w:tcPr>
          <w:p>
            <w:pPr>
              <w:spacing w:after="0"/>
              <w:rPr>
                <w:sz w:val="20"/>
                <w:szCs w:val="20"/>
                <w:color w:val="auto"/>
              </w:rPr>
            </w:pPr>
            <w:r>
              <w:rPr>
                <w:rFonts w:ascii="Arial" w:cs="Arial" w:eastAsia="Arial" w:hAnsi="Arial"/>
                <w:sz w:val="16"/>
                <w:szCs w:val="16"/>
                <w:color w:val="auto"/>
              </w:rPr>
              <w:t>Title plants</w:t>
            </w: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424</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ind w:right="2"/>
              <w:spacing w:after="0"/>
              <w:rPr>
                <w:sz w:val="20"/>
                <w:szCs w:val="20"/>
                <w:color w:val="auto"/>
              </w:rPr>
            </w:pPr>
            <w:r>
              <w:rPr>
                <w:rFonts w:ascii="Arial" w:cs="Arial" w:eastAsia="Arial" w:hAnsi="Arial"/>
                <w:sz w:val="16"/>
                <w:szCs w:val="16"/>
                <w:color w:val="auto"/>
              </w:rPr>
              <w:t>420</w:t>
            </w:r>
          </w:p>
        </w:tc>
        <w:tc>
          <w:tcPr>
            <w:tcW w:w="0" w:type="dxa"/>
            <w:vAlign w:val="bottom"/>
          </w:tcPr>
          <w:p>
            <w:pPr>
              <w:spacing w:after="0"/>
              <w:rPr>
                <w:sz w:val="1"/>
                <w:szCs w:val="1"/>
                <w:color w:val="auto"/>
              </w:rPr>
            </w:pPr>
          </w:p>
        </w:tc>
      </w:tr>
      <w:tr>
        <w:trPr>
          <w:trHeight w:val="228"/>
        </w:trPr>
        <w:tc>
          <w:tcPr>
            <w:tcW w:w="7740" w:type="dxa"/>
            <w:vAlign w:val="bottom"/>
            <w:gridSpan w:val="3"/>
          </w:tcPr>
          <w:p>
            <w:pPr>
              <w:spacing w:after="0"/>
              <w:rPr>
                <w:sz w:val="20"/>
                <w:szCs w:val="20"/>
                <w:color w:val="auto"/>
              </w:rPr>
            </w:pPr>
            <w:r>
              <w:rPr>
                <w:rFonts w:ascii="Arial" w:cs="Arial" w:eastAsia="Arial" w:hAnsi="Arial"/>
                <w:sz w:val="16"/>
                <w:szCs w:val="16"/>
                <w:color w:val="auto"/>
              </w:rPr>
              <w:t>Property and equipment, net</w:t>
            </w: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189</w:t>
            </w:r>
          </w:p>
        </w:tc>
        <w:tc>
          <w:tcPr>
            <w:tcW w:w="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173</w:t>
            </w:r>
          </w:p>
        </w:tc>
        <w:tc>
          <w:tcPr>
            <w:tcW w:w="0" w:type="dxa"/>
            <w:vAlign w:val="bottom"/>
          </w:tcPr>
          <w:p>
            <w:pPr>
              <w:spacing w:after="0"/>
              <w:rPr>
                <w:sz w:val="1"/>
                <w:szCs w:val="1"/>
                <w:color w:val="auto"/>
              </w:rPr>
            </w:pPr>
          </w:p>
        </w:tc>
      </w:tr>
      <w:tr>
        <w:trPr>
          <w:trHeight w:val="181"/>
        </w:trPr>
        <w:tc>
          <w:tcPr>
            <w:tcW w:w="7740" w:type="dxa"/>
            <w:vAlign w:val="bottom"/>
            <w:gridSpan w:val="3"/>
          </w:tcPr>
          <w:p>
            <w:pPr>
              <w:ind w:left="520"/>
              <w:spacing w:after="0" w:line="181" w:lineRule="exact"/>
              <w:rPr>
                <w:sz w:val="20"/>
                <w:szCs w:val="20"/>
                <w:color w:val="auto"/>
              </w:rPr>
            </w:pPr>
            <w:r>
              <w:rPr>
                <w:rFonts w:ascii="Arial" w:cs="Arial" w:eastAsia="Arial" w:hAnsi="Arial"/>
                <w:sz w:val="16"/>
                <w:szCs w:val="16"/>
                <w:color w:val="auto"/>
              </w:rPr>
              <w:t>Total assets</w:t>
            </w:r>
          </w:p>
        </w:tc>
        <w:tc>
          <w:tcPr>
            <w:tcW w:w="280" w:type="dxa"/>
            <w:vAlign w:val="bottom"/>
            <w:tcBorders>
              <w:bottom w:val="single" w:sz="8" w:color="auto"/>
            </w:tcBorders>
          </w:tcPr>
          <w:p>
            <w:pPr>
              <w:jc w:val="right"/>
              <w:ind w:right="82"/>
              <w:spacing w:after="0" w:line="181" w:lineRule="exact"/>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spacing w:after="0" w:line="181" w:lineRule="exact"/>
              <w:rPr>
                <w:sz w:val="20"/>
                <w:szCs w:val="20"/>
                <w:color w:val="auto"/>
              </w:rPr>
            </w:pPr>
            <w:r>
              <w:rPr>
                <w:rFonts w:ascii="Arial" w:cs="Arial" w:eastAsia="Arial" w:hAnsi="Arial"/>
                <w:sz w:val="16"/>
                <w:szCs w:val="16"/>
                <w:color w:val="auto"/>
              </w:rPr>
              <w:t>109,014</w:t>
            </w:r>
          </w:p>
        </w:tc>
        <w:tc>
          <w:tcPr>
            <w:tcW w:w="80" w:type="dxa"/>
            <w:vAlign w:val="bottom"/>
          </w:tcPr>
          <w:p>
            <w:pPr>
              <w:spacing w:after="0"/>
              <w:rPr>
                <w:sz w:val="15"/>
                <w:szCs w:val="15"/>
                <w:color w:val="auto"/>
              </w:rPr>
            </w:pPr>
          </w:p>
        </w:tc>
        <w:tc>
          <w:tcPr>
            <w:tcW w:w="260" w:type="dxa"/>
            <w:vAlign w:val="bottom"/>
            <w:tcBorders>
              <w:bottom w:val="single" w:sz="8" w:color="auto"/>
            </w:tcBorders>
          </w:tcPr>
          <w:p>
            <w:pPr>
              <w:jc w:val="right"/>
              <w:ind w:right="62"/>
              <w:spacing w:after="0" w:line="181" w:lineRule="exact"/>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2"/>
              <w:spacing w:after="0" w:line="181" w:lineRule="exact"/>
              <w:rPr>
                <w:sz w:val="20"/>
                <w:szCs w:val="20"/>
                <w:color w:val="auto"/>
              </w:rPr>
            </w:pPr>
            <w:r>
              <w:rPr>
                <w:rFonts w:ascii="Arial" w:cs="Arial" w:eastAsia="Arial" w:hAnsi="Arial"/>
                <w:sz w:val="16"/>
                <w:szCs w:val="16"/>
                <w:color w:val="auto"/>
              </w:rPr>
              <w:t>95,263</w:t>
            </w:r>
          </w:p>
        </w:tc>
        <w:tc>
          <w:tcPr>
            <w:tcW w:w="0" w:type="dxa"/>
            <w:vAlign w:val="bottom"/>
          </w:tcPr>
          <w:p>
            <w:pPr>
              <w:spacing w:after="0"/>
              <w:rPr>
                <w:sz w:val="1"/>
                <w:szCs w:val="1"/>
                <w:color w:val="auto"/>
              </w:rPr>
            </w:pPr>
          </w:p>
        </w:tc>
      </w:tr>
      <w:tr>
        <w:trPr>
          <w:trHeight w:val="20"/>
        </w:trPr>
        <w:tc>
          <w:tcPr>
            <w:tcW w:w="7740" w:type="dxa"/>
            <w:vAlign w:val="bottom"/>
            <w:gridSpan w:val="3"/>
            <w:vMerge w:val="restart"/>
          </w:tcPr>
          <w:p>
            <w:pPr>
              <w:jc w:val="center"/>
              <w:ind w:left="2222"/>
              <w:spacing w:after="0"/>
              <w:rPr>
                <w:sz w:val="20"/>
                <w:szCs w:val="20"/>
                <w:color w:val="auto"/>
              </w:rPr>
            </w:pPr>
            <w:r>
              <w:rPr>
                <w:rFonts w:ascii="Arial" w:cs="Arial" w:eastAsia="Arial" w:hAnsi="Arial"/>
                <w:sz w:val="16"/>
                <w:szCs w:val="16"/>
                <w:b w:val="1"/>
                <w:bCs w:val="1"/>
                <w:color w:val="auto"/>
              </w:rPr>
              <w:t>LIABILITIES AND EQUITY</w:t>
            </w: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7740" w:type="dxa"/>
            <w:vAlign w:val="bottom"/>
            <w:gridSpan w:val="3"/>
            <w:vMerge w:val="continue"/>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0"/>
        </w:trPr>
        <w:tc>
          <w:tcPr>
            <w:tcW w:w="7740" w:type="dxa"/>
            <w:vAlign w:val="bottom"/>
            <w:gridSpan w:val="3"/>
          </w:tcPr>
          <w:p>
            <w:pPr>
              <w:spacing w:after="0"/>
              <w:rPr>
                <w:sz w:val="20"/>
                <w:szCs w:val="20"/>
                <w:color w:val="auto"/>
              </w:rPr>
            </w:pPr>
            <w:r>
              <w:rPr>
                <w:rFonts w:ascii="Arial" w:cs="Arial" w:eastAsia="Arial" w:hAnsi="Arial"/>
                <w:sz w:val="16"/>
                <w:szCs w:val="16"/>
                <w:color w:val="auto"/>
              </w:rPr>
              <w:t>Liabilities:</w:t>
            </w: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7740" w:type="dxa"/>
            <w:vAlign w:val="bottom"/>
            <w:gridSpan w:val="3"/>
          </w:tcPr>
          <w:p>
            <w:pPr>
              <w:spacing w:after="0"/>
              <w:rPr>
                <w:sz w:val="20"/>
                <w:szCs w:val="20"/>
                <w:color w:val="auto"/>
              </w:rPr>
            </w:pPr>
            <w:r>
              <w:rPr>
                <w:rFonts w:ascii="Arial" w:cs="Arial" w:eastAsia="Arial" w:hAnsi="Arial"/>
                <w:sz w:val="16"/>
                <w:szCs w:val="16"/>
                <w:color w:val="auto"/>
              </w:rPr>
              <w:t>Contractholder funds</w:t>
            </w:r>
          </w:p>
        </w:tc>
        <w:tc>
          <w:tcPr>
            <w:tcW w:w="280" w:type="dxa"/>
            <w:vAlign w:val="bottom"/>
          </w:tcPr>
          <w:p>
            <w:pPr>
              <w:jc w:val="right"/>
              <w:ind w:right="82"/>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62,726</w:t>
            </w:r>
          </w:p>
        </w:tc>
        <w:tc>
          <w:tcPr>
            <w:tcW w:w="340" w:type="dxa"/>
            <w:vAlign w:val="bottom"/>
            <w:gridSpan w:val="2"/>
          </w:tcPr>
          <w:p>
            <w:pPr>
              <w:jc w:val="right"/>
              <w:ind w:right="62"/>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2"/>
              <w:spacing w:after="0"/>
              <w:rPr>
                <w:sz w:val="20"/>
                <w:szCs w:val="20"/>
                <w:color w:val="auto"/>
              </w:rPr>
            </w:pPr>
            <w:r>
              <w:rPr>
                <w:rFonts w:ascii="Arial" w:cs="Arial" w:eastAsia="Arial" w:hAnsi="Arial"/>
                <w:sz w:val="16"/>
                <w:szCs w:val="16"/>
                <w:color w:val="auto"/>
              </w:rPr>
              <w:t>56,404</w:t>
            </w:r>
          </w:p>
        </w:tc>
        <w:tc>
          <w:tcPr>
            <w:tcW w:w="0" w:type="dxa"/>
            <w:vAlign w:val="bottom"/>
          </w:tcPr>
          <w:p>
            <w:pPr>
              <w:spacing w:after="0"/>
              <w:rPr>
                <w:sz w:val="1"/>
                <w:szCs w:val="1"/>
                <w:color w:val="auto"/>
              </w:rPr>
            </w:pPr>
          </w:p>
        </w:tc>
      </w:tr>
      <w:tr>
        <w:trPr>
          <w:trHeight w:val="220"/>
        </w:trPr>
        <w:tc>
          <w:tcPr>
            <w:tcW w:w="7740" w:type="dxa"/>
            <w:vAlign w:val="bottom"/>
            <w:gridSpan w:val="3"/>
          </w:tcPr>
          <w:p>
            <w:pPr>
              <w:spacing w:after="0"/>
              <w:rPr>
                <w:sz w:val="20"/>
                <w:szCs w:val="20"/>
                <w:color w:val="auto"/>
              </w:rPr>
            </w:pPr>
            <w:r>
              <w:rPr>
                <w:rFonts w:ascii="Arial" w:cs="Arial" w:eastAsia="Arial" w:hAnsi="Arial"/>
                <w:sz w:val="16"/>
                <w:szCs w:val="16"/>
                <w:color w:val="auto"/>
              </w:rPr>
              <w:t>Future policy benefits</w:t>
            </w: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10,755</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ind w:right="2"/>
              <w:spacing w:after="0"/>
              <w:rPr>
                <w:sz w:val="20"/>
                <w:szCs w:val="20"/>
                <w:color w:val="auto"/>
              </w:rPr>
            </w:pPr>
            <w:r>
              <w:rPr>
                <w:rFonts w:ascii="Arial" w:cs="Arial" w:eastAsia="Arial" w:hAnsi="Arial"/>
                <w:sz w:val="16"/>
                <w:szCs w:val="16"/>
                <w:color w:val="auto"/>
              </w:rPr>
              <w:t>8,749</w:t>
            </w:r>
          </w:p>
        </w:tc>
        <w:tc>
          <w:tcPr>
            <w:tcW w:w="0" w:type="dxa"/>
            <w:vAlign w:val="bottom"/>
          </w:tcPr>
          <w:p>
            <w:pPr>
              <w:spacing w:after="0"/>
              <w:rPr>
                <w:sz w:val="1"/>
                <w:szCs w:val="1"/>
                <w:color w:val="auto"/>
              </w:rPr>
            </w:pPr>
          </w:p>
        </w:tc>
      </w:tr>
      <w:tr>
        <w:trPr>
          <w:trHeight w:val="221"/>
        </w:trPr>
        <w:tc>
          <w:tcPr>
            <w:tcW w:w="7740" w:type="dxa"/>
            <w:vAlign w:val="bottom"/>
            <w:gridSpan w:val="3"/>
          </w:tcPr>
          <w:p>
            <w:pPr>
              <w:spacing w:after="0"/>
              <w:rPr>
                <w:sz w:val="20"/>
                <w:szCs w:val="20"/>
                <w:color w:val="auto"/>
              </w:rPr>
            </w:pPr>
            <w:r>
              <w:rPr>
                <w:rFonts w:ascii="Arial" w:cs="Arial" w:eastAsia="Arial" w:hAnsi="Arial"/>
                <w:sz w:val="16"/>
                <w:szCs w:val="16"/>
                <w:color w:val="auto"/>
              </w:rPr>
              <w:t>Accounts payable and accrued liabilities</w:t>
            </w: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3,828</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ind w:right="2"/>
              <w:spacing w:after="0"/>
              <w:rPr>
                <w:sz w:val="20"/>
                <w:szCs w:val="20"/>
                <w:color w:val="auto"/>
              </w:rPr>
            </w:pPr>
            <w:r>
              <w:rPr>
                <w:rFonts w:ascii="Arial" w:cs="Arial" w:eastAsia="Arial" w:hAnsi="Arial"/>
                <w:sz w:val="16"/>
                <w:szCs w:val="16"/>
                <w:color w:val="auto"/>
              </w:rPr>
              <w:t>3,249</w:t>
            </w:r>
          </w:p>
        </w:tc>
        <w:tc>
          <w:tcPr>
            <w:tcW w:w="0" w:type="dxa"/>
            <w:vAlign w:val="bottom"/>
          </w:tcPr>
          <w:p>
            <w:pPr>
              <w:spacing w:after="0"/>
              <w:rPr>
                <w:sz w:val="1"/>
                <w:szCs w:val="1"/>
                <w:color w:val="auto"/>
              </w:rPr>
            </w:pPr>
          </w:p>
        </w:tc>
      </w:tr>
      <w:tr>
        <w:trPr>
          <w:trHeight w:val="220"/>
        </w:trPr>
        <w:tc>
          <w:tcPr>
            <w:tcW w:w="7740" w:type="dxa"/>
            <w:vAlign w:val="bottom"/>
            <w:gridSpan w:val="3"/>
          </w:tcPr>
          <w:p>
            <w:pPr>
              <w:spacing w:after="0"/>
              <w:rPr>
                <w:sz w:val="20"/>
                <w:szCs w:val="20"/>
                <w:color w:val="auto"/>
              </w:rPr>
            </w:pPr>
            <w:r>
              <w:rPr>
                <w:rFonts w:ascii="Arial" w:cs="Arial" w:eastAsia="Arial" w:hAnsi="Arial"/>
                <w:sz w:val="16"/>
                <w:szCs w:val="16"/>
                <w:color w:val="auto"/>
              </w:rPr>
              <w:t>Market risk benefits liability</w:t>
            </w: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903</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ind w:right="2"/>
              <w:spacing w:after="0"/>
              <w:rPr>
                <w:sz w:val="20"/>
                <w:szCs w:val="20"/>
                <w:color w:val="auto"/>
              </w:rPr>
            </w:pPr>
            <w:r>
              <w:rPr>
                <w:rFonts w:ascii="Arial" w:cs="Arial" w:eastAsia="Arial" w:hAnsi="Arial"/>
                <w:sz w:val="16"/>
                <w:szCs w:val="16"/>
                <w:color w:val="auto"/>
              </w:rPr>
              <w:t>549</w:t>
            </w:r>
          </w:p>
        </w:tc>
        <w:tc>
          <w:tcPr>
            <w:tcW w:w="0" w:type="dxa"/>
            <w:vAlign w:val="bottom"/>
          </w:tcPr>
          <w:p>
            <w:pPr>
              <w:spacing w:after="0"/>
              <w:rPr>
                <w:sz w:val="1"/>
                <w:szCs w:val="1"/>
                <w:color w:val="auto"/>
              </w:rPr>
            </w:pPr>
          </w:p>
        </w:tc>
      </w:tr>
      <w:tr>
        <w:trPr>
          <w:trHeight w:val="220"/>
        </w:trPr>
        <w:tc>
          <w:tcPr>
            <w:tcW w:w="7740" w:type="dxa"/>
            <w:vAlign w:val="bottom"/>
            <w:gridSpan w:val="3"/>
          </w:tcPr>
          <w:p>
            <w:pPr>
              <w:spacing w:after="0"/>
              <w:rPr>
                <w:sz w:val="20"/>
                <w:szCs w:val="20"/>
                <w:color w:val="auto"/>
              </w:rPr>
            </w:pPr>
            <w:r>
              <w:rPr>
                <w:rFonts w:ascii="Arial" w:cs="Arial" w:eastAsia="Arial" w:hAnsi="Arial"/>
                <w:sz w:val="16"/>
                <w:szCs w:val="16"/>
                <w:color w:val="auto"/>
              </w:rPr>
              <w:t>Notes payable</w:t>
            </w: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4,400</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ind w:right="2"/>
              <w:spacing w:after="0"/>
              <w:rPr>
                <w:sz w:val="20"/>
                <w:szCs w:val="20"/>
                <w:color w:val="auto"/>
              </w:rPr>
            </w:pPr>
            <w:r>
              <w:rPr>
                <w:rFonts w:ascii="Arial" w:cs="Arial" w:eastAsia="Arial" w:hAnsi="Arial"/>
                <w:sz w:val="16"/>
                <w:szCs w:val="16"/>
                <w:color w:val="auto"/>
              </w:rPr>
              <w:t>4,321</w:t>
            </w:r>
          </w:p>
        </w:tc>
        <w:tc>
          <w:tcPr>
            <w:tcW w:w="0" w:type="dxa"/>
            <w:vAlign w:val="bottom"/>
          </w:tcPr>
          <w:p>
            <w:pPr>
              <w:spacing w:after="0"/>
              <w:rPr>
                <w:sz w:val="1"/>
                <w:szCs w:val="1"/>
                <w:color w:val="auto"/>
              </w:rPr>
            </w:pPr>
          </w:p>
        </w:tc>
      </w:tr>
      <w:tr>
        <w:trPr>
          <w:trHeight w:val="220"/>
        </w:trPr>
        <w:tc>
          <w:tcPr>
            <w:tcW w:w="7740" w:type="dxa"/>
            <w:vAlign w:val="bottom"/>
            <w:gridSpan w:val="3"/>
          </w:tcPr>
          <w:p>
            <w:pPr>
              <w:spacing w:after="0"/>
              <w:rPr>
                <w:sz w:val="20"/>
                <w:szCs w:val="20"/>
                <w:color w:val="auto"/>
              </w:rPr>
            </w:pPr>
            <w:r>
              <w:rPr>
                <w:rFonts w:ascii="Arial" w:cs="Arial" w:eastAsia="Arial" w:hAnsi="Arial"/>
                <w:sz w:val="16"/>
                <w:szCs w:val="16"/>
                <w:color w:val="auto"/>
              </w:rPr>
              <w:t>Reserve for title claim losses</w:t>
            </w: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1,700</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ind w:right="2"/>
              <w:spacing w:after="0"/>
              <w:rPr>
                <w:sz w:val="20"/>
                <w:szCs w:val="20"/>
                <w:color w:val="auto"/>
              </w:rPr>
            </w:pPr>
            <w:r>
              <w:rPr>
                <w:rFonts w:ascii="Arial" w:cs="Arial" w:eastAsia="Arial" w:hAnsi="Arial"/>
                <w:sz w:val="16"/>
                <w:szCs w:val="16"/>
                <w:color w:val="auto"/>
              </w:rPr>
              <w:t>1,713</w:t>
            </w:r>
          </w:p>
        </w:tc>
        <w:tc>
          <w:tcPr>
            <w:tcW w:w="0" w:type="dxa"/>
            <w:vAlign w:val="bottom"/>
          </w:tcPr>
          <w:p>
            <w:pPr>
              <w:spacing w:after="0"/>
              <w:rPr>
                <w:sz w:val="1"/>
                <w:szCs w:val="1"/>
                <w:color w:val="auto"/>
              </w:rPr>
            </w:pPr>
          </w:p>
        </w:tc>
      </w:tr>
      <w:tr>
        <w:trPr>
          <w:trHeight w:val="220"/>
        </w:trPr>
        <w:tc>
          <w:tcPr>
            <w:tcW w:w="7740" w:type="dxa"/>
            <w:vAlign w:val="bottom"/>
            <w:gridSpan w:val="3"/>
          </w:tcPr>
          <w:p>
            <w:pPr>
              <w:spacing w:after="0"/>
              <w:rPr>
                <w:sz w:val="20"/>
                <w:szCs w:val="20"/>
                <w:color w:val="auto"/>
              </w:rPr>
            </w:pPr>
            <w:r>
              <w:rPr>
                <w:rFonts w:ascii="Arial" w:cs="Arial" w:eastAsia="Arial" w:hAnsi="Arial"/>
                <w:sz w:val="16"/>
                <w:szCs w:val="16"/>
                <w:color w:val="auto"/>
              </w:rPr>
              <w:t>Funds withheld for reinsurance liabilities</w:t>
            </w: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14,191</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ind w:right="2"/>
              <w:spacing w:after="0"/>
              <w:rPr>
                <w:sz w:val="20"/>
                <w:szCs w:val="20"/>
                <w:color w:val="auto"/>
              </w:rPr>
            </w:pPr>
            <w:r>
              <w:rPr>
                <w:rFonts w:ascii="Arial" w:cs="Arial" w:eastAsia="Arial" w:hAnsi="Arial"/>
                <w:sz w:val="16"/>
                <w:szCs w:val="16"/>
                <w:color w:val="auto"/>
              </w:rPr>
              <w:t>10,758</w:t>
            </w:r>
          </w:p>
        </w:tc>
        <w:tc>
          <w:tcPr>
            <w:tcW w:w="0" w:type="dxa"/>
            <w:vAlign w:val="bottom"/>
          </w:tcPr>
          <w:p>
            <w:pPr>
              <w:spacing w:after="0"/>
              <w:rPr>
                <w:sz w:val="1"/>
                <w:szCs w:val="1"/>
                <w:color w:val="auto"/>
              </w:rPr>
            </w:pPr>
          </w:p>
        </w:tc>
      </w:tr>
      <w:tr>
        <w:trPr>
          <w:trHeight w:val="221"/>
        </w:trPr>
        <w:tc>
          <w:tcPr>
            <w:tcW w:w="7740" w:type="dxa"/>
            <w:vAlign w:val="bottom"/>
            <w:gridSpan w:val="3"/>
          </w:tcPr>
          <w:p>
            <w:pPr>
              <w:spacing w:after="0"/>
              <w:rPr>
                <w:sz w:val="20"/>
                <w:szCs w:val="20"/>
                <w:color w:val="auto"/>
              </w:rPr>
            </w:pPr>
            <w:r>
              <w:rPr>
                <w:rFonts w:ascii="Arial" w:cs="Arial" w:eastAsia="Arial" w:hAnsi="Arial"/>
                <w:sz w:val="16"/>
                <w:szCs w:val="16"/>
                <w:color w:val="auto"/>
              </w:rPr>
              <w:t>Secured trust deposits</w:t>
            </w: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731</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ind w:right="2"/>
              <w:spacing w:after="0"/>
              <w:rPr>
                <w:sz w:val="20"/>
                <w:szCs w:val="20"/>
                <w:color w:val="auto"/>
              </w:rPr>
            </w:pPr>
            <w:r>
              <w:rPr>
                <w:rFonts w:ascii="Arial" w:cs="Arial" w:eastAsia="Arial" w:hAnsi="Arial"/>
                <w:sz w:val="16"/>
                <w:szCs w:val="16"/>
                <w:color w:val="auto"/>
              </w:rPr>
              <w:t>551</w:t>
            </w:r>
          </w:p>
        </w:tc>
        <w:tc>
          <w:tcPr>
            <w:tcW w:w="0" w:type="dxa"/>
            <w:vAlign w:val="bottom"/>
          </w:tcPr>
          <w:p>
            <w:pPr>
              <w:spacing w:after="0"/>
              <w:rPr>
                <w:sz w:val="1"/>
                <w:szCs w:val="1"/>
                <w:color w:val="auto"/>
              </w:rPr>
            </w:pPr>
          </w:p>
        </w:tc>
      </w:tr>
      <w:tr>
        <w:trPr>
          <w:trHeight w:val="220"/>
        </w:trPr>
        <w:tc>
          <w:tcPr>
            <w:tcW w:w="7740" w:type="dxa"/>
            <w:vAlign w:val="bottom"/>
            <w:gridSpan w:val="3"/>
          </w:tcPr>
          <w:p>
            <w:pPr>
              <w:spacing w:after="0"/>
              <w:rPr>
                <w:sz w:val="20"/>
                <w:szCs w:val="20"/>
                <w:color w:val="auto"/>
              </w:rPr>
            </w:pPr>
            <w:r>
              <w:rPr>
                <w:rFonts w:ascii="Arial" w:cs="Arial" w:eastAsia="Arial" w:hAnsi="Arial"/>
                <w:sz w:val="16"/>
                <w:szCs w:val="16"/>
                <w:color w:val="auto"/>
              </w:rPr>
              <w:t>Lease liabilities</w:t>
            </w: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368</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ind w:right="2"/>
              <w:spacing w:after="0"/>
              <w:rPr>
                <w:sz w:val="20"/>
                <w:szCs w:val="20"/>
                <w:color w:val="auto"/>
              </w:rPr>
            </w:pPr>
            <w:r>
              <w:rPr>
                <w:rFonts w:ascii="Arial" w:cs="Arial" w:eastAsia="Arial" w:hAnsi="Arial"/>
                <w:sz w:val="16"/>
                <w:szCs w:val="16"/>
                <w:color w:val="auto"/>
              </w:rPr>
              <w:t>385</w:t>
            </w:r>
          </w:p>
        </w:tc>
        <w:tc>
          <w:tcPr>
            <w:tcW w:w="0" w:type="dxa"/>
            <w:vAlign w:val="bottom"/>
          </w:tcPr>
          <w:p>
            <w:pPr>
              <w:spacing w:after="0"/>
              <w:rPr>
                <w:sz w:val="1"/>
                <w:szCs w:val="1"/>
                <w:color w:val="auto"/>
              </w:rPr>
            </w:pPr>
          </w:p>
        </w:tc>
      </w:tr>
      <w:tr>
        <w:trPr>
          <w:trHeight w:val="220"/>
        </w:trPr>
        <w:tc>
          <w:tcPr>
            <w:tcW w:w="7740" w:type="dxa"/>
            <w:vAlign w:val="bottom"/>
            <w:gridSpan w:val="3"/>
          </w:tcPr>
          <w:p>
            <w:pPr>
              <w:spacing w:after="0"/>
              <w:rPr>
                <w:sz w:val="20"/>
                <w:szCs w:val="20"/>
                <w:color w:val="auto"/>
              </w:rPr>
            </w:pPr>
            <w:r>
              <w:rPr>
                <w:rFonts w:ascii="Arial" w:cs="Arial" w:eastAsia="Arial" w:hAnsi="Arial"/>
                <w:sz w:val="16"/>
                <w:szCs w:val="16"/>
                <w:color w:val="auto"/>
              </w:rPr>
              <w:t>Income taxes payable</w:t>
            </w: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ind w:right="2"/>
              <w:spacing w:after="0"/>
              <w:rPr>
                <w:sz w:val="20"/>
                <w:szCs w:val="20"/>
                <w:color w:val="auto"/>
              </w:rPr>
            </w:pPr>
            <w:r>
              <w:rPr>
                <w:rFonts w:ascii="Arial" w:cs="Arial" w:eastAsia="Arial" w:hAnsi="Arial"/>
                <w:sz w:val="16"/>
                <w:szCs w:val="16"/>
                <w:color w:val="auto"/>
              </w:rPr>
              <w:t>52</w:t>
            </w:r>
          </w:p>
        </w:tc>
        <w:tc>
          <w:tcPr>
            <w:tcW w:w="0" w:type="dxa"/>
            <w:vAlign w:val="bottom"/>
          </w:tcPr>
          <w:p>
            <w:pPr>
              <w:spacing w:after="0"/>
              <w:rPr>
                <w:sz w:val="1"/>
                <w:szCs w:val="1"/>
                <w:color w:val="auto"/>
              </w:rPr>
            </w:pPr>
          </w:p>
        </w:tc>
      </w:tr>
      <w:tr>
        <w:trPr>
          <w:trHeight w:val="228"/>
        </w:trPr>
        <w:tc>
          <w:tcPr>
            <w:tcW w:w="7740" w:type="dxa"/>
            <w:vAlign w:val="bottom"/>
            <w:gridSpan w:val="3"/>
          </w:tcPr>
          <w:p>
            <w:pPr>
              <w:spacing w:after="0"/>
              <w:rPr>
                <w:sz w:val="20"/>
                <w:szCs w:val="20"/>
                <w:color w:val="auto"/>
              </w:rPr>
            </w:pPr>
            <w:r>
              <w:rPr>
                <w:rFonts w:ascii="Arial" w:cs="Arial" w:eastAsia="Arial" w:hAnsi="Arial"/>
                <w:sz w:val="16"/>
                <w:szCs w:val="16"/>
                <w:color w:val="auto"/>
              </w:rPr>
              <w:t>Deferred tax liability</w:t>
            </w: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439</w:t>
            </w:r>
          </w:p>
        </w:tc>
        <w:tc>
          <w:tcPr>
            <w:tcW w:w="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4"/>
        </w:trPr>
        <w:tc>
          <w:tcPr>
            <w:tcW w:w="7740" w:type="dxa"/>
            <w:vAlign w:val="bottom"/>
            <w:gridSpan w:val="3"/>
          </w:tcPr>
          <w:p>
            <w:pPr>
              <w:ind w:left="520"/>
              <w:spacing w:after="0"/>
              <w:rPr>
                <w:sz w:val="20"/>
                <w:szCs w:val="20"/>
                <w:color w:val="auto"/>
              </w:rPr>
            </w:pPr>
            <w:r>
              <w:rPr>
                <w:rFonts w:ascii="Arial" w:cs="Arial" w:eastAsia="Arial" w:hAnsi="Arial"/>
                <w:sz w:val="16"/>
                <w:szCs w:val="16"/>
                <w:color w:val="auto"/>
              </w:rPr>
              <w:t>Total liabilities</w:t>
            </w:r>
          </w:p>
        </w:tc>
        <w:tc>
          <w:tcPr>
            <w:tcW w:w="2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100,042</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ind w:right="2"/>
              <w:spacing w:after="0"/>
              <w:rPr>
                <w:sz w:val="20"/>
                <w:szCs w:val="20"/>
                <w:color w:val="auto"/>
              </w:rPr>
            </w:pPr>
            <w:r>
              <w:rPr>
                <w:rFonts w:ascii="Arial" w:cs="Arial" w:eastAsia="Arial" w:hAnsi="Arial"/>
                <w:sz w:val="16"/>
                <w:szCs w:val="16"/>
                <w:color w:val="auto"/>
              </w:rPr>
              <w:t>86,731</w:t>
            </w:r>
          </w:p>
        </w:tc>
        <w:tc>
          <w:tcPr>
            <w:tcW w:w="0" w:type="dxa"/>
            <w:vAlign w:val="bottom"/>
          </w:tcPr>
          <w:p>
            <w:pPr>
              <w:spacing w:after="0"/>
              <w:rPr>
                <w:sz w:val="1"/>
                <w:szCs w:val="1"/>
                <w:color w:val="auto"/>
              </w:rPr>
            </w:pPr>
          </w:p>
        </w:tc>
      </w:tr>
      <w:tr>
        <w:trPr>
          <w:trHeight w:val="207"/>
        </w:trPr>
        <w:tc>
          <w:tcPr>
            <w:tcW w:w="7740" w:type="dxa"/>
            <w:vAlign w:val="bottom"/>
            <w:gridSpan w:val="3"/>
          </w:tcPr>
          <w:p>
            <w:pPr>
              <w:spacing w:after="0"/>
              <w:rPr>
                <w:sz w:val="20"/>
                <w:szCs w:val="20"/>
                <w:color w:val="auto"/>
              </w:rPr>
            </w:pPr>
            <w:r>
              <w:rPr>
                <w:rFonts w:ascii="Arial" w:cs="Arial" w:eastAsia="Arial" w:hAnsi="Arial"/>
                <w:sz w:val="16"/>
                <w:szCs w:val="16"/>
                <w:color w:val="auto"/>
              </w:rPr>
              <w:t>Equity:</w:t>
            </w: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7740" w:type="dxa"/>
            <w:vAlign w:val="bottom"/>
            <w:gridSpan w:val="3"/>
          </w:tcPr>
          <w:p>
            <w:pPr>
              <w:ind w:left="220"/>
              <w:spacing w:after="0" w:line="158" w:lineRule="exact"/>
              <w:rPr>
                <w:sz w:val="20"/>
                <w:szCs w:val="20"/>
                <w:color w:val="auto"/>
              </w:rPr>
            </w:pPr>
            <w:r>
              <w:rPr>
                <w:rFonts w:ascii="Arial" w:cs="Arial" w:eastAsia="Arial" w:hAnsi="Arial"/>
                <w:sz w:val="16"/>
                <w:szCs w:val="16"/>
                <w:color w:val="auto"/>
                <w:w w:val="94"/>
              </w:rPr>
              <w:t>FNF common stock, $0.0001 par value; authorized 600 shares as of December 31, 2025 and 2024, respectively;</w:t>
            </w:r>
          </w:p>
        </w:tc>
        <w:tc>
          <w:tcPr>
            <w:tcW w:w="2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7740" w:type="dxa"/>
            <w:vAlign w:val="bottom"/>
            <w:gridSpan w:val="3"/>
          </w:tcPr>
          <w:p>
            <w:pPr>
              <w:ind w:left="220"/>
              <w:spacing w:after="0" w:line="157" w:lineRule="exact"/>
              <w:rPr>
                <w:sz w:val="20"/>
                <w:szCs w:val="20"/>
                <w:color w:val="auto"/>
              </w:rPr>
            </w:pPr>
            <w:r>
              <w:rPr>
                <w:rFonts w:ascii="Arial" w:cs="Arial" w:eastAsia="Arial" w:hAnsi="Arial"/>
                <w:sz w:val="16"/>
                <w:szCs w:val="16"/>
                <w:color w:val="auto"/>
                <w:w w:val="96"/>
              </w:rPr>
              <w:t>outstanding of 271 and 275 as of December 31, 2025 and 2024, respectively, and issued of 332 and 331 as of</w:t>
            </w:r>
          </w:p>
        </w:tc>
        <w:tc>
          <w:tcPr>
            <w:tcW w:w="280" w:type="dxa"/>
            <w:vAlign w:val="bottom"/>
          </w:tcPr>
          <w:p>
            <w:pPr>
              <w:spacing w:after="0"/>
              <w:rPr>
                <w:sz w:val="13"/>
                <w:szCs w:val="13"/>
                <w:color w:val="auto"/>
              </w:rPr>
            </w:pP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vMerge w:val="restart"/>
          </w:tcPr>
          <w:p>
            <w:pPr>
              <w:jc w:val="right"/>
              <w:ind w:right="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4"/>
        </w:trPr>
        <w:tc>
          <w:tcPr>
            <w:tcW w:w="7740" w:type="dxa"/>
            <w:vAlign w:val="bottom"/>
            <w:gridSpan w:val="3"/>
          </w:tcPr>
          <w:p>
            <w:pPr>
              <w:ind w:left="220"/>
              <w:spacing w:after="0"/>
              <w:rPr>
                <w:sz w:val="20"/>
                <w:szCs w:val="20"/>
                <w:color w:val="auto"/>
              </w:rPr>
            </w:pPr>
            <w:r>
              <w:rPr>
                <w:rFonts w:ascii="Arial" w:cs="Arial" w:eastAsia="Arial" w:hAnsi="Arial"/>
                <w:sz w:val="16"/>
                <w:szCs w:val="16"/>
                <w:color w:val="auto"/>
              </w:rPr>
              <w:t>December 31, 2025 and 2024, respectively</w:t>
            </w:r>
          </w:p>
        </w:tc>
        <w:tc>
          <w:tcPr>
            <w:tcW w:w="280" w:type="dxa"/>
            <w:vAlign w:val="bottom"/>
          </w:tcPr>
          <w:p>
            <w:pPr>
              <w:spacing w:after="0"/>
              <w:rPr>
                <w:sz w:val="17"/>
                <w:szCs w:val="17"/>
                <w:color w:val="auto"/>
              </w:rPr>
            </w:pPr>
          </w:p>
        </w:tc>
        <w:tc>
          <w:tcPr>
            <w:tcW w:w="86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740" w:type="dxa"/>
            <w:vAlign w:val="bottom"/>
            <w:gridSpan w:val="3"/>
          </w:tcPr>
          <w:p>
            <w:pPr>
              <w:ind w:left="220"/>
              <w:spacing w:after="0"/>
              <w:rPr>
                <w:sz w:val="20"/>
                <w:szCs w:val="20"/>
                <w:color w:val="auto"/>
              </w:rPr>
            </w:pPr>
            <w:r>
              <w:rPr>
                <w:rFonts w:ascii="Arial" w:cs="Arial" w:eastAsia="Arial" w:hAnsi="Arial"/>
                <w:sz w:val="16"/>
                <w:szCs w:val="16"/>
                <w:color w:val="auto"/>
              </w:rPr>
              <w:t>Preferred stock, $0.0001 par value; authorized 50 shares; issued and outstanding, none</w:t>
            </w:r>
          </w:p>
        </w:tc>
        <w:tc>
          <w:tcPr>
            <w:tcW w:w="2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5"/>
        </w:trPr>
        <w:tc>
          <w:tcPr>
            <w:tcW w:w="7740" w:type="dxa"/>
            <w:vAlign w:val="bottom"/>
            <w:gridSpan w:val="3"/>
          </w:tcPr>
          <w:p>
            <w:pPr>
              <w:ind w:left="220"/>
              <w:spacing w:after="0"/>
              <w:rPr>
                <w:sz w:val="20"/>
                <w:szCs w:val="20"/>
                <w:color w:val="auto"/>
              </w:rPr>
            </w:pPr>
            <w:r>
              <w:rPr>
                <w:rFonts w:ascii="Arial" w:cs="Arial" w:eastAsia="Arial" w:hAnsi="Arial"/>
                <w:sz w:val="16"/>
                <w:szCs w:val="16"/>
                <w:color w:val="auto"/>
              </w:rPr>
              <w:t>Additional paid-in capital</w:t>
            </w:r>
          </w:p>
        </w:tc>
        <w:tc>
          <w:tcPr>
            <w:tcW w:w="2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6,042</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2"/>
              <w:spacing w:after="0"/>
              <w:rPr>
                <w:sz w:val="20"/>
                <w:szCs w:val="20"/>
                <w:color w:val="auto"/>
              </w:rPr>
            </w:pPr>
            <w:r>
              <w:rPr>
                <w:rFonts w:ascii="Arial" w:cs="Arial" w:eastAsia="Arial" w:hAnsi="Arial"/>
                <w:sz w:val="16"/>
                <w:szCs w:val="16"/>
                <w:color w:val="auto"/>
              </w:rPr>
              <w:t>5,976</w:t>
            </w:r>
          </w:p>
        </w:tc>
        <w:tc>
          <w:tcPr>
            <w:tcW w:w="0" w:type="dxa"/>
            <w:vAlign w:val="bottom"/>
          </w:tcPr>
          <w:p>
            <w:pPr>
              <w:spacing w:after="0"/>
              <w:rPr>
                <w:sz w:val="1"/>
                <w:szCs w:val="1"/>
                <w:color w:val="auto"/>
              </w:rPr>
            </w:pPr>
          </w:p>
        </w:tc>
      </w:tr>
      <w:tr>
        <w:trPr>
          <w:trHeight w:val="235"/>
        </w:trPr>
        <w:tc>
          <w:tcPr>
            <w:tcW w:w="7740" w:type="dxa"/>
            <w:vAlign w:val="bottom"/>
            <w:gridSpan w:val="3"/>
          </w:tcPr>
          <w:p>
            <w:pPr>
              <w:ind w:left="220"/>
              <w:spacing w:after="0"/>
              <w:rPr>
                <w:sz w:val="20"/>
                <w:szCs w:val="20"/>
                <w:color w:val="auto"/>
              </w:rPr>
            </w:pPr>
            <w:r>
              <w:rPr>
                <w:rFonts w:ascii="Arial" w:cs="Arial" w:eastAsia="Arial" w:hAnsi="Arial"/>
                <w:sz w:val="16"/>
                <w:szCs w:val="16"/>
                <w:color w:val="auto"/>
              </w:rPr>
              <w:t>Retained earnings</w:t>
            </w:r>
          </w:p>
        </w:tc>
        <w:tc>
          <w:tcPr>
            <w:tcW w:w="2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5,484</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2"/>
              <w:spacing w:after="0"/>
              <w:rPr>
                <w:sz w:val="20"/>
                <w:szCs w:val="20"/>
                <w:color w:val="auto"/>
              </w:rPr>
            </w:pPr>
            <w:r>
              <w:rPr>
                <w:rFonts w:ascii="Arial" w:cs="Arial" w:eastAsia="Arial" w:hAnsi="Arial"/>
                <w:sz w:val="16"/>
                <w:szCs w:val="16"/>
                <w:color w:val="auto"/>
              </w:rPr>
              <w:t>5,982</w:t>
            </w:r>
          </w:p>
        </w:tc>
        <w:tc>
          <w:tcPr>
            <w:tcW w:w="0" w:type="dxa"/>
            <w:vAlign w:val="bottom"/>
          </w:tcPr>
          <w:p>
            <w:pPr>
              <w:spacing w:after="0"/>
              <w:rPr>
                <w:sz w:val="1"/>
                <w:szCs w:val="1"/>
                <w:color w:val="auto"/>
              </w:rPr>
            </w:pPr>
          </w:p>
        </w:tc>
      </w:tr>
      <w:tr>
        <w:trPr>
          <w:trHeight w:val="235"/>
        </w:trPr>
        <w:tc>
          <w:tcPr>
            <w:tcW w:w="7740" w:type="dxa"/>
            <w:vAlign w:val="bottom"/>
            <w:gridSpan w:val="3"/>
          </w:tcPr>
          <w:p>
            <w:pPr>
              <w:ind w:left="220"/>
              <w:spacing w:after="0"/>
              <w:rPr>
                <w:sz w:val="20"/>
                <w:szCs w:val="20"/>
                <w:color w:val="auto"/>
              </w:rPr>
            </w:pPr>
            <w:r>
              <w:rPr>
                <w:rFonts w:ascii="Arial" w:cs="Arial" w:eastAsia="Arial" w:hAnsi="Arial"/>
                <w:sz w:val="16"/>
                <w:szCs w:val="16"/>
                <w:color w:val="auto"/>
              </w:rPr>
              <w:t>Accumulated other comprehensive earnings</w:t>
            </w:r>
          </w:p>
        </w:tc>
        <w:tc>
          <w:tcPr>
            <w:tcW w:w="2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(1,678)</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(2,052)</w:t>
            </w:r>
          </w:p>
        </w:tc>
        <w:tc>
          <w:tcPr>
            <w:tcW w:w="0" w:type="dxa"/>
            <w:vAlign w:val="bottom"/>
          </w:tcPr>
          <w:p>
            <w:pPr>
              <w:spacing w:after="0"/>
              <w:rPr>
                <w:sz w:val="1"/>
                <w:szCs w:val="1"/>
                <w:color w:val="auto"/>
              </w:rPr>
            </w:pPr>
          </w:p>
        </w:tc>
      </w:tr>
      <w:tr>
        <w:trPr>
          <w:trHeight w:val="262"/>
        </w:trPr>
        <w:tc>
          <w:tcPr>
            <w:tcW w:w="7740" w:type="dxa"/>
            <w:vAlign w:val="bottom"/>
            <w:gridSpan w:val="3"/>
          </w:tcPr>
          <w:p>
            <w:pPr>
              <w:ind w:left="220"/>
              <w:spacing w:after="0"/>
              <w:rPr>
                <w:sz w:val="20"/>
                <w:szCs w:val="20"/>
                <w:color w:val="auto"/>
              </w:rPr>
            </w:pPr>
            <w:r>
              <w:rPr>
                <w:rFonts w:ascii="Arial" w:cs="Arial" w:eastAsia="Arial" w:hAnsi="Arial"/>
                <w:sz w:val="16"/>
                <w:szCs w:val="16"/>
                <w:color w:val="auto"/>
              </w:rPr>
              <w:t>Less: Treasury stock, 61 and 56 shares as of December 31, 2025 and 2024, at cost</w:t>
            </w: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(2,424)</w:t>
            </w:r>
          </w:p>
        </w:tc>
        <w:tc>
          <w:tcPr>
            <w:tcW w:w="8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(2,152)</w:t>
            </w:r>
          </w:p>
        </w:tc>
        <w:tc>
          <w:tcPr>
            <w:tcW w:w="0" w:type="dxa"/>
            <w:vAlign w:val="bottom"/>
          </w:tcPr>
          <w:p>
            <w:pPr>
              <w:spacing w:after="0"/>
              <w:rPr>
                <w:sz w:val="1"/>
                <w:szCs w:val="1"/>
                <w:color w:val="auto"/>
              </w:rPr>
            </w:pPr>
          </w:p>
        </w:tc>
      </w:tr>
      <w:tr>
        <w:trPr>
          <w:trHeight w:val="188"/>
        </w:trPr>
        <w:tc>
          <w:tcPr>
            <w:tcW w:w="7740" w:type="dxa"/>
            <w:vAlign w:val="bottom"/>
            <w:gridSpan w:val="3"/>
          </w:tcPr>
          <w:p>
            <w:pPr>
              <w:ind w:left="520"/>
              <w:spacing w:after="0"/>
              <w:rPr>
                <w:sz w:val="20"/>
                <w:szCs w:val="20"/>
                <w:color w:val="auto"/>
              </w:rPr>
            </w:pPr>
            <w:r>
              <w:rPr>
                <w:rFonts w:ascii="Arial" w:cs="Arial" w:eastAsia="Arial" w:hAnsi="Arial"/>
                <w:sz w:val="16"/>
                <w:szCs w:val="16"/>
                <w:color w:val="auto"/>
              </w:rPr>
              <w:t>Total Fidelity National Financial, Inc. shareholders’ equity</w:t>
            </w:r>
          </w:p>
        </w:tc>
        <w:tc>
          <w:tcPr>
            <w:tcW w:w="2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7,424</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ind w:right="2"/>
              <w:spacing w:after="0"/>
              <w:rPr>
                <w:sz w:val="20"/>
                <w:szCs w:val="20"/>
                <w:color w:val="auto"/>
              </w:rPr>
            </w:pPr>
            <w:r>
              <w:rPr>
                <w:rFonts w:ascii="Arial" w:cs="Arial" w:eastAsia="Arial" w:hAnsi="Arial"/>
                <w:sz w:val="16"/>
                <w:szCs w:val="16"/>
                <w:color w:val="auto"/>
              </w:rPr>
              <w:t>7,754</w:t>
            </w:r>
          </w:p>
        </w:tc>
        <w:tc>
          <w:tcPr>
            <w:tcW w:w="0" w:type="dxa"/>
            <w:vAlign w:val="bottom"/>
          </w:tcPr>
          <w:p>
            <w:pPr>
              <w:spacing w:after="0"/>
              <w:rPr>
                <w:sz w:val="1"/>
                <w:szCs w:val="1"/>
                <w:color w:val="auto"/>
              </w:rPr>
            </w:pPr>
          </w:p>
        </w:tc>
      </w:tr>
      <w:tr>
        <w:trPr>
          <w:trHeight w:val="242"/>
        </w:trPr>
        <w:tc>
          <w:tcPr>
            <w:tcW w:w="7740" w:type="dxa"/>
            <w:vAlign w:val="bottom"/>
            <w:gridSpan w:val="3"/>
          </w:tcPr>
          <w:p>
            <w:pPr>
              <w:ind w:left="220"/>
              <w:spacing w:after="0"/>
              <w:rPr>
                <w:sz w:val="20"/>
                <w:szCs w:val="20"/>
                <w:color w:val="auto"/>
              </w:rPr>
            </w:pPr>
            <w:r>
              <w:rPr>
                <w:rFonts w:ascii="Arial" w:cs="Arial" w:eastAsia="Arial" w:hAnsi="Arial"/>
                <w:sz w:val="16"/>
                <w:szCs w:val="16"/>
                <w:color w:val="auto"/>
              </w:rPr>
              <w:t>Non-controlling interests</w:t>
            </w:r>
          </w:p>
        </w:tc>
        <w:tc>
          <w:tcPr>
            <w:tcW w:w="28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1,548</w:t>
            </w:r>
          </w:p>
        </w:tc>
        <w:tc>
          <w:tcPr>
            <w:tcW w:w="8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778</w:t>
            </w:r>
          </w:p>
        </w:tc>
        <w:tc>
          <w:tcPr>
            <w:tcW w:w="0" w:type="dxa"/>
            <w:vAlign w:val="bottom"/>
          </w:tcPr>
          <w:p>
            <w:pPr>
              <w:spacing w:after="0"/>
              <w:rPr>
                <w:sz w:val="1"/>
                <w:szCs w:val="1"/>
                <w:color w:val="auto"/>
              </w:rPr>
            </w:pPr>
          </w:p>
        </w:tc>
      </w:tr>
      <w:tr>
        <w:trPr>
          <w:trHeight w:val="215"/>
        </w:trPr>
        <w:tc>
          <w:tcPr>
            <w:tcW w:w="7740" w:type="dxa"/>
            <w:vAlign w:val="bottom"/>
            <w:gridSpan w:val="3"/>
          </w:tcPr>
          <w:p>
            <w:pPr>
              <w:ind w:left="520"/>
              <w:spacing w:after="0"/>
              <w:rPr>
                <w:sz w:val="20"/>
                <w:szCs w:val="20"/>
                <w:color w:val="auto"/>
              </w:rPr>
            </w:pPr>
            <w:r>
              <w:rPr>
                <w:rFonts w:ascii="Arial" w:cs="Arial" w:eastAsia="Arial" w:hAnsi="Arial"/>
                <w:sz w:val="16"/>
                <w:szCs w:val="16"/>
                <w:color w:val="auto"/>
              </w:rPr>
              <w:t>Total equity</w:t>
            </w:r>
          </w:p>
        </w:tc>
        <w:tc>
          <w:tcPr>
            <w:tcW w:w="2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8,972</w:t>
            </w:r>
          </w:p>
        </w:tc>
        <w:tc>
          <w:tcPr>
            <w:tcW w:w="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8,532</w:t>
            </w:r>
          </w:p>
        </w:tc>
        <w:tc>
          <w:tcPr>
            <w:tcW w:w="0" w:type="dxa"/>
            <w:vAlign w:val="bottom"/>
          </w:tcPr>
          <w:p>
            <w:pPr>
              <w:spacing w:after="0"/>
              <w:rPr>
                <w:sz w:val="1"/>
                <w:szCs w:val="1"/>
                <w:color w:val="auto"/>
              </w:rPr>
            </w:pPr>
          </w:p>
        </w:tc>
      </w:tr>
      <w:tr>
        <w:trPr>
          <w:trHeight w:val="196"/>
        </w:trPr>
        <w:tc>
          <w:tcPr>
            <w:tcW w:w="7740" w:type="dxa"/>
            <w:vAlign w:val="bottom"/>
            <w:gridSpan w:val="3"/>
          </w:tcPr>
          <w:p>
            <w:pPr>
              <w:ind w:left="520"/>
              <w:spacing w:after="0"/>
              <w:rPr>
                <w:sz w:val="20"/>
                <w:szCs w:val="20"/>
                <w:color w:val="auto"/>
              </w:rPr>
            </w:pPr>
            <w:r>
              <w:rPr>
                <w:rFonts w:ascii="Arial" w:cs="Arial" w:eastAsia="Arial" w:hAnsi="Arial"/>
                <w:sz w:val="16"/>
                <w:szCs w:val="16"/>
                <w:color w:val="auto"/>
              </w:rPr>
              <w:t>Total liabilities and equity</w:t>
            </w:r>
          </w:p>
        </w:tc>
        <w:tc>
          <w:tcPr>
            <w:tcW w:w="280" w:type="dxa"/>
            <w:vAlign w:val="bottom"/>
          </w:tcPr>
          <w:p>
            <w:pPr>
              <w:jc w:val="right"/>
              <w:ind w:right="82"/>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109,014</w:t>
            </w:r>
          </w:p>
        </w:tc>
        <w:tc>
          <w:tcPr>
            <w:tcW w:w="340" w:type="dxa"/>
            <w:vAlign w:val="bottom"/>
            <w:gridSpan w:val="2"/>
          </w:tcPr>
          <w:p>
            <w:pPr>
              <w:jc w:val="right"/>
              <w:ind w:right="62"/>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2"/>
              <w:spacing w:after="0"/>
              <w:rPr>
                <w:sz w:val="20"/>
                <w:szCs w:val="20"/>
                <w:color w:val="auto"/>
              </w:rPr>
            </w:pPr>
            <w:r>
              <w:rPr>
                <w:rFonts w:ascii="Arial" w:cs="Arial" w:eastAsia="Arial" w:hAnsi="Arial"/>
                <w:sz w:val="16"/>
                <w:szCs w:val="16"/>
                <w:color w:val="auto"/>
              </w:rPr>
              <w:t>95,263</w:t>
            </w:r>
          </w:p>
        </w:tc>
        <w:tc>
          <w:tcPr>
            <w:tcW w:w="0" w:type="dxa"/>
            <w:vAlign w:val="bottom"/>
          </w:tcPr>
          <w:p>
            <w:pPr>
              <w:spacing w:after="0"/>
              <w:rPr>
                <w:sz w:val="1"/>
                <w:szCs w:val="1"/>
                <w:color w:val="auto"/>
              </w:rPr>
            </w:pPr>
          </w:p>
        </w:tc>
      </w:tr>
      <w:tr>
        <w:trPr>
          <w:trHeight w:val="20"/>
        </w:trPr>
        <w:tc>
          <w:tcPr>
            <w:tcW w:w="45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-7620000</wp:posOffset>
            </wp:positionV>
            <wp:extent cx="6466205" cy="762698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67">
                      <a:extLst>
                        <a:ext uri="{28A0092B-C50C-407E-A947-70E740481C1C}"/>
                      </a:extLst>
                    </a:blip>
                    <a:srcRect/>
                    <a:stretch>
                      <a:fillRect/>
                    </a:stretch>
                  </pic:blipFill>
                  <pic:spPr bwMode="auto">
                    <a:xfrm>
                      <a:off x="0" y="0"/>
                      <a:ext cx="6466205" cy="7626985"/>
                    </a:xfrm>
                    <a:prstGeom prst="rect">
                      <a:avLst/>
                    </a:prstGeom>
                    <a:noFill/>
                  </pic:spPr>
                </pic:pic>
              </a:graphicData>
            </a:graphic>
          </wp:anchor>
        </w:drawing>
      </w:r>
    </w:p>
    <w:p>
      <w:pPr>
        <w:spacing w:after="0" w:line="262" w:lineRule="exact"/>
        <w:rPr>
          <w:sz w:val="20"/>
          <w:szCs w:val="20"/>
          <w:color w:val="auto"/>
        </w:rPr>
      </w:pPr>
    </w:p>
    <w:p>
      <w:pPr>
        <w:jc w:val="center"/>
        <w:ind w:right="60"/>
        <w:spacing w:after="0"/>
        <w:rPr>
          <w:sz w:val="20"/>
          <w:szCs w:val="20"/>
          <w:color w:val="auto"/>
        </w:rPr>
      </w:pPr>
      <w:r>
        <w:rPr>
          <w:rFonts w:ascii="Arial" w:cs="Arial" w:eastAsia="Arial" w:hAnsi="Arial"/>
          <w:sz w:val="20"/>
          <w:szCs w:val="20"/>
          <w:color w:val="auto"/>
        </w:rPr>
        <w:t>See accompanying Notes to Consolidated Financial Statements</w:t>
      </w:r>
    </w:p>
    <w:p>
      <w:pPr>
        <w:sectPr>
          <w:pgSz w:w="11880" w:h="15480" w:orient="portrait"/>
          <w:cols w:equalWidth="0" w:num="1">
            <w:col w:w="10100"/>
          </w:cols>
          <w:pgMar w:left="920" w:top="335" w:right="8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60"/>
        <w:spacing w:after="0"/>
        <w:rPr>
          <w:sz w:val="20"/>
          <w:szCs w:val="20"/>
          <w:color w:val="auto"/>
        </w:rPr>
      </w:pPr>
      <w:r>
        <w:rPr>
          <w:rFonts w:ascii="Arial" w:cs="Arial" w:eastAsia="Arial" w:hAnsi="Arial"/>
          <w:sz w:val="16"/>
          <w:szCs w:val="16"/>
          <w:color w:val="auto"/>
        </w:rPr>
        <w:t>101</w:t>
      </w:r>
    </w:p>
    <w:p>
      <w:pPr>
        <w:sectPr>
          <w:pgSz w:w="11880" w:h="15480" w:orient="portrait"/>
          <w:cols w:equalWidth="0" w:num="1">
            <w:col w:w="10100"/>
          </w:cols>
          <w:pgMar w:left="920" w:top="335" w:right="860" w:bottom="0" w:gutter="0" w:footer="0" w:header="0"/>
          <w:type w:val="continuous"/>
        </w:sectPr>
      </w:pPr>
    </w:p>
    <w:bookmarkStart w:id="113" w:name="page114"/>
    <w:bookmarkEnd w:id="113"/>
    <w:p>
      <w:pPr>
        <w:jc w:val="center"/>
        <w:ind w:right="60"/>
        <w:spacing w:after="0"/>
        <w:rPr>
          <w:sz w:val="20"/>
          <w:szCs w:val="20"/>
          <w:color w:val="auto"/>
        </w:rPr>
      </w:pPr>
      <w:r>
        <w:rPr>
          <w:rFonts w:ascii="Arial" w:cs="Arial" w:eastAsia="Arial" w:hAnsi="Arial"/>
          <w:sz w:val="20"/>
          <w:szCs w:val="20"/>
          <w:b w:val="1"/>
          <w:bCs w:val="1"/>
          <w:color w:val="auto"/>
        </w:rPr>
        <w:t>FIDELITY NATIONAL FINANCIAL, INC. AND SUBSIDIARIES</w:t>
      </w:r>
    </w:p>
    <w:p>
      <w:pPr>
        <w:spacing w:after="0" w:line="29" w:lineRule="exact"/>
        <w:rPr>
          <w:sz w:val="20"/>
          <w:szCs w:val="20"/>
          <w:color w:val="auto"/>
        </w:rPr>
      </w:pPr>
    </w:p>
    <w:p>
      <w:pPr>
        <w:jc w:val="center"/>
        <w:ind w:right="60"/>
        <w:spacing w:after="0"/>
        <w:rPr>
          <w:sz w:val="20"/>
          <w:szCs w:val="20"/>
          <w:color w:val="auto"/>
        </w:rPr>
      </w:pPr>
      <w:r>
        <w:rPr>
          <w:rFonts w:ascii="Arial" w:cs="Arial" w:eastAsia="Arial" w:hAnsi="Arial"/>
          <w:sz w:val="20"/>
          <w:szCs w:val="20"/>
          <w:b w:val="1"/>
          <w:bCs w:val="1"/>
          <w:color w:val="auto"/>
        </w:rPr>
        <w:t>CONSOLIDATED STATEMENTS OF EARNINGS</w:t>
      </w:r>
    </w:p>
    <w:p>
      <w:pPr>
        <w:spacing w:after="0" w:line="5" w:lineRule="exact"/>
        <w:rPr>
          <w:sz w:val="20"/>
          <w:szCs w:val="20"/>
          <w:color w:val="auto"/>
        </w:rPr>
      </w:pPr>
    </w:p>
    <w:p>
      <w:pPr>
        <w:jc w:val="center"/>
        <w:ind w:right="60"/>
        <w:spacing w:after="0"/>
        <w:rPr>
          <w:sz w:val="20"/>
          <w:szCs w:val="20"/>
          <w:color w:val="auto"/>
        </w:rPr>
      </w:pPr>
      <w:r>
        <w:rPr>
          <w:rFonts w:ascii="Arial" w:cs="Arial" w:eastAsia="Arial" w:hAnsi="Arial"/>
          <w:sz w:val="16"/>
          <w:szCs w:val="16"/>
          <w:color w:val="auto"/>
        </w:rPr>
        <w:t>(Dollars in millions, except per share data)</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68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080" w:type="dxa"/>
            <w:vAlign w:val="bottom"/>
            <w:tcBorders>
              <w:bottom w:val="single" w:sz="8" w:color="auto"/>
            </w:tcBorders>
            <w:gridSpan w:val="7"/>
          </w:tcPr>
          <w:p>
            <w:pPr>
              <w:jc w:val="right"/>
              <w:ind w:right="162"/>
              <w:spacing w:after="0"/>
              <w:rPr>
                <w:sz w:val="20"/>
                <w:szCs w:val="20"/>
                <w:color w:val="auto"/>
              </w:rPr>
            </w:pPr>
            <w:r>
              <w:rPr>
                <w:rFonts w:ascii="Arial" w:cs="Arial" w:eastAsia="Arial" w:hAnsi="Arial"/>
                <w:sz w:val="16"/>
                <w:szCs w:val="16"/>
                <w:b w:val="1"/>
                <w:bCs w:val="1"/>
                <w:color w:val="auto"/>
                <w:w w:val="92"/>
              </w:rPr>
              <w:t>Year Ended December 31,</w:t>
            </w:r>
          </w:p>
        </w:tc>
        <w:tc>
          <w:tcPr>
            <w:tcW w:w="0" w:type="dxa"/>
            <w:vAlign w:val="bottom"/>
          </w:tcPr>
          <w:p>
            <w:pPr>
              <w:spacing w:after="0"/>
              <w:rPr>
                <w:sz w:val="1"/>
                <w:szCs w:val="1"/>
                <w:color w:val="auto"/>
              </w:rPr>
            </w:pPr>
          </w:p>
        </w:tc>
      </w:tr>
      <w:tr>
        <w:trPr>
          <w:trHeight w:val="201"/>
        </w:trPr>
        <w:tc>
          <w:tcPr>
            <w:tcW w:w="68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ind w:right="122"/>
              <w:spacing w:after="0"/>
              <w:rPr>
                <w:sz w:val="20"/>
                <w:szCs w:val="20"/>
                <w:color w:val="auto"/>
              </w:rPr>
            </w:pPr>
            <w:r>
              <w:rPr>
                <w:rFonts w:ascii="Arial" w:cs="Arial" w:eastAsia="Arial" w:hAnsi="Arial"/>
                <w:sz w:val="16"/>
                <w:szCs w:val="16"/>
                <w:b w:val="1"/>
                <w:bCs w:val="1"/>
                <w:color w:val="auto"/>
                <w:w w:val="89"/>
              </w:rPr>
              <w:t>2025</w:t>
            </w:r>
          </w:p>
        </w:tc>
        <w:tc>
          <w:tcPr>
            <w:tcW w:w="6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ind w:right="122"/>
              <w:spacing w:after="0"/>
              <w:rPr>
                <w:sz w:val="20"/>
                <w:szCs w:val="20"/>
                <w:color w:val="auto"/>
              </w:rPr>
            </w:pPr>
            <w:r>
              <w:rPr>
                <w:rFonts w:ascii="Arial" w:cs="Arial" w:eastAsia="Arial" w:hAnsi="Arial"/>
                <w:sz w:val="16"/>
                <w:szCs w:val="16"/>
                <w:b w:val="1"/>
                <w:bCs w:val="1"/>
                <w:color w:val="auto"/>
                <w:w w:val="89"/>
              </w:rPr>
              <w:t>2024</w:t>
            </w:r>
          </w:p>
        </w:tc>
        <w:tc>
          <w:tcPr>
            <w:tcW w:w="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ind w:right="122"/>
              <w:spacing w:after="0"/>
              <w:rPr>
                <w:sz w:val="20"/>
                <w:szCs w:val="20"/>
                <w:color w:val="auto"/>
              </w:rPr>
            </w:pPr>
            <w:r>
              <w:rPr>
                <w:rFonts w:ascii="Arial" w:cs="Arial" w:eastAsia="Arial" w:hAnsi="Arial"/>
                <w:sz w:val="16"/>
                <w:szCs w:val="16"/>
                <w:b w:val="1"/>
                <w:bCs w:val="1"/>
                <w:color w:val="auto"/>
                <w:w w:val="89"/>
              </w:rPr>
              <w:t>2023</w:t>
            </w:r>
          </w:p>
        </w:tc>
        <w:tc>
          <w:tcPr>
            <w:tcW w:w="0" w:type="dxa"/>
            <w:vAlign w:val="bottom"/>
          </w:tcPr>
          <w:p>
            <w:pPr>
              <w:spacing w:after="0"/>
              <w:rPr>
                <w:sz w:val="1"/>
                <w:szCs w:val="1"/>
                <w:color w:val="auto"/>
              </w:rPr>
            </w:pPr>
          </w:p>
        </w:tc>
      </w:tr>
      <w:tr>
        <w:trPr>
          <w:trHeight w:val="208"/>
        </w:trPr>
        <w:tc>
          <w:tcPr>
            <w:tcW w:w="6840" w:type="dxa"/>
            <w:vAlign w:val="bottom"/>
          </w:tcPr>
          <w:p>
            <w:pPr>
              <w:spacing w:after="0"/>
              <w:rPr>
                <w:sz w:val="20"/>
                <w:szCs w:val="20"/>
                <w:color w:val="auto"/>
              </w:rPr>
            </w:pPr>
            <w:r>
              <w:rPr>
                <w:rFonts w:ascii="Arial" w:cs="Arial" w:eastAsia="Arial" w:hAnsi="Arial"/>
                <w:sz w:val="16"/>
                <w:szCs w:val="16"/>
                <w:b w:val="1"/>
                <w:bCs w:val="1"/>
                <w:color w:val="auto"/>
              </w:rPr>
              <w:t>Revenues:</w:t>
            </w: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6840" w:type="dxa"/>
            <w:vAlign w:val="bottom"/>
          </w:tcPr>
          <w:p>
            <w:pPr>
              <w:ind w:left="220"/>
              <w:spacing w:after="0"/>
              <w:rPr>
                <w:sz w:val="20"/>
                <w:szCs w:val="20"/>
                <w:color w:val="auto"/>
              </w:rPr>
            </w:pPr>
            <w:r>
              <w:rPr>
                <w:rFonts w:ascii="Arial" w:cs="Arial" w:eastAsia="Arial" w:hAnsi="Arial"/>
                <w:sz w:val="16"/>
                <w:szCs w:val="16"/>
                <w:color w:val="auto"/>
              </w:rPr>
              <w:t>Direct title insurance premiums</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540" w:type="dxa"/>
            <w:vAlign w:val="bottom"/>
          </w:tcPr>
          <w:p>
            <w:pPr>
              <w:jc w:val="right"/>
              <w:ind w:right="2"/>
              <w:spacing w:after="0"/>
              <w:rPr>
                <w:sz w:val="20"/>
                <w:szCs w:val="20"/>
                <w:color w:val="auto"/>
              </w:rPr>
            </w:pPr>
            <w:r>
              <w:rPr>
                <w:rFonts w:ascii="Arial" w:cs="Arial" w:eastAsia="Arial" w:hAnsi="Arial"/>
                <w:sz w:val="16"/>
                <w:szCs w:val="16"/>
                <w:color w:val="auto"/>
              </w:rPr>
              <w:t>2,574</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540" w:type="dxa"/>
            <w:vAlign w:val="bottom"/>
          </w:tcPr>
          <w:p>
            <w:pPr>
              <w:jc w:val="right"/>
              <w:ind w:right="2"/>
              <w:spacing w:after="0"/>
              <w:rPr>
                <w:sz w:val="20"/>
                <w:szCs w:val="20"/>
                <w:color w:val="auto"/>
              </w:rPr>
            </w:pPr>
            <w:r>
              <w:rPr>
                <w:rFonts w:ascii="Arial" w:cs="Arial" w:eastAsia="Arial" w:hAnsi="Arial"/>
                <w:sz w:val="16"/>
                <w:szCs w:val="16"/>
                <w:color w:val="auto"/>
              </w:rPr>
              <w:t>2,200</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1,982</w:t>
            </w:r>
          </w:p>
        </w:tc>
        <w:tc>
          <w:tcPr>
            <w:tcW w:w="0" w:type="dxa"/>
            <w:vAlign w:val="bottom"/>
          </w:tcPr>
          <w:p>
            <w:pPr>
              <w:spacing w:after="0"/>
              <w:rPr>
                <w:sz w:val="1"/>
                <w:szCs w:val="1"/>
                <w:color w:val="auto"/>
              </w:rPr>
            </w:pPr>
          </w:p>
        </w:tc>
      </w:tr>
      <w:tr>
        <w:trPr>
          <w:trHeight w:val="235"/>
        </w:trPr>
        <w:tc>
          <w:tcPr>
            <w:tcW w:w="6840" w:type="dxa"/>
            <w:vAlign w:val="bottom"/>
          </w:tcPr>
          <w:p>
            <w:pPr>
              <w:ind w:left="220"/>
              <w:spacing w:after="0"/>
              <w:rPr>
                <w:sz w:val="20"/>
                <w:szCs w:val="20"/>
                <w:color w:val="auto"/>
              </w:rPr>
            </w:pPr>
            <w:r>
              <w:rPr>
                <w:rFonts w:ascii="Arial" w:cs="Arial" w:eastAsia="Arial" w:hAnsi="Arial"/>
                <w:sz w:val="16"/>
                <w:szCs w:val="16"/>
                <w:color w:val="auto"/>
              </w:rPr>
              <w:t>Agency title insurance premiums</w:t>
            </w:r>
          </w:p>
        </w:tc>
        <w:tc>
          <w:tcPr>
            <w:tcW w:w="180" w:type="dxa"/>
            <w:vAlign w:val="bottom"/>
          </w:tcPr>
          <w:p>
            <w:pPr>
              <w:spacing w:after="0"/>
              <w:rPr>
                <w:sz w:val="20"/>
                <w:szCs w:val="20"/>
                <w:color w:val="auto"/>
              </w:rPr>
            </w:pPr>
          </w:p>
        </w:tc>
        <w:tc>
          <w:tcPr>
            <w:tcW w:w="540" w:type="dxa"/>
            <w:vAlign w:val="bottom"/>
          </w:tcPr>
          <w:p>
            <w:pPr>
              <w:jc w:val="right"/>
              <w:ind w:right="2"/>
              <w:spacing w:after="0"/>
              <w:rPr>
                <w:sz w:val="20"/>
                <w:szCs w:val="20"/>
                <w:color w:val="auto"/>
              </w:rPr>
            </w:pPr>
            <w:r>
              <w:rPr>
                <w:rFonts w:ascii="Arial" w:cs="Arial" w:eastAsia="Arial" w:hAnsi="Arial"/>
                <w:sz w:val="16"/>
                <w:szCs w:val="16"/>
                <w:color w:val="auto"/>
              </w:rPr>
              <w:t>3,250</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40" w:type="dxa"/>
            <w:vAlign w:val="bottom"/>
          </w:tcPr>
          <w:p>
            <w:pPr>
              <w:jc w:val="right"/>
              <w:ind w:right="2"/>
              <w:spacing w:after="0"/>
              <w:rPr>
                <w:sz w:val="20"/>
                <w:szCs w:val="20"/>
                <w:color w:val="auto"/>
              </w:rPr>
            </w:pPr>
            <w:r>
              <w:rPr>
                <w:rFonts w:ascii="Arial" w:cs="Arial" w:eastAsia="Arial" w:hAnsi="Arial"/>
                <w:sz w:val="16"/>
                <w:szCs w:val="16"/>
                <w:color w:val="auto"/>
              </w:rPr>
              <w:t>2,953</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2,610</w:t>
            </w:r>
          </w:p>
        </w:tc>
        <w:tc>
          <w:tcPr>
            <w:tcW w:w="0" w:type="dxa"/>
            <w:vAlign w:val="bottom"/>
          </w:tcPr>
          <w:p>
            <w:pPr>
              <w:spacing w:after="0"/>
              <w:rPr>
                <w:sz w:val="1"/>
                <w:szCs w:val="1"/>
                <w:color w:val="auto"/>
              </w:rPr>
            </w:pPr>
          </w:p>
        </w:tc>
      </w:tr>
      <w:tr>
        <w:trPr>
          <w:trHeight w:val="235"/>
        </w:trPr>
        <w:tc>
          <w:tcPr>
            <w:tcW w:w="6840" w:type="dxa"/>
            <w:vAlign w:val="bottom"/>
          </w:tcPr>
          <w:p>
            <w:pPr>
              <w:ind w:left="220"/>
              <w:spacing w:after="0"/>
              <w:rPr>
                <w:sz w:val="20"/>
                <w:szCs w:val="20"/>
                <w:color w:val="auto"/>
              </w:rPr>
            </w:pPr>
            <w:r>
              <w:rPr>
                <w:rFonts w:ascii="Arial" w:cs="Arial" w:eastAsia="Arial" w:hAnsi="Arial"/>
                <w:sz w:val="16"/>
                <w:szCs w:val="16"/>
                <w:color w:val="auto"/>
              </w:rPr>
              <w:t>Escrow, title-related and other fees</w:t>
            </w:r>
          </w:p>
        </w:tc>
        <w:tc>
          <w:tcPr>
            <w:tcW w:w="180" w:type="dxa"/>
            <w:vAlign w:val="bottom"/>
          </w:tcPr>
          <w:p>
            <w:pPr>
              <w:spacing w:after="0"/>
              <w:rPr>
                <w:sz w:val="20"/>
                <w:szCs w:val="20"/>
                <w:color w:val="auto"/>
              </w:rPr>
            </w:pPr>
          </w:p>
        </w:tc>
        <w:tc>
          <w:tcPr>
            <w:tcW w:w="540" w:type="dxa"/>
            <w:vAlign w:val="bottom"/>
          </w:tcPr>
          <w:p>
            <w:pPr>
              <w:jc w:val="right"/>
              <w:ind w:right="2"/>
              <w:spacing w:after="0"/>
              <w:rPr>
                <w:sz w:val="20"/>
                <w:szCs w:val="20"/>
                <w:color w:val="auto"/>
              </w:rPr>
            </w:pPr>
            <w:r>
              <w:rPr>
                <w:rFonts w:ascii="Arial" w:cs="Arial" w:eastAsia="Arial" w:hAnsi="Arial"/>
                <w:sz w:val="16"/>
                <w:szCs w:val="16"/>
                <w:color w:val="auto"/>
              </w:rPr>
              <w:t>5,444</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40" w:type="dxa"/>
            <w:vAlign w:val="bottom"/>
          </w:tcPr>
          <w:p>
            <w:pPr>
              <w:jc w:val="right"/>
              <w:ind w:right="2"/>
              <w:spacing w:after="0"/>
              <w:rPr>
                <w:sz w:val="20"/>
                <w:szCs w:val="20"/>
                <w:color w:val="auto"/>
              </w:rPr>
            </w:pPr>
            <w:r>
              <w:rPr>
                <w:rFonts w:ascii="Arial" w:cs="Arial" w:eastAsia="Arial" w:hAnsi="Arial"/>
                <w:sz w:val="16"/>
                <w:szCs w:val="16"/>
                <w:color w:val="auto"/>
              </w:rPr>
              <w:t>5,321</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4,717</w:t>
            </w:r>
          </w:p>
        </w:tc>
        <w:tc>
          <w:tcPr>
            <w:tcW w:w="0" w:type="dxa"/>
            <w:vAlign w:val="bottom"/>
          </w:tcPr>
          <w:p>
            <w:pPr>
              <w:spacing w:after="0"/>
              <w:rPr>
                <w:sz w:val="1"/>
                <w:szCs w:val="1"/>
                <w:color w:val="auto"/>
              </w:rPr>
            </w:pPr>
          </w:p>
        </w:tc>
      </w:tr>
      <w:tr>
        <w:trPr>
          <w:trHeight w:val="235"/>
        </w:trPr>
        <w:tc>
          <w:tcPr>
            <w:tcW w:w="6840" w:type="dxa"/>
            <w:vAlign w:val="bottom"/>
          </w:tcPr>
          <w:p>
            <w:pPr>
              <w:ind w:left="220"/>
              <w:spacing w:after="0"/>
              <w:rPr>
                <w:sz w:val="20"/>
                <w:szCs w:val="20"/>
                <w:color w:val="auto"/>
              </w:rPr>
            </w:pPr>
            <w:r>
              <w:rPr>
                <w:rFonts w:ascii="Arial" w:cs="Arial" w:eastAsia="Arial" w:hAnsi="Arial"/>
                <w:sz w:val="16"/>
                <w:szCs w:val="16"/>
                <w:color w:val="auto"/>
              </w:rPr>
              <w:t>Interest and investment income</w:t>
            </w:r>
          </w:p>
        </w:tc>
        <w:tc>
          <w:tcPr>
            <w:tcW w:w="180" w:type="dxa"/>
            <w:vAlign w:val="bottom"/>
          </w:tcPr>
          <w:p>
            <w:pPr>
              <w:spacing w:after="0"/>
              <w:rPr>
                <w:sz w:val="20"/>
                <w:szCs w:val="20"/>
                <w:color w:val="auto"/>
              </w:rPr>
            </w:pPr>
          </w:p>
        </w:tc>
        <w:tc>
          <w:tcPr>
            <w:tcW w:w="540" w:type="dxa"/>
            <w:vAlign w:val="bottom"/>
          </w:tcPr>
          <w:p>
            <w:pPr>
              <w:jc w:val="right"/>
              <w:ind w:right="2"/>
              <w:spacing w:after="0"/>
              <w:rPr>
                <w:sz w:val="20"/>
                <w:szCs w:val="20"/>
                <w:color w:val="auto"/>
              </w:rPr>
            </w:pPr>
            <w:r>
              <w:rPr>
                <w:rFonts w:ascii="Arial" w:cs="Arial" w:eastAsia="Arial" w:hAnsi="Arial"/>
                <w:sz w:val="16"/>
                <w:szCs w:val="16"/>
                <w:color w:val="auto"/>
              </w:rPr>
              <w:t>3,237</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40" w:type="dxa"/>
            <w:vAlign w:val="bottom"/>
          </w:tcPr>
          <w:p>
            <w:pPr>
              <w:jc w:val="right"/>
              <w:ind w:right="2"/>
              <w:spacing w:after="0"/>
              <w:rPr>
                <w:sz w:val="20"/>
                <w:szCs w:val="20"/>
                <w:color w:val="auto"/>
              </w:rPr>
            </w:pPr>
            <w:r>
              <w:rPr>
                <w:rFonts w:ascii="Arial" w:cs="Arial" w:eastAsia="Arial" w:hAnsi="Arial"/>
                <w:sz w:val="16"/>
                <w:szCs w:val="16"/>
                <w:color w:val="auto"/>
              </w:rPr>
              <w:t>3,124</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2,607</w:t>
            </w:r>
          </w:p>
        </w:tc>
        <w:tc>
          <w:tcPr>
            <w:tcW w:w="0" w:type="dxa"/>
            <w:vAlign w:val="bottom"/>
          </w:tcPr>
          <w:p>
            <w:pPr>
              <w:spacing w:after="0"/>
              <w:rPr>
                <w:sz w:val="1"/>
                <w:szCs w:val="1"/>
                <w:color w:val="auto"/>
              </w:rPr>
            </w:pPr>
          </w:p>
        </w:tc>
      </w:tr>
      <w:tr>
        <w:trPr>
          <w:trHeight w:val="242"/>
        </w:trPr>
        <w:tc>
          <w:tcPr>
            <w:tcW w:w="6840" w:type="dxa"/>
            <w:vAlign w:val="bottom"/>
          </w:tcPr>
          <w:p>
            <w:pPr>
              <w:ind w:left="220"/>
              <w:spacing w:after="0"/>
              <w:rPr>
                <w:sz w:val="20"/>
                <w:szCs w:val="20"/>
                <w:color w:val="auto"/>
              </w:rPr>
            </w:pPr>
            <w:r>
              <w:rPr>
                <w:rFonts w:ascii="Arial" w:cs="Arial" w:eastAsia="Arial" w:hAnsi="Arial"/>
                <w:sz w:val="16"/>
                <w:szCs w:val="16"/>
                <w:color w:val="auto"/>
              </w:rPr>
              <w:t>Recognized gains and losses, net</w:t>
            </w:r>
          </w:p>
        </w:tc>
        <w:tc>
          <w:tcPr>
            <w:tcW w:w="18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w:t>
            </w:r>
          </w:p>
        </w:tc>
        <w:tc>
          <w:tcPr>
            <w:tcW w:w="6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83</w:t>
            </w:r>
          </w:p>
        </w:tc>
        <w:tc>
          <w:tcPr>
            <w:tcW w:w="6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(164)</w:t>
            </w:r>
          </w:p>
        </w:tc>
        <w:tc>
          <w:tcPr>
            <w:tcW w:w="0" w:type="dxa"/>
            <w:vAlign w:val="bottom"/>
          </w:tcPr>
          <w:p>
            <w:pPr>
              <w:spacing w:after="0"/>
              <w:rPr>
                <w:sz w:val="1"/>
                <w:szCs w:val="1"/>
                <w:color w:val="auto"/>
              </w:rPr>
            </w:pPr>
          </w:p>
        </w:tc>
      </w:tr>
      <w:tr>
        <w:trPr>
          <w:trHeight w:val="208"/>
        </w:trPr>
        <w:tc>
          <w:tcPr>
            <w:tcW w:w="6840" w:type="dxa"/>
            <w:vAlign w:val="bottom"/>
          </w:tcPr>
          <w:p>
            <w:pPr>
              <w:ind w:left="480"/>
              <w:spacing w:after="0"/>
              <w:rPr>
                <w:sz w:val="20"/>
                <w:szCs w:val="20"/>
                <w:color w:val="auto"/>
              </w:rPr>
            </w:pPr>
            <w:r>
              <w:rPr>
                <w:rFonts w:ascii="Arial" w:cs="Arial" w:eastAsia="Arial" w:hAnsi="Arial"/>
                <w:sz w:val="16"/>
                <w:szCs w:val="16"/>
                <w:color w:val="auto"/>
              </w:rPr>
              <w:t>Total revenues</w:t>
            </w:r>
          </w:p>
        </w:tc>
        <w:tc>
          <w:tcPr>
            <w:tcW w:w="180" w:type="dxa"/>
            <w:vAlign w:val="bottom"/>
          </w:tcPr>
          <w:p>
            <w:pPr>
              <w:spacing w:after="0"/>
              <w:rPr>
                <w:sz w:val="18"/>
                <w:szCs w:val="18"/>
                <w:color w:val="auto"/>
              </w:rPr>
            </w:pPr>
          </w:p>
        </w:tc>
        <w:tc>
          <w:tcPr>
            <w:tcW w:w="540" w:type="dxa"/>
            <w:vAlign w:val="bottom"/>
          </w:tcPr>
          <w:p>
            <w:pPr>
              <w:jc w:val="right"/>
              <w:ind w:right="2"/>
              <w:spacing w:after="0"/>
              <w:rPr>
                <w:sz w:val="20"/>
                <w:szCs w:val="20"/>
                <w:color w:val="auto"/>
              </w:rPr>
            </w:pPr>
            <w:r>
              <w:rPr>
                <w:rFonts w:ascii="Arial" w:cs="Arial" w:eastAsia="Arial" w:hAnsi="Arial"/>
                <w:sz w:val="16"/>
                <w:szCs w:val="16"/>
                <w:color w:val="auto"/>
                <w:w w:val="89"/>
              </w:rPr>
              <w:t>14,445</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jc w:val="right"/>
              <w:ind w:right="2"/>
              <w:spacing w:after="0"/>
              <w:rPr>
                <w:sz w:val="20"/>
                <w:szCs w:val="20"/>
                <w:color w:val="auto"/>
              </w:rPr>
            </w:pPr>
            <w:r>
              <w:rPr>
                <w:rFonts w:ascii="Arial" w:cs="Arial" w:eastAsia="Arial" w:hAnsi="Arial"/>
                <w:sz w:val="16"/>
                <w:szCs w:val="16"/>
                <w:color w:val="auto"/>
                <w:w w:val="89"/>
              </w:rPr>
              <w:t>13,681</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w w:val="93"/>
              </w:rPr>
              <w:t>11,752</w:t>
            </w:r>
          </w:p>
        </w:tc>
        <w:tc>
          <w:tcPr>
            <w:tcW w:w="0" w:type="dxa"/>
            <w:vAlign w:val="bottom"/>
          </w:tcPr>
          <w:p>
            <w:pPr>
              <w:spacing w:after="0"/>
              <w:rPr>
                <w:sz w:val="1"/>
                <w:szCs w:val="1"/>
                <w:color w:val="auto"/>
              </w:rPr>
            </w:pPr>
          </w:p>
        </w:tc>
      </w:tr>
      <w:tr>
        <w:trPr>
          <w:trHeight w:val="235"/>
        </w:trPr>
        <w:tc>
          <w:tcPr>
            <w:tcW w:w="6840" w:type="dxa"/>
            <w:vAlign w:val="bottom"/>
          </w:tcPr>
          <w:p>
            <w:pPr>
              <w:spacing w:after="0"/>
              <w:rPr>
                <w:sz w:val="20"/>
                <w:szCs w:val="20"/>
                <w:color w:val="auto"/>
              </w:rPr>
            </w:pPr>
            <w:r>
              <w:rPr>
                <w:rFonts w:ascii="Arial" w:cs="Arial" w:eastAsia="Arial" w:hAnsi="Arial"/>
                <w:sz w:val="16"/>
                <w:szCs w:val="16"/>
                <w:b w:val="1"/>
                <w:bCs w:val="1"/>
                <w:color w:val="auto"/>
              </w:rPr>
              <w:t>Expenses:</w:t>
            </w:r>
          </w:p>
        </w:tc>
        <w:tc>
          <w:tcPr>
            <w:tcW w:w="1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6840" w:type="dxa"/>
            <w:vAlign w:val="bottom"/>
          </w:tcPr>
          <w:p>
            <w:pPr>
              <w:ind w:left="220"/>
              <w:spacing w:after="0"/>
              <w:rPr>
                <w:sz w:val="20"/>
                <w:szCs w:val="20"/>
                <w:color w:val="auto"/>
              </w:rPr>
            </w:pPr>
            <w:r>
              <w:rPr>
                <w:rFonts w:ascii="Arial" w:cs="Arial" w:eastAsia="Arial" w:hAnsi="Arial"/>
                <w:sz w:val="16"/>
                <w:szCs w:val="16"/>
                <w:color w:val="auto"/>
              </w:rPr>
              <w:t>Personnel costs</w:t>
            </w:r>
          </w:p>
        </w:tc>
        <w:tc>
          <w:tcPr>
            <w:tcW w:w="180" w:type="dxa"/>
            <w:vAlign w:val="bottom"/>
          </w:tcPr>
          <w:p>
            <w:pPr>
              <w:spacing w:after="0"/>
              <w:rPr>
                <w:sz w:val="20"/>
                <w:szCs w:val="20"/>
                <w:color w:val="auto"/>
              </w:rPr>
            </w:pPr>
          </w:p>
        </w:tc>
        <w:tc>
          <w:tcPr>
            <w:tcW w:w="540" w:type="dxa"/>
            <w:vAlign w:val="bottom"/>
          </w:tcPr>
          <w:p>
            <w:pPr>
              <w:jc w:val="right"/>
              <w:ind w:right="2"/>
              <w:spacing w:after="0"/>
              <w:rPr>
                <w:sz w:val="20"/>
                <w:szCs w:val="20"/>
                <w:color w:val="auto"/>
              </w:rPr>
            </w:pPr>
            <w:r>
              <w:rPr>
                <w:rFonts w:ascii="Arial" w:cs="Arial" w:eastAsia="Arial" w:hAnsi="Arial"/>
                <w:sz w:val="16"/>
                <w:szCs w:val="16"/>
                <w:color w:val="auto"/>
              </w:rPr>
              <w:t>3,437</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40" w:type="dxa"/>
            <w:vAlign w:val="bottom"/>
          </w:tcPr>
          <w:p>
            <w:pPr>
              <w:jc w:val="right"/>
              <w:ind w:right="2"/>
              <w:spacing w:after="0"/>
              <w:rPr>
                <w:sz w:val="20"/>
                <w:szCs w:val="20"/>
                <w:color w:val="auto"/>
              </w:rPr>
            </w:pPr>
            <w:r>
              <w:rPr>
                <w:rFonts w:ascii="Arial" w:cs="Arial" w:eastAsia="Arial" w:hAnsi="Arial"/>
                <w:sz w:val="16"/>
                <w:szCs w:val="16"/>
                <w:color w:val="auto"/>
              </w:rPr>
              <w:t>3,148</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2,908</w:t>
            </w:r>
          </w:p>
        </w:tc>
        <w:tc>
          <w:tcPr>
            <w:tcW w:w="0" w:type="dxa"/>
            <w:vAlign w:val="bottom"/>
          </w:tcPr>
          <w:p>
            <w:pPr>
              <w:spacing w:after="0"/>
              <w:rPr>
                <w:sz w:val="1"/>
                <w:szCs w:val="1"/>
                <w:color w:val="auto"/>
              </w:rPr>
            </w:pPr>
          </w:p>
        </w:tc>
      </w:tr>
      <w:tr>
        <w:trPr>
          <w:trHeight w:val="235"/>
        </w:trPr>
        <w:tc>
          <w:tcPr>
            <w:tcW w:w="6840" w:type="dxa"/>
            <w:vAlign w:val="bottom"/>
          </w:tcPr>
          <w:p>
            <w:pPr>
              <w:ind w:left="220"/>
              <w:spacing w:after="0"/>
              <w:rPr>
                <w:sz w:val="20"/>
                <w:szCs w:val="20"/>
                <w:color w:val="auto"/>
              </w:rPr>
            </w:pPr>
            <w:r>
              <w:rPr>
                <w:rFonts w:ascii="Arial" w:cs="Arial" w:eastAsia="Arial" w:hAnsi="Arial"/>
                <w:sz w:val="16"/>
                <w:szCs w:val="16"/>
                <w:color w:val="auto"/>
              </w:rPr>
              <w:t>Agent commissions</w:t>
            </w:r>
          </w:p>
        </w:tc>
        <w:tc>
          <w:tcPr>
            <w:tcW w:w="180" w:type="dxa"/>
            <w:vAlign w:val="bottom"/>
          </w:tcPr>
          <w:p>
            <w:pPr>
              <w:spacing w:after="0"/>
              <w:rPr>
                <w:sz w:val="20"/>
                <w:szCs w:val="20"/>
                <w:color w:val="auto"/>
              </w:rPr>
            </w:pPr>
          </w:p>
        </w:tc>
        <w:tc>
          <w:tcPr>
            <w:tcW w:w="540" w:type="dxa"/>
            <w:vAlign w:val="bottom"/>
          </w:tcPr>
          <w:p>
            <w:pPr>
              <w:jc w:val="right"/>
              <w:ind w:right="2"/>
              <w:spacing w:after="0"/>
              <w:rPr>
                <w:sz w:val="20"/>
                <w:szCs w:val="20"/>
                <w:color w:val="auto"/>
              </w:rPr>
            </w:pPr>
            <w:r>
              <w:rPr>
                <w:rFonts w:ascii="Arial" w:cs="Arial" w:eastAsia="Arial" w:hAnsi="Arial"/>
                <w:sz w:val="16"/>
                <w:szCs w:val="16"/>
                <w:color w:val="auto"/>
              </w:rPr>
              <w:t>2,518</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40" w:type="dxa"/>
            <w:vAlign w:val="bottom"/>
          </w:tcPr>
          <w:p>
            <w:pPr>
              <w:jc w:val="right"/>
              <w:ind w:right="2"/>
              <w:spacing w:after="0"/>
              <w:rPr>
                <w:sz w:val="20"/>
                <w:szCs w:val="20"/>
                <w:color w:val="auto"/>
              </w:rPr>
            </w:pPr>
            <w:r>
              <w:rPr>
                <w:rFonts w:ascii="Arial" w:cs="Arial" w:eastAsia="Arial" w:hAnsi="Arial"/>
                <w:sz w:val="16"/>
                <w:szCs w:val="16"/>
                <w:color w:val="auto"/>
              </w:rPr>
              <w:t>2,287</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2,008</w:t>
            </w:r>
          </w:p>
        </w:tc>
        <w:tc>
          <w:tcPr>
            <w:tcW w:w="0" w:type="dxa"/>
            <w:vAlign w:val="bottom"/>
          </w:tcPr>
          <w:p>
            <w:pPr>
              <w:spacing w:after="0"/>
              <w:rPr>
                <w:sz w:val="1"/>
                <w:szCs w:val="1"/>
                <w:color w:val="auto"/>
              </w:rPr>
            </w:pPr>
          </w:p>
        </w:tc>
      </w:tr>
      <w:tr>
        <w:trPr>
          <w:trHeight w:val="235"/>
        </w:trPr>
        <w:tc>
          <w:tcPr>
            <w:tcW w:w="6840" w:type="dxa"/>
            <w:vAlign w:val="bottom"/>
          </w:tcPr>
          <w:p>
            <w:pPr>
              <w:ind w:left="220"/>
              <w:spacing w:after="0"/>
              <w:rPr>
                <w:sz w:val="20"/>
                <w:szCs w:val="20"/>
                <w:color w:val="auto"/>
              </w:rPr>
            </w:pPr>
            <w:r>
              <w:rPr>
                <w:rFonts w:ascii="Arial" w:cs="Arial" w:eastAsia="Arial" w:hAnsi="Arial"/>
                <w:sz w:val="16"/>
                <w:szCs w:val="16"/>
                <w:color w:val="auto"/>
              </w:rPr>
              <w:t>Other operating expenses</w:t>
            </w:r>
          </w:p>
        </w:tc>
        <w:tc>
          <w:tcPr>
            <w:tcW w:w="180" w:type="dxa"/>
            <w:vAlign w:val="bottom"/>
          </w:tcPr>
          <w:p>
            <w:pPr>
              <w:spacing w:after="0"/>
              <w:rPr>
                <w:sz w:val="20"/>
                <w:szCs w:val="20"/>
                <w:color w:val="auto"/>
              </w:rPr>
            </w:pPr>
          </w:p>
        </w:tc>
        <w:tc>
          <w:tcPr>
            <w:tcW w:w="540" w:type="dxa"/>
            <w:vAlign w:val="bottom"/>
          </w:tcPr>
          <w:p>
            <w:pPr>
              <w:jc w:val="right"/>
              <w:ind w:right="2"/>
              <w:spacing w:after="0"/>
              <w:rPr>
                <w:sz w:val="20"/>
                <w:szCs w:val="20"/>
                <w:color w:val="auto"/>
              </w:rPr>
            </w:pPr>
            <w:r>
              <w:rPr>
                <w:rFonts w:ascii="Arial" w:cs="Arial" w:eastAsia="Arial" w:hAnsi="Arial"/>
                <w:sz w:val="16"/>
                <w:szCs w:val="16"/>
                <w:color w:val="auto"/>
              </w:rPr>
              <w:t>1,615</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40" w:type="dxa"/>
            <w:vAlign w:val="bottom"/>
          </w:tcPr>
          <w:p>
            <w:pPr>
              <w:jc w:val="right"/>
              <w:ind w:right="2"/>
              <w:spacing w:after="0"/>
              <w:rPr>
                <w:sz w:val="20"/>
                <w:szCs w:val="20"/>
                <w:color w:val="auto"/>
              </w:rPr>
            </w:pPr>
            <w:r>
              <w:rPr>
                <w:rFonts w:ascii="Arial" w:cs="Arial" w:eastAsia="Arial" w:hAnsi="Arial"/>
                <w:sz w:val="16"/>
                <w:szCs w:val="16"/>
                <w:color w:val="auto"/>
              </w:rPr>
              <w:t>1,558</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1,521</w:t>
            </w:r>
          </w:p>
        </w:tc>
        <w:tc>
          <w:tcPr>
            <w:tcW w:w="0" w:type="dxa"/>
            <w:vAlign w:val="bottom"/>
          </w:tcPr>
          <w:p>
            <w:pPr>
              <w:spacing w:after="0"/>
              <w:rPr>
                <w:sz w:val="1"/>
                <w:szCs w:val="1"/>
                <w:color w:val="auto"/>
              </w:rPr>
            </w:pPr>
          </w:p>
        </w:tc>
      </w:tr>
      <w:tr>
        <w:trPr>
          <w:trHeight w:val="235"/>
        </w:trPr>
        <w:tc>
          <w:tcPr>
            <w:tcW w:w="6840" w:type="dxa"/>
            <w:vAlign w:val="bottom"/>
          </w:tcPr>
          <w:p>
            <w:pPr>
              <w:ind w:left="220"/>
              <w:spacing w:after="0"/>
              <w:rPr>
                <w:sz w:val="20"/>
                <w:szCs w:val="20"/>
                <w:color w:val="auto"/>
              </w:rPr>
            </w:pPr>
            <w:r>
              <w:rPr>
                <w:rFonts w:ascii="Arial" w:cs="Arial" w:eastAsia="Arial" w:hAnsi="Arial"/>
                <w:sz w:val="16"/>
                <w:szCs w:val="16"/>
                <w:color w:val="auto"/>
              </w:rPr>
              <w:t>Benefits and other changes in policy reserves</w:t>
            </w:r>
          </w:p>
        </w:tc>
        <w:tc>
          <w:tcPr>
            <w:tcW w:w="180" w:type="dxa"/>
            <w:vAlign w:val="bottom"/>
          </w:tcPr>
          <w:p>
            <w:pPr>
              <w:spacing w:after="0"/>
              <w:rPr>
                <w:sz w:val="20"/>
                <w:szCs w:val="20"/>
                <w:color w:val="auto"/>
              </w:rPr>
            </w:pPr>
          </w:p>
        </w:tc>
        <w:tc>
          <w:tcPr>
            <w:tcW w:w="540" w:type="dxa"/>
            <w:vAlign w:val="bottom"/>
          </w:tcPr>
          <w:p>
            <w:pPr>
              <w:jc w:val="right"/>
              <w:ind w:right="2"/>
              <w:spacing w:after="0"/>
              <w:rPr>
                <w:sz w:val="20"/>
                <w:szCs w:val="20"/>
                <w:color w:val="auto"/>
              </w:rPr>
            </w:pPr>
            <w:r>
              <w:rPr>
                <w:rFonts w:ascii="Arial" w:cs="Arial" w:eastAsia="Arial" w:hAnsi="Arial"/>
                <w:sz w:val="16"/>
                <w:szCs w:val="16"/>
                <w:color w:val="auto"/>
              </w:rPr>
              <w:t>3,963</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40" w:type="dxa"/>
            <w:vAlign w:val="bottom"/>
          </w:tcPr>
          <w:p>
            <w:pPr>
              <w:jc w:val="right"/>
              <w:ind w:right="2"/>
              <w:spacing w:after="0"/>
              <w:rPr>
                <w:sz w:val="20"/>
                <w:szCs w:val="20"/>
                <w:color w:val="auto"/>
              </w:rPr>
            </w:pPr>
            <w:r>
              <w:rPr>
                <w:rFonts w:ascii="Arial" w:cs="Arial" w:eastAsia="Arial" w:hAnsi="Arial"/>
                <w:sz w:val="16"/>
                <w:szCs w:val="16"/>
                <w:color w:val="auto"/>
              </w:rPr>
              <w:t>3,791</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3,553</w:t>
            </w:r>
          </w:p>
        </w:tc>
        <w:tc>
          <w:tcPr>
            <w:tcW w:w="0" w:type="dxa"/>
            <w:vAlign w:val="bottom"/>
          </w:tcPr>
          <w:p>
            <w:pPr>
              <w:spacing w:after="0"/>
              <w:rPr>
                <w:sz w:val="1"/>
                <w:szCs w:val="1"/>
                <w:color w:val="auto"/>
              </w:rPr>
            </w:pPr>
          </w:p>
        </w:tc>
      </w:tr>
      <w:tr>
        <w:trPr>
          <w:trHeight w:val="235"/>
        </w:trPr>
        <w:tc>
          <w:tcPr>
            <w:tcW w:w="6840" w:type="dxa"/>
            <w:vAlign w:val="bottom"/>
          </w:tcPr>
          <w:p>
            <w:pPr>
              <w:ind w:left="220"/>
              <w:spacing w:after="0"/>
              <w:rPr>
                <w:sz w:val="20"/>
                <w:szCs w:val="20"/>
                <w:color w:val="auto"/>
              </w:rPr>
            </w:pPr>
            <w:r>
              <w:rPr>
                <w:rFonts w:ascii="Arial" w:cs="Arial" w:eastAsia="Arial" w:hAnsi="Arial"/>
                <w:sz w:val="16"/>
                <w:szCs w:val="16"/>
                <w:color w:val="auto"/>
              </w:rPr>
              <w:t>Market risk benefit (gains) losses</w:t>
            </w:r>
          </w:p>
        </w:tc>
        <w:tc>
          <w:tcPr>
            <w:tcW w:w="180" w:type="dxa"/>
            <w:vAlign w:val="bottom"/>
          </w:tcPr>
          <w:p>
            <w:pPr>
              <w:spacing w:after="0"/>
              <w:rPr>
                <w:sz w:val="20"/>
                <w:szCs w:val="20"/>
                <w:color w:val="auto"/>
              </w:rPr>
            </w:pPr>
          </w:p>
        </w:tc>
        <w:tc>
          <w:tcPr>
            <w:tcW w:w="540" w:type="dxa"/>
            <w:vAlign w:val="bottom"/>
          </w:tcPr>
          <w:p>
            <w:pPr>
              <w:jc w:val="right"/>
              <w:ind w:right="2"/>
              <w:spacing w:after="0"/>
              <w:rPr>
                <w:sz w:val="20"/>
                <w:szCs w:val="20"/>
                <w:color w:val="auto"/>
              </w:rPr>
            </w:pPr>
            <w:r>
              <w:rPr>
                <w:rFonts w:ascii="Arial" w:cs="Arial" w:eastAsia="Arial" w:hAnsi="Arial"/>
                <w:sz w:val="16"/>
                <w:szCs w:val="16"/>
                <w:color w:val="auto"/>
              </w:rPr>
              <w:t>167</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(25)</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95</w:t>
            </w:r>
          </w:p>
        </w:tc>
        <w:tc>
          <w:tcPr>
            <w:tcW w:w="0" w:type="dxa"/>
            <w:vAlign w:val="bottom"/>
          </w:tcPr>
          <w:p>
            <w:pPr>
              <w:spacing w:after="0"/>
              <w:rPr>
                <w:sz w:val="1"/>
                <w:szCs w:val="1"/>
                <w:color w:val="auto"/>
              </w:rPr>
            </w:pPr>
          </w:p>
        </w:tc>
      </w:tr>
      <w:tr>
        <w:trPr>
          <w:trHeight w:val="235"/>
        </w:trPr>
        <w:tc>
          <w:tcPr>
            <w:tcW w:w="6840" w:type="dxa"/>
            <w:vAlign w:val="bottom"/>
          </w:tcPr>
          <w:p>
            <w:pPr>
              <w:ind w:left="220"/>
              <w:spacing w:after="0"/>
              <w:rPr>
                <w:sz w:val="20"/>
                <w:szCs w:val="20"/>
                <w:color w:val="auto"/>
              </w:rPr>
            </w:pPr>
            <w:r>
              <w:rPr>
                <w:rFonts w:ascii="Arial" w:cs="Arial" w:eastAsia="Arial" w:hAnsi="Arial"/>
                <w:sz w:val="16"/>
                <w:szCs w:val="16"/>
                <w:color w:val="auto"/>
              </w:rPr>
              <w:t>Depreciation and amortization</w:t>
            </w:r>
          </w:p>
        </w:tc>
        <w:tc>
          <w:tcPr>
            <w:tcW w:w="180" w:type="dxa"/>
            <w:vAlign w:val="bottom"/>
          </w:tcPr>
          <w:p>
            <w:pPr>
              <w:spacing w:after="0"/>
              <w:rPr>
                <w:sz w:val="20"/>
                <w:szCs w:val="20"/>
                <w:color w:val="auto"/>
              </w:rPr>
            </w:pPr>
          </w:p>
        </w:tc>
        <w:tc>
          <w:tcPr>
            <w:tcW w:w="540" w:type="dxa"/>
            <w:vAlign w:val="bottom"/>
          </w:tcPr>
          <w:p>
            <w:pPr>
              <w:jc w:val="right"/>
              <w:ind w:right="2"/>
              <w:spacing w:after="0"/>
              <w:rPr>
                <w:sz w:val="20"/>
                <w:szCs w:val="20"/>
                <w:color w:val="auto"/>
              </w:rPr>
            </w:pPr>
            <w:r>
              <w:rPr>
                <w:rFonts w:ascii="Arial" w:cs="Arial" w:eastAsia="Arial" w:hAnsi="Arial"/>
                <w:sz w:val="16"/>
                <w:szCs w:val="16"/>
                <w:color w:val="auto"/>
              </w:rPr>
              <w:t>844</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40" w:type="dxa"/>
            <w:vAlign w:val="bottom"/>
          </w:tcPr>
          <w:p>
            <w:pPr>
              <w:jc w:val="right"/>
              <w:ind w:right="2"/>
              <w:spacing w:after="0"/>
              <w:rPr>
                <w:sz w:val="20"/>
                <w:szCs w:val="20"/>
                <w:color w:val="auto"/>
              </w:rPr>
            </w:pPr>
            <w:r>
              <w:rPr>
                <w:rFonts w:ascii="Arial" w:cs="Arial" w:eastAsia="Arial" w:hAnsi="Arial"/>
                <w:sz w:val="16"/>
                <w:szCs w:val="16"/>
                <w:color w:val="auto"/>
              </w:rPr>
              <w:t>739</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593</w:t>
            </w:r>
          </w:p>
        </w:tc>
        <w:tc>
          <w:tcPr>
            <w:tcW w:w="0" w:type="dxa"/>
            <w:vAlign w:val="bottom"/>
          </w:tcPr>
          <w:p>
            <w:pPr>
              <w:spacing w:after="0"/>
              <w:rPr>
                <w:sz w:val="1"/>
                <w:szCs w:val="1"/>
                <w:color w:val="auto"/>
              </w:rPr>
            </w:pPr>
          </w:p>
        </w:tc>
      </w:tr>
      <w:tr>
        <w:trPr>
          <w:trHeight w:val="235"/>
        </w:trPr>
        <w:tc>
          <w:tcPr>
            <w:tcW w:w="6840" w:type="dxa"/>
            <w:vAlign w:val="bottom"/>
          </w:tcPr>
          <w:p>
            <w:pPr>
              <w:ind w:left="220"/>
              <w:spacing w:after="0"/>
              <w:rPr>
                <w:sz w:val="20"/>
                <w:szCs w:val="20"/>
                <w:color w:val="auto"/>
              </w:rPr>
            </w:pPr>
            <w:r>
              <w:rPr>
                <w:rFonts w:ascii="Arial" w:cs="Arial" w:eastAsia="Arial" w:hAnsi="Arial"/>
                <w:sz w:val="16"/>
                <w:szCs w:val="16"/>
                <w:color w:val="auto"/>
              </w:rPr>
              <w:t>Provision for title claim losses</w:t>
            </w:r>
          </w:p>
        </w:tc>
        <w:tc>
          <w:tcPr>
            <w:tcW w:w="180" w:type="dxa"/>
            <w:vAlign w:val="bottom"/>
          </w:tcPr>
          <w:p>
            <w:pPr>
              <w:spacing w:after="0"/>
              <w:rPr>
                <w:sz w:val="20"/>
                <w:szCs w:val="20"/>
                <w:color w:val="auto"/>
              </w:rPr>
            </w:pPr>
          </w:p>
        </w:tc>
        <w:tc>
          <w:tcPr>
            <w:tcW w:w="540" w:type="dxa"/>
            <w:vAlign w:val="bottom"/>
          </w:tcPr>
          <w:p>
            <w:pPr>
              <w:jc w:val="right"/>
              <w:ind w:right="2"/>
              <w:spacing w:after="0"/>
              <w:rPr>
                <w:sz w:val="20"/>
                <w:szCs w:val="20"/>
                <w:color w:val="auto"/>
              </w:rPr>
            </w:pPr>
            <w:r>
              <w:rPr>
                <w:rFonts w:ascii="Arial" w:cs="Arial" w:eastAsia="Arial" w:hAnsi="Arial"/>
                <w:sz w:val="16"/>
                <w:szCs w:val="16"/>
                <w:color w:val="auto"/>
              </w:rPr>
              <w:t>262</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40" w:type="dxa"/>
            <w:vAlign w:val="bottom"/>
          </w:tcPr>
          <w:p>
            <w:pPr>
              <w:jc w:val="right"/>
              <w:ind w:right="2"/>
              <w:spacing w:after="0"/>
              <w:rPr>
                <w:sz w:val="20"/>
                <w:szCs w:val="20"/>
                <w:color w:val="auto"/>
              </w:rPr>
            </w:pPr>
            <w:r>
              <w:rPr>
                <w:rFonts w:ascii="Arial" w:cs="Arial" w:eastAsia="Arial" w:hAnsi="Arial"/>
                <w:sz w:val="16"/>
                <w:szCs w:val="16"/>
                <w:color w:val="auto"/>
              </w:rPr>
              <w:t>232</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207</w:t>
            </w:r>
          </w:p>
        </w:tc>
        <w:tc>
          <w:tcPr>
            <w:tcW w:w="0" w:type="dxa"/>
            <w:vAlign w:val="bottom"/>
          </w:tcPr>
          <w:p>
            <w:pPr>
              <w:spacing w:after="0"/>
              <w:rPr>
                <w:sz w:val="1"/>
                <w:szCs w:val="1"/>
                <w:color w:val="auto"/>
              </w:rPr>
            </w:pPr>
          </w:p>
        </w:tc>
      </w:tr>
      <w:tr>
        <w:trPr>
          <w:trHeight w:val="242"/>
        </w:trPr>
        <w:tc>
          <w:tcPr>
            <w:tcW w:w="6840" w:type="dxa"/>
            <w:vAlign w:val="bottom"/>
          </w:tcPr>
          <w:p>
            <w:pPr>
              <w:ind w:left="220"/>
              <w:spacing w:after="0"/>
              <w:rPr>
                <w:sz w:val="20"/>
                <w:szCs w:val="20"/>
                <w:color w:val="auto"/>
              </w:rPr>
            </w:pPr>
            <w:r>
              <w:rPr>
                <w:rFonts w:ascii="Arial" w:cs="Arial" w:eastAsia="Arial" w:hAnsi="Arial"/>
                <w:sz w:val="16"/>
                <w:szCs w:val="16"/>
                <w:color w:val="auto"/>
              </w:rPr>
              <w:t>Interest expense</w:t>
            </w:r>
          </w:p>
        </w:tc>
        <w:tc>
          <w:tcPr>
            <w:tcW w:w="18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242</w:t>
            </w:r>
          </w:p>
        </w:tc>
        <w:tc>
          <w:tcPr>
            <w:tcW w:w="6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209</w:t>
            </w:r>
          </w:p>
        </w:tc>
        <w:tc>
          <w:tcPr>
            <w:tcW w:w="6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174</w:t>
            </w:r>
          </w:p>
        </w:tc>
        <w:tc>
          <w:tcPr>
            <w:tcW w:w="0" w:type="dxa"/>
            <w:vAlign w:val="bottom"/>
          </w:tcPr>
          <w:p>
            <w:pPr>
              <w:spacing w:after="0"/>
              <w:rPr>
                <w:sz w:val="1"/>
                <w:szCs w:val="1"/>
                <w:color w:val="auto"/>
              </w:rPr>
            </w:pPr>
          </w:p>
        </w:tc>
      </w:tr>
      <w:tr>
        <w:trPr>
          <w:trHeight w:val="215"/>
        </w:trPr>
        <w:tc>
          <w:tcPr>
            <w:tcW w:w="6840" w:type="dxa"/>
            <w:vAlign w:val="bottom"/>
          </w:tcPr>
          <w:p>
            <w:pPr>
              <w:ind w:left="480"/>
              <w:spacing w:after="0"/>
              <w:rPr>
                <w:sz w:val="20"/>
                <w:szCs w:val="20"/>
                <w:color w:val="auto"/>
              </w:rPr>
            </w:pPr>
            <w:r>
              <w:rPr>
                <w:rFonts w:ascii="Arial" w:cs="Arial" w:eastAsia="Arial" w:hAnsi="Arial"/>
                <w:sz w:val="16"/>
                <w:szCs w:val="16"/>
                <w:color w:val="auto"/>
              </w:rPr>
              <w:t>Total expenses</w:t>
            </w:r>
          </w:p>
        </w:tc>
        <w:tc>
          <w:tcPr>
            <w:tcW w:w="1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w w:val="89"/>
              </w:rPr>
              <w:t>13,048</w:t>
            </w:r>
          </w:p>
        </w:tc>
        <w:tc>
          <w:tcPr>
            <w:tcW w:w="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w w:val="89"/>
              </w:rPr>
              <w:t>11,939</w:t>
            </w:r>
          </w:p>
        </w:tc>
        <w:tc>
          <w:tcPr>
            <w:tcW w:w="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3"/>
              </w:rPr>
              <w:t>11,059</w:t>
            </w:r>
          </w:p>
        </w:tc>
        <w:tc>
          <w:tcPr>
            <w:tcW w:w="0" w:type="dxa"/>
            <w:vAlign w:val="bottom"/>
          </w:tcPr>
          <w:p>
            <w:pPr>
              <w:spacing w:after="0"/>
              <w:rPr>
                <w:sz w:val="1"/>
                <w:szCs w:val="1"/>
                <w:color w:val="auto"/>
              </w:rPr>
            </w:pPr>
          </w:p>
        </w:tc>
      </w:tr>
      <w:tr>
        <w:trPr>
          <w:trHeight w:val="204"/>
        </w:trPr>
        <w:tc>
          <w:tcPr>
            <w:tcW w:w="6840" w:type="dxa"/>
            <w:vAlign w:val="bottom"/>
          </w:tcPr>
          <w:p>
            <w:pPr>
              <w:spacing w:after="0"/>
              <w:rPr>
                <w:sz w:val="20"/>
                <w:szCs w:val="20"/>
                <w:color w:val="auto"/>
              </w:rPr>
            </w:pPr>
            <w:r>
              <w:rPr>
                <w:rFonts w:ascii="Arial" w:cs="Arial" w:eastAsia="Arial" w:hAnsi="Arial"/>
                <w:sz w:val="16"/>
                <w:szCs w:val="16"/>
                <w:color w:val="auto"/>
              </w:rPr>
              <w:t>Earnings before income taxes and equity in earnings of unconsolidated affiliates</w:t>
            </w:r>
          </w:p>
        </w:tc>
        <w:tc>
          <w:tcPr>
            <w:tcW w:w="180" w:type="dxa"/>
            <w:vAlign w:val="bottom"/>
          </w:tcPr>
          <w:p>
            <w:pPr>
              <w:spacing w:after="0"/>
              <w:rPr>
                <w:sz w:val="17"/>
                <w:szCs w:val="17"/>
                <w:color w:val="auto"/>
              </w:rPr>
            </w:pPr>
          </w:p>
        </w:tc>
        <w:tc>
          <w:tcPr>
            <w:tcW w:w="540" w:type="dxa"/>
            <w:vAlign w:val="bottom"/>
          </w:tcPr>
          <w:p>
            <w:pPr>
              <w:jc w:val="right"/>
              <w:ind w:right="2"/>
              <w:spacing w:after="0"/>
              <w:rPr>
                <w:sz w:val="20"/>
                <w:szCs w:val="20"/>
                <w:color w:val="auto"/>
              </w:rPr>
            </w:pPr>
            <w:r>
              <w:rPr>
                <w:rFonts w:ascii="Arial" w:cs="Arial" w:eastAsia="Arial" w:hAnsi="Arial"/>
                <w:sz w:val="16"/>
                <w:szCs w:val="16"/>
                <w:color w:val="auto"/>
              </w:rPr>
              <w:t>1,397</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40" w:type="dxa"/>
            <w:vAlign w:val="bottom"/>
          </w:tcPr>
          <w:p>
            <w:pPr>
              <w:jc w:val="right"/>
              <w:ind w:right="2"/>
              <w:spacing w:after="0"/>
              <w:rPr>
                <w:sz w:val="20"/>
                <w:szCs w:val="20"/>
                <w:color w:val="auto"/>
              </w:rPr>
            </w:pPr>
            <w:r>
              <w:rPr>
                <w:rFonts w:ascii="Arial" w:cs="Arial" w:eastAsia="Arial" w:hAnsi="Arial"/>
                <w:sz w:val="16"/>
                <w:szCs w:val="16"/>
                <w:color w:val="auto"/>
              </w:rPr>
              <w:t>1,742</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693</w:t>
            </w:r>
          </w:p>
        </w:tc>
        <w:tc>
          <w:tcPr>
            <w:tcW w:w="0" w:type="dxa"/>
            <w:vAlign w:val="bottom"/>
          </w:tcPr>
          <w:p>
            <w:pPr>
              <w:spacing w:after="0"/>
              <w:rPr>
                <w:sz w:val="1"/>
                <w:szCs w:val="1"/>
                <w:color w:val="auto"/>
              </w:rPr>
            </w:pPr>
          </w:p>
        </w:tc>
      </w:tr>
      <w:tr>
        <w:trPr>
          <w:trHeight w:val="247"/>
        </w:trPr>
        <w:tc>
          <w:tcPr>
            <w:tcW w:w="6840" w:type="dxa"/>
            <w:vAlign w:val="bottom"/>
          </w:tcPr>
          <w:p>
            <w:pPr>
              <w:spacing w:after="0"/>
              <w:rPr>
                <w:sz w:val="20"/>
                <w:szCs w:val="20"/>
                <w:color w:val="auto"/>
              </w:rPr>
            </w:pPr>
            <w:r>
              <w:rPr>
                <w:rFonts w:ascii="Arial" w:cs="Arial" w:eastAsia="Arial" w:hAnsi="Arial"/>
                <w:sz w:val="16"/>
                <w:szCs w:val="16"/>
                <w:color w:val="auto"/>
              </w:rPr>
              <w:t>Income tax expense</w:t>
            </w:r>
          </w:p>
        </w:tc>
        <w:tc>
          <w:tcPr>
            <w:tcW w:w="18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753</w:t>
            </w:r>
          </w:p>
        </w:tc>
        <w:tc>
          <w:tcPr>
            <w:tcW w:w="6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367</w:t>
            </w:r>
          </w:p>
        </w:tc>
        <w:tc>
          <w:tcPr>
            <w:tcW w:w="6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192</w:t>
            </w:r>
          </w:p>
        </w:tc>
        <w:tc>
          <w:tcPr>
            <w:tcW w:w="0" w:type="dxa"/>
            <w:vAlign w:val="bottom"/>
          </w:tcPr>
          <w:p>
            <w:pPr>
              <w:spacing w:after="0"/>
              <w:rPr>
                <w:sz w:val="1"/>
                <w:szCs w:val="1"/>
                <w:color w:val="auto"/>
              </w:rPr>
            </w:pPr>
          </w:p>
        </w:tc>
      </w:tr>
      <w:tr>
        <w:trPr>
          <w:trHeight w:val="252"/>
        </w:trPr>
        <w:tc>
          <w:tcPr>
            <w:tcW w:w="6840" w:type="dxa"/>
            <w:vAlign w:val="bottom"/>
          </w:tcPr>
          <w:p>
            <w:pPr>
              <w:spacing w:after="0"/>
              <w:rPr>
                <w:sz w:val="20"/>
                <w:szCs w:val="20"/>
                <w:color w:val="auto"/>
              </w:rPr>
            </w:pPr>
            <w:r>
              <w:rPr>
                <w:rFonts w:ascii="Arial" w:cs="Arial" w:eastAsia="Arial" w:hAnsi="Arial"/>
                <w:sz w:val="16"/>
                <w:szCs w:val="16"/>
                <w:color w:val="auto"/>
              </w:rPr>
              <w:t>Earnings before equity in earnings of unconsolidated affiliates</w:t>
            </w:r>
          </w:p>
        </w:tc>
        <w:tc>
          <w:tcPr>
            <w:tcW w:w="180" w:type="dxa"/>
            <w:vAlign w:val="bottom"/>
          </w:tcPr>
          <w:p>
            <w:pPr>
              <w:spacing w:after="0"/>
              <w:rPr>
                <w:sz w:val="21"/>
                <w:szCs w:val="21"/>
                <w:color w:val="auto"/>
              </w:rPr>
            </w:pPr>
          </w:p>
        </w:tc>
        <w:tc>
          <w:tcPr>
            <w:tcW w:w="540" w:type="dxa"/>
            <w:vAlign w:val="bottom"/>
          </w:tcPr>
          <w:p>
            <w:pPr>
              <w:jc w:val="right"/>
              <w:ind w:right="2"/>
              <w:spacing w:after="0"/>
              <w:rPr>
                <w:sz w:val="20"/>
                <w:szCs w:val="20"/>
                <w:color w:val="auto"/>
              </w:rPr>
            </w:pPr>
            <w:r>
              <w:rPr>
                <w:rFonts w:ascii="Arial" w:cs="Arial" w:eastAsia="Arial" w:hAnsi="Arial"/>
                <w:sz w:val="16"/>
                <w:szCs w:val="16"/>
                <w:color w:val="auto"/>
              </w:rPr>
              <w:t>644</w:t>
            </w: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40" w:type="dxa"/>
            <w:vAlign w:val="bottom"/>
          </w:tcPr>
          <w:p>
            <w:pPr>
              <w:jc w:val="right"/>
              <w:ind w:right="2"/>
              <w:spacing w:after="0"/>
              <w:rPr>
                <w:sz w:val="20"/>
                <w:szCs w:val="20"/>
                <w:color w:val="auto"/>
              </w:rPr>
            </w:pPr>
            <w:r>
              <w:rPr>
                <w:rFonts w:ascii="Arial" w:cs="Arial" w:eastAsia="Arial" w:hAnsi="Arial"/>
                <w:sz w:val="16"/>
                <w:szCs w:val="16"/>
                <w:color w:val="auto"/>
              </w:rPr>
              <w:t>1,375</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501</w:t>
            </w:r>
          </w:p>
        </w:tc>
        <w:tc>
          <w:tcPr>
            <w:tcW w:w="0" w:type="dxa"/>
            <w:vAlign w:val="bottom"/>
          </w:tcPr>
          <w:p>
            <w:pPr>
              <w:spacing w:after="0"/>
              <w:rPr>
                <w:sz w:val="1"/>
                <w:szCs w:val="1"/>
                <w:color w:val="auto"/>
              </w:rPr>
            </w:pPr>
          </w:p>
        </w:tc>
      </w:tr>
      <w:tr>
        <w:trPr>
          <w:trHeight w:val="257"/>
        </w:trPr>
        <w:tc>
          <w:tcPr>
            <w:tcW w:w="6840" w:type="dxa"/>
            <w:vAlign w:val="bottom"/>
          </w:tcPr>
          <w:p>
            <w:pPr>
              <w:spacing w:after="0"/>
              <w:rPr>
                <w:sz w:val="20"/>
                <w:szCs w:val="20"/>
                <w:color w:val="auto"/>
              </w:rPr>
            </w:pPr>
            <w:r>
              <w:rPr>
                <w:rFonts w:ascii="Arial" w:cs="Arial" w:eastAsia="Arial" w:hAnsi="Arial"/>
                <w:sz w:val="16"/>
                <w:szCs w:val="16"/>
                <w:color w:val="auto"/>
              </w:rPr>
              <w:t>Equity in earnings of unconsolidated affiliates</w:t>
            </w:r>
          </w:p>
        </w:tc>
        <w:tc>
          <w:tcPr>
            <w:tcW w:w="18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35</w:t>
            </w:r>
          </w:p>
        </w:tc>
        <w:tc>
          <w:tcPr>
            <w:tcW w:w="6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16</w:t>
            </w:r>
          </w:p>
        </w:tc>
        <w:tc>
          <w:tcPr>
            <w:tcW w:w="6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223"/>
        </w:trPr>
        <w:tc>
          <w:tcPr>
            <w:tcW w:w="6840" w:type="dxa"/>
            <w:vAlign w:val="bottom"/>
          </w:tcPr>
          <w:p>
            <w:pPr>
              <w:spacing w:after="0"/>
              <w:rPr>
                <w:sz w:val="20"/>
                <w:szCs w:val="20"/>
                <w:color w:val="auto"/>
              </w:rPr>
            </w:pPr>
            <w:r>
              <w:rPr>
                <w:rFonts w:ascii="Arial" w:cs="Arial" w:eastAsia="Arial" w:hAnsi="Arial"/>
                <w:sz w:val="16"/>
                <w:szCs w:val="16"/>
                <w:color w:val="auto"/>
              </w:rPr>
              <w:t>Net earnings</w:t>
            </w:r>
          </w:p>
        </w:tc>
        <w:tc>
          <w:tcPr>
            <w:tcW w:w="180" w:type="dxa"/>
            <w:vAlign w:val="bottom"/>
          </w:tcPr>
          <w:p>
            <w:pPr>
              <w:spacing w:after="0"/>
              <w:rPr>
                <w:sz w:val="19"/>
                <w:szCs w:val="19"/>
                <w:color w:val="auto"/>
              </w:rPr>
            </w:pPr>
          </w:p>
        </w:tc>
        <w:tc>
          <w:tcPr>
            <w:tcW w:w="540" w:type="dxa"/>
            <w:vAlign w:val="bottom"/>
          </w:tcPr>
          <w:p>
            <w:pPr>
              <w:jc w:val="right"/>
              <w:ind w:right="2"/>
              <w:spacing w:after="0"/>
              <w:rPr>
                <w:sz w:val="20"/>
                <w:szCs w:val="20"/>
                <w:color w:val="auto"/>
              </w:rPr>
            </w:pPr>
            <w:r>
              <w:rPr>
                <w:rFonts w:ascii="Arial" w:cs="Arial" w:eastAsia="Arial" w:hAnsi="Arial"/>
                <w:sz w:val="16"/>
                <w:szCs w:val="16"/>
                <w:color w:val="auto"/>
              </w:rPr>
              <w:t>679</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40" w:type="dxa"/>
            <w:vAlign w:val="bottom"/>
          </w:tcPr>
          <w:p>
            <w:pPr>
              <w:jc w:val="right"/>
              <w:ind w:right="2"/>
              <w:spacing w:after="0"/>
              <w:rPr>
                <w:sz w:val="20"/>
                <w:szCs w:val="20"/>
                <w:color w:val="auto"/>
              </w:rPr>
            </w:pPr>
            <w:r>
              <w:rPr>
                <w:rFonts w:ascii="Arial" w:cs="Arial" w:eastAsia="Arial" w:hAnsi="Arial"/>
                <w:sz w:val="16"/>
                <w:szCs w:val="16"/>
                <w:color w:val="auto"/>
              </w:rPr>
              <w:t>1,391</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518</w:t>
            </w:r>
          </w:p>
        </w:tc>
        <w:tc>
          <w:tcPr>
            <w:tcW w:w="0" w:type="dxa"/>
            <w:vAlign w:val="bottom"/>
          </w:tcPr>
          <w:p>
            <w:pPr>
              <w:spacing w:after="0"/>
              <w:rPr>
                <w:sz w:val="1"/>
                <w:szCs w:val="1"/>
                <w:color w:val="auto"/>
              </w:rPr>
            </w:pPr>
          </w:p>
        </w:tc>
      </w:tr>
      <w:tr>
        <w:trPr>
          <w:trHeight w:val="257"/>
        </w:trPr>
        <w:tc>
          <w:tcPr>
            <w:tcW w:w="6840" w:type="dxa"/>
            <w:vAlign w:val="bottom"/>
          </w:tcPr>
          <w:p>
            <w:pPr>
              <w:spacing w:after="0"/>
              <w:rPr>
                <w:sz w:val="20"/>
                <w:szCs w:val="20"/>
                <w:color w:val="auto"/>
              </w:rPr>
            </w:pPr>
            <w:r>
              <w:rPr>
                <w:rFonts w:ascii="Arial" w:cs="Arial" w:eastAsia="Arial" w:hAnsi="Arial"/>
                <w:sz w:val="16"/>
                <w:szCs w:val="16"/>
                <w:color w:val="auto"/>
              </w:rPr>
              <w:t>Less: Net earnings attributable to non-controlling interests</w:t>
            </w:r>
          </w:p>
        </w:tc>
        <w:tc>
          <w:tcPr>
            <w:tcW w:w="18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77</w:t>
            </w:r>
          </w:p>
        </w:tc>
        <w:tc>
          <w:tcPr>
            <w:tcW w:w="6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121</w:t>
            </w:r>
          </w:p>
        </w:tc>
        <w:tc>
          <w:tcPr>
            <w:tcW w:w="6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40"/>
        </w:trPr>
        <w:tc>
          <w:tcPr>
            <w:tcW w:w="6840" w:type="dxa"/>
            <w:vAlign w:val="bottom"/>
          </w:tcPr>
          <w:p>
            <w:pPr>
              <w:spacing w:after="0"/>
              <w:rPr>
                <w:sz w:val="20"/>
                <w:szCs w:val="20"/>
                <w:color w:val="auto"/>
              </w:rPr>
            </w:pPr>
            <w:r>
              <w:rPr>
                <w:rFonts w:ascii="Arial" w:cs="Arial" w:eastAsia="Arial" w:hAnsi="Arial"/>
                <w:sz w:val="16"/>
                <w:szCs w:val="16"/>
                <w:color w:val="auto"/>
              </w:rPr>
              <w:t>Net earnings attributable to Fidelity National Financial, Inc. common shareholders</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540" w:type="dxa"/>
            <w:vAlign w:val="bottom"/>
          </w:tcPr>
          <w:p>
            <w:pPr>
              <w:jc w:val="right"/>
              <w:ind w:right="2"/>
              <w:spacing w:after="0"/>
              <w:rPr>
                <w:sz w:val="20"/>
                <w:szCs w:val="20"/>
                <w:color w:val="auto"/>
              </w:rPr>
            </w:pPr>
            <w:r>
              <w:rPr>
                <w:rFonts w:ascii="Arial" w:cs="Arial" w:eastAsia="Arial" w:hAnsi="Arial"/>
                <w:sz w:val="16"/>
                <w:szCs w:val="16"/>
                <w:color w:val="auto"/>
              </w:rPr>
              <w:t>602</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540" w:type="dxa"/>
            <w:vAlign w:val="bottom"/>
          </w:tcPr>
          <w:p>
            <w:pPr>
              <w:jc w:val="right"/>
              <w:ind w:right="2"/>
              <w:spacing w:after="0"/>
              <w:rPr>
                <w:sz w:val="20"/>
                <w:szCs w:val="20"/>
                <w:color w:val="auto"/>
              </w:rPr>
            </w:pPr>
            <w:r>
              <w:rPr>
                <w:rFonts w:ascii="Arial" w:cs="Arial" w:eastAsia="Arial" w:hAnsi="Arial"/>
                <w:sz w:val="16"/>
                <w:szCs w:val="16"/>
                <w:color w:val="auto"/>
              </w:rPr>
              <w:t>1,270</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517</w:t>
            </w:r>
          </w:p>
        </w:tc>
        <w:tc>
          <w:tcPr>
            <w:tcW w:w="0" w:type="dxa"/>
            <w:vAlign w:val="bottom"/>
          </w:tcPr>
          <w:p>
            <w:pPr>
              <w:spacing w:after="0"/>
              <w:rPr>
                <w:sz w:val="1"/>
                <w:szCs w:val="1"/>
                <w:color w:val="auto"/>
              </w:rPr>
            </w:pPr>
          </w:p>
        </w:tc>
      </w:tr>
      <w:tr>
        <w:trPr>
          <w:trHeight w:val="20"/>
        </w:trPr>
        <w:tc>
          <w:tcPr>
            <w:tcW w:w="6840" w:type="dxa"/>
            <w:vAlign w:val="bottom"/>
            <w:vMerge w:val="restart"/>
          </w:tcPr>
          <w:p>
            <w:pPr>
              <w:spacing w:after="0"/>
              <w:rPr>
                <w:sz w:val="20"/>
                <w:szCs w:val="20"/>
                <w:color w:val="auto"/>
              </w:rPr>
            </w:pPr>
            <w:r>
              <w:rPr>
                <w:rFonts w:ascii="Arial" w:cs="Arial" w:eastAsia="Arial" w:hAnsi="Arial"/>
                <w:sz w:val="16"/>
                <w:szCs w:val="16"/>
                <w:b w:val="1"/>
                <w:bCs w:val="1"/>
                <w:color w:val="auto"/>
              </w:rPr>
              <w:t>Earnings per share</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684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7"/>
        </w:trPr>
        <w:tc>
          <w:tcPr>
            <w:tcW w:w="6840" w:type="dxa"/>
            <w:vAlign w:val="bottom"/>
          </w:tcPr>
          <w:p>
            <w:pPr>
              <w:spacing w:after="0"/>
              <w:rPr>
                <w:sz w:val="20"/>
                <w:szCs w:val="20"/>
                <w:color w:val="auto"/>
              </w:rPr>
            </w:pPr>
            <w:r>
              <w:rPr>
                <w:rFonts w:ascii="Arial" w:cs="Arial" w:eastAsia="Arial" w:hAnsi="Arial"/>
                <w:sz w:val="16"/>
                <w:szCs w:val="16"/>
                <w:color w:val="auto"/>
              </w:rPr>
              <w:t>Net earnings per share attributable to FNF common shareholders, basic</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2.22</w:t>
            </w:r>
          </w:p>
        </w:tc>
        <w:tc>
          <w:tcPr>
            <w:tcW w:w="60" w:type="dxa"/>
            <w:vAlign w:val="bottom"/>
          </w:tcPr>
          <w:p>
            <w:pPr>
              <w:spacing w:after="0"/>
              <w:rPr>
                <w:sz w:val="23"/>
                <w:szCs w:val="23"/>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4.69</w:t>
            </w:r>
          </w:p>
        </w:tc>
        <w:tc>
          <w:tcPr>
            <w:tcW w:w="60" w:type="dxa"/>
            <w:vAlign w:val="bottom"/>
          </w:tcPr>
          <w:p>
            <w:pPr>
              <w:spacing w:after="0"/>
              <w:rPr>
                <w:sz w:val="23"/>
                <w:szCs w:val="23"/>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1.91</w:t>
            </w:r>
          </w:p>
        </w:tc>
        <w:tc>
          <w:tcPr>
            <w:tcW w:w="0" w:type="dxa"/>
            <w:vAlign w:val="bottom"/>
          </w:tcPr>
          <w:p>
            <w:pPr>
              <w:spacing w:after="0"/>
              <w:rPr>
                <w:sz w:val="1"/>
                <w:szCs w:val="1"/>
                <w:color w:val="auto"/>
              </w:rPr>
            </w:pPr>
          </w:p>
        </w:tc>
      </w:tr>
      <w:tr>
        <w:trPr>
          <w:trHeight w:val="20"/>
        </w:trPr>
        <w:tc>
          <w:tcPr>
            <w:tcW w:w="68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6840" w:type="dxa"/>
            <w:vAlign w:val="bottom"/>
          </w:tcPr>
          <w:p>
            <w:pPr>
              <w:spacing w:after="0"/>
              <w:rPr>
                <w:sz w:val="20"/>
                <w:szCs w:val="20"/>
                <w:color w:val="auto"/>
              </w:rPr>
            </w:pPr>
            <w:r>
              <w:rPr>
                <w:rFonts w:ascii="Arial" w:cs="Arial" w:eastAsia="Arial" w:hAnsi="Arial"/>
                <w:sz w:val="16"/>
                <w:szCs w:val="16"/>
                <w:color w:val="auto"/>
              </w:rPr>
              <w:t>Net earnings per share attributable to FNF common shareholders, diluted</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540" w:type="dxa"/>
            <w:vAlign w:val="bottom"/>
          </w:tcPr>
          <w:p>
            <w:pPr>
              <w:jc w:val="right"/>
              <w:ind w:right="2"/>
              <w:spacing w:after="0"/>
              <w:rPr>
                <w:sz w:val="20"/>
                <w:szCs w:val="20"/>
                <w:color w:val="auto"/>
              </w:rPr>
            </w:pPr>
            <w:r>
              <w:rPr>
                <w:rFonts w:ascii="Arial" w:cs="Arial" w:eastAsia="Arial" w:hAnsi="Arial"/>
                <w:sz w:val="16"/>
                <w:szCs w:val="16"/>
                <w:color w:val="auto"/>
              </w:rPr>
              <w:t>2.21</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540" w:type="dxa"/>
            <w:vAlign w:val="bottom"/>
          </w:tcPr>
          <w:p>
            <w:pPr>
              <w:jc w:val="right"/>
              <w:ind w:right="2"/>
              <w:spacing w:after="0"/>
              <w:rPr>
                <w:sz w:val="20"/>
                <w:szCs w:val="20"/>
                <w:color w:val="auto"/>
              </w:rPr>
            </w:pPr>
            <w:r>
              <w:rPr>
                <w:rFonts w:ascii="Arial" w:cs="Arial" w:eastAsia="Arial" w:hAnsi="Arial"/>
                <w:sz w:val="16"/>
                <w:szCs w:val="16"/>
                <w:color w:val="auto"/>
              </w:rPr>
              <w:t>4.65</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1.91</w:t>
            </w:r>
          </w:p>
        </w:tc>
        <w:tc>
          <w:tcPr>
            <w:tcW w:w="0" w:type="dxa"/>
            <w:vAlign w:val="bottom"/>
          </w:tcPr>
          <w:p>
            <w:pPr>
              <w:spacing w:after="0"/>
              <w:rPr>
                <w:sz w:val="1"/>
                <w:szCs w:val="1"/>
                <w:color w:val="auto"/>
              </w:rPr>
            </w:pPr>
          </w:p>
        </w:tc>
      </w:tr>
      <w:tr>
        <w:trPr>
          <w:trHeight w:val="20"/>
        </w:trPr>
        <w:tc>
          <w:tcPr>
            <w:tcW w:w="68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2"/>
        </w:trPr>
        <w:tc>
          <w:tcPr>
            <w:tcW w:w="6840" w:type="dxa"/>
            <w:vAlign w:val="bottom"/>
          </w:tcPr>
          <w:p>
            <w:pPr>
              <w:spacing w:after="0"/>
              <w:rPr>
                <w:sz w:val="20"/>
                <w:szCs w:val="20"/>
                <w:color w:val="auto"/>
              </w:rPr>
            </w:pPr>
            <w:r>
              <w:rPr>
                <w:rFonts w:ascii="Arial" w:cs="Arial" w:eastAsia="Arial" w:hAnsi="Arial"/>
                <w:sz w:val="16"/>
                <w:szCs w:val="16"/>
                <w:color w:val="auto"/>
              </w:rPr>
              <w:t>Weighted average shares outstanding FNF common stock, basic basis</w:t>
            </w:r>
          </w:p>
        </w:tc>
        <w:tc>
          <w:tcPr>
            <w:tcW w:w="18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271</w:t>
            </w:r>
          </w:p>
        </w:tc>
        <w:tc>
          <w:tcPr>
            <w:tcW w:w="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271</w:t>
            </w:r>
          </w:p>
        </w:tc>
        <w:tc>
          <w:tcPr>
            <w:tcW w:w="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270</w:t>
            </w:r>
          </w:p>
        </w:tc>
        <w:tc>
          <w:tcPr>
            <w:tcW w:w="0" w:type="dxa"/>
            <w:vAlign w:val="bottom"/>
          </w:tcPr>
          <w:p>
            <w:pPr>
              <w:spacing w:after="0"/>
              <w:rPr>
                <w:sz w:val="1"/>
                <w:szCs w:val="1"/>
                <w:color w:val="auto"/>
              </w:rPr>
            </w:pPr>
          </w:p>
        </w:tc>
      </w:tr>
      <w:tr>
        <w:trPr>
          <w:trHeight w:val="20"/>
        </w:trPr>
        <w:tc>
          <w:tcPr>
            <w:tcW w:w="68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6840" w:type="dxa"/>
            <w:vAlign w:val="bottom"/>
          </w:tcPr>
          <w:p>
            <w:pPr>
              <w:spacing w:after="0"/>
              <w:rPr>
                <w:sz w:val="20"/>
                <w:szCs w:val="20"/>
                <w:color w:val="auto"/>
              </w:rPr>
            </w:pPr>
            <w:r>
              <w:rPr>
                <w:rFonts w:ascii="Arial" w:cs="Arial" w:eastAsia="Arial" w:hAnsi="Arial"/>
                <w:sz w:val="16"/>
                <w:szCs w:val="16"/>
                <w:color w:val="auto"/>
              </w:rPr>
              <w:t>Weighted average shares outstanding FNF common stock, diluted basis</w:t>
            </w:r>
          </w:p>
        </w:tc>
        <w:tc>
          <w:tcPr>
            <w:tcW w:w="1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272</w:t>
            </w:r>
          </w:p>
        </w:tc>
        <w:tc>
          <w:tcPr>
            <w:tcW w:w="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273</w:t>
            </w:r>
          </w:p>
        </w:tc>
        <w:tc>
          <w:tcPr>
            <w:tcW w:w="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271</w:t>
            </w:r>
          </w:p>
        </w:tc>
        <w:tc>
          <w:tcPr>
            <w:tcW w:w="0" w:type="dxa"/>
            <w:vAlign w:val="bottom"/>
          </w:tcPr>
          <w:p>
            <w:pPr>
              <w:spacing w:after="0"/>
              <w:rPr>
                <w:sz w:val="1"/>
                <w:szCs w:val="1"/>
                <w:color w:val="auto"/>
              </w:rPr>
            </w:pPr>
          </w:p>
        </w:tc>
      </w:tr>
      <w:tr>
        <w:trPr>
          <w:trHeight w:val="20"/>
        </w:trPr>
        <w:tc>
          <w:tcPr>
            <w:tcW w:w="68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-49530</wp:posOffset>
            </wp:positionH>
            <wp:positionV relativeFrom="paragraph">
              <wp:posOffset>-4641850</wp:posOffset>
            </wp:positionV>
            <wp:extent cx="5840730" cy="46488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68">
                      <a:extLst>
                        <a:ext uri="{28A0092B-C50C-407E-A947-70E740481C1C}"/>
                      </a:extLst>
                    </a:blip>
                    <a:srcRect/>
                    <a:stretch>
                      <a:fillRect/>
                    </a:stretch>
                  </pic:blipFill>
                  <pic:spPr bwMode="auto">
                    <a:xfrm>
                      <a:off x="0" y="0"/>
                      <a:ext cx="5840730" cy="4648835"/>
                    </a:xfrm>
                    <a:prstGeom prst="rect">
                      <a:avLst/>
                    </a:prstGeom>
                    <a:noFill/>
                  </pic:spPr>
                </pic:pic>
              </a:graphicData>
            </a:graphic>
          </wp:anchor>
        </w:drawing>
      </w:r>
    </w:p>
    <w:p>
      <w:pPr>
        <w:jc w:val="center"/>
        <w:ind w:right="60"/>
        <w:spacing w:after="0"/>
        <w:rPr>
          <w:sz w:val="20"/>
          <w:szCs w:val="20"/>
          <w:color w:val="auto"/>
        </w:rPr>
      </w:pPr>
      <w:r>
        <w:rPr>
          <w:rFonts w:ascii="Arial" w:cs="Arial" w:eastAsia="Arial" w:hAnsi="Arial"/>
          <w:sz w:val="20"/>
          <w:szCs w:val="20"/>
          <w:color w:val="auto"/>
        </w:rPr>
        <w:t>See accompanying Notes to Consolidated Financial Statements</w:t>
      </w:r>
    </w:p>
    <w:p>
      <w:pPr>
        <w:sectPr>
          <w:pgSz w:w="11880" w:h="15480" w:orient="portrait"/>
          <w:cols w:equalWidth="0" w:num="1">
            <w:col w:w="9100"/>
          </w:cols>
          <w:pgMar w:left="1420" w:top="736" w:right="13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60"/>
        <w:spacing w:after="0"/>
        <w:rPr>
          <w:sz w:val="20"/>
          <w:szCs w:val="20"/>
          <w:color w:val="auto"/>
        </w:rPr>
      </w:pPr>
      <w:r>
        <w:rPr>
          <w:rFonts w:ascii="Arial" w:cs="Arial" w:eastAsia="Arial" w:hAnsi="Arial"/>
          <w:sz w:val="16"/>
          <w:szCs w:val="16"/>
          <w:color w:val="auto"/>
        </w:rPr>
        <w:t>102</w:t>
      </w:r>
    </w:p>
    <w:p>
      <w:pPr>
        <w:sectPr>
          <w:pgSz w:w="11880" w:h="15480" w:orient="portrait"/>
          <w:cols w:equalWidth="0" w:num="1">
            <w:col w:w="9100"/>
          </w:cols>
          <w:pgMar w:left="1420" w:top="736" w:right="1360" w:bottom="0" w:gutter="0" w:footer="0" w:header="0"/>
          <w:type w:val="continuous"/>
        </w:sectPr>
      </w:pPr>
    </w:p>
    <w:bookmarkStart w:id="114" w:name="page115"/>
    <w:bookmarkEnd w:id="114"/>
    <w:p>
      <w:pPr>
        <w:jc w:val="center"/>
        <w:ind w:left="90" w:right="90"/>
        <w:spacing w:after="0" w:line="262" w:lineRule="auto"/>
        <w:rPr>
          <w:sz w:val="20"/>
          <w:szCs w:val="20"/>
          <w:color w:val="auto"/>
        </w:rPr>
      </w:pPr>
      <w:r>
        <w:rPr>
          <w:rFonts w:ascii="Arial" w:cs="Arial" w:eastAsia="Arial" w:hAnsi="Arial"/>
          <w:sz w:val="20"/>
          <w:szCs w:val="20"/>
          <w:b w:val="1"/>
          <w:bCs w:val="1"/>
          <w:color w:val="auto"/>
        </w:rPr>
        <w:t xml:space="preserve">FIDELITY NATIONAL FINANCIAL, INC. AND SUBSIDIARIES CONSOLIDATED STATEMENTS OF COMPREHENSIVE EARNINGS </w:t>
      </w:r>
      <w:r>
        <w:rPr>
          <w:rFonts w:ascii="Arial" w:cs="Arial" w:eastAsia="Arial" w:hAnsi="Arial"/>
          <w:sz w:val="20"/>
          <w:szCs w:val="20"/>
          <w:color w:val="auto"/>
        </w:rPr>
        <w:t>(In millions)</w:t>
      </w:r>
    </w:p>
    <w:p>
      <w:pPr>
        <w:spacing w:after="0" w:line="209" w:lineRule="exact"/>
        <w:rPr>
          <w:sz w:val="20"/>
          <w:szCs w:val="20"/>
          <w:color w:val="auto"/>
        </w:rPr>
      </w:pPr>
    </w:p>
    <w:tbl>
      <w:tblPr>
        <w:tblLayout w:type="fixed"/>
        <w:tblInd w:w="140" w:type="dxa"/>
        <w:tblCellMar>
          <w:top w:w="0" w:type="dxa"/>
          <w:left w:w="0" w:type="dxa"/>
          <w:bottom w:w="0" w:type="dxa"/>
          <w:right w:w="0" w:type="dxa"/>
        </w:tblCellMar>
      </w:tblPr>
      <w:tr>
        <w:trPr>
          <w:trHeight w:val="213"/>
        </w:trPr>
        <w:tc>
          <w:tcPr>
            <w:tcW w:w="63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260" w:type="dxa"/>
            <w:vAlign w:val="bottom"/>
            <w:tcBorders>
              <w:bottom w:val="single" w:sz="8" w:color="auto"/>
            </w:tcBorders>
            <w:gridSpan w:val="7"/>
          </w:tcPr>
          <w:p>
            <w:pPr>
              <w:jc w:val="right"/>
              <w:ind w:right="262"/>
              <w:spacing w:after="0"/>
              <w:rPr>
                <w:sz w:val="20"/>
                <w:szCs w:val="20"/>
                <w:color w:val="auto"/>
              </w:rPr>
            </w:pPr>
            <w:r>
              <w:rPr>
                <w:rFonts w:ascii="Arial" w:cs="Arial" w:eastAsia="Arial" w:hAnsi="Arial"/>
                <w:sz w:val="16"/>
                <w:szCs w:val="16"/>
                <w:b w:val="1"/>
                <w:bCs w:val="1"/>
                <w:color w:val="auto"/>
                <w:w w:val="96"/>
              </w:rPr>
              <w:t>Year Ended December 31,</w:t>
            </w:r>
          </w:p>
        </w:tc>
        <w:tc>
          <w:tcPr>
            <w:tcW w:w="0" w:type="dxa"/>
            <w:vAlign w:val="bottom"/>
          </w:tcPr>
          <w:p>
            <w:pPr>
              <w:spacing w:after="0"/>
              <w:rPr>
                <w:sz w:val="1"/>
                <w:szCs w:val="1"/>
                <w:color w:val="auto"/>
              </w:rPr>
            </w:pPr>
          </w:p>
        </w:tc>
      </w:tr>
      <w:tr>
        <w:trPr>
          <w:trHeight w:val="230"/>
        </w:trPr>
        <w:tc>
          <w:tcPr>
            <w:tcW w:w="63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142"/>
              <w:spacing w:after="0"/>
              <w:rPr>
                <w:sz w:val="20"/>
                <w:szCs w:val="20"/>
                <w:color w:val="auto"/>
              </w:rPr>
            </w:pPr>
            <w:r>
              <w:rPr>
                <w:rFonts w:ascii="Arial" w:cs="Arial" w:eastAsia="Arial" w:hAnsi="Arial"/>
                <w:sz w:val="16"/>
                <w:szCs w:val="16"/>
                <w:b w:val="1"/>
                <w:bCs w:val="1"/>
                <w:color w:val="auto"/>
                <w:w w:val="95"/>
              </w:rPr>
              <w:t>2025</w:t>
            </w:r>
          </w:p>
        </w:tc>
        <w:tc>
          <w:tcPr>
            <w:tcW w:w="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142"/>
              <w:spacing w:after="0"/>
              <w:rPr>
                <w:sz w:val="20"/>
                <w:szCs w:val="20"/>
                <w:color w:val="auto"/>
              </w:rPr>
            </w:pPr>
            <w:r>
              <w:rPr>
                <w:rFonts w:ascii="Arial" w:cs="Arial" w:eastAsia="Arial" w:hAnsi="Arial"/>
                <w:sz w:val="16"/>
                <w:szCs w:val="16"/>
                <w:b w:val="1"/>
                <w:bCs w:val="1"/>
                <w:color w:val="auto"/>
                <w:w w:val="95"/>
              </w:rPr>
              <w:t>2024</w:t>
            </w:r>
          </w:p>
        </w:tc>
        <w:tc>
          <w:tcPr>
            <w:tcW w:w="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162"/>
              <w:spacing w:after="0"/>
              <w:rPr>
                <w:sz w:val="20"/>
                <w:szCs w:val="20"/>
                <w:color w:val="auto"/>
              </w:rPr>
            </w:pPr>
            <w:r>
              <w:rPr>
                <w:rFonts w:ascii="Arial" w:cs="Arial" w:eastAsia="Arial" w:hAnsi="Arial"/>
                <w:sz w:val="16"/>
                <w:szCs w:val="16"/>
                <w:b w:val="1"/>
                <w:bCs w:val="1"/>
                <w:color w:val="auto"/>
                <w:w w:val="95"/>
              </w:rPr>
              <w:t>2023</w:t>
            </w:r>
          </w:p>
        </w:tc>
        <w:tc>
          <w:tcPr>
            <w:tcW w:w="0" w:type="dxa"/>
            <w:vAlign w:val="bottom"/>
          </w:tcPr>
          <w:p>
            <w:pPr>
              <w:spacing w:after="0"/>
              <w:rPr>
                <w:sz w:val="1"/>
                <w:szCs w:val="1"/>
                <w:color w:val="auto"/>
              </w:rPr>
            </w:pPr>
          </w:p>
        </w:tc>
      </w:tr>
      <w:tr>
        <w:trPr>
          <w:trHeight w:val="223"/>
        </w:trPr>
        <w:tc>
          <w:tcPr>
            <w:tcW w:w="6340" w:type="dxa"/>
            <w:vAlign w:val="bottom"/>
          </w:tcPr>
          <w:p>
            <w:pPr>
              <w:spacing w:after="0"/>
              <w:rPr>
                <w:sz w:val="20"/>
                <w:szCs w:val="20"/>
                <w:color w:val="auto"/>
              </w:rPr>
            </w:pPr>
            <w:r>
              <w:rPr>
                <w:rFonts w:ascii="Arial" w:cs="Arial" w:eastAsia="Arial" w:hAnsi="Arial"/>
                <w:sz w:val="16"/>
                <w:szCs w:val="16"/>
                <w:color w:val="auto"/>
              </w:rPr>
              <w:t>Net earnings</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679</w:t>
            </w:r>
          </w:p>
        </w:tc>
        <w:tc>
          <w:tcPr>
            <w:tcW w:w="26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1,391</w:t>
            </w:r>
          </w:p>
        </w:tc>
        <w:tc>
          <w:tcPr>
            <w:tcW w:w="24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600" w:type="dxa"/>
            <w:vAlign w:val="bottom"/>
          </w:tcPr>
          <w:p>
            <w:pPr>
              <w:jc w:val="right"/>
              <w:ind w:right="2"/>
              <w:spacing w:after="0"/>
              <w:rPr>
                <w:sz w:val="20"/>
                <w:szCs w:val="20"/>
                <w:color w:val="auto"/>
              </w:rPr>
            </w:pPr>
            <w:r>
              <w:rPr>
                <w:rFonts w:ascii="Arial" w:cs="Arial" w:eastAsia="Arial" w:hAnsi="Arial"/>
                <w:sz w:val="16"/>
                <w:szCs w:val="16"/>
                <w:color w:val="auto"/>
              </w:rPr>
              <w:t>518</w:t>
            </w:r>
          </w:p>
        </w:tc>
        <w:tc>
          <w:tcPr>
            <w:tcW w:w="0" w:type="dxa"/>
            <w:vAlign w:val="bottom"/>
          </w:tcPr>
          <w:p>
            <w:pPr>
              <w:spacing w:after="0"/>
              <w:rPr>
                <w:sz w:val="1"/>
                <w:szCs w:val="1"/>
                <w:color w:val="auto"/>
              </w:rPr>
            </w:pPr>
          </w:p>
        </w:tc>
      </w:tr>
      <w:tr>
        <w:trPr>
          <w:trHeight w:val="250"/>
        </w:trPr>
        <w:tc>
          <w:tcPr>
            <w:tcW w:w="6340" w:type="dxa"/>
            <w:vAlign w:val="bottom"/>
          </w:tcPr>
          <w:p>
            <w:pPr>
              <w:spacing w:after="0"/>
              <w:rPr>
                <w:sz w:val="20"/>
                <w:szCs w:val="20"/>
                <w:color w:val="auto"/>
              </w:rPr>
            </w:pPr>
            <w:r>
              <w:rPr>
                <w:rFonts w:ascii="Arial" w:cs="Arial" w:eastAsia="Arial" w:hAnsi="Arial"/>
                <w:sz w:val="16"/>
                <w:szCs w:val="16"/>
                <w:color w:val="auto"/>
              </w:rPr>
              <w:t>Other comprehensive earnings:</w:t>
            </w:r>
          </w:p>
        </w:tc>
        <w:tc>
          <w:tcPr>
            <w:tcW w:w="1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6340" w:type="dxa"/>
            <w:vAlign w:val="bottom"/>
          </w:tcPr>
          <w:p>
            <w:pPr>
              <w:ind w:left="220"/>
              <w:spacing w:after="0"/>
              <w:rPr>
                <w:sz w:val="20"/>
                <w:szCs w:val="20"/>
                <w:color w:val="auto"/>
              </w:rPr>
            </w:pPr>
            <w:r>
              <w:rPr>
                <w:rFonts w:ascii="Arial" w:cs="Arial" w:eastAsia="Arial" w:hAnsi="Arial"/>
                <w:sz w:val="16"/>
                <w:szCs w:val="16"/>
                <w:color w:val="auto"/>
                <w:w w:val="94"/>
              </w:rPr>
              <w:t>Unrealized gain (loss) on investments and other financial instruments, net of adjustments to</w:t>
            </w:r>
          </w:p>
        </w:tc>
        <w:tc>
          <w:tcPr>
            <w:tcW w:w="180" w:type="dxa"/>
            <w:vAlign w:val="bottom"/>
          </w:tcPr>
          <w:p>
            <w:pPr>
              <w:spacing w:after="0"/>
              <w:rPr>
                <w:sz w:val="16"/>
                <w:szCs w:val="16"/>
                <w:color w:val="auto"/>
              </w:rPr>
            </w:pPr>
          </w:p>
        </w:tc>
        <w:tc>
          <w:tcPr>
            <w:tcW w:w="580" w:type="dxa"/>
            <w:vAlign w:val="bottom"/>
            <w:vMerge w:val="restart"/>
          </w:tcPr>
          <w:p>
            <w:pPr>
              <w:jc w:val="right"/>
              <w:spacing w:after="0"/>
              <w:rPr>
                <w:sz w:val="20"/>
                <w:szCs w:val="20"/>
                <w:color w:val="auto"/>
              </w:rPr>
            </w:pPr>
            <w:r>
              <w:rPr>
                <w:rFonts w:ascii="Arial" w:cs="Arial" w:eastAsia="Arial" w:hAnsi="Arial"/>
                <w:sz w:val="16"/>
                <w:szCs w:val="16"/>
                <w:color w:val="auto"/>
              </w:rPr>
              <w:t>709</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vMerge w:val="restart"/>
          </w:tcPr>
          <w:p>
            <w:pPr>
              <w:jc w:val="right"/>
              <w:spacing w:after="0"/>
              <w:rPr>
                <w:sz w:val="20"/>
                <w:szCs w:val="20"/>
                <w:color w:val="auto"/>
              </w:rPr>
            </w:pPr>
            <w:r>
              <w:rPr>
                <w:rFonts w:ascii="Arial" w:cs="Arial" w:eastAsia="Arial" w:hAnsi="Arial"/>
                <w:sz w:val="16"/>
                <w:szCs w:val="16"/>
                <w:color w:val="auto"/>
              </w:rPr>
              <w:t>(157)</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vMerge w:val="restart"/>
          </w:tcPr>
          <w:p>
            <w:pPr>
              <w:jc w:val="right"/>
              <w:ind w:right="2"/>
              <w:spacing w:after="0"/>
              <w:rPr>
                <w:sz w:val="20"/>
                <w:szCs w:val="20"/>
                <w:color w:val="auto"/>
              </w:rPr>
            </w:pPr>
            <w:r>
              <w:rPr>
                <w:rFonts w:ascii="Arial" w:cs="Arial" w:eastAsia="Arial" w:hAnsi="Arial"/>
                <w:sz w:val="16"/>
                <w:szCs w:val="16"/>
                <w:color w:val="auto"/>
              </w:rPr>
              <w:t>961</w:t>
            </w:r>
          </w:p>
        </w:tc>
        <w:tc>
          <w:tcPr>
            <w:tcW w:w="0" w:type="dxa"/>
            <w:vAlign w:val="bottom"/>
          </w:tcPr>
          <w:p>
            <w:pPr>
              <w:spacing w:after="0"/>
              <w:rPr>
                <w:sz w:val="1"/>
                <w:szCs w:val="1"/>
                <w:color w:val="auto"/>
              </w:rPr>
            </w:pPr>
          </w:p>
        </w:tc>
      </w:tr>
      <w:tr>
        <w:trPr>
          <w:trHeight w:val="204"/>
        </w:trPr>
        <w:tc>
          <w:tcPr>
            <w:tcW w:w="6340" w:type="dxa"/>
            <w:vAlign w:val="bottom"/>
          </w:tcPr>
          <w:p>
            <w:pPr>
              <w:ind w:left="220"/>
              <w:spacing w:after="0"/>
              <w:rPr>
                <w:sz w:val="20"/>
                <w:szCs w:val="20"/>
                <w:color w:val="auto"/>
              </w:rPr>
            </w:pPr>
            <w:r>
              <w:rPr>
                <w:rFonts w:ascii="Arial" w:cs="Arial" w:eastAsia="Arial" w:hAnsi="Arial"/>
                <w:sz w:val="16"/>
                <w:szCs w:val="16"/>
                <w:color w:val="auto"/>
                <w:w w:val="90"/>
              </w:rPr>
              <w:t>intangible assets and unearned revenue (excluding investments in unconsolidated affiliates) (1)</w:t>
            </w:r>
          </w:p>
        </w:tc>
        <w:tc>
          <w:tcPr>
            <w:tcW w:w="180" w:type="dxa"/>
            <w:vAlign w:val="bottom"/>
          </w:tcPr>
          <w:p>
            <w:pPr>
              <w:spacing w:after="0"/>
              <w:rPr>
                <w:sz w:val="17"/>
                <w:szCs w:val="17"/>
                <w:color w:val="auto"/>
              </w:rPr>
            </w:pPr>
          </w:p>
        </w:tc>
        <w:tc>
          <w:tcPr>
            <w:tcW w:w="58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49"/>
        </w:trPr>
        <w:tc>
          <w:tcPr>
            <w:tcW w:w="6340" w:type="dxa"/>
            <w:vAlign w:val="bottom"/>
          </w:tcPr>
          <w:p>
            <w:pPr>
              <w:ind w:left="220"/>
              <w:spacing w:after="0"/>
              <w:rPr>
                <w:sz w:val="20"/>
                <w:szCs w:val="20"/>
                <w:color w:val="auto"/>
              </w:rPr>
            </w:pPr>
            <w:r>
              <w:rPr>
                <w:rFonts w:ascii="Arial" w:cs="Arial" w:eastAsia="Arial" w:hAnsi="Arial"/>
                <w:sz w:val="16"/>
                <w:szCs w:val="16"/>
                <w:color w:val="auto"/>
              </w:rPr>
              <w:t>Unrealized gain on investments in unconsolidated affiliates (2)</w:t>
            </w:r>
          </w:p>
        </w:tc>
        <w:tc>
          <w:tcPr>
            <w:tcW w:w="18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8</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32</w:t>
            </w: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0" w:type="dxa"/>
            <w:vAlign w:val="bottom"/>
          </w:tcPr>
          <w:p>
            <w:pPr>
              <w:jc w:val="right"/>
              <w:ind w:right="2"/>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50"/>
        </w:trPr>
        <w:tc>
          <w:tcPr>
            <w:tcW w:w="6340" w:type="dxa"/>
            <w:vAlign w:val="bottom"/>
          </w:tcPr>
          <w:p>
            <w:pPr>
              <w:ind w:left="220"/>
              <w:spacing w:after="0"/>
              <w:rPr>
                <w:sz w:val="20"/>
                <w:szCs w:val="20"/>
                <w:color w:val="auto"/>
              </w:rPr>
            </w:pPr>
            <w:r>
              <w:rPr>
                <w:rFonts w:ascii="Arial" w:cs="Arial" w:eastAsia="Arial" w:hAnsi="Arial"/>
                <w:sz w:val="16"/>
                <w:szCs w:val="16"/>
                <w:color w:val="auto"/>
              </w:rPr>
              <w:t>Unrealized gain (loss) on foreign currency translation (3)</w:t>
            </w:r>
          </w:p>
        </w:tc>
        <w:tc>
          <w:tcPr>
            <w:tcW w:w="18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18</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(22)</w:t>
            </w: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0" w:type="dxa"/>
            <w:vAlign w:val="bottom"/>
          </w:tcPr>
          <w:p>
            <w:pPr>
              <w:jc w:val="right"/>
              <w:ind w:right="2"/>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50"/>
        </w:trPr>
        <w:tc>
          <w:tcPr>
            <w:tcW w:w="6340" w:type="dxa"/>
            <w:vAlign w:val="bottom"/>
          </w:tcPr>
          <w:p>
            <w:pPr>
              <w:ind w:left="220"/>
              <w:spacing w:after="0"/>
              <w:rPr>
                <w:sz w:val="20"/>
                <w:szCs w:val="20"/>
                <w:color w:val="auto"/>
              </w:rPr>
            </w:pPr>
            <w:r>
              <w:rPr>
                <w:rFonts w:ascii="Arial" w:cs="Arial" w:eastAsia="Arial" w:hAnsi="Arial"/>
                <w:sz w:val="16"/>
                <w:szCs w:val="16"/>
                <w:color w:val="auto"/>
                <w:w w:val="97"/>
              </w:rPr>
              <w:t>Reclassification adjustments for unrealized gains and losses included in net earnings (4)</w:t>
            </w:r>
          </w:p>
        </w:tc>
        <w:tc>
          <w:tcPr>
            <w:tcW w:w="18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(46)</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(8)</w:t>
            </w: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0" w:type="dxa"/>
            <w:vAlign w:val="bottom"/>
          </w:tcPr>
          <w:p>
            <w:pPr>
              <w:jc w:val="right"/>
              <w:ind w:right="2"/>
              <w:spacing w:after="0"/>
              <w:rPr>
                <w:sz w:val="20"/>
                <w:szCs w:val="20"/>
                <w:color w:val="auto"/>
              </w:rPr>
            </w:pPr>
            <w:r>
              <w:rPr>
                <w:rFonts w:ascii="Arial" w:cs="Arial" w:eastAsia="Arial" w:hAnsi="Arial"/>
                <w:sz w:val="16"/>
                <w:szCs w:val="16"/>
                <w:color w:val="auto"/>
              </w:rPr>
              <w:t>126</w:t>
            </w:r>
          </w:p>
        </w:tc>
        <w:tc>
          <w:tcPr>
            <w:tcW w:w="0" w:type="dxa"/>
            <w:vAlign w:val="bottom"/>
          </w:tcPr>
          <w:p>
            <w:pPr>
              <w:spacing w:after="0"/>
              <w:rPr>
                <w:sz w:val="1"/>
                <w:szCs w:val="1"/>
                <w:color w:val="auto"/>
              </w:rPr>
            </w:pPr>
          </w:p>
        </w:tc>
      </w:tr>
      <w:tr>
        <w:trPr>
          <w:trHeight w:val="250"/>
        </w:trPr>
        <w:tc>
          <w:tcPr>
            <w:tcW w:w="6340" w:type="dxa"/>
            <w:vAlign w:val="bottom"/>
          </w:tcPr>
          <w:p>
            <w:pPr>
              <w:ind w:left="220"/>
              <w:spacing w:after="0"/>
              <w:rPr>
                <w:sz w:val="20"/>
                <w:szCs w:val="20"/>
                <w:color w:val="auto"/>
              </w:rPr>
            </w:pPr>
            <w:r>
              <w:rPr>
                <w:rFonts w:ascii="Arial" w:cs="Arial" w:eastAsia="Arial" w:hAnsi="Arial"/>
                <w:sz w:val="16"/>
                <w:szCs w:val="16"/>
                <w:color w:val="auto"/>
              </w:rPr>
              <w:t>Changes in current discount rate - future policy benefits (5)</w:t>
            </w:r>
          </w:p>
        </w:tc>
        <w:tc>
          <w:tcPr>
            <w:tcW w:w="18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(234)</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224</w:t>
            </w: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(189)</w:t>
            </w:r>
          </w:p>
        </w:tc>
        <w:tc>
          <w:tcPr>
            <w:tcW w:w="0" w:type="dxa"/>
            <w:vAlign w:val="bottom"/>
          </w:tcPr>
          <w:p>
            <w:pPr>
              <w:spacing w:after="0"/>
              <w:rPr>
                <w:sz w:val="1"/>
                <w:szCs w:val="1"/>
                <w:color w:val="auto"/>
              </w:rPr>
            </w:pPr>
          </w:p>
        </w:tc>
      </w:tr>
      <w:tr>
        <w:trPr>
          <w:trHeight w:val="250"/>
        </w:trPr>
        <w:tc>
          <w:tcPr>
            <w:tcW w:w="6340" w:type="dxa"/>
            <w:vAlign w:val="bottom"/>
          </w:tcPr>
          <w:p>
            <w:pPr>
              <w:ind w:left="220"/>
              <w:spacing w:after="0"/>
              <w:rPr>
                <w:sz w:val="20"/>
                <w:szCs w:val="20"/>
                <w:color w:val="auto"/>
              </w:rPr>
            </w:pPr>
            <w:r>
              <w:rPr>
                <w:rFonts w:ascii="Arial" w:cs="Arial" w:eastAsia="Arial" w:hAnsi="Arial"/>
                <w:sz w:val="16"/>
                <w:szCs w:val="16"/>
                <w:color w:val="auto"/>
              </w:rPr>
              <w:t>Changes in instrument-specific credit risk - market risk benefits (6)</w:t>
            </w:r>
          </w:p>
        </w:tc>
        <w:tc>
          <w:tcPr>
            <w:tcW w:w="18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(24)</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5</w:t>
            </w: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(34)</w:t>
            </w:r>
          </w:p>
        </w:tc>
        <w:tc>
          <w:tcPr>
            <w:tcW w:w="0" w:type="dxa"/>
            <w:vAlign w:val="bottom"/>
          </w:tcPr>
          <w:p>
            <w:pPr>
              <w:spacing w:after="0"/>
              <w:rPr>
                <w:sz w:val="1"/>
                <w:szCs w:val="1"/>
                <w:color w:val="auto"/>
              </w:rPr>
            </w:pPr>
          </w:p>
        </w:tc>
      </w:tr>
      <w:tr>
        <w:trPr>
          <w:trHeight w:val="250"/>
        </w:trPr>
        <w:tc>
          <w:tcPr>
            <w:tcW w:w="6340" w:type="dxa"/>
            <w:vAlign w:val="bottom"/>
          </w:tcPr>
          <w:p>
            <w:pPr>
              <w:ind w:left="220"/>
              <w:spacing w:after="0"/>
              <w:rPr>
                <w:sz w:val="20"/>
                <w:szCs w:val="20"/>
                <w:color w:val="auto"/>
              </w:rPr>
            </w:pPr>
            <w:r>
              <w:rPr>
                <w:rFonts w:ascii="Arial" w:cs="Arial" w:eastAsia="Arial" w:hAnsi="Arial"/>
                <w:sz w:val="16"/>
                <w:szCs w:val="16"/>
                <w:color w:val="auto"/>
              </w:rPr>
              <w:t>Other comprehensive loss attributable to non-controlling interest (7)</w:t>
            </w:r>
          </w:p>
        </w:tc>
        <w:tc>
          <w:tcPr>
            <w:tcW w:w="18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(73)</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(7)</w:t>
            </w: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(134)</w:t>
            </w:r>
          </w:p>
        </w:tc>
        <w:tc>
          <w:tcPr>
            <w:tcW w:w="0" w:type="dxa"/>
            <w:vAlign w:val="bottom"/>
          </w:tcPr>
          <w:p>
            <w:pPr>
              <w:spacing w:after="0"/>
              <w:rPr>
                <w:sz w:val="1"/>
                <w:szCs w:val="1"/>
                <w:color w:val="auto"/>
              </w:rPr>
            </w:pPr>
          </w:p>
        </w:tc>
      </w:tr>
      <w:tr>
        <w:trPr>
          <w:trHeight w:val="250"/>
        </w:trPr>
        <w:tc>
          <w:tcPr>
            <w:tcW w:w="6340" w:type="dxa"/>
            <w:vAlign w:val="bottom"/>
          </w:tcPr>
          <w:p>
            <w:pPr>
              <w:ind w:left="220"/>
              <w:spacing w:after="0"/>
              <w:rPr>
                <w:sz w:val="20"/>
                <w:szCs w:val="20"/>
                <w:color w:val="auto"/>
              </w:rPr>
            </w:pPr>
            <w:r>
              <w:rPr>
                <w:rFonts w:ascii="Arial" w:cs="Arial" w:eastAsia="Arial" w:hAnsi="Arial"/>
                <w:sz w:val="16"/>
                <w:szCs w:val="16"/>
                <w:color w:val="auto"/>
              </w:rPr>
              <w:t>Minimum pension liability adjustment</w:t>
            </w:r>
          </w:p>
        </w:tc>
        <w:tc>
          <w:tcPr>
            <w:tcW w:w="18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0" w:type="dxa"/>
            <w:vAlign w:val="bottom"/>
          </w:tcPr>
          <w:p>
            <w:pPr>
              <w:jc w:val="right"/>
              <w:ind w:right="2"/>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57"/>
        </w:trPr>
        <w:tc>
          <w:tcPr>
            <w:tcW w:w="6340" w:type="dxa"/>
            <w:vAlign w:val="bottom"/>
          </w:tcPr>
          <w:p>
            <w:pPr>
              <w:ind w:left="240"/>
              <w:spacing w:after="0"/>
              <w:rPr>
                <w:sz w:val="20"/>
                <w:szCs w:val="20"/>
                <w:color w:val="auto"/>
              </w:rPr>
            </w:pPr>
            <w:r>
              <w:rPr>
                <w:rFonts w:ascii="Arial" w:cs="Arial" w:eastAsia="Arial" w:hAnsi="Arial"/>
                <w:sz w:val="16"/>
                <w:szCs w:val="16"/>
                <w:color w:val="auto"/>
              </w:rPr>
              <w:t>Tax effects of F&amp;G Distribution</w:t>
            </w:r>
          </w:p>
        </w:tc>
        <w:tc>
          <w:tcPr>
            <w:tcW w:w="18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w:t>
            </w:r>
          </w:p>
        </w:tc>
        <w:tc>
          <w:tcPr>
            <w:tcW w:w="8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0"/>
        </w:trPr>
        <w:tc>
          <w:tcPr>
            <w:tcW w:w="6340" w:type="dxa"/>
            <w:vAlign w:val="bottom"/>
          </w:tcPr>
          <w:p>
            <w:pPr>
              <w:spacing w:after="0"/>
              <w:rPr>
                <w:sz w:val="20"/>
                <w:szCs w:val="20"/>
                <w:color w:val="auto"/>
              </w:rPr>
            </w:pPr>
            <w:r>
              <w:rPr>
                <w:rFonts w:ascii="Arial" w:cs="Arial" w:eastAsia="Arial" w:hAnsi="Arial"/>
                <w:sz w:val="16"/>
                <w:szCs w:val="16"/>
                <w:color w:val="auto"/>
              </w:rPr>
              <w:t>Other comprehensive earnings</w:t>
            </w:r>
          </w:p>
        </w:tc>
        <w:tc>
          <w:tcPr>
            <w:tcW w:w="1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374</w:t>
            </w:r>
          </w:p>
        </w:tc>
        <w:tc>
          <w:tcPr>
            <w:tcW w:w="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w:t>
            </w:r>
          </w:p>
        </w:tc>
        <w:tc>
          <w:tcPr>
            <w:tcW w:w="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751</w:t>
            </w:r>
          </w:p>
        </w:tc>
        <w:tc>
          <w:tcPr>
            <w:tcW w:w="0" w:type="dxa"/>
            <w:vAlign w:val="bottom"/>
          </w:tcPr>
          <w:p>
            <w:pPr>
              <w:spacing w:after="0"/>
              <w:rPr>
                <w:sz w:val="1"/>
                <w:szCs w:val="1"/>
                <w:color w:val="auto"/>
              </w:rPr>
            </w:pPr>
          </w:p>
        </w:tc>
      </w:tr>
      <w:tr>
        <w:trPr>
          <w:trHeight w:val="223"/>
        </w:trPr>
        <w:tc>
          <w:tcPr>
            <w:tcW w:w="6340" w:type="dxa"/>
            <w:vAlign w:val="bottom"/>
          </w:tcPr>
          <w:p>
            <w:pPr>
              <w:spacing w:after="0"/>
              <w:rPr>
                <w:sz w:val="20"/>
                <w:szCs w:val="20"/>
                <w:color w:val="auto"/>
              </w:rPr>
            </w:pPr>
            <w:r>
              <w:rPr>
                <w:rFonts w:ascii="Arial" w:cs="Arial" w:eastAsia="Arial" w:hAnsi="Arial"/>
                <w:sz w:val="16"/>
                <w:szCs w:val="16"/>
                <w:color w:val="auto"/>
              </w:rPr>
              <w:t>Comprehensive earnings</w:t>
            </w:r>
          </w:p>
        </w:tc>
        <w:tc>
          <w:tcPr>
            <w:tcW w:w="1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1,053</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1,458</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jc w:val="right"/>
              <w:ind w:right="2"/>
              <w:spacing w:after="0"/>
              <w:rPr>
                <w:sz w:val="20"/>
                <w:szCs w:val="20"/>
                <w:color w:val="auto"/>
              </w:rPr>
            </w:pPr>
            <w:r>
              <w:rPr>
                <w:rFonts w:ascii="Arial" w:cs="Arial" w:eastAsia="Arial" w:hAnsi="Arial"/>
                <w:sz w:val="16"/>
                <w:szCs w:val="16"/>
                <w:color w:val="auto"/>
              </w:rPr>
              <w:t>1,269</w:t>
            </w:r>
          </w:p>
        </w:tc>
        <w:tc>
          <w:tcPr>
            <w:tcW w:w="0" w:type="dxa"/>
            <w:vAlign w:val="bottom"/>
          </w:tcPr>
          <w:p>
            <w:pPr>
              <w:spacing w:after="0"/>
              <w:rPr>
                <w:sz w:val="1"/>
                <w:szCs w:val="1"/>
                <w:color w:val="auto"/>
              </w:rPr>
            </w:pPr>
          </w:p>
        </w:tc>
      </w:tr>
      <w:tr>
        <w:trPr>
          <w:trHeight w:val="257"/>
        </w:trPr>
        <w:tc>
          <w:tcPr>
            <w:tcW w:w="6340" w:type="dxa"/>
            <w:vAlign w:val="bottom"/>
          </w:tcPr>
          <w:p>
            <w:pPr>
              <w:spacing w:after="0"/>
              <w:rPr>
                <w:sz w:val="20"/>
                <w:szCs w:val="20"/>
                <w:color w:val="auto"/>
              </w:rPr>
            </w:pPr>
            <w:r>
              <w:rPr>
                <w:rFonts w:ascii="Arial" w:cs="Arial" w:eastAsia="Arial" w:hAnsi="Arial"/>
                <w:sz w:val="16"/>
                <w:szCs w:val="16"/>
                <w:color w:val="auto"/>
              </w:rPr>
              <w:t>Less: Comprehensive earnings attributable to non-controlling interests</w:t>
            </w:r>
          </w:p>
        </w:tc>
        <w:tc>
          <w:tcPr>
            <w:tcW w:w="18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w:t>
            </w:r>
          </w:p>
        </w:tc>
        <w:tc>
          <w:tcPr>
            <w:tcW w:w="8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121</w:t>
            </w:r>
          </w:p>
        </w:tc>
        <w:tc>
          <w:tcPr>
            <w:tcW w:w="6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313"/>
        </w:trPr>
        <w:tc>
          <w:tcPr>
            <w:tcW w:w="6340" w:type="dxa"/>
            <w:vAlign w:val="bottom"/>
          </w:tcPr>
          <w:p>
            <w:pPr>
              <w:spacing w:after="0"/>
              <w:rPr>
                <w:sz w:val="20"/>
                <w:szCs w:val="20"/>
                <w:color w:val="auto"/>
              </w:rPr>
            </w:pPr>
            <w:r>
              <w:rPr>
                <w:rFonts w:ascii="Arial" w:cs="Arial" w:eastAsia="Arial" w:hAnsi="Arial"/>
                <w:sz w:val="16"/>
                <w:szCs w:val="16"/>
                <w:color w:val="auto"/>
                <w:w w:val="95"/>
              </w:rPr>
              <w:t>Comprehensive earnings attributable to Fidelity National Financial, Inc. common shareholders</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976</w:t>
            </w:r>
          </w:p>
        </w:tc>
        <w:tc>
          <w:tcPr>
            <w:tcW w:w="26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1,337</w:t>
            </w:r>
          </w:p>
        </w:tc>
        <w:tc>
          <w:tcPr>
            <w:tcW w:w="24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600" w:type="dxa"/>
            <w:vAlign w:val="bottom"/>
          </w:tcPr>
          <w:p>
            <w:pPr>
              <w:jc w:val="right"/>
              <w:ind w:right="2"/>
              <w:spacing w:after="0"/>
              <w:rPr>
                <w:sz w:val="20"/>
                <w:szCs w:val="20"/>
                <w:color w:val="auto"/>
              </w:rPr>
            </w:pPr>
            <w:r>
              <w:rPr>
                <w:rFonts w:ascii="Arial" w:cs="Arial" w:eastAsia="Arial" w:hAnsi="Arial"/>
                <w:sz w:val="16"/>
                <w:szCs w:val="16"/>
                <w:color w:val="auto"/>
              </w:rPr>
              <w:t>1,268</w:t>
            </w:r>
          </w:p>
        </w:tc>
        <w:tc>
          <w:tcPr>
            <w:tcW w:w="0" w:type="dxa"/>
            <w:vAlign w:val="bottom"/>
          </w:tcPr>
          <w:p>
            <w:pPr>
              <w:spacing w:after="0"/>
              <w:rPr>
                <w:sz w:val="1"/>
                <w:szCs w:val="1"/>
                <w:color w:val="auto"/>
              </w:rPr>
            </w:pPr>
          </w:p>
        </w:tc>
      </w:tr>
      <w:tr>
        <w:trPr>
          <w:trHeight w:val="20"/>
        </w:trPr>
        <w:tc>
          <w:tcPr>
            <w:tcW w:w="6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44450</wp:posOffset>
            </wp:positionH>
            <wp:positionV relativeFrom="paragraph">
              <wp:posOffset>-2569845</wp:posOffset>
            </wp:positionV>
            <wp:extent cx="5626100" cy="257683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69">
                      <a:extLst>
                        <a:ext uri="{28A0092B-C50C-407E-A947-70E740481C1C}"/>
                      </a:extLst>
                    </a:blip>
                    <a:srcRect/>
                    <a:stretch>
                      <a:fillRect/>
                    </a:stretch>
                  </pic:blipFill>
                  <pic:spPr bwMode="auto">
                    <a:xfrm>
                      <a:off x="0" y="0"/>
                      <a:ext cx="5626100" cy="2576830"/>
                    </a:xfrm>
                    <a:prstGeom prst="rect">
                      <a:avLst/>
                    </a:prstGeom>
                    <a:noFill/>
                  </pic:spPr>
                </pic:pic>
              </a:graphicData>
            </a:graphic>
          </wp:anchor>
        </w:drawing>
      </w:r>
    </w:p>
    <w:p>
      <w:pPr>
        <w:spacing w:after="0" w:line="313" w:lineRule="exact"/>
        <w:rPr>
          <w:sz w:val="20"/>
          <w:szCs w:val="20"/>
          <w:color w:val="auto"/>
        </w:rPr>
      </w:pPr>
    </w:p>
    <w:p>
      <w:pPr>
        <w:ind w:left="1140" w:right="100" w:hanging="1050"/>
        <w:spacing w:after="0" w:line="271" w:lineRule="auto"/>
        <w:tabs>
          <w:tab w:leader="none" w:pos="1140" w:val="left"/>
        </w:tabs>
        <w:numPr>
          <w:ilvl w:val="0"/>
          <w:numId w:val="46"/>
        </w:numPr>
        <w:rPr>
          <w:rFonts w:ascii="Arial" w:cs="Arial" w:eastAsia="Arial" w:hAnsi="Arial"/>
          <w:sz w:val="20"/>
          <w:szCs w:val="20"/>
          <w:color w:val="auto"/>
        </w:rPr>
      </w:pPr>
      <w:r>
        <w:rPr>
          <w:rFonts w:ascii="Arial" w:cs="Arial" w:eastAsia="Arial" w:hAnsi="Arial"/>
          <w:sz w:val="20"/>
          <w:szCs w:val="20"/>
          <w:color w:val="auto"/>
        </w:rPr>
        <w:t>Net of income tax expense (benefit) of $171 million, $(43) million, and $238 million for the years ended December 31, 2025, 2024, and 2023, respectively.</w:t>
      </w:r>
    </w:p>
    <w:p>
      <w:pPr>
        <w:spacing w:after="0" w:line="127" w:lineRule="exact"/>
        <w:rPr>
          <w:rFonts w:ascii="Arial" w:cs="Arial" w:eastAsia="Arial" w:hAnsi="Arial"/>
          <w:sz w:val="20"/>
          <w:szCs w:val="20"/>
          <w:color w:val="auto"/>
        </w:rPr>
      </w:pPr>
    </w:p>
    <w:p>
      <w:pPr>
        <w:ind w:left="1140" w:right="100" w:hanging="1050"/>
        <w:spacing w:after="0" w:line="271" w:lineRule="auto"/>
        <w:tabs>
          <w:tab w:leader="none" w:pos="1140" w:val="left"/>
        </w:tabs>
        <w:numPr>
          <w:ilvl w:val="0"/>
          <w:numId w:val="46"/>
        </w:numPr>
        <w:rPr>
          <w:rFonts w:ascii="Arial" w:cs="Arial" w:eastAsia="Arial" w:hAnsi="Arial"/>
          <w:sz w:val="20"/>
          <w:szCs w:val="20"/>
          <w:color w:val="auto"/>
        </w:rPr>
      </w:pPr>
      <w:r>
        <w:rPr>
          <w:rFonts w:ascii="Arial" w:cs="Arial" w:eastAsia="Arial" w:hAnsi="Arial"/>
          <w:sz w:val="20"/>
          <w:szCs w:val="20"/>
          <w:color w:val="auto"/>
        </w:rPr>
        <w:t>Net of income tax expense of $2 million, $9 million, and $3 million for the years ended December 31, 2025, 2024, and 2023, respectively.</w:t>
      </w:r>
    </w:p>
    <w:p>
      <w:pPr>
        <w:spacing w:after="0" w:line="127" w:lineRule="exact"/>
        <w:rPr>
          <w:rFonts w:ascii="Arial" w:cs="Arial" w:eastAsia="Arial" w:hAnsi="Arial"/>
          <w:sz w:val="20"/>
          <w:szCs w:val="20"/>
          <w:color w:val="auto"/>
        </w:rPr>
      </w:pPr>
    </w:p>
    <w:p>
      <w:pPr>
        <w:ind w:left="1140" w:right="100" w:hanging="1050"/>
        <w:spacing w:after="0" w:line="271" w:lineRule="auto"/>
        <w:tabs>
          <w:tab w:leader="none" w:pos="1140" w:val="left"/>
        </w:tabs>
        <w:numPr>
          <w:ilvl w:val="0"/>
          <w:numId w:val="46"/>
        </w:numPr>
        <w:rPr>
          <w:rFonts w:ascii="Arial" w:cs="Arial" w:eastAsia="Arial" w:hAnsi="Arial"/>
          <w:sz w:val="20"/>
          <w:szCs w:val="20"/>
          <w:color w:val="auto"/>
        </w:rPr>
      </w:pPr>
      <w:r>
        <w:rPr>
          <w:rFonts w:ascii="Arial" w:cs="Arial" w:eastAsia="Arial" w:hAnsi="Arial"/>
          <w:sz w:val="20"/>
          <w:szCs w:val="20"/>
          <w:color w:val="auto"/>
        </w:rPr>
        <w:t>Net of income tax expense (benefit) of $4 million and $(6) million, and $2 million for the years ended December 31, 2025 and 2024, and 2023, respectively.</w:t>
      </w:r>
    </w:p>
    <w:p>
      <w:pPr>
        <w:spacing w:after="0" w:line="127" w:lineRule="exact"/>
        <w:rPr>
          <w:rFonts w:ascii="Arial" w:cs="Arial" w:eastAsia="Arial" w:hAnsi="Arial"/>
          <w:sz w:val="20"/>
          <w:szCs w:val="20"/>
          <w:color w:val="auto"/>
        </w:rPr>
      </w:pPr>
    </w:p>
    <w:p>
      <w:pPr>
        <w:ind w:left="1140" w:right="100" w:hanging="1050"/>
        <w:spacing w:after="0" w:line="271" w:lineRule="auto"/>
        <w:tabs>
          <w:tab w:leader="none" w:pos="1140" w:val="left"/>
        </w:tabs>
        <w:numPr>
          <w:ilvl w:val="0"/>
          <w:numId w:val="46"/>
        </w:numPr>
        <w:rPr>
          <w:rFonts w:ascii="Arial" w:cs="Arial" w:eastAsia="Arial" w:hAnsi="Arial"/>
          <w:sz w:val="20"/>
          <w:szCs w:val="20"/>
          <w:color w:val="auto"/>
        </w:rPr>
      </w:pPr>
      <w:r>
        <w:rPr>
          <w:rFonts w:ascii="Arial" w:cs="Arial" w:eastAsia="Arial" w:hAnsi="Arial"/>
          <w:sz w:val="20"/>
          <w:szCs w:val="20"/>
          <w:color w:val="auto"/>
        </w:rPr>
        <w:t>Net of income tax (benefit) expense of $(13) million, $(1) million, and $34 million for the years ended December 31, 2025, 2024, and 2023, respectively.</w:t>
      </w:r>
    </w:p>
    <w:p>
      <w:pPr>
        <w:spacing w:after="0" w:line="127" w:lineRule="exact"/>
        <w:rPr>
          <w:rFonts w:ascii="Arial" w:cs="Arial" w:eastAsia="Arial" w:hAnsi="Arial"/>
          <w:sz w:val="20"/>
          <w:szCs w:val="20"/>
          <w:color w:val="auto"/>
        </w:rPr>
      </w:pPr>
    </w:p>
    <w:p>
      <w:pPr>
        <w:ind w:left="1140" w:right="100" w:hanging="1050"/>
        <w:spacing w:after="0" w:line="271" w:lineRule="auto"/>
        <w:tabs>
          <w:tab w:leader="none" w:pos="1140" w:val="left"/>
        </w:tabs>
        <w:numPr>
          <w:ilvl w:val="0"/>
          <w:numId w:val="46"/>
        </w:numPr>
        <w:rPr>
          <w:rFonts w:ascii="Arial" w:cs="Arial" w:eastAsia="Arial" w:hAnsi="Arial"/>
          <w:sz w:val="20"/>
          <w:szCs w:val="20"/>
          <w:color w:val="auto"/>
        </w:rPr>
      </w:pPr>
      <w:r>
        <w:rPr>
          <w:rFonts w:ascii="Arial" w:cs="Arial" w:eastAsia="Arial" w:hAnsi="Arial"/>
          <w:sz w:val="20"/>
          <w:szCs w:val="20"/>
          <w:color w:val="auto"/>
        </w:rPr>
        <w:t>Net of income tax (benefit) expense of $(62) million, $59 million, and $(50) million for the years ended December 31, 2025, 2024, and 2023, respectively.</w:t>
      </w:r>
    </w:p>
    <w:p>
      <w:pPr>
        <w:spacing w:after="0" w:line="127" w:lineRule="exact"/>
        <w:rPr>
          <w:rFonts w:ascii="Arial" w:cs="Arial" w:eastAsia="Arial" w:hAnsi="Arial"/>
          <w:sz w:val="20"/>
          <w:szCs w:val="20"/>
          <w:color w:val="auto"/>
        </w:rPr>
      </w:pPr>
    </w:p>
    <w:p>
      <w:pPr>
        <w:ind w:left="1140" w:right="100" w:hanging="1050"/>
        <w:spacing w:after="0" w:line="271" w:lineRule="auto"/>
        <w:tabs>
          <w:tab w:leader="none" w:pos="1140" w:val="left"/>
        </w:tabs>
        <w:numPr>
          <w:ilvl w:val="0"/>
          <w:numId w:val="46"/>
        </w:numPr>
        <w:rPr>
          <w:rFonts w:ascii="Arial" w:cs="Arial" w:eastAsia="Arial" w:hAnsi="Arial"/>
          <w:sz w:val="20"/>
          <w:szCs w:val="20"/>
          <w:color w:val="auto"/>
        </w:rPr>
      </w:pPr>
      <w:r>
        <w:rPr>
          <w:rFonts w:ascii="Arial" w:cs="Arial" w:eastAsia="Arial" w:hAnsi="Arial"/>
          <w:sz w:val="20"/>
          <w:szCs w:val="20"/>
          <w:color w:val="auto"/>
        </w:rPr>
        <w:t>Net of income tax (benefit) expense of $(6) million, $1 million, and $(9) million for the years ended December 31, 2025, 2024, and 2023, respectively.</w:t>
      </w:r>
    </w:p>
    <w:p>
      <w:pPr>
        <w:spacing w:after="0" w:line="127" w:lineRule="exact"/>
        <w:rPr>
          <w:rFonts w:ascii="Arial" w:cs="Arial" w:eastAsia="Arial" w:hAnsi="Arial"/>
          <w:sz w:val="20"/>
          <w:szCs w:val="20"/>
          <w:color w:val="auto"/>
        </w:rPr>
      </w:pPr>
    </w:p>
    <w:p>
      <w:pPr>
        <w:ind w:left="1140" w:right="100" w:hanging="1050"/>
        <w:spacing w:after="0" w:line="271" w:lineRule="auto"/>
        <w:tabs>
          <w:tab w:leader="none" w:pos="1140" w:val="left"/>
        </w:tabs>
        <w:numPr>
          <w:ilvl w:val="0"/>
          <w:numId w:val="46"/>
        </w:numPr>
        <w:rPr>
          <w:rFonts w:ascii="Arial" w:cs="Arial" w:eastAsia="Arial" w:hAnsi="Arial"/>
          <w:sz w:val="20"/>
          <w:szCs w:val="20"/>
          <w:color w:val="auto"/>
        </w:rPr>
      </w:pPr>
      <w:r>
        <w:rPr>
          <w:rFonts w:ascii="Arial" w:cs="Arial" w:eastAsia="Arial" w:hAnsi="Arial"/>
          <w:sz w:val="20"/>
          <w:szCs w:val="20"/>
          <w:color w:val="auto"/>
        </w:rPr>
        <w:t>Net of income tax benefit of $18 million, $3 million, and $35 million for the years ended December 31, 2025, and 2024, and 2023, respectively.</w:t>
      </w: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See accompanying Notes to Consolidated Financial Statements</w:t>
      </w:r>
    </w:p>
    <w:p>
      <w:pPr>
        <w:sectPr>
          <w:pgSz w:w="11880" w:h="15480" w:orient="portrait"/>
          <w:cols w:equalWidth="0" w:num="1">
            <w:col w:w="9000"/>
          </w:cols>
          <w:pgMar w:left="1440" w:top="765"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103</w:t>
      </w:r>
    </w:p>
    <w:p>
      <w:pPr>
        <w:sectPr>
          <w:pgSz w:w="11880" w:h="15480" w:orient="portrait"/>
          <w:cols w:equalWidth="0" w:num="1">
            <w:col w:w="9000"/>
          </w:cols>
          <w:pgMar w:left="1440" w:top="765" w:right="1440" w:bottom="0" w:gutter="0" w:footer="0" w:header="0"/>
          <w:type w:val="continuous"/>
        </w:sectPr>
      </w:pPr>
    </w:p>
    <w:bookmarkStart w:id="115" w:name="page116"/>
    <w:bookmarkEnd w:id="115"/>
    <w:p>
      <w:pPr>
        <w:jc w:val="center"/>
        <w:ind w:right="60"/>
        <w:spacing w:after="0" w:line="262" w:lineRule="auto"/>
        <w:rPr>
          <w:sz w:val="20"/>
          <w:szCs w:val="20"/>
          <w:color w:val="auto"/>
        </w:rPr>
      </w:pPr>
      <w:r>
        <w:rPr>
          <w:rFonts w:ascii="Arial" w:cs="Arial" w:eastAsia="Arial" w:hAnsi="Arial"/>
          <w:sz w:val="20"/>
          <w:szCs w:val="20"/>
          <w:b w:val="1"/>
          <w:bCs w:val="1"/>
          <w:color w:val="auto"/>
        </w:rPr>
        <w:t xml:space="preserve">FIDELITY NATIONAL FINANCIAL, INC. AND SUBSIDIARIES CONSOLIDATED STATEMENTS OF EQUITY </w:t>
      </w:r>
      <w:r>
        <w:rPr>
          <w:rFonts w:ascii="Arial" w:cs="Arial" w:eastAsia="Arial" w:hAnsi="Arial"/>
          <w:sz w:val="20"/>
          <w:szCs w:val="20"/>
          <w:color w:val="auto"/>
        </w:rPr>
        <w:t>(In millions, except per share data)</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76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3700" w:type="dxa"/>
            <w:vAlign w:val="bottom"/>
            <w:tcBorders>
              <w:bottom w:val="single" w:sz="8" w:color="auto"/>
            </w:tcBorders>
            <w:gridSpan w:val="12"/>
          </w:tcPr>
          <w:p>
            <w:pPr>
              <w:ind w:left="20"/>
              <w:spacing w:after="0"/>
              <w:rPr>
                <w:sz w:val="20"/>
                <w:szCs w:val="20"/>
                <w:color w:val="auto"/>
              </w:rPr>
            </w:pPr>
            <w:r>
              <w:rPr>
                <w:rFonts w:ascii="Arial" w:cs="Arial" w:eastAsia="Arial" w:hAnsi="Arial"/>
                <w:sz w:val="14"/>
                <w:szCs w:val="14"/>
                <w:b w:val="1"/>
                <w:bCs w:val="1"/>
                <w:color w:val="auto"/>
              </w:rPr>
              <w:t>Fidelity National Financial, Inc. Common Shareholders</w:t>
            </w:r>
          </w:p>
        </w:tc>
        <w:tc>
          <w:tcPr>
            <w:tcW w:w="6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3"/>
        </w:trPr>
        <w:tc>
          <w:tcPr>
            <w:tcW w:w="2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8"/>
              </w:rPr>
              <w:t>Accumulated</w:t>
            </w: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gridSpan w:val="3"/>
          </w:tcPr>
          <w:p>
            <w:pPr>
              <w:jc w:val="center"/>
              <w:ind w:left="391"/>
              <w:spacing w:after="0"/>
              <w:rPr>
                <w:sz w:val="20"/>
                <w:szCs w:val="20"/>
                <w:color w:val="auto"/>
              </w:rPr>
            </w:pPr>
            <w:r>
              <w:rPr>
                <w:rFonts w:ascii="Arial" w:cs="Arial" w:eastAsia="Arial" w:hAnsi="Arial"/>
                <w:sz w:val="14"/>
                <w:szCs w:val="14"/>
                <w:b w:val="1"/>
                <w:bCs w:val="1"/>
                <w:color w:val="auto"/>
                <w:w w:val="95"/>
              </w:rPr>
              <w:t>FNF</w:t>
            </w: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6"/>
              </w:rPr>
              <w:t>Other</w:t>
            </w: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5"/>
        </w:trPr>
        <w:tc>
          <w:tcPr>
            <w:tcW w:w="2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gridSpan w:val="4"/>
          </w:tcPr>
          <w:p>
            <w:pPr>
              <w:jc w:val="center"/>
              <w:ind w:left="131"/>
              <w:spacing w:after="0"/>
              <w:rPr>
                <w:sz w:val="20"/>
                <w:szCs w:val="20"/>
                <w:color w:val="auto"/>
              </w:rPr>
            </w:pPr>
            <w:r>
              <w:rPr>
                <w:rFonts w:ascii="Arial" w:cs="Arial" w:eastAsia="Arial" w:hAnsi="Arial"/>
                <w:sz w:val="14"/>
                <w:szCs w:val="14"/>
                <w:b w:val="1"/>
                <w:bCs w:val="1"/>
                <w:color w:val="auto"/>
                <w:w w:val="88"/>
              </w:rPr>
              <w:t>Common</w:t>
            </w: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40" w:type="dxa"/>
            <w:vAlign w:val="bottom"/>
            <w:gridSpan w:val="2"/>
          </w:tcPr>
          <w:p>
            <w:pPr>
              <w:jc w:val="right"/>
              <w:ind w:right="31"/>
              <w:spacing w:after="0"/>
              <w:rPr>
                <w:sz w:val="20"/>
                <w:szCs w:val="20"/>
                <w:color w:val="auto"/>
              </w:rPr>
            </w:pPr>
            <w:r>
              <w:rPr>
                <w:rFonts w:ascii="Arial" w:cs="Arial" w:eastAsia="Arial" w:hAnsi="Arial"/>
                <w:sz w:val="14"/>
                <w:szCs w:val="14"/>
                <w:b w:val="1"/>
                <w:bCs w:val="1"/>
                <w:color w:val="auto"/>
              </w:rPr>
              <w:t>Additional</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2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87"/>
              </w:rPr>
              <w:t>Comprehensive</w:t>
            </w:r>
          </w:p>
        </w:tc>
        <w:tc>
          <w:tcPr>
            <w:tcW w:w="1180" w:type="dxa"/>
            <w:vAlign w:val="bottom"/>
            <w:gridSpan w:val="3"/>
          </w:tcPr>
          <w:p>
            <w:pPr>
              <w:jc w:val="right"/>
              <w:ind w:right="251"/>
              <w:spacing w:after="0"/>
              <w:rPr>
                <w:sz w:val="20"/>
                <w:szCs w:val="20"/>
                <w:color w:val="auto"/>
              </w:rPr>
            </w:pPr>
            <w:r>
              <w:rPr>
                <w:rFonts w:ascii="Arial" w:cs="Arial" w:eastAsia="Arial" w:hAnsi="Arial"/>
                <w:sz w:val="14"/>
                <w:szCs w:val="14"/>
                <w:b w:val="1"/>
                <w:bCs w:val="1"/>
                <w:color w:val="auto"/>
              </w:rPr>
              <w:t>Treasury</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ind w:right="171"/>
              <w:spacing w:after="0"/>
              <w:rPr>
                <w:sz w:val="20"/>
                <w:szCs w:val="20"/>
                <w:color w:val="auto"/>
              </w:rPr>
            </w:pPr>
            <w:r>
              <w:rPr>
                <w:rFonts w:ascii="Arial" w:cs="Arial" w:eastAsia="Arial" w:hAnsi="Arial"/>
                <w:sz w:val="14"/>
                <w:szCs w:val="14"/>
                <w:b w:val="1"/>
                <w:bCs w:val="1"/>
                <w:color w:val="auto"/>
              </w:rPr>
              <w:t>Non-</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0"/>
        </w:trPr>
        <w:tc>
          <w:tcPr>
            <w:tcW w:w="2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Borders>
              <w:bottom w:val="single" w:sz="8" w:color="auto"/>
            </w:tcBorders>
            <w:gridSpan w:val="4"/>
          </w:tcPr>
          <w:p>
            <w:pPr>
              <w:jc w:val="center"/>
              <w:ind w:left="151"/>
              <w:spacing w:after="0"/>
              <w:rPr>
                <w:sz w:val="20"/>
                <w:szCs w:val="20"/>
                <w:color w:val="auto"/>
              </w:rPr>
            </w:pPr>
            <w:r>
              <w:rPr>
                <w:rFonts w:ascii="Arial" w:cs="Arial" w:eastAsia="Arial" w:hAnsi="Arial"/>
                <w:sz w:val="14"/>
                <w:szCs w:val="14"/>
                <w:b w:val="1"/>
                <w:bCs w:val="1"/>
                <w:color w:val="auto"/>
                <w:w w:val="83"/>
              </w:rPr>
              <w:t>Stock</w:t>
            </w:r>
          </w:p>
        </w:tc>
        <w:tc>
          <w:tcPr>
            <w:tcW w:w="220" w:type="dxa"/>
            <w:vAlign w:val="bottom"/>
            <w:tcBorders>
              <w:bottom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jc w:val="right"/>
              <w:ind w:right="131"/>
              <w:spacing w:after="0"/>
              <w:rPr>
                <w:sz w:val="20"/>
                <w:szCs w:val="20"/>
                <w:color w:val="auto"/>
              </w:rPr>
            </w:pPr>
            <w:r>
              <w:rPr>
                <w:rFonts w:ascii="Arial" w:cs="Arial" w:eastAsia="Arial" w:hAnsi="Arial"/>
                <w:sz w:val="14"/>
                <w:szCs w:val="14"/>
                <w:b w:val="1"/>
                <w:bCs w:val="1"/>
                <w:color w:val="auto"/>
                <w:w w:val="98"/>
              </w:rPr>
              <w:t>Paid-in</w:t>
            </w:r>
          </w:p>
        </w:tc>
        <w:tc>
          <w:tcPr>
            <w:tcW w:w="80" w:type="dxa"/>
            <w:vAlign w:val="bottom"/>
          </w:tcPr>
          <w:p>
            <w:pPr>
              <w:spacing w:after="0"/>
              <w:rPr>
                <w:sz w:val="17"/>
                <w:szCs w:val="17"/>
                <w:color w:val="auto"/>
              </w:rPr>
            </w:pPr>
          </w:p>
        </w:tc>
        <w:tc>
          <w:tcPr>
            <w:tcW w:w="700" w:type="dxa"/>
            <w:vAlign w:val="bottom"/>
            <w:gridSpan w:val="2"/>
          </w:tcPr>
          <w:p>
            <w:pPr>
              <w:jc w:val="right"/>
              <w:ind w:right="11"/>
              <w:spacing w:after="0"/>
              <w:rPr>
                <w:sz w:val="20"/>
                <w:szCs w:val="20"/>
                <w:color w:val="auto"/>
              </w:rPr>
            </w:pPr>
            <w:r>
              <w:rPr>
                <w:rFonts w:ascii="Arial" w:cs="Arial" w:eastAsia="Arial" w:hAnsi="Arial"/>
                <w:sz w:val="14"/>
                <w:szCs w:val="14"/>
                <w:b w:val="1"/>
                <w:bCs w:val="1"/>
                <w:color w:val="auto"/>
              </w:rPr>
              <w:t>Retained</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Earnings</w:t>
            </w:r>
          </w:p>
        </w:tc>
        <w:tc>
          <w:tcPr>
            <w:tcW w:w="1180" w:type="dxa"/>
            <w:vAlign w:val="bottom"/>
            <w:tcBorders>
              <w:bottom w:val="single" w:sz="8" w:color="auto"/>
            </w:tcBorders>
            <w:gridSpan w:val="3"/>
          </w:tcPr>
          <w:p>
            <w:pPr>
              <w:jc w:val="right"/>
              <w:ind w:right="351"/>
              <w:spacing w:after="0"/>
              <w:rPr>
                <w:sz w:val="20"/>
                <w:szCs w:val="20"/>
                <w:color w:val="auto"/>
              </w:rPr>
            </w:pPr>
            <w:r>
              <w:rPr>
                <w:rFonts w:ascii="Arial" w:cs="Arial" w:eastAsia="Arial" w:hAnsi="Arial"/>
                <w:sz w:val="14"/>
                <w:szCs w:val="14"/>
                <w:b w:val="1"/>
                <w:bCs w:val="1"/>
                <w:color w:val="auto"/>
              </w:rPr>
              <w:t>Stock</w:t>
            </w:r>
          </w:p>
        </w:tc>
        <w:tc>
          <w:tcPr>
            <w:tcW w:w="80" w:type="dxa"/>
            <w:vAlign w:val="bottom"/>
          </w:tcPr>
          <w:p>
            <w:pPr>
              <w:spacing w:after="0"/>
              <w:rPr>
                <w:sz w:val="17"/>
                <w:szCs w:val="17"/>
                <w:color w:val="auto"/>
              </w:rPr>
            </w:pPr>
          </w:p>
        </w:tc>
        <w:tc>
          <w:tcPr>
            <w:tcW w:w="780" w:type="dxa"/>
            <w:vAlign w:val="bottom"/>
            <w:gridSpan w:val="2"/>
          </w:tcPr>
          <w:p>
            <w:pPr>
              <w:ind w:left="60"/>
              <w:spacing w:after="0"/>
              <w:rPr>
                <w:sz w:val="20"/>
                <w:szCs w:val="20"/>
                <w:color w:val="auto"/>
              </w:rPr>
            </w:pPr>
            <w:r>
              <w:rPr>
                <w:rFonts w:ascii="Arial" w:cs="Arial" w:eastAsia="Arial" w:hAnsi="Arial"/>
                <w:sz w:val="14"/>
                <w:szCs w:val="14"/>
                <w:b w:val="1"/>
                <w:bCs w:val="1"/>
                <w:color w:val="auto"/>
                <w:w w:val="96"/>
              </w:rPr>
              <w:t>controlling</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jc w:val="right"/>
              <w:ind w:right="71"/>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230"/>
        </w:trPr>
        <w:tc>
          <w:tcPr>
            <w:tcW w:w="2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b w:val="1"/>
                <w:bCs w:val="1"/>
                <w:color w:val="auto"/>
              </w:rPr>
              <w:t>Shares</w:t>
            </w:r>
          </w:p>
        </w:tc>
        <w:tc>
          <w:tcPr>
            <w:tcW w:w="8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22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b w:val="1"/>
                <w:bCs w:val="1"/>
                <w:color w:val="auto"/>
                <w:w w:val="98"/>
              </w:rPr>
              <w:t>Capital</w:t>
            </w:r>
          </w:p>
        </w:tc>
        <w:tc>
          <w:tcPr>
            <w:tcW w:w="80" w:type="dxa"/>
            <w:vAlign w:val="bottom"/>
          </w:tcPr>
          <w:p>
            <w:pPr>
              <w:spacing w:after="0"/>
              <w:rPr>
                <w:sz w:val="19"/>
                <w:szCs w:val="19"/>
                <w:color w:val="auto"/>
              </w:rPr>
            </w:pPr>
          </w:p>
        </w:tc>
        <w:tc>
          <w:tcPr>
            <w:tcW w:w="700" w:type="dxa"/>
            <w:vAlign w:val="bottom"/>
            <w:tcBorders>
              <w:bottom w:val="single" w:sz="8" w:color="auto"/>
            </w:tcBorders>
            <w:gridSpan w:val="2"/>
          </w:tcPr>
          <w:p>
            <w:pPr>
              <w:jc w:val="right"/>
              <w:ind w:right="11"/>
              <w:spacing w:after="0"/>
              <w:rPr>
                <w:sz w:val="20"/>
                <w:szCs w:val="20"/>
                <w:color w:val="auto"/>
              </w:rPr>
            </w:pPr>
            <w:r>
              <w:rPr>
                <w:rFonts w:ascii="Arial" w:cs="Arial" w:eastAsia="Arial" w:hAnsi="Arial"/>
                <w:sz w:val="14"/>
                <w:szCs w:val="14"/>
                <w:b w:val="1"/>
                <w:bCs w:val="1"/>
                <w:color w:val="auto"/>
              </w:rPr>
              <w:t>Earnings</w:t>
            </w:r>
          </w:p>
        </w:tc>
        <w:tc>
          <w:tcPr>
            <w:tcW w:w="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center"/>
              <w:ind w:right="51"/>
              <w:spacing w:after="0"/>
              <w:rPr>
                <w:sz w:val="20"/>
                <w:szCs w:val="20"/>
                <w:color w:val="auto"/>
              </w:rPr>
            </w:pPr>
            <w:r>
              <w:rPr>
                <w:rFonts w:ascii="Arial" w:cs="Arial" w:eastAsia="Arial" w:hAnsi="Arial"/>
                <w:sz w:val="14"/>
                <w:szCs w:val="14"/>
                <w:b w:val="1"/>
                <w:bCs w:val="1"/>
                <w:color w:val="auto"/>
                <w:w w:val="85"/>
              </w:rPr>
              <w:t>(Loss)</w:t>
            </w:r>
          </w:p>
        </w:tc>
        <w:tc>
          <w:tcPr>
            <w:tcW w:w="80" w:type="dxa"/>
            <w:vAlign w:val="bottom"/>
          </w:tcPr>
          <w:p>
            <w:pPr>
              <w:spacing w:after="0"/>
              <w:rPr>
                <w:sz w:val="19"/>
                <w:szCs w:val="19"/>
                <w:color w:val="auto"/>
              </w:rPr>
            </w:pPr>
          </w:p>
        </w:tc>
        <w:tc>
          <w:tcPr>
            <w:tcW w:w="60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b w:val="1"/>
                <w:bCs w:val="1"/>
                <w:color w:val="auto"/>
              </w:rPr>
              <w:t>Shares</w:t>
            </w:r>
          </w:p>
        </w:tc>
        <w:tc>
          <w:tcPr>
            <w:tcW w:w="60" w:type="dxa"/>
            <w:vAlign w:val="bottom"/>
          </w:tcPr>
          <w:p>
            <w:pPr>
              <w:spacing w:after="0"/>
              <w:rPr>
                <w:sz w:val="19"/>
                <w:szCs w:val="19"/>
                <w:color w:val="auto"/>
              </w:rPr>
            </w:pPr>
          </w:p>
        </w:tc>
        <w:tc>
          <w:tcPr>
            <w:tcW w:w="52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71"/>
              <w:spacing w:after="0"/>
              <w:rPr>
                <w:sz w:val="20"/>
                <w:szCs w:val="20"/>
                <w:color w:val="auto"/>
              </w:rPr>
            </w:pPr>
            <w:r>
              <w:rPr>
                <w:rFonts w:ascii="Arial" w:cs="Arial" w:eastAsia="Arial" w:hAnsi="Arial"/>
                <w:sz w:val="14"/>
                <w:szCs w:val="14"/>
                <w:b w:val="1"/>
                <w:bCs w:val="1"/>
                <w:color w:val="auto"/>
                <w:w w:val="85"/>
              </w:rPr>
              <w:t>Interests</w:t>
            </w:r>
          </w:p>
        </w:tc>
        <w:tc>
          <w:tcPr>
            <w:tcW w:w="60" w:type="dxa"/>
            <w:vAlign w:val="bottom"/>
          </w:tcPr>
          <w:p>
            <w:pPr>
              <w:spacing w:after="0"/>
              <w:rPr>
                <w:sz w:val="19"/>
                <w:szCs w:val="19"/>
                <w:color w:val="auto"/>
              </w:rPr>
            </w:pPr>
          </w:p>
        </w:tc>
        <w:tc>
          <w:tcPr>
            <w:tcW w:w="600" w:type="dxa"/>
            <w:vAlign w:val="bottom"/>
            <w:tcBorders>
              <w:bottom w:val="single" w:sz="8" w:color="auto"/>
            </w:tcBorders>
            <w:gridSpan w:val="2"/>
          </w:tcPr>
          <w:p>
            <w:pPr>
              <w:jc w:val="right"/>
              <w:ind w:right="31"/>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92"/>
        </w:trPr>
        <w:tc>
          <w:tcPr>
            <w:tcW w:w="2760" w:type="dxa"/>
            <w:vAlign w:val="bottom"/>
          </w:tcPr>
          <w:p>
            <w:pPr>
              <w:spacing w:after="0"/>
              <w:rPr>
                <w:sz w:val="20"/>
                <w:szCs w:val="20"/>
                <w:color w:val="auto"/>
              </w:rPr>
            </w:pPr>
            <w:r>
              <w:rPr>
                <w:rFonts w:ascii="Arial" w:cs="Arial" w:eastAsia="Arial" w:hAnsi="Arial"/>
                <w:sz w:val="14"/>
                <w:szCs w:val="14"/>
                <w:color w:val="auto"/>
              </w:rPr>
              <w:t>Balance, January 1, 2023</w:t>
            </w:r>
          </w:p>
        </w:tc>
        <w:tc>
          <w:tcPr>
            <w:tcW w:w="680" w:type="dxa"/>
            <w:vAlign w:val="bottom"/>
            <w:gridSpan w:val="2"/>
          </w:tcPr>
          <w:p>
            <w:pPr>
              <w:jc w:val="right"/>
              <w:spacing w:after="0"/>
              <w:rPr>
                <w:sz w:val="20"/>
                <w:szCs w:val="20"/>
                <w:color w:val="auto"/>
              </w:rPr>
            </w:pPr>
            <w:r>
              <w:rPr>
                <w:rFonts w:ascii="Arial" w:cs="Arial" w:eastAsia="Arial" w:hAnsi="Arial"/>
                <w:sz w:val="14"/>
                <w:szCs w:val="14"/>
                <w:color w:val="auto"/>
              </w:rPr>
              <w:t>328</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0" w:type="dxa"/>
            <w:vAlign w:val="bottom"/>
          </w:tcPr>
          <w:p>
            <w:pPr>
              <w:jc w:val="right"/>
              <w:ind w:right="111"/>
              <w:spacing w:after="0"/>
              <w:rPr>
                <w:sz w:val="20"/>
                <w:szCs w:val="20"/>
                <w:color w:val="auto"/>
              </w:rPr>
            </w:pPr>
            <w:r>
              <w:rPr>
                <w:rFonts w:ascii="Arial" w:cs="Arial" w:eastAsia="Arial" w:hAnsi="Arial"/>
                <w:sz w:val="14"/>
                <w:szCs w:val="14"/>
                <w:color w:val="auto"/>
                <w:w w:val="76"/>
              </w:rPr>
              <w:t>$</w:t>
            </w:r>
          </w:p>
        </w:tc>
        <w:tc>
          <w:tcPr>
            <w:tcW w:w="220" w:type="dxa"/>
            <w:vAlign w:val="bottom"/>
          </w:tcPr>
          <w:p>
            <w:pPr>
              <w:ind w:left="20"/>
              <w:spacing w:after="0"/>
              <w:rPr>
                <w:sz w:val="20"/>
                <w:szCs w:val="20"/>
                <w:color w:val="auto"/>
              </w:rPr>
            </w:pPr>
            <w:r>
              <w:rPr>
                <w:rFonts w:ascii="Arial" w:cs="Arial" w:eastAsia="Arial" w:hAnsi="Arial"/>
                <w:sz w:val="14"/>
                <w:szCs w:val="14"/>
                <w:color w:val="auto"/>
              </w:rPr>
              <w:t>—</w:t>
            </w: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5,870</w:t>
            </w:r>
          </w:p>
        </w:tc>
        <w:tc>
          <w:tcPr>
            <w:tcW w:w="300" w:type="dxa"/>
            <w:vAlign w:val="bottom"/>
            <w:gridSpan w:val="2"/>
          </w:tcPr>
          <w:p>
            <w:pPr>
              <w:jc w:val="right"/>
              <w:ind w:right="31"/>
              <w:spacing w:after="0"/>
              <w:rPr>
                <w:sz w:val="20"/>
                <w:szCs w:val="20"/>
                <w:color w:val="auto"/>
              </w:rPr>
            </w:pPr>
            <w:r>
              <w:rPr>
                <w:rFonts w:ascii="Arial" w:cs="Arial" w:eastAsia="Arial" w:hAnsi="Arial"/>
                <w:sz w:val="14"/>
                <w:szCs w:val="14"/>
                <w:color w:val="auto"/>
              </w:rPr>
              <w:t>$</w:t>
            </w:r>
          </w:p>
        </w:tc>
        <w:tc>
          <w:tcPr>
            <w:tcW w:w="480" w:type="dxa"/>
            <w:vAlign w:val="bottom"/>
          </w:tcPr>
          <w:p>
            <w:pPr>
              <w:jc w:val="right"/>
              <w:spacing w:after="0"/>
              <w:rPr>
                <w:sz w:val="20"/>
                <w:szCs w:val="20"/>
                <w:color w:val="auto"/>
              </w:rPr>
            </w:pPr>
            <w:r>
              <w:rPr>
                <w:rFonts w:ascii="Arial" w:cs="Arial" w:eastAsia="Arial" w:hAnsi="Arial"/>
                <w:sz w:val="14"/>
                <w:szCs w:val="14"/>
                <w:color w:val="auto"/>
              </w:rPr>
              <w:t>5,225</w:t>
            </w:r>
          </w:p>
        </w:tc>
        <w:tc>
          <w:tcPr>
            <w:tcW w:w="2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(2,870)</w:t>
            </w:r>
          </w:p>
        </w:tc>
        <w:tc>
          <w:tcPr>
            <w:tcW w:w="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55</w:t>
            </w:r>
          </w:p>
        </w:tc>
        <w:tc>
          <w:tcPr>
            <w:tcW w:w="580" w:type="dxa"/>
            <w:vAlign w:val="bottom"/>
            <w:gridSpan w:val="2"/>
          </w:tcPr>
          <w:p>
            <w:pPr>
              <w:jc w:val="right"/>
              <w:spacing w:after="0"/>
              <w:rPr>
                <w:sz w:val="20"/>
                <w:szCs w:val="20"/>
                <w:color w:val="auto"/>
              </w:rPr>
            </w:pPr>
            <w:r>
              <w:rPr>
                <w:rFonts w:ascii="Arial" w:cs="Arial" w:eastAsia="Arial" w:hAnsi="Arial"/>
                <w:sz w:val="14"/>
                <w:szCs w:val="14"/>
                <w:color w:val="auto"/>
              </w:rPr>
              <w:t>$(2,109)</w:t>
            </w:r>
          </w:p>
        </w:tc>
        <w:tc>
          <w:tcPr>
            <w:tcW w:w="200" w:type="dxa"/>
            <w:vAlign w:val="bottom"/>
            <w:gridSpan w:val="2"/>
          </w:tcPr>
          <w:p>
            <w:pPr>
              <w:ind w:left="120"/>
              <w:spacing w:after="0"/>
              <w:rPr>
                <w:sz w:val="20"/>
                <w:szCs w:val="20"/>
                <w:color w:val="auto"/>
              </w:rPr>
            </w:pPr>
            <w:r>
              <w:rPr>
                <w:rFonts w:ascii="Arial" w:cs="Arial" w:eastAsia="Arial" w:hAnsi="Arial"/>
                <w:sz w:val="14"/>
                <w:szCs w:val="14"/>
                <w:color w:val="auto"/>
                <w:w w:val="76"/>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453</w:t>
            </w:r>
          </w:p>
        </w:tc>
        <w:tc>
          <w:tcPr>
            <w:tcW w:w="2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460" w:type="dxa"/>
            <w:vAlign w:val="bottom"/>
          </w:tcPr>
          <w:p>
            <w:pPr>
              <w:jc w:val="right"/>
              <w:spacing w:after="0"/>
              <w:rPr>
                <w:sz w:val="20"/>
                <w:szCs w:val="20"/>
                <w:color w:val="auto"/>
              </w:rPr>
            </w:pPr>
            <w:r>
              <w:rPr>
                <w:rFonts w:ascii="Arial" w:cs="Arial" w:eastAsia="Arial" w:hAnsi="Arial"/>
                <w:sz w:val="14"/>
                <w:szCs w:val="14"/>
                <w:color w:val="auto"/>
              </w:rPr>
              <w:t>6,569</w:t>
            </w:r>
          </w:p>
        </w:tc>
        <w:tc>
          <w:tcPr>
            <w:tcW w:w="0" w:type="dxa"/>
            <w:vAlign w:val="bottom"/>
          </w:tcPr>
          <w:p>
            <w:pPr>
              <w:spacing w:after="0"/>
              <w:rPr>
                <w:sz w:val="1"/>
                <w:szCs w:val="1"/>
                <w:color w:val="auto"/>
              </w:rPr>
            </w:pPr>
          </w:p>
        </w:tc>
      </w:tr>
      <w:tr>
        <w:trPr>
          <w:trHeight w:val="220"/>
        </w:trPr>
        <w:tc>
          <w:tcPr>
            <w:tcW w:w="2760" w:type="dxa"/>
            <w:vAlign w:val="bottom"/>
          </w:tcPr>
          <w:p>
            <w:pPr>
              <w:spacing w:after="0"/>
              <w:rPr>
                <w:sz w:val="20"/>
                <w:szCs w:val="20"/>
                <w:color w:val="auto"/>
              </w:rPr>
            </w:pPr>
            <w:r>
              <w:rPr>
                <w:rFonts w:ascii="Arial" w:cs="Arial" w:eastAsia="Arial" w:hAnsi="Arial"/>
                <w:sz w:val="14"/>
                <w:szCs w:val="14"/>
                <w:color w:val="auto"/>
              </w:rPr>
              <w:t>Exercise of stock options</w:t>
            </w:r>
          </w:p>
        </w:tc>
        <w:tc>
          <w:tcPr>
            <w:tcW w:w="80" w:type="dxa"/>
            <w:vAlign w:val="bottom"/>
          </w:tcPr>
          <w:p>
            <w:pPr>
              <w:spacing w:after="0"/>
              <w:rPr>
                <w:sz w:val="19"/>
                <w:szCs w:val="19"/>
                <w:color w:val="auto"/>
              </w:rPr>
            </w:pPr>
          </w:p>
        </w:tc>
        <w:tc>
          <w:tcPr>
            <w:tcW w:w="72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9"/>
                <w:szCs w:val="19"/>
                <w:color w:val="auto"/>
              </w:rPr>
            </w:pPr>
          </w:p>
        </w:tc>
        <w:tc>
          <w:tcPr>
            <w:tcW w:w="220" w:type="dxa"/>
            <w:vAlign w:val="bottom"/>
          </w:tcPr>
          <w:p>
            <w:pPr>
              <w:ind w:left="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15</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177"/>
        </w:trPr>
        <w:tc>
          <w:tcPr>
            <w:tcW w:w="2760" w:type="dxa"/>
            <w:vAlign w:val="bottom"/>
          </w:tcPr>
          <w:p>
            <w:pPr>
              <w:spacing w:after="0"/>
              <w:rPr>
                <w:sz w:val="20"/>
                <w:szCs w:val="20"/>
                <w:color w:val="auto"/>
              </w:rPr>
            </w:pPr>
            <w:r>
              <w:rPr>
                <w:rFonts w:ascii="Arial" w:cs="Arial" w:eastAsia="Arial" w:hAnsi="Arial"/>
                <w:sz w:val="14"/>
                <w:szCs w:val="14"/>
                <w:color w:val="auto"/>
                <w:w w:val="95"/>
              </w:rPr>
              <w:t>Purchase of incremental share in consolidated</w:t>
            </w:r>
          </w:p>
        </w:tc>
        <w:tc>
          <w:tcPr>
            <w:tcW w:w="80" w:type="dxa"/>
            <w:vAlign w:val="bottom"/>
          </w:tcPr>
          <w:p>
            <w:pPr>
              <w:spacing w:after="0"/>
              <w:rPr>
                <w:sz w:val="15"/>
                <w:szCs w:val="15"/>
                <w:color w:val="auto"/>
              </w:rPr>
            </w:pPr>
          </w:p>
        </w:tc>
        <w:tc>
          <w:tcPr>
            <w:tcW w:w="720" w:type="dxa"/>
            <w:vAlign w:val="bottom"/>
            <w:gridSpan w:val="3"/>
            <w:vMerge w:val="restart"/>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220" w:type="dxa"/>
            <w:vAlign w:val="bottom"/>
            <w:vMerge w:val="restart"/>
          </w:tcPr>
          <w:p>
            <w:pPr>
              <w:ind w:left="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(11)</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5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(8)</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vMerge w:val="restart"/>
          </w:tcPr>
          <w:p>
            <w:pPr>
              <w:jc w:val="right"/>
              <w:spacing w:after="0"/>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176"/>
        </w:trPr>
        <w:tc>
          <w:tcPr>
            <w:tcW w:w="2760" w:type="dxa"/>
            <w:vAlign w:val="bottom"/>
          </w:tcPr>
          <w:p>
            <w:pPr>
              <w:spacing w:after="0"/>
              <w:rPr>
                <w:sz w:val="20"/>
                <w:szCs w:val="20"/>
                <w:color w:val="auto"/>
              </w:rPr>
            </w:pPr>
            <w:r>
              <w:rPr>
                <w:rFonts w:ascii="Arial" w:cs="Arial" w:eastAsia="Arial" w:hAnsi="Arial"/>
                <w:sz w:val="14"/>
                <w:szCs w:val="14"/>
                <w:color w:val="auto"/>
              </w:rPr>
              <w:t>subsidiaries</w:t>
            </w:r>
          </w:p>
        </w:tc>
        <w:tc>
          <w:tcPr>
            <w:tcW w:w="80" w:type="dxa"/>
            <w:vAlign w:val="bottom"/>
          </w:tcPr>
          <w:p>
            <w:pPr>
              <w:spacing w:after="0"/>
              <w:rPr>
                <w:sz w:val="15"/>
                <w:szCs w:val="15"/>
                <w:color w:val="auto"/>
              </w:rPr>
            </w:pPr>
          </w:p>
        </w:tc>
        <w:tc>
          <w:tcPr>
            <w:tcW w:w="720" w:type="dxa"/>
            <w:vAlign w:val="bottom"/>
            <w:gridSpan w:val="3"/>
            <w:vMerge w:val="continue"/>
          </w:tcPr>
          <w:p>
            <w:pPr>
              <w:spacing w:after="0"/>
              <w:rPr>
                <w:sz w:val="15"/>
                <w:szCs w:val="15"/>
                <w:color w:val="auto"/>
              </w:rPr>
            </w:pPr>
          </w:p>
        </w:tc>
        <w:tc>
          <w:tcPr>
            <w:tcW w:w="260" w:type="dxa"/>
            <w:vAlign w:val="bottom"/>
          </w:tcPr>
          <w:p>
            <w:pPr>
              <w:spacing w:after="0"/>
              <w:rPr>
                <w:sz w:val="15"/>
                <w:szCs w:val="15"/>
                <w:color w:val="auto"/>
              </w:rPr>
            </w:pPr>
          </w:p>
        </w:tc>
        <w:tc>
          <w:tcPr>
            <w:tcW w:w="22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8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vMerge w:val="continue"/>
          </w:tcPr>
          <w:p>
            <w:pPr>
              <w:spacing w:after="0"/>
              <w:rPr>
                <w:sz w:val="15"/>
                <w:szCs w:val="15"/>
                <w:color w:val="auto"/>
              </w:rPr>
            </w:pPr>
          </w:p>
        </w:tc>
        <w:tc>
          <w:tcPr>
            <w:tcW w:w="60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5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2760" w:type="dxa"/>
            <w:vAlign w:val="bottom"/>
          </w:tcPr>
          <w:p>
            <w:pPr>
              <w:spacing w:after="0"/>
              <w:rPr>
                <w:sz w:val="20"/>
                <w:szCs w:val="20"/>
                <w:color w:val="auto"/>
              </w:rPr>
            </w:pPr>
            <w:r>
              <w:rPr>
                <w:rFonts w:ascii="Arial" w:cs="Arial" w:eastAsia="Arial" w:hAnsi="Arial"/>
                <w:sz w:val="14"/>
                <w:szCs w:val="14"/>
                <w:color w:val="auto"/>
              </w:rPr>
              <w:t>Issuance of restricted stock</w:t>
            </w:r>
          </w:p>
        </w:tc>
        <w:tc>
          <w:tcPr>
            <w:tcW w:w="680" w:type="dxa"/>
            <w:vAlign w:val="bottom"/>
            <w:gridSpan w:val="2"/>
          </w:tcPr>
          <w:p>
            <w:pPr>
              <w:jc w:val="right"/>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ind w:left="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35"/>
        </w:trPr>
        <w:tc>
          <w:tcPr>
            <w:tcW w:w="2760" w:type="dxa"/>
            <w:vAlign w:val="bottom"/>
          </w:tcPr>
          <w:p>
            <w:pPr>
              <w:spacing w:after="0"/>
              <w:rPr>
                <w:sz w:val="20"/>
                <w:szCs w:val="20"/>
                <w:color w:val="auto"/>
              </w:rPr>
            </w:pPr>
            <w:r>
              <w:rPr>
                <w:rFonts w:ascii="Arial" w:cs="Arial" w:eastAsia="Arial" w:hAnsi="Arial"/>
                <w:sz w:val="14"/>
                <w:szCs w:val="14"/>
                <w:color w:val="auto"/>
              </w:rPr>
              <w:t>Treasury stock repurchased</w:t>
            </w:r>
          </w:p>
        </w:tc>
        <w:tc>
          <w:tcPr>
            <w:tcW w:w="80" w:type="dxa"/>
            <w:vAlign w:val="bottom"/>
          </w:tcPr>
          <w:p>
            <w:pPr>
              <w:spacing w:after="0"/>
              <w:rPr>
                <w:sz w:val="20"/>
                <w:szCs w:val="20"/>
                <w:color w:val="auto"/>
              </w:rPr>
            </w:pPr>
          </w:p>
        </w:tc>
        <w:tc>
          <w:tcPr>
            <w:tcW w:w="72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0"/>
                <w:szCs w:val="20"/>
                <w:color w:val="auto"/>
              </w:rPr>
            </w:pPr>
          </w:p>
        </w:tc>
        <w:tc>
          <w:tcPr>
            <w:tcW w:w="220" w:type="dxa"/>
            <w:vAlign w:val="bottom"/>
          </w:tcPr>
          <w:p>
            <w:pPr>
              <w:ind w:left="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580" w:type="dxa"/>
            <w:vAlign w:val="bottom"/>
            <w:gridSpan w:val="2"/>
          </w:tcPr>
          <w:p>
            <w:pPr>
              <w:jc w:val="right"/>
              <w:spacing w:after="0"/>
              <w:rPr>
                <w:sz w:val="20"/>
                <w:szCs w:val="20"/>
                <w:color w:val="auto"/>
              </w:rPr>
            </w:pPr>
            <w:r>
              <w:rPr>
                <w:rFonts w:ascii="Arial" w:cs="Arial" w:eastAsia="Arial" w:hAnsi="Arial"/>
                <w:sz w:val="14"/>
                <w:szCs w:val="14"/>
                <w:color w:val="auto"/>
              </w:rPr>
              <w:t>(4)</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91"/>
        </w:trPr>
        <w:tc>
          <w:tcPr>
            <w:tcW w:w="2760" w:type="dxa"/>
            <w:vAlign w:val="bottom"/>
          </w:tcPr>
          <w:p>
            <w:pPr>
              <w:spacing w:after="0"/>
              <w:rPr>
                <w:sz w:val="20"/>
                <w:szCs w:val="20"/>
                <w:color w:val="auto"/>
              </w:rPr>
            </w:pPr>
            <w:r>
              <w:rPr>
                <w:rFonts w:ascii="Arial" w:cs="Arial" w:eastAsia="Arial" w:hAnsi="Arial"/>
                <w:sz w:val="14"/>
                <w:szCs w:val="14"/>
                <w:color w:val="auto"/>
                <w:w w:val="91"/>
              </w:rPr>
              <w:t>Other comprehensive earnings - unrealized gain</w:t>
            </w:r>
          </w:p>
        </w:tc>
        <w:tc>
          <w:tcPr>
            <w:tcW w:w="80" w:type="dxa"/>
            <w:vAlign w:val="bottom"/>
          </w:tcPr>
          <w:p>
            <w:pPr>
              <w:spacing w:after="0"/>
              <w:rPr>
                <w:sz w:val="16"/>
                <w:szCs w:val="16"/>
                <w:color w:val="auto"/>
              </w:rPr>
            </w:pPr>
          </w:p>
        </w:tc>
        <w:tc>
          <w:tcPr>
            <w:tcW w:w="720" w:type="dxa"/>
            <w:vAlign w:val="bottom"/>
            <w:gridSpan w:val="3"/>
            <w:vMerge w:val="restart"/>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220" w:type="dxa"/>
            <w:vAlign w:val="bottom"/>
            <w:vMerge w:val="restart"/>
          </w:tcPr>
          <w:p>
            <w:pPr>
              <w:ind w:left="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961</w:t>
            </w:r>
          </w:p>
        </w:tc>
        <w:tc>
          <w:tcPr>
            <w:tcW w:w="80" w:type="dxa"/>
            <w:vAlign w:val="bottom"/>
          </w:tcPr>
          <w:p>
            <w:pPr>
              <w:spacing w:after="0"/>
              <w:rPr>
                <w:sz w:val="16"/>
                <w:szCs w:val="16"/>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5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vMerge w:val="restart"/>
          </w:tcPr>
          <w:p>
            <w:pPr>
              <w:jc w:val="right"/>
              <w:spacing w:after="0"/>
              <w:rPr>
                <w:sz w:val="20"/>
                <w:szCs w:val="20"/>
                <w:color w:val="auto"/>
              </w:rPr>
            </w:pPr>
            <w:r>
              <w:rPr>
                <w:rFonts w:ascii="Arial" w:cs="Arial" w:eastAsia="Arial" w:hAnsi="Arial"/>
                <w:sz w:val="14"/>
                <w:szCs w:val="14"/>
                <w:color w:val="auto"/>
              </w:rPr>
              <w:t>961</w:t>
            </w:r>
          </w:p>
        </w:tc>
        <w:tc>
          <w:tcPr>
            <w:tcW w:w="0" w:type="dxa"/>
            <w:vAlign w:val="bottom"/>
          </w:tcPr>
          <w:p>
            <w:pPr>
              <w:spacing w:after="0"/>
              <w:rPr>
                <w:sz w:val="1"/>
                <w:szCs w:val="1"/>
                <w:color w:val="auto"/>
              </w:rPr>
            </w:pPr>
          </w:p>
        </w:tc>
      </w:tr>
      <w:tr>
        <w:trPr>
          <w:trHeight w:val="176"/>
        </w:trPr>
        <w:tc>
          <w:tcPr>
            <w:tcW w:w="2760" w:type="dxa"/>
            <w:vAlign w:val="bottom"/>
          </w:tcPr>
          <w:p>
            <w:pPr>
              <w:spacing w:after="0"/>
              <w:rPr>
                <w:sz w:val="20"/>
                <w:szCs w:val="20"/>
                <w:color w:val="auto"/>
              </w:rPr>
            </w:pPr>
            <w:r>
              <w:rPr>
                <w:rFonts w:ascii="Arial" w:cs="Arial" w:eastAsia="Arial" w:hAnsi="Arial"/>
                <w:sz w:val="14"/>
                <w:szCs w:val="14"/>
                <w:color w:val="auto"/>
                <w:w w:val="94"/>
              </w:rPr>
              <w:t>on investments and other financial instruments</w:t>
            </w:r>
          </w:p>
        </w:tc>
        <w:tc>
          <w:tcPr>
            <w:tcW w:w="80" w:type="dxa"/>
            <w:vAlign w:val="bottom"/>
          </w:tcPr>
          <w:p>
            <w:pPr>
              <w:spacing w:after="0"/>
              <w:rPr>
                <w:sz w:val="15"/>
                <w:szCs w:val="15"/>
                <w:color w:val="auto"/>
              </w:rPr>
            </w:pPr>
          </w:p>
        </w:tc>
        <w:tc>
          <w:tcPr>
            <w:tcW w:w="720" w:type="dxa"/>
            <w:vAlign w:val="bottom"/>
            <w:gridSpan w:val="3"/>
            <w:vMerge w:val="continue"/>
          </w:tcPr>
          <w:p>
            <w:pPr>
              <w:spacing w:after="0"/>
              <w:rPr>
                <w:sz w:val="15"/>
                <w:szCs w:val="15"/>
                <w:color w:val="auto"/>
              </w:rPr>
            </w:pPr>
          </w:p>
        </w:tc>
        <w:tc>
          <w:tcPr>
            <w:tcW w:w="260" w:type="dxa"/>
            <w:vAlign w:val="bottom"/>
          </w:tcPr>
          <w:p>
            <w:pPr>
              <w:spacing w:after="0"/>
              <w:rPr>
                <w:sz w:val="15"/>
                <w:szCs w:val="15"/>
                <w:color w:val="auto"/>
              </w:rPr>
            </w:pPr>
          </w:p>
        </w:tc>
        <w:tc>
          <w:tcPr>
            <w:tcW w:w="22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8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5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2760" w:type="dxa"/>
            <w:vAlign w:val="bottom"/>
          </w:tcPr>
          <w:p>
            <w:pPr>
              <w:spacing w:after="0"/>
              <w:rPr>
                <w:sz w:val="20"/>
                <w:szCs w:val="20"/>
                <w:color w:val="auto"/>
              </w:rPr>
            </w:pPr>
            <w:r>
              <w:rPr>
                <w:rFonts w:ascii="Arial" w:cs="Arial" w:eastAsia="Arial" w:hAnsi="Arial"/>
                <w:sz w:val="14"/>
                <w:szCs w:val="14"/>
                <w:color w:val="auto"/>
                <w:w w:val="91"/>
              </w:rPr>
              <w:t>Other comprehensive earnings - unrealized gain</w:t>
            </w:r>
          </w:p>
        </w:tc>
        <w:tc>
          <w:tcPr>
            <w:tcW w:w="80" w:type="dxa"/>
            <w:vAlign w:val="bottom"/>
          </w:tcPr>
          <w:p>
            <w:pPr>
              <w:spacing w:after="0"/>
              <w:rPr>
                <w:sz w:val="16"/>
                <w:szCs w:val="16"/>
                <w:color w:val="auto"/>
              </w:rPr>
            </w:pPr>
          </w:p>
        </w:tc>
        <w:tc>
          <w:tcPr>
            <w:tcW w:w="720" w:type="dxa"/>
            <w:vAlign w:val="bottom"/>
            <w:gridSpan w:val="3"/>
            <w:vMerge w:val="restart"/>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220" w:type="dxa"/>
            <w:vAlign w:val="bottom"/>
            <w:vMerge w:val="restart"/>
          </w:tcPr>
          <w:p>
            <w:pPr>
              <w:ind w:left="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12</w:t>
            </w:r>
          </w:p>
        </w:tc>
        <w:tc>
          <w:tcPr>
            <w:tcW w:w="80" w:type="dxa"/>
            <w:vAlign w:val="bottom"/>
          </w:tcPr>
          <w:p>
            <w:pPr>
              <w:spacing w:after="0"/>
              <w:rPr>
                <w:sz w:val="16"/>
                <w:szCs w:val="16"/>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5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vMerge w:val="restart"/>
          </w:tcPr>
          <w:p>
            <w:pPr>
              <w:jc w:val="right"/>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176"/>
        </w:trPr>
        <w:tc>
          <w:tcPr>
            <w:tcW w:w="2760" w:type="dxa"/>
            <w:vAlign w:val="bottom"/>
          </w:tcPr>
          <w:p>
            <w:pPr>
              <w:spacing w:after="0"/>
              <w:rPr>
                <w:sz w:val="20"/>
                <w:szCs w:val="20"/>
                <w:color w:val="auto"/>
              </w:rPr>
            </w:pPr>
            <w:r>
              <w:rPr>
                <w:rFonts w:ascii="Arial" w:cs="Arial" w:eastAsia="Arial" w:hAnsi="Arial"/>
                <w:sz w:val="14"/>
                <w:szCs w:val="14"/>
                <w:color w:val="auto"/>
              </w:rPr>
              <w:t>on investments in unconsolidated affiliates</w:t>
            </w:r>
          </w:p>
        </w:tc>
        <w:tc>
          <w:tcPr>
            <w:tcW w:w="80" w:type="dxa"/>
            <w:vAlign w:val="bottom"/>
          </w:tcPr>
          <w:p>
            <w:pPr>
              <w:spacing w:after="0"/>
              <w:rPr>
                <w:sz w:val="15"/>
                <w:szCs w:val="15"/>
                <w:color w:val="auto"/>
              </w:rPr>
            </w:pPr>
          </w:p>
        </w:tc>
        <w:tc>
          <w:tcPr>
            <w:tcW w:w="720" w:type="dxa"/>
            <w:vAlign w:val="bottom"/>
            <w:gridSpan w:val="3"/>
            <w:vMerge w:val="continue"/>
          </w:tcPr>
          <w:p>
            <w:pPr>
              <w:spacing w:after="0"/>
              <w:rPr>
                <w:sz w:val="15"/>
                <w:szCs w:val="15"/>
                <w:color w:val="auto"/>
              </w:rPr>
            </w:pPr>
          </w:p>
        </w:tc>
        <w:tc>
          <w:tcPr>
            <w:tcW w:w="260" w:type="dxa"/>
            <w:vAlign w:val="bottom"/>
          </w:tcPr>
          <w:p>
            <w:pPr>
              <w:spacing w:after="0"/>
              <w:rPr>
                <w:sz w:val="15"/>
                <w:szCs w:val="15"/>
                <w:color w:val="auto"/>
              </w:rPr>
            </w:pPr>
          </w:p>
        </w:tc>
        <w:tc>
          <w:tcPr>
            <w:tcW w:w="22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8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5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2760" w:type="dxa"/>
            <w:vAlign w:val="bottom"/>
          </w:tcPr>
          <w:p>
            <w:pPr>
              <w:spacing w:after="0"/>
              <w:rPr>
                <w:sz w:val="20"/>
                <w:szCs w:val="20"/>
                <w:color w:val="auto"/>
              </w:rPr>
            </w:pPr>
            <w:r>
              <w:rPr>
                <w:rFonts w:ascii="Arial" w:cs="Arial" w:eastAsia="Arial" w:hAnsi="Arial"/>
                <w:sz w:val="14"/>
                <w:szCs w:val="14"/>
                <w:color w:val="auto"/>
                <w:w w:val="92"/>
              </w:rPr>
              <w:t>Other comprehensive earnings - unrealized loss</w:t>
            </w:r>
          </w:p>
        </w:tc>
        <w:tc>
          <w:tcPr>
            <w:tcW w:w="80" w:type="dxa"/>
            <w:vAlign w:val="bottom"/>
          </w:tcPr>
          <w:p>
            <w:pPr>
              <w:spacing w:after="0"/>
              <w:rPr>
                <w:sz w:val="16"/>
                <w:szCs w:val="16"/>
                <w:color w:val="auto"/>
              </w:rPr>
            </w:pPr>
          </w:p>
        </w:tc>
        <w:tc>
          <w:tcPr>
            <w:tcW w:w="720" w:type="dxa"/>
            <w:vAlign w:val="bottom"/>
            <w:gridSpan w:val="3"/>
            <w:vMerge w:val="restart"/>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220" w:type="dxa"/>
            <w:vAlign w:val="bottom"/>
            <w:vMerge w:val="restart"/>
          </w:tcPr>
          <w:p>
            <w:pPr>
              <w:ind w:left="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6</w:t>
            </w:r>
          </w:p>
        </w:tc>
        <w:tc>
          <w:tcPr>
            <w:tcW w:w="80" w:type="dxa"/>
            <w:vAlign w:val="bottom"/>
          </w:tcPr>
          <w:p>
            <w:pPr>
              <w:spacing w:after="0"/>
              <w:rPr>
                <w:sz w:val="16"/>
                <w:szCs w:val="16"/>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5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vMerge w:val="restart"/>
          </w:tcPr>
          <w:p>
            <w:pPr>
              <w:jc w:val="right"/>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176"/>
        </w:trPr>
        <w:tc>
          <w:tcPr>
            <w:tcW w:w="2760" w:type="dxa"/>
            <w:vAlign w:val="bottom"/>
          </w:tcPr>
          <w:p>
            <w:pPr>
              <w:spacing w:after="0"/>
              <w:rPr>
                <w:sz w:val="20"/>
                <w:szCs w:val="20"/>
                <w:color w:val="auto"/>
              </w:rPr>
            </w:pPr>
            <w:r>
              <w:rPr>
                <w:rFonts w:ascii="Arial" w:cs="Arial" w:eastAsia="Arial" w:hAnsi="Arial"/>
                <w:sz w:val="14"/>
                <w:szCs w:val="14"/>
                <w:color w:val="auto"/>
              </w:rPr>
              <w:t>on foreign currency translation</w:t>
            </w:r>
          </w:p>
        </w:tc>
        <w:tc>
          <w:tcPr>
            <w:tcW w:w="80" w:type="dxa"/>
            <w:vAlign w:val="bottom"/>
          </w:tcPr>
          <w:p>
            <w:pPr>
              <w:spacing w:after="0"/>
              <w:rPr>
                <w:sz w:val="15"/>
                <w:szCs w:val="15"/>
                <w:color w:val="auto"/>
              </w:rPr>
            </w:pPr>
          </w:p>
        </w:tc>
        <w:tc>
          <w:tcPr>
            <w:tcW w:w="720" w:type="dxa"/>
            <w:vAlign w:val="bottom"/>
            <w:gridSpan w:val="3"/>
            <w:vMerge w:val="continue"/>
          </w:tcPr>
          <w:p>
            <w:pPr>
              <w:spacing w:after="0"/>
              <w:rPr>
                <w:sz w:val="15"/>
                <w:szCs w:val="15"/>
                <w:color w:val="auto"/>
              </w:rPr>
            </w:pPr>
          </w:p>
        </w:tc>
        <w:tc>
          <w:tcPr>
            <w:tcW w:w="260" w:type="dxa"/>
            <w:vAlign w:val="bottom"/>
          </w:tcPr>
          <w:p>
            <w:pPr>
              <w:spacing w:after="0"/>
              <w:rPr>
                <w:sz w:val="15"/>
                <w:szCs w:val="15"/>
                <w:color w:val="auto"/>
              </w:rPr>
            </w:pPr>
          </w:p>
        </w:tc>
        <w:tc>
          <w:tcPr>
            <w:tcW w:w="22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8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5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760" w:type="dxa"/>
            <w:vAlign w:val="bottom"/>
          </w:tcPr>
          <w:p>
            <w:pPr>
              <w:spacing w:after="0"/>
              <w:rPr>
                <w:sz w:val="20"/>
                <w:szCs w:val="20"/>
                <w:color w:val="auto"/>
              </w:rPr>
            </w:pPr>
            <w:r>
              <w:rPr>
                <w:rFonts w:ascii="Arial" w:cs="Arial" w:eastAsia="Arial" w:hAnsi="Arial"/>
                <w:sz w:val="14"/>
                <w:szCs w:val="14"/>
                <w:color w:val="auto"/>
              </w:rPr>
              <w:t>Other comprehensive earnings - minimum</w:t>
            </w:r>
          </w:p>
        </w:tc>
        <w:tc>
          <w:tcPr>
            <w:tcW w:w="80" w:type="dxa"/>
            <w:vAlign w:val="bottom"/>
          </w:tcPr>
          <w:p>
            <w:pPr>
              <w:spacing w:after="0"/>
              <w:rPr>
                <w:sz w:val="14"/>
                <w:szCs w:val="14"/>
                <w:color w:val="auto"/>
              </w:rPr>
            </w:pPr>
          </w:p>
        </w:tc>
        <w:tc>
          <w:tcPr>
            <w:tcW w:w="720" w:type="dxa"/>
            <w:vAlign w:val="bottom"/>
            <w:gridSpan w:val="3"/>
            <w:vMerge w:val="restart"/>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220" w:type="dxa"/>
            <w:vAlign w:val="bottom"/>
            <w:vMerge w:val="restart"/>
          </w:tcPr>
          <w:p>
            <w:pPr>
              <w:ind w:left="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3</w:t>
            </w:r>
          </w:p>
        </w:tc>
        <w:tc>
          <w:tcPr>
            <w:tcW w:w="80" w:type="dxa"/>
            <w:vAlign w:val="bottom"/>
          </w:tcPr>
          <w:p>
            <w:pPr>
              <w:spacing w:after="0"/>
              <w:rPr>
                <w:sz w:val="14"/>
                <w:szCs w:val="14"/>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5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vMerge w:val="restart"/>
          </w:tcPr>
          <w:p>
            <w:pPr>
              <w:jc w:val="right"/>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76"/>
        </w:trPr>
        <w:tc>
          <w:tcPr>
            <w:tcW w:w="2760" w:type="dxa"/>
            <w:vAlign w:val="bottom"/>
          </w:tcPr>
          <w:p>
            <w:pPr>
              <w:spacing w:after="0"/>
              <w:rPr>
                <w:sz w:val="20"/>
                <w:szCs w:val="20"/>
                <w:color w:val="auto"/>
              </w:rPr>
            </w:pPr>
            <w:r>
              <w:rPr>
                <w:rFonts w:ascii="Arial" w:cs="Arial" w:eastAsia="Arial" w:hAnsi="Arial"/>
                <w:sz w:val="14"/>
                <w:szCs w:val="14"/>
                <w:color w:val="auto"/>
              </w:rPr>
              <w:t>pension liability adjustment</w:t>
            </w:r>
          </w:p>
        </w:tc>
        <w:tc>
          <w:tcPr>
            <w:tcW w:w="80" w:type="dxa"/>
            <w:vAlign w:val="bottom"/>
          </w:tcPr>
          <w:p>
            <w:pPr>
              <w:spacing w:after="0"/>
              <w:rPr>
                <w:sz w:val="15"/>
                <w:szCs w:val="15"/>
                <w:color w:val="auto"/>
              </w:rPr>
            </w:pPr>
          </w:p>
        </w:tc>
        <w:tc>
          <w:tcPr>
            <w:tcW w:w="720" w:type="dxa"/>
            <w:vAlign w:val="bottom"/>
            <w:gridSpan w:val="3"/>
            <w:vMerge w:val="continue"/>
          </w:tcPr>
          <w:p>
            <w:pPr>
              <w:spacing w:after="0"/>
              <w:rPr>
                <w:sz w:val="15"/>
                <w:szCs w:val="15"/>
                <w:color w:val="auto"/>
              </w:rPr>
            </w:pPr>
          </w:p>
        </w:tc>
        <w:tc>
          <w:tcPr>
            <w:tcW w:w="260" w:type="dxa"/>
            <w:vAlign w:val="bottom"/>
          </w:tcPr>
          <w:p>
            <w:pPr>
              <w:spacing w:after="0"/>
              <w:rPr>
                <w:sz w:val="15"/>
                <w:szCs w:val="15"/>
                <w:color w:val="auto"/>
              </w:rPr>
            </w:pPr>
          </w:p>
        </w:tc>
        <w:tc>
          <w:tcPr>
            <w:tcW w:w="22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8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5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2760" w:type="dxa"/>
            <w:vAlign w:val="bottom"/>
          </w:tcPr>
          <w:p>
            <w:pPr>
              <w:spacing w:after="0"/>
              <w:rPr>
                <w:sz w:val="20"/>
                <w:szCs w:val="20"/>
                <w:color w:val="auto"/>
              </w:rPr>
            </w:pPr>
            <w:r>
              <w:rPr>
                <w:rFonts w:ascii="Arial" w:cs="Arial" w:eastAsia="Arial" w:hAnsi="Arial"/>
                <w:sz w:val="14"/>
                <w:szCs w:val="14"/>
                <w:color w:val="auto"/>
                <w:w w:val="90"/>
              </w:rPr>
              <w:t>Reclassification adjustments for unrealized gains</w:t>
            </w:r>
          </w:p>
        </w:tc>
        <w:tc>
          <w:tcPr>
            <w:tcW w:w="80" w:type="dxa"/>
            <w:vAlign w:val="bottom"/>
          </w:tcPr>
          <w:p>
            <w:pPr>
              <w:spacing w:after="0"/>
              <w:rPr>
                <w:sz w:val="16"/>
                <w:szCs w:val="16"/>
                <w:color w:val="auto"/>
              </w:rPr>
            </w:pPr>
          </w:p>
        </w:tc>
        <w:tc>
          <w:tcPr>
            <w:tcW w:w="720" w:type="dxa"/>
            <w:vAlign w:val="bottom"/>
            <w:gridSpan w:val="3"/>
            <w:vMerge w:val="restart"/>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220" w:type="dxa"/>
            <w:vAlign w:val="bottom"/>
            <w:vMerge w:val="restart"/>
          </w:tcPr>
          <w:p>
            <w:pPr>
              <w:ind w:left="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126</w:t>
            </w:r>
          </w:p>
        </w:tc>
        <w:tc>
          <w:tcPr>
            <w:tcW w:w="80" w:type="dxa"/>
            <w:vAlign w:val="bottom"/>
          </w:tcPr>
          <w:p>
            <w:pPr>
              <w:spacing w:after="0"/>
              <w:rPr>
                <w:sz w:val="16"/>
                <w:szCs w:val="16"/>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5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vMerge w:val="restart"/>
          </w:tcPr>
          <w:p>
            <w:pPr>
              <w:jc w:val="right"/>
              <w:spacing w:after="0"/>
              <w:rPr>
                <w:sz w:val="20"/>
                <w:szCs w:val="20"/>
                <w:color w:val="auto"/>
              </w:rPr>
            </w:pPr>
            <w:r>
              <w:rPr>
                <w:rFonts w:ascii="Arial" w:cs="Arial" w:eastAsia="Arial" w:hAnsi="Arial"/>
                <w:sz w:val="14"/>
                <w:szCs w:val="14"/>
                <w:color w:val="auto"/>
              </w:rPr>
              <w:t>126</w:t>
            </w:r>
          </w:p>
        </w:tc>
        <w:tc>
          <w:tcPr>
            <w:tcW w:w="0" w:type="dxa"/>
            <w:vAlign w:val="bottom"/>
          </w:tcPr>
          <w:p>
            <w:pPr>
              <w:spacing w:after="0"/>
              <w:rPr>
                <w:sz w:val="1"/>
                <w:szCs w:val="1"/>
                <w:color w:val="auto"/>
              </w:rPr>
            </w:pPr>
          </w:p>
        </w:tc>
      </w:tr>
      <w:tr>
        <w:trPr>
          <w:trHeight w:val="171"/>
        </w:trPr>
        <w:tc>
          <w:tcPr>
            <w:tcW w:w="2760" w:type="dxa"/>
            <w:vAlign w:val="bottom"/>
          </w:tcPr>
          <w:p>
            <w:pPr>
              <w:spacing w:after="0"/>
              <w:rPr>
                <w:sz w:val="20"/>
                <w:szCs w:val="20"/>
                <w:color w:val="auto"/>
              </w:rPr>
            </w:pPr>
            <w:r>
              <w:rPr>
                <w:rFonts w:ascii="Arial" w:cs="Arial" w:eastAsia="Arial" w:hAnsi="Arial"/>
                <w:sz w:val="14"/>
                <w:szCs w:val="14"/>
                <w:color w:val="auto"/>
              </w:rPr>
              <w:t>and losses included in net earnings</w:t>
            </w:r>
          </w:p>
        </w:tc>
        <w:tc>
          <w:tcPr>
            <w:tcW w:w="80" w:type="dxa"/>
            <w:vAlign w:val="bottom"/>
          </w:tcPr>
          <w:p>
            <w:pPr>
              <w:spacing w:after="0"/>
              <w:rPr>
                <w:sz w:val="14"/>
                <w:szCs w:val="14"/>
                <w:color w:val="auto"/>
              </w:rPr>
            </w:pPr>
          </w:p>
        </w:tc>
        <w:tc>
          <w:tcPr>
            <w:tcW w:w="720" w:type="dxa"/>
            <w:vAlign w:val="bottom"/>
            <w:gridSpan w:val="3"/>
            <w:vMerge w:val="continue"/>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7"/>
        </w:trPr>
        <w:tc>
          <w:tcPr>
            <w:tcW w:w="2760" w:type="dxa"/>
            <w:vAlign w:val="bottom"/>
          </w:tcPr>
          <w:p>
            <w:pPr>
              <w:spacing w:after="0" w:line="137" w:lineRule="exact"/>
              <w:rPr>
                <w:sz w:val="20"/>
                <w:szCs w:val="20"/>
                <w:color w:val="auto"/>
              </w:rPr>
            </w:pPr>
            <w:r>
              <w:rPr>
                <w:rFonts w:ascii="Arial" w:cs="Arial" w:eastAsia="Arial" w:hAnsi="Arial"/>
                <w:sz w:val="14"/>
                <w:szCs w:val="14"/>
                <w:color w:val="auto"/>
                <w:w w:val="97"/>
              </w:rPr>
              <w:t>Other comprehensive earnings attributable to</w:t>
            </w:r>
          </w:p>
        </w:tc>
        <w:tc>
          <w:tcPr>
            <w:tcW w:w="80" w:type="dxa"/>
            <w:vAlign w:val="bottom"/>
          </w:tcPr>
          <w:p>
            <w:pPr>
              <w:spacing w:after="0"/>
              <w:rPr>
                <w:sz w:val="11"/>
                <w:szCs w:val="11"/>
                <w:color w:val="auto"/>
              </w:rPr>
            </w:pPr>
          </w:p>
        </w:tc>
        <w:tc>
          <w:tcPr>
            <w:tcW w:w="720" w:type="dxa"/>
            <w:vAlign w:val="bottom"/>
            <w:gridSpan w:val="3"/>
            <w:vMerge w:val="restart"/>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1"/>
                <w:szCs w:val="11"/>
                <w:color w:val="auto"/>
              </w:rPr>
            </w:pPr>
          </w:p>
        </w:tc>
        <w:tc>
          <w:tcPr>
            <w:tcW w:w="220" w:type="dxa"/>
            <w:vAlign w:val="bottom"/>
            <w:vMerge w:val="restart"/>
          </w:tcPr>
          <w:p>
            <w:pPr>
              <w:ind w:left="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(2)</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(134)</w:t>
            </w:r>
          </w:p>
        </w:tc>
        <w:tc>
          <w:tcPr>
            <w:tcW w:w="80" w:type="dxa"/>
            <w:vAlign w:val="bottom"/>
          </w:tcPr>
          <w:p>
            <w:pPr>
              <w:spacing w:after="0"/>
              <w:rPr>
                <w:sz w:val="11"/>
                <w:szCs w:val="11"/>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1"/>
                <w:szCs w:val="11"/>
                <w:color w:val="auto"/>
              </w:rPr>
            </w:pPr>
          </w:p>
        </w:tc>
        <w:tc>
          <w:tcPr>
            <w:tcW w:w="5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136</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6"/>
        </w:trPr>
        <w:tc>
          <w:tcPr>
            <w:tcW w:w="2760" w:type="dxa"/>
            <w:vAlign w:val="bottom"/>
          </w:tcPr>
          <w:p>
            <w:pPr>
              <w:spacing w:after="0"/>
              <w:rPr>
                <w:sz w:val="20"/>
                <w:szCs w:val="20"/>
                <w:color w:val="auto"/>
              </w:rPr>
            </w:pPr>
            <w:r>
              <w:rPr>
                <w:rFonts w:ascii="Arial" w:cs="Arial" w:eastAsia="Arial" w:hAnsi="Arial"/>
                <w:sz w:val="14"/>
                <w:szCs w:val="14"/>
                <w:color w:val="auto"/>
              </w:rPr>
              <w:t>non-controlling interest</w:t>
            </w:r>
          </w:p>
        </w:tc>
        <w:tc>
          <w:tcPr>
            <w:tcW w:w="80" w:type="dxa"/>
            <w:vAlign w:val="bottom"/>
          </w:tcPr>
          <w:p>
            <w:pPr>
              <w:spacing w:after="0"/>
              <w:rPr>
                <w:sz w:val="15"/>
                <w:szCs w:val="15"/>
                <w:color w:val="auto"/>
              </w:rPr>
            </w:pPr>
          </w:p>
        </w:tc>
        <w:tc>
          <w:tcPr>
            <w:tcW w:w="720" w:type="dxa"/>
            <w:vAlign w:val="bottom"/>
            <w:gridSpan w:val="3"/>
            <w:vMerge w:val="continue"/>
          </w:tcPr>
          <w:p>
            <w:pPr>
              <w:spacing w:after="0"/>
              <w:rPr>
                <w:sz w:val="15"/>
                <w:szCs w:val="15"/>
                <w:color w:val="auto"/>
              </w:rPr>
            </w:pPr>
          </w:p>
        </w:tc>
        <w:tc>
          <w:tcPr>
            <w:tcW w:w="260" w:type="dxa"/>
            <w:vAlign w:val="bottom"/>
          </w:tcPr>
          <w:p>
            <w:pPr>
              <w:spacing w:after="0"/>
              <w:rPr>
                <w:sz w:val="15"/>
                <w:szCs w:val="15"/>
                <w:color w:val="auto"/>
              </w:rPr>
            </w:pPr>
          </w:p>
        </w:tc>
        <w:tc>
          <w:tcPr>
            <w:tcW w:w="22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8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5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2760" w:type="dxa"/>
            <w:vAlign w:val="bottom"/>
          </w:tcPr>
          <w:p>
            <w:pPr>
              <w:spacing w:after="0"/>
              <w:rPr>
                <w:sz w:val="20"/>
                <w:szCs w:val="20"/>
                <w:color w:val="auto"/>
              </w:rPr>
            </w:pPr>
            <w:r>
              <w:rPr>
                <w:rFonts w:ascii="Arial" w:cs="Arial" w:eastAsia="Arial" w:hAnsi="Arial"/>
                <w:sz w:val="14"/>
                <w:szCs w:val="14"/>
                <w:color w:val="auto"/>
              </w:rPr>
              <w:t>Stock-based compensation</w:t>
            </w:r>
          </w:p>
        </w:tc>
        <w:tc>
          <w:tcPr>
            <w:tcW w:w="80" w:type="dxa"/>
            <w:vAlign w:val="bottom"/>
          </w:tcPr>
          <w:p>
            <w:pPr>
              <w:spacing w:after="0"/>
              <w:rPr>
                <w:sz w:val="19"/>
                <w:szCs w:val="19"/>
                <w:color w:val="auto"/>
              </w:rPr>
            </w:pPr>
          </w:p>
        </w:tc>
        <w:tc>
          <w:tcPr>
            <w:tcW w:w="72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9"/>
                <w:szCs w:val="19"/>
                <w:color w:val="auto"/>
              </w:rPr>
            </w:pPr>
          </w:p>
        </w:tc>
        <w:tc>
          <w:tcPr>
            <w:tcW w:w="220" w:type="dxa"/>
            <w:vAlign w:val="bottom"/>
          </w:tcPr>
          <w:p>
            <w:pPr>
              <w:ind w:left="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55</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4</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59</w:t>
            </w:r>
          </w:p>
        </w:tc>
        <w:tc>
          <w:tcPr>
            <w:tcW w:w="0" w:type="dxa"/>
            <w:vAlign w:val="bottom"/>
          </w:tcPr>
          <w:p>
            <w:pPr>
              <w:spacing w:after="0"/>
              <w:rPr>
                <w:sz w:val="1"/>
                <w:szCs w:val="1"/>
                <w:color w:val="auto"/>
              </w:rPr>
            </w:pPr>
          </w:p>
        </w:tc>
      </w:tr>
      <w:tr>
        <w:trPr>
          <w:trHeight w:val="191"/>
        </w:trPr>
        <w:tc>
          <w:tcPr>
            <w:tcW w:w="2760" w:type="dxa"/>
            <w:vAlign w:val="bottom"/>
          </w:tcPr>
          <w:p>
            <w:pPr>
              <w:spacing w:after="0"/>
              <w:rPr>
                <w:sz w:val="20"/>
                <w:szCs w:val="20"/>
                <w:color w:val="auto"/>
              </w:rPr>
            </w:pPr>
            <w:r>
              <w:rPr>
                <w:rFonts w:ascii="Arial" w:cs="Arial" w:eastAsia="Arial" w:hAnsi="Arial"/>
                <w:sz w:val="14"/>
                <w:szCs w:val="14"/>
                <w:color w:val="auto"/>
                <w:w w:val="98"/>
              </w:rPr>
              <w:t>Dilution from share issuance by consolidated</w:t>
            </w:r>
          </w:p>
        </w:tc>
        <w:tc>
          <w:tcPr>
            <w:tcW w:w="80" w:type="dxa"/>
            <w:vAlign w:val="bottom"/>
          </w:tcPr>
          <w:p>
            <w:pPr>
              <w:spacing w:after="0"/>
              <w:rPr>
                <w:sz w:val="16"/>
                <w:szCs w:val="16"/>
                <w:color w:val="auto"/>
              </w:rPr>
            </w:pPr>
          </w:p>
        </w:tc>
        <w:tc>
          <w:tcPr>
            <w:tcW w:w="720" w:type="dxa"/>
            <w:vAlign w:val="bottom"/>
            <w:gridSpan w:val="3"/>
            <w:vMerge w:val="restart"/>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220" w:type="dxa"/>
            <w:vAlign w:val="bottom"/>
            <w:vMerge w:val="restart"/>
          </w:tcPr>
          <w:p>
            <w:pPr>
              <w:ind w:left="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(13)</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5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13</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6"/>
        </w:trPr>
        <w:tc>
          <w:tcPr>
            <w:tcW w:w="2760" w:type="dxa"/>
            <w:vAlign w:val="bottom"/>
          </w:tcPr>
          <w:p>
            <w:pPr>
              <w:spacing w:after="0"/>
              <w:rPr>
                <w:sz w:val="20"/>
                <w:szCs w:val="20"/>
                <w:color w:val="auto"/>
              </w:rPr>
            </w:pPr>
            <w:r>
              <w:rPr>
                <w:rFonts w:ascii="Arial" w:cs="Arial" w:eastAsia="Arial" w:hAnsi="Arial"/>
                <w:sz w:val="14"/>
                <w:szCs w:val="14"/>
                <w:color w:val="auto"/>
              </w:rPr>
              <w:t>subsidiary</w:t>
            </w:r>
          </w:p>
        </w:tc>
        <w:tc>
          <w:tcPr>
            <w:tcW w:w="80" w:type="dxa"/>
            <w:vAlign w:val="bottom"/>
          </w:tcPr>
          <w:p>
            <w:pPr>
              <w:spacing w:after="0"/>
              <w:rPr>
                <w:sz w:val="15"/>
                <w:szCs w:val="15"/>
                <w:color w:val="auto"/>
              </w:rPr>
            </w:pPr>
          </w:p>
        </w:tc>
        <w:tc>
          <w:tcPr>
            <w:tcW w:w="720" w:type="dxa"/>
            <w:vAlign w:val="bottom"/>
            <w:gridSpan w:val="3"/>
            <w:vMerge w:val="continue"/>
          </w:tcPr>
          <w:p>
            <w:pPr>
              <w:spacing w:after="0"/>
              <w:rPr>
                <w:sz w:val="15"/>
                <w:szCs w:val="15"/>
                <w:color w:val="auto"/>
              </w:rPr>
            </w:pPr>
          </w:p>
        </w:tc>
        <w:tc>
          <w:tcPr>
            <w:tcW w:w="260" w:type="dxa"/>
            <w:vAlign w:val="bottom"/>
          </w:tcPr>
          <w:p>
            <w:pPr>
              <w:spacing w:after="0"/>
              <w:rPr>
                <w:sz w:val="15"/>
                <w:szCs w:val="15"/>
                <w:color w:val="auto"/>
              </w:rPr>
            </w:pPr>
          </w:p>
        </w:tc>
        <w:tc>
          <w:tcPr>
            <w:tcW w:w="22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8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vMerge w:val="continue"/>
          </w:tcPr>
          <w:p>
            <w:pPr>
              <w:spacing w:after="0"/>
              <w:rPr>
                <w:sz w:val="15"/>
                <w:szCs w:val="15"/>
                <w:color w:val="auto"/>
              </w:rPr>
            </w:pPr>
          </w:p>
        </w:tc>
        <w:tc>
          <w:tcPr>
            <w:tcW w:w="60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5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0"/>
        </w:trPr>
        <w:tc>
          <w:tcPr>
            <w:tcW w:w="2760" w:type="dxa"/>
            <w:vAlign w:val="bottom"/>
          </w:tcPr>
          <w:p>
            <w:pPr>
              <w:spacing w:after="0"/>
              <w:rPr>
                <w:sz w:val="20"/>
                <w:szCs w:val="20"/>
                <w:color w:val="auto"/>
              </w:rPr>
            </w:pPr>
            <w:r>
              <w:rPr>
                <w:rFonts w:ascii="Arial" w:cs="Arial" w:eastAsia="Arial" w:hAnsi="Arial"/>
                <w:sz w:val="14"/>
                <w:szCs w:val="14"/>
                <w:color w:val="auto"/>
              </w:rPr>
              <w:t>Dividends declared</w:t>
            </w:r>
          </w:p>
        </w:tc>
        <w:tc>
          <w:tcPr>
            <w:tcW w:w="80" w:type="dxa"/>
            <w:vAlign w:val="bottom"/>
          </w:tcPr>
          <w:p>
            <w:pPr>
              <w:spacing w:after="0"/>
              <w:rPr>
                <w:sz w:val="19"/>
                <w:szCs w:val="19"/>
                <w:color w:val="auto"/>
              </w:rPr>
            </w:pPr>
          </w:p>
        </w:tc>
        <w:tc>
          <w:tcPr>
            <w:tcW w:w="72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9"/>
                <w:szCs w:val="19"/>
                <w:color w:val="auto"/>
              </w:rPr>
            </w:pPr>
          </w:p>
        </w:tc>
        <w:tc>
          <w:tcPr>
            <w:tcW w:w="220" w:type="dxa"/>
            <w:vAlign w:val="bottom"/>
          </w:tcPr>
          <w:p>
            <w:pPr>
              <w:ind w:left="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(498)</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(498)</w:t>
            </w:r>
          </w:p>
        </w:tc>
        <w:tc>
          <w:tcPr>
            <w:tcW w:w="0" w:type="dxa"/>
            <w:vAlign w:val="bottom"/>
          </w:tcPr>
          <w:p>
            <w:pPr>
              <w:spacing w:after="0"/>
              <w:rPr>
                <w:sz w:val="1"/>
                <w:szCs w:val="1"/>
                <w:color w:val="auto"/>
              </w:rPr>
            </w:pPr>
          </w:p>
        </w:tc>
      </w:tr>
      <w:tr>
        <w:trPr>
          <w:trHeight w:val="220"/>
        </w:trPr>
        <w:tc>
          <w:tcPr>
            <w:tcW w:w="2760" w:type="dxa"/>
            <w:vAlign w:val="bottom"/>
          </w:tcPr>
          <w:p>
            <w:pPr>
              <w:spacing w:after="0"/>
              <w:rPr>
                <w:sz w:val="20"/>
                <w:szCs w:val="20"/>
                <w:color w:val="auto"/>
              </w:rPr>
            </w:pPr>
            <w:r>
              <w:rPr>
                <w:rFonts w:ascii="Arial" w:cs="Arial" w:eastAsia="Arial" w:hAnsi="Arial"/>
                <w:sz w:val="14"/>
                <w:szCs w:val="14"/>
                <w:color w:val="auto"/>
              </w:rPr>
              <w:t>Shares withheld for taxes and in treasury</w:t>
            </w:r>
          </w:p>
        </w:tc>
        <w:tc>
          <w:tcPr>
            <w:tcW w:w="80" w:type="dxa"/>
            <w:vAlign w:val="bottom"/>
          </w:tcPr>
          <w:p>
            <w:pPr>
              <w:spacing w:after="0"/>
              <w:rPr>
                <w:sz w:val="19"/>
                <w:szCs w:val="19"/>
                <w:color w:val="auto"/>
              </w:rPr>
            </w:pPr>
          </w:p>
        </w:tc>
        <w:tc>
          <w:tcPr>
            <w:tcW w:w="72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9"/>
                <w:szCs w:val="19"/>
                <w:color w:val="auto"/>
              </w:rPr>
            </w:pPr>
          </w:p>
        </w:tc>
        <w:tc>
          <w:tcPr>
            <w:tcW w:w="220" w:type="dxa"/>
            <w:vAlign w:val="bottom"/>
          </w:tcPr>
          <w:p>
            <w:pPr>
              <w:ind w:left="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1</w:t>
            </w:r>
          </w:p>
        </w:tc>
        <w:tc>
          <w:tcPr>
            <w:tcW w:w="580" w:type="dxa"/>
            <w:vAlign w:val="bottom"/>
            <w:gridSpan w:val="2"/>
          </w:tcPr>
          <w:p>
            <w:pPr>
              <w:jc w:val="right"/>
              <w:spacing w:after="0"/>
              <w:rPr>
                <w:sz w:val="20"/>
                <w:szCs w:val="20"/>
                <w:color w:val="auto"/>
              </w:rPr>
            </w:pPr>
            <w:r>
              <w:rPr>
                <w:rFonts w:ascii="Arial" w:cs="Arial" w:eastAsia="Arial" w:hAnsi="Arial"/>
                <w:sz w:val="14"/>
                <w:szCs w:val="14"/>
                <w:color w:val="auto"/>
              </w:rPr>
              <w:t>(17)</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191"/>
        </w:trPr>
        <w:tc>
          <w:tcPr>
            <w:tcW w:w="2760" w:type="dxa"/>
            <w:vAlign w:val="bottom"/>
          </w:tcPr>
          <w:p>
            <w:pPr>
              <w:spacing w:after="0"/>
              <w:rPr>
                <w:sz w:val="20"/>
                <w:szCs w:val="20"/>
                <w:color w:val="auto"/>
              </w:rPr>
            </w:pPr>
            <w:r>
              <w:rPr>
                <w:rFonts w:ascii="Arial" w:cs="Arial" w:eastAsia="Arial" w:hAnsi="Arial"/>
                <w:sz w:val="14"/>
                <w:szCs w:val="14"/>
                <w:color w:val="auto"/>
                <w:w w:val="98"/>
              </w:rPr>
              <w:t>Change in current discount rate — liability for</w:t>
            </w:r>
          </w:p>
        </w:tc>
        <w:tc>
          <w:tcPr>
            <w:tcW w:w="80" w:type="dxa"/>
            <w:vAlign w:val="bottom"/>
          </w:tcPr>
          <w:p>
            <w:pPr>
              <w:spacing w:after="0"/>
              <w:rPr>
                <w:sz w:val="16"/>
                <w:szCs w:val="16"/>
                <w:color w:val="auto"/>
              </w:rPr>
            </w:pPr>
          </w:p>
        </w:tc>
        <w:tc>
          <w:tcPr>
            <w:tcW w:w="720" w:type="dxa"/>
            <w:vAlign w:val="bottom"/>
            <w:gridSpan w:val="3"/>
            <w:vMerge w:val="restart"/>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220" w:type="dxa"/>
            <w:vAlign w:val="bottom"/>
            <w:vMerge w:val="restart"/>
          </w:tcPr>
          <w:p>
            <w:pPr>
              <w:ind w:left="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(189)</w:t>
            </w:r>
          </w:p>
        </w:tc>
        <w:tc>
          <w:tcPr>
            <w:tcW w:w="80" w:type="dxa"/>
            <w:vAlign w:val="bottom"/>
          </w:tcPr>
          <w:p>
            <w:pPr>
              <w:spacing w:after="0"/>
              <w:rPr>
                <w:sz w:val="16"/>
                <w:szCs w:val="16"/>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5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vMerge w:val="restart"/>
          </w:tcPr>
          <w:p>
            <w:pPr>
              <w:jc w:val="right"/>
              <w:spacing w:after="0"/>
              <w:rPr>
                <w:sz w:val="20"/>
                <w:szCs w:val="20"/>
                <w:color w:val="auto"/>
              </w:rPr>
            </w:pPr>
            <w:r>
              <w:rPr>
                <w:rFonts w:ascii="Arial" w:cs="Arial" w:eastAsia="Arial" w:hAnsi="Arial"/>
                <w:sz w:val="14"/>
                <w:szCs w:val="14"/>
                <w:color w:val="auto"/>
              </w:rPr>
              <w:t>(189)</w:t>
            </w:r>
          </w:p>
        </w:tc>
        <w:tc>
          <w:tcPr>
            <w:tcW w:w="0" w:type="dxa"/>
            <w:vAlign w:val="bottom"/>
          </w:tcPr>
          <w:p>
            <w:pPr>
              <w:spacing w:after="0"/>
              <w:rPr>
                <w:sz w:val="1"/>
                <w:szCs w:val="1"/>
                <w:color w:val="auto"/>
              </w:rPr>
            </w:pPr>
          </w:p>
        </w:tc>
      </w:tr>
      <w:tr>
        <w:trPr>
          <w:trHeight w:val="176"/>
        </w:trPr>
        <w:tc>
          <w:tcPr>
            <w:tcW w:w="2760" w:type="dxa"/>
            <w:vAlign w:val="bottom"/>
          </w:tcPr>
          <w:p>
            <w:pPr>
              <w:spacing w:after="0"/>
              <w:rPr>
                <w:sz w:val="20"/>
                <w:szCs w:val="20"/>
                <w:color w:val="auto"/>
              </w:rPr>
            </w:pPr>
            <w:r>
              <w:rPr>
                <w:rFonts w:ascii="Arial" w:cs="Arial" w:eastAsia="Arial" w:hAnsi="Arial"/>
                <w:sz w:val="14"/>
                <w:szCs w:val="14"/>
                <w:color w:val="auto"/>
              </w:rPr>
              <w:t>future policy benefits</w:t>
            </w:r>
          </w:p>
        </w:tc>
        <w:tc>
          <w:tcPr>
            <w:tcW w:w="80" w:type="dxa"/>
            <w:vAlign w:val="bottom"/>
          </w:tcPr>
          <w:p>
            <w:pPr>
              <w:spacing w:after="0"/>
              <w:rPr>
                <w:sz w:val="15"/>
                <w:szCs w:val="15"/>
                <w:color w:val="auto"/>
              </w:rPr>
            </w:pPr>
          </w:p>
        </w:tc>
        <w:tc>
          <w:tcPr>
            <w:tcW w:w="720" w:type="dxa"/>
            <w:vAlign w:val="bottom"/>
            <w:gridSpan w:val="3"/>
            <w:vMerge w:val="continue"/>
          </w:tcPr>
          <w:p>
            <w:pPr>
              <w:spacing w:after="0"/>
              <w:rPr>
                <w:sz w:val="15"/>
                <w:szCs w:val="15"/>
                <w:color w:val="auto"/>
              </w:rPr>
            </w:pPr>
          </w:p>
        </w:tc>
        <w:tc>
          <w:tcPr>
            <w:tcW w:w="260" w:type="dxa"/>
            <w:vAlign w:val="bottom"/>
          </w:tcPr>
          <w:p>
            <w:pPr>
              <w:spacing w:after="0"/>
              <w:rPr>
                <w:sz w:val="15"/>
                <w:szCs w:val="15"/>
                <w:color w:val="auto"/>
              </w:rPr>
            </w:pPr>
          </w:p>
        </w:tc>
        <w:tc>
          <w:tcPr>
            <w:tcW w:w="22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8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5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2760" w:type="dxa"/>
            <w:vAlign w:val="bottom"/>
          </w:tcPr>
          <w:p>
            <w:pPr>
              <w:spacing w:after="0"/>
              <w:rPr>
                <w:sz w:val="20"/>
                <w:szCs w:val="20"/>
                <w:color w:val="auto"/>
              </w:rPr>
            </w:pPr>
            <w:r>
              <w:rPr>
                <w:rFonts w:ascii="Arial" w:cs="Arial" w:eastAsia="Arial" w:hAnsi="Arial"/>
                <w:sz w:val="14"/>
                <w:szCs w:val="14"/>
                <w:color w:val="auto"/>
              </w:rPr>
              <w:t>Change in instrument-specific credit risk -</w:t>
            </w:r>
          </w:p>
        </w:tc>
        <w:tc>
          <w:tcPr>
            <w:tcW w:w="80" w:type="dxa"/>
            <w:vAlign w:val="bottom"/>
          </w:tcPr>
          <w:p>
            <w:pPr>
              <w:spacing w:after="0"/>
              <w:rPr>
                <w:sz w:val="16"/>
                <w:szCs w:val="16"/>
                <w:color w:val="auto"/>
              </w:rPr>
            </w:pPr>
          </w:p>
        </w:tc>
        <w:tc>
          <w:tcPr>
            <w:tcW w:w="720" w:type="dxa"/>
            <w:vAlign w:val="bottom"/>
            <w:gridSpan w:val="3"/>
            <w:vMerge w:val="restart"/>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220" w:type="dxa"/>
            <w:vAlign w:val="bottom"/>
            <w:vMerge w:val="restart"/>
          </w:tcPr>
          <w:p>
            <w:pPr>
              <w:ind w:left="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(34)</w:t>
            </w:r>
          </w:p>
        </w:tc>
        <w:tc>
          <w:tcPr>
            <w:tcW w:w="80" w:type="dxa"/>
            <w:vAlign w:val="bottom"/>
          </w:tcPr>
          <w:p>
            <w:pPr>
              <w:spacing w:after="0"/>
              <w:rPr>
                <w:sz w:val="16"/>
                <w:szCs w:val="16"/>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5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vMerge w:val="restart"/>
          </w:tcPr>
          <w:p>
            <w:pPr>
              <w:jc w:val="right"/>
              <w:spacing w:after="0"/>
              <w:rPr>
                <w:sz w:val="20"/>
                <w:szCs w:val="20"/>
                <w:color w:val="auto"/>
              </w:rPr>
            </w:pPr>
            <w:r>
              <w:rPr>
                <w:rFonts w:ascii="Arial" w:cs="Arial" w:eastAsia="Arial" w:hAnsi="Arial"/>
                <w:sz w:val="14"/>
                <w:szCs w:val="14"/>
                <w:color w:val="auto"/>
              </w:rPr>
              <w:t>(34)</w:t>
            </w:r>
          </w:p>
        </w:tc>
        <w:tc>
          <w:tcPr>
            <w:tcW w:w="0" w:type="dxa"/>
            <w:vAlign w:val="bottom"/>
          </w:tcPr>
          <w:p>
            <w:pPr>
              <w:spacing w:after="0"/>
              <w:rPr>
                <w:sz w:val="1"/>
                <w:szCs w:val="1"/>
                <w:color w:val="auto"/>
              </w:rPr>
            </w:pPr>
          </w:p>
        </w:tc>
      </w:tr>
      <w:tr>
        <w:trPr>
          <w:trHeight w:val="176"/>
        </w:trPr>
        <w:tc>
          <w:tcPr>
            <w:tcW w:w="2760" w:type="dxa"/>
            <w:vAlign w:val="bottom"/>
          </w:tcPr>
          <w:p>
            <w:pPr>
              <w:spacing w:after="0"/>
              <w:rPr>
                <w:sz w:val="20"/>
                <w:szCs w:val="20"/>
                <w:color w:val="auto"/>
              </w:rPr>
            </w:pPr>
            <w:r>
              <w:rPr>
                <w:rFonts w:ascii="Arial" w:cs="Arial" w:eastAsia="Arial" w:hAnsi="Arial"/>
                <w:sz w:val="14"/>
                <w:szCs w:val="14"/>
                <w:color w:val="auto"/>
              </w:rPr>
              <w:t>market risk benefits</w:t>
            </w:r>
          </w:p>
        </w:tc>
        <w:tc>
          <w:tcPr>
            <w:tcW w:w="80" w:type="dxa"/>
            <w:vAlign w:val="bottom"/>
          </w:tcPr>
          <w:p>
            <w:pPr>
              <w:spacing w:after="0"/>
              <w:rPr>
                <w:sz w:val="15"/>
                <w:szCs w:val="15"/>
                <w:color w:val="auto"/>
              </w:rPr>
            </w:pPr>
          </w:p>
        </w:tc>
        <w:tc>
          <w:tcPr>
            <w:tcW w:w="720" w:type="dxa"/>
            <w:vAlign w:val="bottom"/>
            <w:gridSpan w:val="3"/>
            <w:vMerge w:val="continue"/>
          </w:tcPr>
          <w:p>
            <w:pPr>
              <w:spacing w:after="0"/>
              <w:rPr>
                <w:sz w:val="15"/>
                <w:szCs w:val="15"/>
                <w:color w:val="auto"/>
              </w:rPr>
            </w:pPr>
          </w:p>
        </w:tc>
        <w:tc>
          <w:tcPr>
            <w:tcW w:w="260" w:type="dxa"/>
            <w:vAlign w:val="bottom"/>
          </w:tcPr>
          <w:p>
            <w:pPr>
              <w:spacing w:after="0"/>
              <w:rPr>
                <w:sz w:val="15"/>
                <w:szCs w:val="15"/>
                <w:color w:val="auto"/>
              </w:rPr>
            </w:pPr>
          </w:p>
        </w:tc>
        <w:tc>
          <w:tcPr>
            <w:tcW w:w="22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8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5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0"/>
        </w:trPr>
        <w:tc>
          <w:tcPr>
            <w:tcW w:w="2760" w:type="dxa"/>
            <w:vAlign w:val="bottom"/>
          </w:tcPr>
          <w:p>
            <w:pPr>
              <w:spacing w:after="0"/>
              <w:rPr>
                <w:sz w:val="20"/>
                <w:szCs w:val="20"/>
                <w:color w:val="auto"/>
              </w:rPr>
            </w:pPr>
            <w:r>
              <w:rPr>
                <w:rFonts w:ascii="Arial" w:cs="Arial" w:eastAsia="Arial" w:hAnsi="Arial"/>
                <w:sz w:val="14"/>
                <w:szCs w:val="14"/>
                <w:color w:val="auto"/>
              </w:rPr>
              <w:t>F&amp;G purchases of treasury stock</w:t>
            </w:r>
          </w:p>
        </w:tc>
        <w:tc>
          <w:tcPr>
            <w:tcW w:w="80" w:type="dxa"/>
            <w:vAlign w:val="bottom"/>
          </w:tcPr>
          <w:p>
            <w:pPr>
              <w:spacing w:after="0"/>
              <w:rPr>
                <w:sz w:val="19"/>
                <w:szCs w:val="19"/>
                <w:color w:val="auto"/>
              </w:rPr>
            </w:pPr>
          </w:p>
        </w:tc>
        <w:tc>
          <w:tcPr>
            <w:tcW w:w="72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9"/>
                <w:szCs w:val="19"/>
                <w:color w:val="auto"/>
              </w:rPr>
            </w:pPr>
          </w:p>
        </w:tc>
        <w:tc>
          <w:tcPr>
            <w:tcW w:w="220" w:type="dxa"/>
            <w:vAlign w:val="bottom"/>
          </w:tcPr>
          <w:p>
            <w:pPr>
              <w:ind w:left="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(18)</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191"/>
        </w:trPr>
        <w:tc>
          <w:tcPr>
            <w:tcW w:w="2760" w:type="dxa"/>
            <w:vAlign w:val="bottom"/>
          </w:tcPr>
          <w:p>
            <w:pPr>
              <w:spacing w:after="0"/>
              <w:rPr>
                <w:sz w:val="20"/>
                <w:szCs w:val="20"/>
                <w:color w:val="auto"/>
              </w:rPr>
            </w:pPr>
            <w:r>
              <w:rPr>
                <w:rFonts w:ascii="Arial" w:cs="Arial" w:eastAsia="Arial" w:hAnsi="Arial"/>
                <w:sz w:val="14"/>
                <w:szCs w:val="14"/>
                <w:color w:val="auto"/>
                <w:w w:val="92"/>
              </w:rPr>
              <w:t>Subsidiary dividends declared to non-controlling</w:t>
            </w:r>
          </w:p>
        </w:tc>
        <w:tc>
          <w:tcPr>
            <w:tcW w:w="80" w:type="dxa"/>
            <w:vAlign w:val="bottom"/>
          </w:tcPr>
          <w:p>
            <w:pPr>
              <w:spacing w:after="0"/>
              <w:rPr>
                <w:sz w:val="16"/>
                <w:szCs w:val="16"/>
                <w:color w:val="auto"/>
              </w:rPr>
            </w:pPr>
          </w:p>
        </w:tc>
        <w:tc>
          <w:tcPr>
            <w:tcW w:w="720" w:type="dxa"/>
            <w:vAlign w:val="bottom"/>
            <w:gridSpan w:val="3"/>
            <w:vMerge w:val="restart"/>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220" w:type="dxa"/>
            <w:vAlign w:val="bottom"/>
            <w:vMerge w:val="restart"/>
          </w:tcPr>
          <w:p>
            <w:pPr>
              <w:ind w:left="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5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(29)</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vMerge w:val="restart"/>
          </w:tcPr>
          <w:p>
            <w:pPr>
              <w:jc w:val="right"/>
              <w:spacing w:after="0"/>
              <w:rPr>
                <w:sz w:val="20"/>
                <w:szCs w:val="20"/>
                <w:color w:val="auto"/>
              </w:rPr>
            </w:pPr>
            <w:r>
              <w:rPr>
                <w:rFonts w:ascii="Arial" w:cs="Arial" w:eastAsia="Arial" w:hAnsi="Arial"/>
                <w:sz w:val="14"/>
                <w:szCs w:val="14"/>
                <w:color w:val="auto"/>
              </w:rPr>
              <w:t>(29)</w:t>
            </w:r>
          </w:p>
        </w:tc>
        <w:tc>
          <w:tcPr>
            <w:tcW w:w="0" w:type="dxa"/>
            <w:vAlign w:val="bottom"/>
          </w:tcPr>
          <w:p>
            <w:pPr>
              <w:spacing w:after="0"/>
              <w:rPr>
                <w:sz w:val="1"/>
                <w:szCs w:val="1"/>
                <w:color w:val="auto"/>
              </w:rPr>
            </w:pPr>
          </w:p>
        </w:tc>
      </w:tr>
      <w:tr>
        <w:trPr>
          <w:trHeight w:val="176"/>
        </w:trPr>
        <w:tc>
          <w:tcPr>
            <w:tcW w:w="2760" w:type="dxa"/>
            <w:vAlign w:val="bottom"/>
          </w:tcPr>
          <w:p>
            <w:pPr>
              <w:spacing w:after="0"/>
              <w:rPr>
                <w:sz w:val="20"/>
                <w:szCs w:val="20"/>
                <w:color w:val="auto"/>
              </w:rPr>
            </w:pPr>
            <w:r>
              <w:rPr>
                <w:rFonts w:ascii="Arial" w:cs="Arial" w:eastAsia="Arial" w:hAnsi="Arial"/>
                <w:sz w:val="14"/>
                <w:szCs w:val="14"/>
                <w:color w:val="auto"/>
              </w:rPr>
              <w:t>interests</w:t>
            </w:r>
          </w:p>
        </w:tc>
        <w:tc>
          <w:tcPr>
            <w:tcW w:w="80" w:type="dxa"/>
            <w:vAlign w:val="bottom"/>
          </w:tcPr>
          <w:p>
            <w:pPr>
              <w:spacing w:after="0"/>
              <w:rPr>
                <w:sz w:val="15"/>
                <w:szCs w:val="15"/>
                <w:color w:val="auto"/>
              </w:rPr>
            </w:pPr>
          </w:p>
        </w:tc>
        <w:tc>
          <w:tcPr>
            <w:tcW w:w="720" w:type="dxa"/>
            <w:vAlign w:val="bottom"/>
            <w:gridSpan w:val="3"/>
            <w:vMerge w:val="continue"/>
          </w:tcPr>
          <w:p>
            <w:pPr>
              <w:spacing w:after="0"/>
              <w:rPr>
                <w:sz w:val="15"/>
                <w:szCs w:val="15"/>
                <w:color w:val="auto"/>
              </w:rPr>
            </w:pPr>
          </w:p>
        </w:tc>
        <w:tc>
          <w:tcPr>
            <w:tcW w:w="260" w:type="dxa"/>
            <w:vAlign w:val="bottom"/>
          </w:tcPr>
          <w:p>
            <w:pPr>
              <w:spacing w:after="0"/>
              <w:rPr>
                <w:sz w:val="15"/>
                <w:szCs w:val="15"/>
                <w:color w:val="auto"/>
              </w:rPr>
            </w:pPr>
          </w:p>
        </w:tc>
        <w:tc>
          <w:tcPr>
            <w:tcW w:w="22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8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vMerge w:val="continue"/>
          </w:tcPr>
          <w:p>
            <w:pPr>
              <w:spacing w:after="0"/>
              <w:rPr>
                <w:sz w:val="15"/>
                <w:szCs w:val="15"/>
                <w:color w:val="auto"/>
              </w:rPr>
            </w:pPr>
          </w:p>
        </w:tc>
        <w:tc>
          <w:tcPr>
            <w:tcW w:w="60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5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2760" w:type="dxa"/>
            <w:vAlign w:val="bottom"/>
          </w:tcPr>
          <w:p>
            <w:pPr>
              <w:spacing w:after="0"/>
              <w:rPr>
                <w:sz w:val="20"/>
                <w:szCs w:val="20"/>
                <w:color w:val="auto"/>
              </w:rPr>
            </w:pPr>
            <w:r>
              <w:rPr>
                <w:rFonts w:ascii="Arial" w:cs="Arial" w:eastAsia="Arial" w:hAnsi="Arial"/>
                <w:sz w:val="14"/>
                <w:szCs w:val="14"/>
                <w:color w:val="auto"/>
              </w:rPr>
              <w:t>Net earnings</w:t>
            </w:r>
          </w:p>
        </w:tc>
        <w:tc>
          <w:tcPr>
            <w:tcW w:w="80" w:type="dxa"/>
            <w:vAlign w:val="bottom"/>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517</w:t>
            </w:r>
          </w:p>
        </w:tc>
        <w:tc>
          <w:tcPr>
            <w:tcW w:w="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518</w:t>
            </w:r>
          </w:p>
        </w:tc>
        <w:tc>
          <w:tcPr>
            <w:tcW w:w="0" w:type="dxa"/>
            <w:vAlign w:val="bottom"/>
          </w:tcPr>
          <w:p>
            <w:pPr>
              <w:spacing w:after="0"/>
              <w:rPr>
                <w:sz w:val="1"/>
                <w:szCs w:val="1"/>
                <w:color w:val="auto"/>
              </w:rPr>
            </w:pPr>
          </w:p>
        </w:tc>
      </w:tr>
      <w:tr>
        <w:trPr>
          <w:trHeight w:val="181"/>
        </w:trPr>
        <w:tc>
          <w:tcPr>
            <w:tcW w:w="2760" w:type="dxa"/>
            <w:vAlign w:val="bottom"/>
          </w:tcPr>
          <w:p>
            <w:pPr>
              <w:spacing w:after="0"/>
              <w:rPr>
                <w:sz w:val="20"/>
                <w:szCs w:val="20"/>
                <w:color w:val="auto"/>
              </w:rPr>
            </w:pPr>
            <w:r>
              <w:rPr>
                <w:rFonts w:ascii="Arial" w:cs="Arial" w:eastAsia="Arial" w:hAnsi="Arial"/>
                <w:sz w:val="14"/>
                <w:szCs w:val="14"/>
                <w:color w:val="auto"/>
              </w:rPr>
              <w:t>Balance, December 31, 2023</w:t>
            </w:r>
          </w:p>
        </w:tc>
        <w:tc>
          <w:tcPr>
            <w:tcW w:w="680" w:type="dxa"/>
            <w:vAlign w:val="bottom"/>
            <w:gridSpan w:val="2"/>
          </w:tcPr>
          <w:p>
            <w:pPr>
              <w:jc w:val="right"/>
              <w:spacing w:after="0"/>
              <w:rPr>
                <w:sz w:val="20"/>
                <w:szCs w:val="20"/>
                <w:color w:val="auto"/>
              </w:rPr>
            </w:pPr>
            <w:r>
              <w:rPr>
                <w:rFonts w:ascii="Arial" w:cs="Arial" w:eastAsia="Arial" w:hAnsi="Arial"/>
                <w:sz w:val="14"/>
                <w:szCs w:val="14"/>
                <w:color w:val="auto"/>
              </w:rPr>
              <w:t>329</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tcPr>
          <w:p>
            <w:pPr>
              <w:jc w:val="right"/>
              <w:ind w:right="111"/>
              <w:spacing w:after="0"/>
              <w:rPr>
                <w:sz w:val="20"/>
                <w:szCs w:val="20"/>
                <w:color w:val="auto"/>
              </w:rPr>
            </w:pPr>
            <w:r>
              <w:rPr>
                <w:rFonts w:ascii="Arial" w:cs="Arial" w:eastAsia="Arial" w:hAnsi="Arial"/>
                <w:sz w:val="14"/>
                <w:szCs w:val="14"/>
                <w:color w:val="auto"/>
                <w:w w:val="76"/>
              </w:rPr>
              <w:t>$</w:t>
            </w:r>
          </w:p>
        </w:tc>
        <w:tc>
          <w:tcPr>
            <w:tcW w:w="220" w:type="dxa"/>
            <w:vAlign w:val="bottom"/>
          </w:tcPr>
          <w:p>
            <w:pPr>
              <w:ind w:left="20"/>
              <w:spacing w:after="0"/>
              <w:rPr>
                <w:sz w:val="20"/>
                <w:szCs w:val="20"/>
                <w:color w:val="auto"/>
              </w:rPr>
            </w:pPr>
            <w:r>
              <w:rPr>
                <w:rFonts w:ascii="Arial" w:cs="Arial" w:eastAsia="Arial" w:hAnsi="Arial"/>
                <w:sz w:val="14"/>
                <w:szCs w:val="14"/>
                <w:color w:val="auto"/>
              </w:rPr>
              <w:t>—</w:t>
            </w: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5,913</w:t>
            </w:r>
          </w:p>
        </w:tc>
        <w:tc>
          <w:tcPr>
            <w:tcW w:w="300" w:type="dxa"/>
            <w:vAlign w:val="bottom"/>
            <w:gridSpan w:val="2"/>
          </w:tcPr>
          <w:p>
            <w:pPr>
              <w:jc w:val="right"/>
              <w:ind w:right="31"/>
              <w:spacing w:after="0"/>
              <w:rPr>
                <w:sz w:val="20"/>
                <w:szCs w:val="20"/>
                <w:color w:val="auto"/>
              </w:rPr>
            </w:pPr>
            <w:r>
              <w:rPr>
                <w:rFonts w:ascii="Arial" w:cs="Arial" w:eastAsia="Arial" w:hAnsi="Arial"/>
                <w:sz w:val="14"/>
                <w:szCs w:val="14"/>
                <w:color w:val="auto"/>
              </w:rPr>
              <w:t>$</w:t>
            </w:r>
          </w:p>
        </w:tc>
        <w:tc>
          <w:tcPr>
            <w:tcW w:w="480" w:type="dxa"/>
            <w:vAlign w:val="bottom"/>
          </w:tcPr>
          <w:p>
            <w:pPr>
              <w:jc w:val="right"/>
              <w:spacing w:after="0"/>
              <w:rPr>
                <w:sz w:val="20"/>
                <w:szCs w:val="20"/>
                <w:color w:val="auto"/>
              </w:rPr>
            </w:pPr>
            <w:r>
              <w:rPr>
                <w:rFonts w:ascii="Arial" w:cs="Arial" w:eastAsia="Arial" w:hAnsi="Arial"/>
                <w:sz w:val="14"/>
                <w:szCs w:val="14"/>
                <w:color w:val="auto"/>
              </w:rPr>
              <w:t>5,244</w:t>
            </w:r>
          </w:p>
        </w:tc>
        <w:tc>
          <w:tcPr>
            <w:tcW w:w="2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(2,119)</w:t>
            </w:r>
          </w:p>
        </w:tc>
        <w:tc>
          <w:tcPr>
            <w:tcW w:w="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56</w:t>
            </w:r>
          </w:p>
        </w:tc>
        <w:tc>
          <w:tcPr>
            <w:tcW w:w="580" w:type="dxa"/>
            <w:vAlign w:val="bottom"/>
            <w:gridSpan w:val="2"/>
          </w:tcPr>
          <w:p>
            <w:pPr>
              <w:jc w:val="right"/>
              <w:spacing w:after="0"/>
              <w:rPr>
                <w:sz w:val="20"/>
                <w:szCs w:val="20"/>
                <w:color w:val="auto"/>
              </w:rPr>
            </w:pPr>
            <w:r>
              <w:rPr>
                <w:rFonts w:ascii="Arial" w:cs="Arial" w:eastAsia="Arial" w:hAnsi="Arial"/>
                <w:sz w:val="14"/>
                <w:szCs w:val="14"/>
                <w:color w:val="auto"/>
              </w:rPr>
              <w:t>$(2,130)</w:t>
            </w:r>
          </w:p>
        </w:tc>
        <w:tc>
          <w:tcPr>
            <w:tcW w:w="200" w:type="dxa"/>
            <w:vAlign w:val="bottom"/>
            <w:gridSpan w:val="2"/>
          </w:tcPr>
          <w:p>
            <w:pPr>
              <w:ind w:left="120"/>
              <w:spacing w:after="0"/>
              <w:rPr>
                <w:sz w:val="20"/>
                <w:szCs w:val="20"/>
                <w:color w:val="auto"/>
              </w:rPr>
            </w:pPr>
            <w:r>
              <w:rPr>
                <w:rFonts w:ascii="Arial" w:cs="Arial" w:eastAsia="Arial" w:hAnsi="Arial"/>
                <w:sz w:val="14"/>
                <w:szCs w:val="14"/>
                <w:color w:val="auto"/>
                <w:w w:val="76"/>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552</w:t>
            </w:r>
          </w:p>
        </w:tc>
        <w:tc>
          <w:tcPr>
            <w:tcW w:w="2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460" w:type="dxa"/>
            <w:vAlign w:val="bottom"/>
          </w:tcPr>
          <w:p>
            <w:pPr>
              <w:jc w:val="right"/>
              <w:spacing w:after="0"/>
              <w:rPr>
                <w:sz w:val="20"/>
                <w:szCs w:val="20"/>
                <w:color w:val="auto"/>
              </w:rPr>
            </w:pPr>
            <w:r>
              <w:rPr>
                <w:rFonts w:ascii="Arial" w:cs="Arial" w:eastAsia="Arial" w:hAnsi="Arial"/>
                <w:sz w:val="14"/>
                <w:szCs w:val="14"/>
                <w:color w:val="auto"/>
              </w:rPr>
              <w:t>7,460</w:t>
            </w:r>
          </w:p>
        </w:tc>
        <w:tc>
          <w:tcPr>
            <w:tcW w:w="0" w:type="dxa"/>
            <w:vAlign w:val="bottom"/>
          </w:tcPr>
          <w:p>
            <w:pPr>
              <w:spacing w:after="0"/>
              <w:rPr>
                <w:sz w:val="1"/>
                <w:szCs w:val="1"/>
                <w:color w:val="auto"/>
              </w:rPr>
            </w:pPr>
          </w:p>
        </w:tc>
      </w:tr>
      <w:tr>
        <w:trPr>
          <w:trHeight w:val="20"/>
        </w:trPr>
        <w:tc>
          <w:tcPr>
            <w:tcW w:w="2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-3801745</wp:posOffset>
            </wp:positionV>
            <wp:extent cx="6167755" cy="673671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70">
                      <a:extLst>
                        <a:ext uri="{28A0092B-C50C-407E-A947-70E740481C1C}"/>
                      </a:extLst>
                    </a:blip>
                    <a:srcRect/>
                    <a:stretch>
                      <a:fillRect/>
                    </a:stretch>
                  </pic:blipFill>
                  <pic:spPr bwMode="auto">
                    <a:xfrm>
                      <a:off x="0" y="0"/>
                      <a:ext cx="6167755" cy="6736715"/>
                    </a:xfrm>
                    <a:prstGeom prst="rect">
                      <a:avLst/>
                    </a:prstGeom>
                    <a:noFill/>
                  </pic:spPr>
                </pic:pic>
              </a:graphicData>
            </a:graphic>
          </wp:anchor>
        </w:drawing>
      </w:r>
    </w:p>
    <w:p>
      <w:pPr>
        <w:spacing w:after="0" w:line="123" w:lineRule="exact"/>
        <w:rPr>
          <w:sz w:val="20"/>
          <w:szCs w:val="20"/>
          <w:color w:val="auto"/>
        </w:rPr>
      </w:pPr>
    </w:p>
    <w:p>
      <w:pPr>
        <w:jc w:val="center"/>
        <w:ind w:right="60"/>
        <w:spacing w:after="0"/>
        <w:rPr>
          <w:sz w:val="20"/>
          <w:szCs w:val="20"/>
          <w:color w:val="auto"/>
        </w:rPr>
      </w:pPr>
      <w:r>
        <w:rPr>
          <w:rFonts w:ascii="Arial" w:cs="Arial" w:eastAsia="Arial" w:hAnsi="Arial"/>
          <w:sz w:val="20"/>
          <w:szCs w:val="20"/>
          <w:color w:val="auto"/>
        </w:rPr>
        <w:t>See accompanying Notes to Consolidated Financial Statements</w:t>
      </w:r>
    </w:p>
    <w:p>
      <w:pPr>
        <w:sectPr>
          <w:pgSz w:w="11880" w:h="15480" w:orient="portrait"/>
          <w:cols w:equalWidth="0" w:num="1">
            <w:col w:w="9620"/>
          </w:cols>
          <w:pgMar w:left="1160" w:top="1177" w:right="11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60"/>
        <w:spacing w:after="0"/>
        <w:rPr>
          <w:sz w:val="20"/>
          <w:szCs w:val="20"/>
          <w:color w:val="auto"/>
        </w:rPr>
      </w:pPr>
      <w:r>
        <w:rPr>
          <w:rFonts w:ascii="Arial" w:cs="Arial" w:eastAsia="Arial" w:hAnsi="Arial"/>
          <w:sz w:val="16"/>
          <w:szCs w:val="16"/>
          <w:color w:val="auto"/>
        </w:rPr>
        <w:t>104</w:t>
      </w:r>
    </w:p>
    <w:p>
      <w:pPr>
        <w:sectPr>
          <w:pgSz w:w="11880" w:h="15480" w:orient="portrait"/>
          <w:cols w:equalWidth="0" w:num="1">
            <w:col w:w="9620"/>
          </w:cols>
          <w:pgMar w:left="1160" w:top="1177" w:right="1100" w:bottom="0" w:gutter="0" w:footer="0" w:header="0"/>
          <w:type w:val="continuous"/>
        </w:sectPr>
      </w:pPr>
    </w:p>
    <w:bookmarkStart w:id="116" w:name="page117"/>
    <w:bookmarkEnd w:id="116"/>
    <w:p>
      <w:pPr>
        <w:jc w:val="center"/>
        <w:ind w:right="60"/>
        <w:spacing w:after="0" w:line="245" w:lineRule="auto"/>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688340</wp:posOffset>
            </wp:positionH>
            <wp:positionV relativeFrom="page">
              <wp:posOffset>516255</wp:posOffset>
            </wp:positionV>
            <wp:extent cx="6167755" cy="517207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71">
                      <a:extLst>
                        <a:ext uri="{28A0092B-C50C-407E-A947-70E740481C1C}"/>
                      </a:extLst>
                    </a:blip>
                    <a:srcRect/>
                    <a:stretch>
                      <a:fillRect/>
                    </a:stretch>
                  </pic:blipFill>
                  <pic:spPr bwMode="auto">
                    <a:xfrm>
                      <a:off x="0" y="0"/>
                      <a:ext cx="6167755" cy="5172075"/>
                    </a:xfrm>
                    <a:prstGeom prst="rect">
                      <a:avLst/>
                    </a:prstGeom>
                    <a:noFill/>
                  </pic:spPr>
                </pic:pic>
              </a:graphicData>
            </a:graphic>
          </wp:anchor>
        </w:drawing>
        <w:t xml:space="preserve">FIDELITY NATIONAL FINANCIAL, INC. AND SUBSIDIARIES CONSOLIDATED STATEMENTS OF EQUITY (CONTINUED) </w:t>
      </w:r>
      <w:r>
        <w:rPr>
          <w:rFonts w:ascii="Arial" w:cs="Arial" w:eastAsia="Arial" w:hAnsi="Arial"/>
          <w:sz w:val="20"/>
          <w:szCs w:val="20"/>
          <w:color w:val="auto"/>
        </w:rPr>
        <w:t>(In millions, except per share data)</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780" w:type="dxa"/>
            <w:vAlign w:val="bottom"/>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3700" w:type="dxa"/>
            <w:vAlign w:val="bottom"/>
            <w:tcBorders>
              <w:bottom w:val="single" w:sz="8" w:color="auto"/>
            </w:tcBorders>
            <w:gridSpan w:val="12"/>
          </w:tcPr>
          <w:p>
            <w:pPr>
              <w:ind w:left="20"/>
              <w:spacing w:after="0"/>
              <w:rPr>
                <w:sz w:val="20"/>
                <w:szCs w:val="20"/>
                <w:color w:val="auto"/>
              </w:rPr>
            </w:pPr>
            <w:r>
              <w:rPr>
                <w:rFonts w:ascii="Arial" w:cs="Arial" w:eastAsia="Arial" w:hAnsi="Arial"/>
                <w:sz w:val="14"/>
                <w:szCs w:val="14"/>
                <w:b w:val="1"/>
                <w:bCs w:val="1"/>
                <w:color w:val="auto"/>
              </w:rPr>
              <w:t>Fidelity National Financial, Inc. Common Shareholders</w:t>
            </w:r>
          </w:p>
        </w:tc>
        <w:tc>
          <w:tcPr>
            <w:tcW w:w="6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7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8"/>
              </w:rPr>
              <w:t>Accumulated</w:t>
            </w:r>
          </w:p>
        </w:tc>
        <w:tc>
          <w:tcPr>
            <w:tcW w:w="6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9"/>
        </w:trPr>
        <w:tc>
          <w:tcPr>
            <w:tcW w:w="27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20" w:type="dxa"/>
            <w:vAlign w:val="bottom"/>
            <w:gridSpan w:val="3"/>
          </w:tcPr>
          <w:p>
            <w:pPr>
              <w:jc w:val="center"/>
              <w:ind w:left="391"/>
              <w:spacing w:after="0"/>
              <w:rPr>
                <w:sz w:val="20"/>
                <w:szCs w:val="20"/>
                <w:color w:val="auto"/>
              </w:rPr>
            </w:pPr>
            <w:r>
              <w:rPr>
                <w:rFonts w:ascii="Arial" w:cs="Arial" w:eastAsia="Arial" w:hAnsi="Arial"/>
                <w:sz w:val="14"/>
                <w:szCs w:val="14"/>
                <w:b w:val="1"/>
                <w:bCs w:val="1"/>
                <w:color w:val="auto"/>
                <w:w w:val="95"/>
              </w:rPr>
              <w:t>FNF</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Borders>
              <w:right w:val="single" w:sz="8" w:color="DEDEDE"/>
            </w:tcBorders>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6"/>
              </w:rPr>
              <w:t>Other</w:t>
            </w:r>
          </w:p>
        </w:tc>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80" w:type="dxa"/>
            <w:vAlign w:val="bottom"/>
            <w:gridSpan w:val="4"/>
          </w:tcPr>
          <w:p>
            <w:pPr>
              <w:jc w:val="center"/>
              <w:ind w:left="131"/>
              <w:spacing w:after="0"/>
              <w:rPr>
                <w:sz w:val="20"/>
                <w:szCs w:val="20"/>
                <w:color w:val="auto"/>
              </w:rPr>
            </w:pPr>
            <w:r>
              <w:rPr>
                <w:rFonts w:ascii="Arial" w:cs="Arial" w:eastAsia="Arial" w:hAnsi="Arial"/>
                <w:sz w:val="14"/>
                <w:szCs w:val="14"/>
                <w:b w:val="1"/>
                <w:bCs w:val="1"/>
                <w:color w:val="auto"/>
                <w:w w:val="88"/>
              </w:rPr>
              <w:t>Common</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gridSpan w:val="2"/>
          </w:tcPr>
          <w:p>
            <w:pPr>
              <w:jc w:val="right"/>
              <w:ind w:right="31"/>
              <w:spacing w:after="0"/>
              <w:rPr>
                <w:sz w:val="20"/>
                <w:szCs w:val="20"/>
                <w:color w:val="auto"/>
              </w:rPr>
            </w:pPr>
            <w:r>
              <w:rPr>
                <w:rFonts w:ascii="Arial" w:cs="Arial" w:eastAsia="Arial" w:hAnsi="Arial"/>
                <w:sz w:val="14"/>
                <w:szCs w:val="14"/>
                <w:b w:val="1"/>
                <w:bCs w:val="1"/>
                <w:color w:val="auto"/>
              </w:rPr>
              <w:t>Additional</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87"/>
              </w:rPr>
              <w:t>Comprehensive</w:t>
            </w:r>
          </w:p>
        </w:tc>
        <w:tc>
          <w:tcPr>
            <w:tcW w:w="1180" w:type="dxa"/>
            <w:vAlign w:val="bottom"/>
            <w:gridSpan w:val="3"/>
          </w:tcPr>
          <w:p>
            <w:pPr>
              <w:jc w:val="right"/>
              <w:ind w:right="251"/>
              <w:spacing w:after="0"/>
              <w:rPr>
                <w:sz w:val="20"/>
                <w:szCs w:val="20"/>
                <w:color w:val="auto"/>
              </w:rPr>
            </w:pPr>
            <w:r>
              <w:rPr>
                <w:rFonts w:ascii="Arial" w:cs="Arial" w:eastAsia="Arial" w:hAnsi="Arial"/>
                <w:sz w:val="14"/>
                <w:szCs w:val="14"/>
                <w:b w:val="1"/>
                <w:bCs w:val="1"/>
                <w:color w:val="auto"/>
              </w:rPr>
              <w:t>Treasury</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ind w:right="171"/>
              <w:spacing w:after="0"/>
              <w:rPr>
                <w:sz w:val="20"/>
                <w:szCs w:val="20"/>
                <w:color w:val="auto"/>
              </w:rPr>
            </w:pPr>
            <w:r>
              <w:rPr>
                <w:rFonts w:ascii="Arial" w:cs="Arial" w:eastAsia="Arial" w:hAnsi="Arial"/>
                <w:sz w:val="14"/>
                <w:szCs w:val="14"/>
                <w:b w:val="1"/>
                <w:bCs w:val="1"/>
                <w:color w:val="auto"/>
              </w:rPr>
              <w:t>Non-</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780" w:type="dxa"/>
            <w:vAlign w:val="bottom"/>
            <w:tcBorders>
              <w:right w:val="single" w:sz="8" w:color="DEDEDE"/>
            </w:tcBorders>
          </w:tcPr>
          <w:p>
            <w:pPr>
              <w:spacing w:after="0"/>
              <w:rPr>
                <w:sz w:val="19"/>
                <w:szCs w:val="19"/>
                <w:color w:val="auto"/>
              </w:rPr>
            </w:pPr>
          </w:p>
        </w:tc>
        <w:tc>
          <w:tcPr>
            <w:tcW w:w="60" w:type="dxa"/>
            <w:vAlign w:val="bottom"/>
          </w:tcPr>
          <w:p>
            <w:pPr>
              <w:spacing w:after="0"/>
              <w:rPr>
                <w:sz w:val="19"/>
                <w:szCs w:val="19"/>
                <w:color w:val="auto"/>
              </w:rPr>
            </w:pPr>
          </w:p>
        </w:tc>
        <w:tc>
          <w:tcPr>
            <w:tcW w:w="980" w:type="dxa"/>
            <w:vAlign w:val="bottom"/>
            <w:tcBorders>
              <w:bottom w:val="single" w:sz="8" w:color="auto"/>
            </w:tcBorders>
            <w:gridSpan w:val="4"/>
          </w:tcPr>
          <w:p>
            <w:pPr>
              <w:jc w:val="center"/>
              <w:ind w:left="151"/>
              <w:spacing w:after="0"/>
              <w:rPr>
                <w:sz w:val="20"/>
                <w:szCs w:val="20"/>
                <w:color w:val="auto"/>
              </w:rPr>
            </w:pPr>
            <w:r>
              <w:rPr>
                <w:rFonts w:ascii="Arial" w:cs="Arial" w:eastAsia="Arial" w:hAnsi="Arial"/>
                <w:sz w:val="14"/>
                <w:szCs w:val="14"/>
                <w:b w:val="1"/>
                <w:bCs w:val="1"/>
                <w:color w:val="auto"/>
                <w:w w:val="83"/>
              </w:rPr>
              <w:t>Stock</w:t>
            </w:r>
          </w:p>
        </w:tc>
        <w:tc>
          <w:tcPr>
            <w:tcW w:w="220" w:type="dxa"/>
            <w:vAlign w:val="bottom"/>
            <w:tcBorders>
              <w:bottom w:val="single" w:sz="8" w:color="auto"/>
            </w:tcBorders>
          </w:tcPr>
          <w:p>
            <w:pPr>
              <w:spacing w:after="0"/>
              <w:rPr>
                <w:sz w:val="19"/>
                <w:szCs w:val="19"/>
                <w:color w:val="auto"/>
              </w:rPr>
            </w:pPr>
          </w:p>
        </w:tc>
        <w:tc>
          <w:tcPr>
            <w:tcW w:w="80" w:type="dxa"/>
            <w:vAlign w:val="bottom"/>
            <w:tcBorders>
              <w:right w:val="single" w:sz="8" w:color="DEDEDE"/>
            </w:tcBorders>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jc w:val="right"/>
              <w:ind w:right="131"/>
              <w:spacing w:after="0"/>
              <w:rPr>
                <w:sz w:val="20"/>
                <w:szCs w:val="20"/>
                <w:color w:val="auto"/>
              </w:rPr>
            </w:pPr>
            <w:r>
              <w:rPr>
                <w:rFonts w:ascii="Arial" w:cs="Arial" w:eastAsia="Arial" w:hAnsi="Arial"/>
                <w:sz w:val="14"/>
                <w:szCs w:val="14"/>
                <w:b w:val="1"/>
                <w:bCs w:val="1"/>
                <w:color w:val="auto"/>
                <w:w w:val="98"/>
              </w:rPr>
              <w:t>Paid-in</w:t>
            </w:r>
          </w:p>
        </w:tc>
        <w:tc>
          <w:tcPr>
            <w:tcW w:w="80" w:type="dxa"/>
            <w:vAlign w:val="bottom"/>
          </w:tcPr>
          <w:p>
            <w:pPr>
              <w:spacing w:after="0"/>
              <w:rPr>
                <w:sz w:val="19"/>
                <w:szCs w:val="19"/>
                <w:color w:val="auto"/>
              </w:rPr>
            </w:pPr>
          </w:p>
        </w:tc>
        <w:tc>
          <w:tcPr>
            <w:tcW w:w="700" w:type="dxa"/>
            <w:vAlign w:val="bottom"/>
            <w:gridSpan w:val="2"/>
          </w:tcPr>
          <w:p>
            <w:pPr>
              <w:jc w:val="right"/>
              <w:ind w:right="11"/>
              <w:spacing w:after="0"/>
              <w:rPr>
                <w:sz w:val="20"/>
                <w:szCs w:val="20"/>
                <w:color w:val="auto"/>
              </w:rPr>
            </w:pPr>
            <w:r>
              <w:rPr>
                <w:rFonts w:ascii="Arial" w:cs="Arial" w:eastAsia="Arial" w:hAnsi="Arial"/>
                <w:sz w:val="14"/>
                <w:szCs w:val="14"/>
                <w:b w:val="1"/>
                <w:bCs w:val="1"/>
                <w:color w:val="auto"/>
              </w:rPr>
              <w:t>Retained</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Earnings</w:t>
            </w:r>
          </w:p>
        </w:tc>
        <w:tc>
          <w:tcPr>
            <w:tcW w:w="1180" w:type="dxa"/>
            <w:vAlign w:val="bottom"/>
            <w:tcBorders>
              <w:bottom w:val="single" w:sz="8" w:color="auto"/>
            </w:tcBorders>
            <w:gridSpan w:val="3"/>
          </w:tcPr>
          <w:p>
            <w:pPr>
              <w:jc w:val="right"/>
              <w:ind w:right="351"/>
              <w:spacing w:after="0"/>
              <w:rPr>
                <w:sz w:val="20"/>
                <w:szCs w:val="20"/>
                <w:color w:val="auto"/>
              </w:rPr>
            </w:pPr>
            <w:r>
              <w:rPr>
                <w:rFonts w:ascii="Arial" w:cs="Arial" w:eastAsia="Arial" w:hAnsi="Arial"/>
                <w:sz w:val="14"/>
                <w:szCs w:val="14"/>
                <w:b w:val="1"/>
                <w:bCs w:val="1"/>
                <w:color w:val="auto"/>
              </w:rPr>
              <w:t>Stock</w:t>
            </w:r>
          </w:p>
        </w:tc>
        <w:tc>
          <w:tcPr>
            <w:tcW w:w="80" w:type="dxa"/>
            <w:vAlign w:val="bottom"/>
          </w:tcPr>
          <w:p>
            <w:pPr>
              <w:spacing w:after="0"/>
              <w:rPr>
                <w:sz w:val="19"/>
                <w:szCs w:val="19"/>
                <w:color w:val="auto"/>
              </w:rPr>
            </w:pPr>
          </w:p>
        </w:tc>
        <w:tc>
          <w:tcPr>
            <w:tcW w:w="780" w:type="dxa"/>
            <w:vAlign w:val="bottom"/>
            <w:gridSpan w:val="2"/>
          </w:tcPr>
          <w:p>
            <w:pPr>
              <w:ind w:left="60"/>
              <w:spacing w:after="0"/>
              <w:rPr>
                <w:sz w:val="20"/>
                <w:szCs w:val="20"/>
                <w:color w:val="auto"/>
              </w:rPr>
            </w:pPr>
            <w:r>
              <w:rPr>
                <w:rFonts w:ascii="Arial" w:cs="Arial" w:eastAsia="Arial" w:hAnsi="Arial"/>
                <w:sz w:val="14"/>
                <w:szCs w:val="14"/>
                <w:b w:val="1"/>
                <w:bCs w:val="1"/>
                <w:color w:val="auto"/>
                <w:w w:val="96"/>
              </w:rPr>
              <w:t>controlling</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0" w:type="dxa"/>
            <w:vAlign w:val="bottom"/>
          </w:tcPr>
          <w:p>
            <w:pPr>
              <w:jc w:val="right"/>
              <w:ind w:right="71"/>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201"/>
        </w:trPr>
        <w:tc>
          <w:tcPr>
            <w:tcW w:w="2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b w:val="1"/>
                <w:bCs w:val="1"/>
                <w:color w:val="auto"/>
              </w:rPr>
              <w:t>Shares</w:t>
            </w:r>
          </w:p>
        </w:tc>
        <w:tc>
          <w:tcPr>
            <w:tcW w:w="80" w:type="dxa"/>
            <w:vAlign w:val="bottom"/>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2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b w:val="1"/>
                <w:bCs w:val="1"/>
                <w:color w:val="auto"/>
                <w:w w:val="98"/>
              </w:rPr>
              <w:t>Capital</w:t>
            </w:r>
          </w:p>
        </w:tc>
        <w:tc>
          <w:tcPr>
            <w:tcW w:w="80" w:type="dxa"/>
            <w:vAlign w:val="bottom"/>
          </w:tcPr>
          <w:p>
            <w:pPr>
              <w:spacing w:after="0"/>
              <w:rPr>
                <w:sz w:val="17"/>
                <w:szCs w:val="17"/>
                <w:color w:val="auto"/>
              </w:rPr>
            </w:pPr>
          </w:p>
        </w:tc>
        <w:tc>
          <w:tcPr>
            <w:tcW w:w="700" w:type="dxa"/>
            <w:vAlign w:val="bottom"/>
            <w:tcBorders>
              <w:bottom w:val="single" w:sz="8" w:color="auto"/>
            </w:tcBorders>
            <w:gridSpan w:val="2"/>
          </w:tcPr>
          <w:p>
            <w:pPr>
              <w:jc w:val="right"/>
              <w:ind w:right="11"/>
              <w:spacing w:after="0"/>
              <w:rPr>
                <w:sz w:val="20"/>
                <w:szCs w:val="20"/>
                <w:color w:val="auto"/>
              </w:rPr>
            </w:pPr>
            <w:r>
              <w:rPr>
                <w:rFonts w:ascii="Arial" w:cs="Arial" w:eastAsia="Arial" w:hAnsi="Arial"/>
                <w:sz w:val="14"/>
                <w:szCs w:val="14"/>
                <w:b w:val="1"/>
                <w:bCs w:val="1"/>
                <w:color w:val="auto"/>
              </w:rPr>
              <w:t>Earnings</w:t>
            </w:r>
          </w:p>
        </w:tc>
        <w:tc>
          <w:tcPr>
            <w:tcW w:w="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center"/>
              <w:ind w:right="51"/>
              <w:spacing w:after="0"/>
              <w:rPr>
                <w:sz w:val="20"/>
                <w:szCs w:val="20"/>
                <w:color w:val="auto"/>
              </w:rPr>
            </w:pPr>
            <w:r>
              <w:rPr>
                <w:rFonts w:ascii="Arial" w:cs="Arial" w:eastAsia="Arial" w:hAnsi="Arial"/>
                <w:sz w:val="14"/>
                <w:szCs w:val="14"/>
                <w:b w:val="1"/>
                <w:bCs w:val="1"/>
                <w:color w:val="auto"/>
                <w:w w:val="85"/>
              </w:rPr>
              <w:t>(Loss)</w:t>
            </w:r>
          </w:p>
        </w:tc>
        <w:tc>
          <w:tcPr>
            <w:tcW w:w="80" w:type="dxa"/>
            <w:vAlign w:val="bottom"/>
          </w:tcPr>
          <w:p>
            <w:pPr>
              <w:spacing w:after="0"/>
              <w:rPr>
                <w:sz w:val="17"/>
                <w:szCs w:val="17"/>
                <w:color w:val="auto"/>
              </w:rPr>
            </w:pPr>
          </w:p>
        </w:tc>
        <w:tc>
          <w:tcPr>
            <w:tcW w:w="60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b w:val="1"/>
                <w:bCs w:val="1"/>
                <w:color w:val="auto"/>
              </w:rPr>
              <w:t>Shares</w:t>
            </w:r>
          </w:p>
        </w:tc>
        <w:tc>
          <w:tcPr>
            <w:tcW w:w="60" w:type="dxa"/>
            <w:vAlign w:val="bottom"/>
          </w:tcPr>
          <w:p>
            <w:pPr>
              <w:spacing w:after="0"/>
              <w:rPr>
                <w:sz w:val="17"/>
                <w:szCs w:val="17"/>
                <w:color w:val="auto"/>
              </w:rPr>
            </w:pPr>
          </w:p>
        </w:tc>
        <w:tc>
          <w:tcPr>
            <w:tcW w:w="52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71"/>
              <w:spacing w:after="0"/>
              <w:rPr>
                <w:sz w:val="20"/>
                <w:szCs w:val="20"/>
                <w:color w:val="auto"/>
              </w:rPr>
            </w:pPr>
            <w:r>
              <w:rPr>
                <w:rFonts w:ascii="Arial" w:cs="Arial" w:eastAsia="Arial" w:hAnsi="Arial"/>
                <w:sz w:val="14"/>
                <w:szCs w:val="14"/>
                <w:b w:val="1"/>
                <w:bCs w:val="1"/>
                <w:color w:val="auto"/>
                <w:w w:val="85"/>
              </w:rPr>
              <w:t>Interests</w:t>
            </w:r>
          </w:p>
        </w:tc>
        <w:tc>
          <w:tcPr>
            <w:tcW w:w="60" w:type="dxa"/>
            <w:vAlign w:val="bottom"/>
          </w:tcPr>
          <w:p>
            <w:pPr>
              <w:spacing w:after="0"/>
              <w:rPr>
                <w:sz w:val="17"/>
                <w:szCs w:val="17"/>
                <w:color w:val="auto"/>
              </w:rPr>
            </w:pPr>
          </w:p>
        </w:tc>
        <w:tc>
          <w:tcPr>
            <w:tcW w:w="600" w:type="dxa"/>
            <w:vAlign w:val="bottom"/>
            <w:tcBorders>
              <w:bottom w:val="single" w:sz="8" w:color="auto"/>
            </w:tcBorders>
            <w:gridSpan w:val="2"/>
          </w:tcPr>
          <w:p>
            <w:pPr>
              <w:jc w:val="right"/>
              <w:ind w:right="31"/>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92"/>
        </w:trPr>
        <w:tc>
          <w:tcPr>
            <w:tcW w:w="2780" w:type="dxa"/>
            <w:vAlign w:val="bottom"/>
          </w:tcPr>
          <w:p>
            <w:pPr>
              <w:spacing w:after="0"/>
              <w:rPr>
                <w:sz w:val="20"/>
                <w:szCs w:val="20"/>
                <w:color w:val="auto"/>
              </w:rPr>
            </w:pPr>
            <w:r>
              <w:rPr>
                <w:rFonts w:ascii="Arial" w:cs="Arial" w:eastAsia="Arial" w:hAnsi="Arial"/>
                <w:sz w:val="14"/>
                <w:szCs w:val="14"/>
                <w:color w:val="auto"/>
              </w:rPr>
              <w:t>Balance January 1, 2024</w:t>
            </w:r>
          </w:p>
        </w:tc>
        <w:tc>
          <w:tcPr>
            <w:tcW w:w="660" w:type="dxa"/>
            <w:vAlign w:val="bottom"/>
            <w:gridSpan w:val="2"/>
          </w:tcPr>
          <w:p>
            <w:pPr>
              <w:jc w:val="right"/>
              <w:spacing w:after="0"/>
              <w:rPr>
                <w:sz w:val="20"/>
                <w:szCs w:val="20"/>
                <w:color w:val="auto"/>
              </w:rPr>
            </w:pPr>
            <w:r>
              <w:rPr>
                <w:rFonts w:ascii="Arial" w:cs="Arial" w:eastAsia="Arial" w:hAnsi="Arial"/>
                <w:sz w:val="14"/>
                <w:szCs w:val="14"/>
                <w:color w:val="auto"/>
              </w:rPr>
              <w:t>329</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00" w:type="dxa"/>
            <w:vAlign w:val="bottom"/>
            <w:gridSpan w:val="2"/>
          </w:tcPr>
          <w:p>
            <w:pPr>
              <w:ind w:left="2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5,913</w:t>
            </w:r>
          </w:p>
        </w:tc>
        <w:tc>
          <w:tcPr>
            <w:tcW w:w="300" w:type="dxa"/>
            <w:vAlign w:val="bottom"/>
            <w:gridSpan w:val="2"/>
          </w:tcPr>
          <w:p>
            <w:pPr>
              <w:jc w:val="right"/>
              <w:ind w:right="31"/>
              <w:spacing w:after="0"/>
              <w:rPr>
                <w:sz w:val="20"/>
                <w:szCs w:val="20"/>
                <w:color w:val="auto"/>
              </w:rPr>
            </w:pPr>
            <w:r>
              <w:rPr>
                <w:rFonts w:ascii="Arial" w:cs="Arial" w:eastAsia="Arial" w:hAnsi="Arial"/>
                <w:sz w:val="14"/>
                <w:szCs w:val="14"/>
                <w:color w:val="auto"/>
              </w:rPr>
              <w:t>$</w:t>
            </w:r>
          </w:p>
        </w:tc>
        <w:tc>
          <w:tcPr>
            <w:tcW w:w="480" w:type="dxa"/>
            <w:vAlign w:val="bottom"/>
          </w:tcPr>
          <w:p>
            <w:pPr>
              <w:jc w:val="right"/>
              <w:spacing w:after="0"/>
              <w:rPr>
                <w:sz w:val="20"/>
                <w:szCs w:val="20"/>
                <w:color w:val="auto"/>
              </w:rPr>
            </w:pPr>
            <w:r>
              <w:rPr>
                <w:rFonts w:ascii="Arial" w:cs="Arial" w:eastAsia="Arial" w:hAnsi="Arial"/>
                <w:sz w:val="14"/>
                <w:szCs w:val="14"/>
                <w:color w:val="auto"/>
              </w:rPr>
              <w:t>5,244</w:t>
            </w:r>
          </w:p>
        </w:tc>
        <w:tc>
          <w:tcPr>
            <w:tcW w:w="2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(2,119)</w:t>
            </w:r>
          </w:p>
        </w:tc>
        <w:tc>
          <w:tcPr>
            <w:tcW w:w="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56</w:t>
            </w:r>
          </w:p>
        </w:tc>
        <w:tc>
          <w:tcPr>
            <w:tcW w:w="580" w:type="dxa"/>
            <w:vAlign w:val="bottom"/>
            <w:gridSpan w:val="2"/>
          </w:tcPr>
          <w:p>
            <w:pPr>
              <w:jc w:val="right"/>
              <w:spacing w:after="0"/>
              <w:rPr>
                <w:sz w:val="20"/>
                <w:szCs w:val="20"/>
                <w:color w:val="auto"/>
              </w:rPr>
            </w:pPr>
            <w:r>
              <w:rPr>
                <w:rFonts w:ascii="Arial" w:cs="Arial" w:eastAsia="Arial" w:hAnsi="Arial"/>
                <w:sz w:val="14"/>
                <w:szCs w:val="14"/>
                <w:color w:val="auto"/>
              </w:rPr>
              <w:t>$(2,130)</w:t>
            </w:r>
          </w:p>
        </w:tc>
        <w:tc>
          <w:tcPr>
            <w:tcW w:w="200" w:type="dxa"/>
            <w:vAlign w:val="bottom"/>
            <w:gridSpan w:val="2"/>
          </w:tcPr>
          <w:p>
            <w:pPr>
              <w:ind w:left="120"/>
              <w:spacing w:after="0"/>
              <w:rPr>
                <w:sz w:val="20"/>
                <w:szCs w:val="20"/>
                <w:color w:val="auto"/>
              </w:rPr>
            </w:pPr>
            <w:r>
              <w:rPr>
                <w:rFonts w:ascii="Arial" w:cs="Arial" w:eastAsia="Arial" w:hAnsi="Arial"/>
                <w:sz w:val="14"/>
                <w:szCs w:val="14"/>
                <w:color w:val="auto"/>
                <w:w w:val="76"/>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552</w:t>
            </w:r>
          </w:p>
        </w:tc>
        <w:tc>
          <w:tcPr>
            <w:tcW w:w="2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460" w:type="dxa"/>
            <w:vAlign w:val="bottom"/>
          </w:tcPr>
          <w:p>
            <w:pPr>
              <w:jc w:val="right"/>
              <w:spacing w:after="0"/>
              <w:rPr>
                <w:sz w:val="20"/>
                <w:szCs w:val="20"/>
                <w:color w:val="auto"/>
              </w:rPr>
            </w:pPr>
            <w:r>
              <w:rPr>
                <w:rFonts w:ascii="Arial" w:cs="Arial" w:eastAsia="Arial" w:hAnsi="Arial"/>
                <w:sz w:val="14"/>
                <w:szCs w:val="14"/>
                <w:color w:val="auto"/>
              </w:rPr>
              <w:t>7,460</w:t>
            </w:r>
          </w:p>
        </w:tc>
        <w:tc>
          <w:tcPr>
            <w:tcW w:w="0" w:type="dxa"/>
            <w:vAlign w:val="bottom"/>
          </w:tcPr>
          <w:p>
            <w:pPr>
              <w:spacing w:after="0"/>
              <w:rPr>
                <w:sz w:val="1"/>
                <w:szCs w:val="1"/>
                <w:color w:val="auto"/>
              </w:rPr>
            </w:pPr>
          </w:p>
        </w:tc>
      </w:tr>
      <w:tr>
        <w:trPr>
          <w:trHeight w:val="221"/>
        </w:trPr>
        <w:tc>
          <w:tcPr>
            <w:tcW w:w="2780" w:type="dxa"/>
            <w:vAlign w:val="bottom"/>
          </w:tcPr>
          <w:p>
            <w:pPr>
              <w:spacing w:after="0"/>
              <w:rPr>
                <w:sz w:val="20"/>
                <w:szCs w:val="20"/>
                <w:color w:val="auto"/>
              </w:rPr>
            </w:pPr>
            <w:r>
              <w:rPr>
                <w:rFonts w:ascii="Arial" w:cs="Arial" w:eastAsia="Arial" w:hAnsi="Arial"/>
                <w:sz w:val="14"/>
                <w:szCs w:val="14"/>
                <w:color w:val="auto"/>
              </w:rPr>
              <w:t>Exercise of stock options</w:t>
            </w:r>
          </w:p>
        </w:tc>
        <w:tc>
          <w:tcPr>
            <w:tcW w:w="660" w:type="dxa"/>
            <w:vAlign w:val="bottom"/>
            <w:gridSpan w:val="2"/>
          </w:tcPr>
          <w:p>
            <w:pPr>
              <w:jc w:val="right"/>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gridSpan w:val="2"/>
          </w:tcPr>
          <w:p>
            <w:pPr>
              <w:ind w:left="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21</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191"/>
        </w:trPr>
        <w:tc>
          <w:tcPr>
            <w:tcW w:w="2780" w:type="dxa"/>
            <w:vAlign w:val="bottom"/>
          </w:tcPr>
          <w:p>
            <w:pPr>
              <w:spacing w:after="0"/>
              <w:rPr>
                <w:sz w:val="20"/>
                <w:szCs w:val="20"/>
                <w:color w:val="auto"/>
              </w:rPr>
            </w:pPr>
            <w:r>
              <w:rPr>
                <w:rFonts w:ascii="Arial" w:cs="Arial" w:eastAsia="Arial" w:hAnsi="Arial"/>
                <w:sz w:val="14"/>
                <w:szCs w:val="14"/>
                <w:color w:val="auto"/>
                <w:w w:val="94"/>
              </w:rPr>
              <w:t>Non-controlling interest associated with current</w:t>
            </w:r>
          </w:p>
        </w:tc>
        <w:tc>
          <w:tcPr>
            <w:tcW w:w="60" w:type="dxa"/>
            <w:vAlign w:val="bottom"/>
          </w:tcPr>
          <w:p>
            <w:pPr>
              <w:spacing w:after="0"/>
              <w:rPr>
                <w:sz w:val="16"/>
                <w:szCs w:val="16"/>
                <w:color w:val="auto"/>
              </w:rPr>
            </w:pPr>
          </w:p>
        </w:tc>
        <w:tc>
          <w:tcPr>
            <w:tcW w:w="720" w:type="dxa"/>
            <w:vAlign w:val="bottom"/>
            <w:gridSpan w:val="3"/>
            <w:vMerge w:val="restart"/>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300" w:type="dxa"/>
            <w:vAlign w:val="bottom"/>
            <w:gridSpan w:val="2"/>
            <w:vMerge w:val="restart"/>
          </w:tcPr>
          <w:p>
            <w:pPr>
              <w:ind w:left="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5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139</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vMerge w:val="restart"/>
          </w:tcPr>
          <w:p>
            <w:pPr>
              <w:jc w:val="right"/>
              <w:spacing w:after="0"/>
              <w:rPr>
                <w:sz w:val="20"/>
                <w:szCs w:val="20"/>
                <w:color w:val="auto"/>
              </w:rPr>
            </w:pPr>
            <w:r>
              <w:rPr>
                <w:rFonts w:ascii="Arial" w:cs="Arial" w:eastAsia="Arial" w:hAnsi="Arial"/>
                <w:sz w:val="14"/>
                <w:szCs w:val="14"/>
                <w:color w:val="auto"/>
              </w:rPr>
              <w:t>139</w:t>
            </w:r>
          </w:p>
        </w:tc>
        <w:tc>
          <w:tcPr>
            <w:tcW w:w="0" w:type="dxa"/>
            <w:vAlign w:val="bottom"/>
          </w:tcPr>
          <w:p>
            <w:pPr>
              <w:spacing w:after="0"/>
              <w:rPr>
                <w:sz w:val="1"/>
                <w:szCs w:val="1"/>
                <w:color w:val="auto"/>
              </w:rPr>
            </w:pPr>
          </w:p>
        </w:tc>
      </w:tr>
      <w:tr>
        <w:trPr>
          <w:trHeight w:val="176"/>
        </w:trPr>
        <w:tc>
          <w:tcPr>
            <w:tcW w:w="2780" w:type="dxa"/>
            <w:vAlign w:val="bottom"/>
          </w:tcPr>
          <w:p>
            <w:pPr>
              <w:spacing w:after="0"/>
              <w:rPr>
                <w:sz w:val="20"/>
                <w:szCs w:val="20"/>
                <w:color w:val="auto"/>
              </w:rPr>
            </w:pPr>
            <w:r>
              <w:rPr>
                <w:rFonts w:ascii="Arial" w:cs="Arial" w:eastAsia="Arial" w:hAnsi="Arial"/>
                <w:sz w:val="14"/>
                <w:szCs w:val="14"/>
                <w:color w:val="auto"/>
              </w:rPr>
              <w:t>period acquisitions</w:t>
            </w:r>
          </w:p>
        </w:tc>
        <w:tc>
          <w:tcPr>
            <w:tcW w:w="60" w:type="dxa"/>
            <w:vAlign w:val="bottom"/>
          </w:tcPr>
          <w:p>
            <w:pPr>
              <w:spacing w:after="0"/>
              <w:rPr>
                <w:sz w:val="15"/>
                <w:szCs w:val="15"/>
                <w:color w:val="auto"/>
              </w:rPr>
            </w:pPr>
          </w:p>
        </w:tc>
        <w:tc>
          <w:tcPr>
            <w:tcW w:w="720" w:type="dxa"/>
            <w:vAlign w:val="bottom"/>
            <w:gridSpan w:val="3"/>
            <w:vMerge w:val="continue"/>
          </w:tcPr>
          <w:p>
            <w:pPr>
              <w:spacing w:after="0"/>
              <w:rPr>
                <w:sz w:val="15"/>
                <w:szCs w:val="15"/>
                <w:color w:val="auto"/>
              </w:rPr>
            </w:pPr>
          </w:p>
        </w:tc>
        <w:tc>
          <w:tcPr>
            <w:tcW w:w="260" w:type="dxa"/>
            <w:vAlign w:val="bottom"/>
          </w:tcPr>
          <w:p>
            <w:pPr>
              <w:spacing w:after="0"/>
              <w:rPr>
                <w:sz w:val="15"/>
                <w:szCs w:val="15"/>
                <w:color w:val="auto"/>
              </w:rPr>
            </w:pPr>
          </w:p>
        </w:tc>
        <w:tc>
          <w:tcPr>
            <w:tcW w:w="30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8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vMerge w:val="continue"/>
          </w:tcPr>
          <w:p>
            <w:pPr>
              <w:spacing w:after="0"/>
              <w:rPr>
                <w:sz w:val="15"/>
                <w:szCs w:val="15"/>
                <w:color w:val="auto"/>
              </w:rPr>
            </w:pPr>
          </w:p>
        </w:tc>
        <w:tc>
          <w:tcPr>
            <w:tcW w:w="60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5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0"/>
        </w:trPr>
        <w:tc>
          <w:tcPr>
            <w:tcW w:w="2780" w:type="dxa"/>
            <w:vAlign w:val="bottom"/>
          </w:tcPr>
          <w:p>
            <w:pPr>
              <w:spacing w:after="0"/>
              <w:rPr>
                <w:sz w:val="20"/>
                <w:szCs w:val="20"/>
                <w:color w:val="auto"/>
              </w:rPr>
            </w:pPr>
            <w:r>
              <w:rPr>
                <w:rFonts w:ascii="Arial" w:cs="Arial" w:eastAsia="Arial" w:hAnsi="Arial"/>
                <w:sz w:val="14"/>
                <w:szCs w:val="14"/>
                <w:color w:val="auto"/>
              </w:rPr>
              <w:t>Issuance of restricted stock</w:t>
            </w:r>
          </w:p>
        </w:tc>
        <w:tc>
          <w:tcPr>
            <w:tcW w:w="660" w:type="dxa"/>
            <w:vAlign w:val="bottom"/>
            <w:gridSpan w:val="2"/>
          </w:tcPr>
          <w:p>
            <w:pPr>
              <w:jc w:val="right"/>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gridSpan w:val="2"/>
          </w:tcPr>
          <w:p>
            <w:pPr>
              <w:ind w:left="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1"/>
        </w:trPr>
        <w:tc>
          <w:tcPr>
            <w:tcW w:w="2780" w:type="dxa"/>
            <w:vAlign w:val="bottom"/>
          </w:tcPr>
          <w:p>
            <w:pPr>
              <w:spacing w:after="0"/>
              <w:rPr>
                <w:sz w:val="20"/>
                <w:szCs w:val="20"/>
                <w:color w:val="auto"/>
              </w:rPr>
            </w:pPr>
            <w:r>
              <w:rPr>
                <w:rFonts w:ascii="Arial" w:cs="Arial" w:eastAsia="Arial" w:hAnsi="Arial"/>
                <w:sz w:val="14"/>
                <w:szCs w:val="14"/>
                <w:color w:val="auto"/>
                <w:w w:val="95"/>
              </w:rPr>
              <w:t>Purchase of incremental share in consolidated</w:t>
            </w:r>
          </w:p>
        </w:tc>
        <w:tc>
          <w:tcPr>
            <w:tcW w:w="60" w:type="dxa"/>
            <w:vAlign w:val="bottom"/>
          </w:tcPr>
          <w:p>
            <w:pPr>
              <w:spacing w:after="0"/>
              <w:rPr>
                <w:sz w:val="16"/>
                <w:szCs w:val="16"/>
                <w:color w:val="auto"/>
              </w:rPr>
            </w:pPr>
          </w:p>
        </w:tc>
        <w:tc>
          <w:tcPr>
            <w:tcW w:w="720" w:type="dxa"/>
            <w:vAlign w:val="bottom"/>
            <w:gridSpan w:val="3"/>
            <w:vMerge w:val="restart"/>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300" w:type="dxa"/>
            <w:vAlign w:val="bottom"/>
            <w:gridSpan w:val="2"/>
            <w:vMerge w:val="restart"/>
          </w:tcPr>
          <w:p>
            <w:pPr>
              <w:ind w:left="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(13)</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5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(8)</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vMerge w:val="restart"/>
          </w:tcPr>
          <w:p>
            <w:pPr>
              <w:jc w:val="right"/>
              <w:spacing w:after="0"/>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176"/>
        </w:trPr>
        <w:tc>
          <w:tcPr>
            <w:tcW w:w="2780" w:type="dxa"/>
            <w:vAlign w:val="bottom"/>
          </w:tcPr>
          <w:p>
            <w:pPr>
              <w:spacing w:after="0"/>
              <w:rPr>
                <w:sz w:val="20"/>
                <w:szCs w:val="20"/>
                <w:color w:val="auto"/>
              </w:rPr>
            </w:pPr>
            <w:r>
              <w:rPr>
                <w:rFonts w:ascii="Arial" w:cs="Arial" w:eastAsia="Arial" w:hAnsi="Arial"/>
                <w:sz w:val="14"/>
                <w:szCs w:val="14"/>
                <w:color w:val="auto"/>
              </w:rPr>
              <w:t>subsidiaries</w:t>
            </w:r>
          </w:p>
        </w:tc>
        <w:tc>
          <w:tcPr>
            <w:tcW w:w="60" w:type="dxa"/>
            <w:vAlign w:val="bottom"/>
          </w:tcPr>
          <w:p>
            <w:pPr>
              <w:spacing w:after="0"/>
              <w:rPr>
                <w:sz w:val="15"/>
                <w:szCs w:val="15"/>
                <w:color w:val="auto"/>
              </w:rPr>
            </w:pPr>
          </w:p>
        </w:tc>
        <w:tc>
          <w:tcPr>
            <w:tcW w:w="720" w:type="dxa"/>
            <w:vAlign w:val="bottom"/>
            <w:gridSpan w:val="3"/>
            <w:vMerge w:val="continue"/>
          </w:tcPr>
          <w:p>
            <w:pPr>
              <w:spacing w:after="0"/>
              <w:rPr>
                <w:sz w:val="15"/>
                <w:szCs w:val="15"/>
                <w:color w:val="auto"/>
              </w:rPr>
            </w:pPr>
          </w:p>
        </w:tc>
        <w:tc>
          <w:tcPr>
            <w:tcW w:w="260" w:type="dxa"/>
            <w:vAlign w:val="bottom"/>
          </w:tcPr>
          <w:p>
            <w:pPr>
              <w:spacing w:after="0"/>
              <w:rPr>
                <w:sz w:val="15"/>
                <w:szCs w:val="15"/>
                <w:color w:val="auto"/>
              </w:rPr>
            </w:pPr>
          </w:p>
        </w:tc>
        <w:tc>
          <w:tcPr>
            <w:tcW w:w="30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8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vMerge w:val="continue"/>
          </w:tcPr>
          <w:p>
            <w:pPr>
              <w:spacing w:after="0"/>
              <w:rPr>
                <w:sz w:val="15"/>
                <w:szCs w:val="15"/>
                <w:color w:val="auto"/>
              </w:rPr>
            </w:pPr>
          </w:p>
        </w:tc>
        <w:tc>
          <w:tcPr>
            <w:tcW w:w="60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5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2780" w:type="dxa"/>
            <w:vAlign w:val="bottom"/>
          </w:tcPr>
          <w:p>
            <w:pPr>
              <w:spacing w:after="0"/>
              <w:rPr>
                <w:sz w:val="20"/>
                <w:szCs w:val="20"/>
                <w:color w:val="auto"/>
              </w:rPr>
            </w:pPr>
            <w:r>
              <w:rPr>
                <w:rFonts w:ascii="Arial" w:cs="Arial" w:eastAsia="Arial" w:hAnsi="Arial"/>
                <w:sz w:val="14"/>
                <w:szCs w:val="14"/>
                <w:color w:val="auto"/>
                <w:w w:val="89"/>
              </w:rPr>
              <w:t>Other comprehensive earnings — unrealized loss</w:t>
            </w:r>
          </w:p>
        </w:tc>
        <w:tc>
          <w:tcPr>
            <w:tcW w:w="60" w:type="dxa"/>
            <w:vAlign w:val="bottom"/>
          </w:tcPr>
          <w:p>
            <w:pPr>
              <w:spacing w:after="0"/>
              <w:rPr>
                <w:sz w:val="19"/>
                <w:szCs w:val="19"/>
                <w:color w:val="auto"/>
              </w:rPr>
            </w:pPr>
          </w:p>
        </w:tc>
        <w:tc>
          <w:tcPr>
            <w:tcW w:w="720" w:type="dxa"/>
            <w:vAlign w:val="bottom"/>
            <w:gridSpan w:val="3"/>
            <w:vMerge w:val="restart"/>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9"/>
                <w:szCs w:val="19"/>
                <w:color w:val="auto"/>
              </w:rPr>
            </w:pPr>
          </w:p>
        </w:tc>
        <w:tc>
          <w:tcPr>
            <w:tcW w:w="300" w:type="dxa"/>
            <w:vAlign w:val="bottom"/>
            <w:gridSpan w:val="2"/>
            <w:vMerge w:val="restart"/>
          </w:tcPr>
          <w:p>
            <w:pPr>
              <w:ind w:left="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9"/>
                <w:szCs w:val="19"/>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(157)</w:t>
            </w:r>
          </w:p>
        </w:tc>
        <w:tc>
          <w:tcPr>
            <w:tcW w:w="80" w:type="dxa"/>
            <w:vAlign w:val="bottom"/>
          </w:tcPr>
          <w:p>
            <w:pPr>
              <w:spacing w:after="0"/>
              <w:rPr>
                <w:sz w:val="19"/>
                <w:szCs w:val="19"/>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9"/>
                <w:szCs w:val="19"/>
                <w:color w:val="auto"/>
              </w:rPr>
            </w:pPr>
          </w:p>
        </w:tc>
        <w:tc>
          <w:tcPr>
            <w:tcW w:w="5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0" w:type="dxa"/>
            <w:vAlign w:val="bottom"/>
            <w:vMerge w:val="restart"/>
          </w:tcPr>
          <w:p>
            <w:pPr>
              <w:jc w:val="right"/>
              <w:spacing w:after="0"/>
              <w:rPr>
                <w:sz w:val="20"/>
                <w:szCs w:val="20"/>
                <w:color w:val="auto"/>
              </w:rPr>
            </w:pPr>
            <w:r>
              <w:rPr>
                <w:rFonts w:ascii="Arial" w:cs="Arial" w:eastAsia="Arial" w:hAnsi="Arial"/>
                <w:sz w:val="14"/>
                <w:szCs w:val="14"/>
                <w:color w:val="auto"/>
              </w:rPr>
              <w:t>(157)</w:t>
            </w:r>
          </w:p>
        </w:tc>
        <w:tc>
          <w:tcPr>
            <w:tcW w:w="0" w:type="dxa"/>
            <w:vAlign w:val="bottom"/>
          </w:tcPr>
          <w:p>
            <w:pPr>
              <w:spacing w:after="0"/>
              <w:rPr>
                <w:sz w:val="1"/>
                <w:szCs w:val="1"/>
                <w:color w:val="auto"/>
              </w:rPr>
            </w:pPr>
          </w:p>
        </w:tc>
      </w:tr>
      <w:tr>
        <w:trPr>
          <w:trHeight w:val="176"/>
        </w:trPr>
        <w:tc>
          <w:tcPr>
            <w:tcW w:w="2780" w:type="dxa"/>
            <w:vAlign w:val="bottom"/>
          </w:tcPr>
          <w:p>
            <w:pPr>
              <w:spacing w:after="0"/>
              <w:rPr>
                <w:sz w:val="20"/>
                <w:szCs w:val="20"/>
                <w:color w:val="auto"/>
              </w:rPr>
            </w:pPr>
            <w:r>
              <w:rPr>
                <w:rFonts w:ascii="Arial" w:cs="Arial" w:eastAsia="Arial" w:hAnsi="Arial"/>
                <w:sz w:val="14"/>
                <w:szCs w:val="14"/>
                <w:color w:val="auto"/>
                <w:w w:val="94"/>
              </w:rPr>
              <w:t>on investments and other financial instruments</w:t>
            </w:r>
          </w:p>
        </w:tc>
        <w:tc>
          <w:tcPr>
            <w:tcW w:w="60" w:type="dxa"/>
            <w:vAlign w:val="bottom"/>
          </w:tcPr>
          <w:p>
            <w:pPr>
              <w:spacing w:after="0"/>
              <w:rPr>
                <w:sz w:val="15"/>
                <w:szCs w:val="15"/>
                <w:color w:val="auto"/>
              </w:rPr>
            </w:pPr>
          </w:p>
        </w:tc>
        <w:tc>
          <w:tcPr>
            <w:tcW w:w="720" w:type="dxa"/>
            <w:vAlign w:val="bottom"/>
            <w:gridSpan w:val="3"/>
            <w:vMerge w:val="continue"/>
          </w:tcPr>
          <w:p>
            <w:pPr>
              <w:spacing w:after="0"/>
              <w:rPr>
                <w:sz w:val="15"/>
                <w:szCs w:val="15"/>
                <w:color w:val="auto"/>
              </w:rPr>
            </w:pPr>
          </w:p>
        </w:tc>
        <w:tc>
          <w:tcPr>
            <w:tcW w:w="260" w:type="dxa"/>
            <w:vAlign w:val="bottom"/>
          </w:tcPr>
          <w:p>
            <w:pPr>
              <w:spacing w:after="0"/>
              <w:rPr>
                <w:sz w:val="15"/>
                <w:szCs w:val="15"/>
                <w:color w:val="auto"/>
              </w:rPr>
            </w:pPr>
          </w:p>
        </w:tc>
        <w:tc>
          <w:tcPr>
            <w:tcW w:w="30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8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5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2780" w:type="dxa"/>
            <w:vAlign w:val="bottom"/>
          </w:tcPr>
          <w:p>
            <w:pPr>
              <w:spacing w:after="0"/>
              <w:rPr>
                <w:sz w:val="20"/>
                <w:szCs w:val="20"/>
                <w:color w:val="auto"/>
              </w:rPr>
            </w:pPr>
            <w:r>
              <w:rPr>
                <w:rFonts w:ascii="Arial" w:cs="Arial" w:eastAsia="Arial" w:hAnsi="Arial"/>
                <w:sz w:val="14"/>
                <w:szCs w:val="14"/>
                <w:color w:val="auto"/>
                <w:w w:val="98"/>
              </w:rPr>
              <w:t>Other comprehensive earnings — unrealized</w:t>
            </w:r>
          </w:p>
        </w:tc>
        <w:tc>
          <w:tcPr>
            <w:tcW w:w="60" w:type="dxa"/>
            <w:vAlign w:val="bottom"/>
          </w:tcPr>
          <w:p>
            <w:pPr>
              <w:spacing w:after="0"/>
              <w:rPr>
                <w:sz w:val="16"/>
                <w:szCs w:val="16"/>
                <w:color w:val="auto"/>
              </w:rPr>
            </w:pPr>
          </w:p>
        </w:tc>
        <w:tc>
          <w:tcPr>
            <w:tcW w:w="720" w:type="dxa"/>
            <w:vAlign w:val="bottom"/>
            <w:gridSpan w:val="3"/>
            <w:vMerge w:val="restart"/>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300" w:type="dxa"/>
            <w:vAlign w:val="bottom"/>
            <w:gridSpan w:val="2"/>
            <w:vMerge w:val="restart"/>
          </w:tcPr>
          <w:p>
            <w:pPr>
              <w:ind w:left="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32</w:t>
            </w:r>
          </w:p>
        </w:tc>
        <w:tc>
          <w:tcPr>
            <w:tcW w:w="80" w:type="dxa"/>
            <w:vAlign w:val="bottom"/>
          </w:tcPr>
          <w:p>
            <w:pPr>
              <w:spacing w:after="0"/>
              <w:rPr>
                <w:sz w:val="16"/>
                <w:szCs w:val="16"/>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5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vMerge w:val="restart"/>
          </w:tcPr>
          <w:p>
            <w:pPr>
              <w:jc w:val="right"/>
              <w:spacing w:after="0"/>
              <w:rPr>
                <w:sz w:val="20"/>
                <w:szCs w:val="20"/>
                <w:color w:val="auto"/>
              </w:rPr>
            </w:pPr>
            <w:r>
              <w:rPr>
                <w:rFonts w:ascii="Arial" w:cs="Arial" w:eastAsia="Arial" w:hAnsi="Arial"/>
                <w:sz w:val="14"/>
                <w:szCs w:val="14"/>
                <w:color w:val="auto"/>
              </w:rPr>
              <w:t>32</w:t>
            </w:r>
          </w:p>
        </w:tc>
        <w:tc>
          <w:tcPr>
            <w:tcW w:w="0" w:type="dxa"/>
            <w:vAlign w:val="bottom"/>
          </w:tcPr>
          <w:p>
            <w:pPr>
              <w:spacing w:after="0"/>
              <w:rPr>
                <w:sz w:val="1"/>
                <w:szCs w:val="1"/>
                <w:color w:val="auto"/>
              </w:rPr>
            </w:pPr>
          </w:p>
        </w:tc>
      </w:tr>
      <w:tr>
        <w:trPr>
          <w:trHeight w:val="176"/>
        </w:trPr>
        <w:tc>
          <w:tcPr>
            <w:tcW w:w="2780" w:type="dxa"/>
            <w:vAlign w:val="bottom"/>
          </w:tcPr>
          <w:p>
            <w:pPr>
              <w:spacing w:after="0"/>
              <w:rPr>
                <w:sz w:val="20"/>
                <w:szCs w:val="20"/>
                <w:color w:val="auto"/>
              </w:rPr>
            </w:pPr>
            <w:r>
              <w:rPr>
                <w:rFonts w:ascii="Arial" w:cs="Arial" w:eastAsia="Arial" w:hAnsi="Arial"/>
                <w:sz w:val="14"/>
                <w:szCs w:val="14"/>
                <w:color w:val="auto"/>
                <w:w w:val="93"/>
              </w:rPr>
              <w:t>gain on investments in unconsolidated affiliates</w:t>
            </w:r>
          </w:p>
        </w:tc>
        <w:tc>
          <w:tcPr>
            <w:tcW w:w="60" w:type="dxa"/>
            <w:vAlign w:val="bottom"/>
          </w:tcPr>
          <w:p>
            <w:pPr>
              <w:spacing w:after="0"/>
              <w:rPr>
                <w:sz w:val="15"/>
                <w:szCs w:val="15"/>
                <w:color w:val="auto"/>
              </w:rPr>
            </w:pPr>
          </w:p>
        </w:tc>
        <w:tc>
          <w:tcPr>
            <w:tcW w:w="720" w:type="dxa"/>
            <w:vAlign w:val="bottom"/>
            <w:gridSpan w:val="3"/>
            <w:vMerge w:val="continue"/>
          </w:tcPr>
          <w:p>
            <w:pPr>
              <w:spacing w:after="0"/>
              <w:rPr>
                <w:sz w:val="15"/>
                <w:szCs w:val="15"/>
                <w:color w:val="auto"/>
              </w:rPr>
            </w:pPr>
          </w:p>
        </w:tc>
        <w:tc>
          <w:tcPr>
            <w:tcW w:w="260" w:type="dxa"/>
            <w:vAlign w:val="bottom"/>
          </w:tcPr>
          <w:p>
            <w:pPr>
              <w:spacing w:after="0"/>
              <w:rPr>
                <w:sz w:val="15"/>
                <w:szCs w:val="15"/>
                <w:color w:val="auto"/>
              </w:rPr>
            </w:pPr>
          </w:p>
        </w:tc>
        <w:tc>
          <w:tcPr>
            <w:tcW w:w="30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8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5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2780" w:type="dxa"/>
            <w:vAlign w:val="bottom"/>
          </w:tcPr>
          <w:p>
            <w:pPr>
              <w:spacing w:after="0"/>
              <w:rPr>
                <w:sz w:val="20"/>
                <w:szCs w:val="20"/>
                <w:color w:val="auto"/>
              </w:rPr>
            </w:pPr>
            <w:r>
              <w:rPr>
                <w:rFonts w:ascii="Arial" w:cs="Arial" w:eastAsia="Arial" w:hAnsi="Arial"/>
                <w:sz w:val="14"/>
                <w:szCs w:val="14"/>
                <w:color w:val="auto"/>
                <w:w w:val="89"/>
              </w:rPr>
              <w:t>Other comprehensive earnings — unrealized loss</w:t>
            </w:r>
          </w:p>
        </w:tc>
        <w:tc>
          <w:tcPr>
            <w:tcW w:w="60" w:type="dxa"/>
            <w:vAlign w:val="bottom"/>
          </w:tcPr>
          <w:p>
            <w:pPr>
              <w:spacing w:after="0"/>
              <w:rPr>
                <w:sz w:val="16"/>
                <w:szCs w:val="16"/>
                <w:color w:val="auto"/>
              </w:rPr>
            </w:pPr>
          </w:p>
        </w:tc>
        <w:tc>
          <w:tcPr>
            <w:tcW w:w="720" w:type="dxa"/>
            <w:vAlign w:val="bottom"/>
            <w:gridSpan w:val="3"/>
            <w:vMerge w:val="restart"/>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300" w:type="dxa"/>
            <w:vAlign w:val="bottom"/>
            <w:gridSpan w:val="2"/>
            <w:vMerge w:val="restart"/>
          </w:tcPr>
          <w:p>
            <w:pPr>
              <w:ind w:left="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(22)</w:t>
            </w:r>
          </w:p>
        </w:tc>
        <w:tc>
          <w:tcPr>
            <w:tcW w:w="80" w:type="dxa"/>
            <w:vAlign w:val="bottom"/>
          </w:tcPr>
          <w:p>
            <w:pPr>
              <w:spacing w:after="0"/>
              <w:rPr>
                <w:sz w:val="16"/>
                <w:szCs w:val="16"/>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5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vMerge w:val="restart"/>
          </w:tcPr>
          <w:p>
            <w:pPr>
              <w:jc w:val="right"/>
              <w:spacing w:after="0"/>
              <w:rPr>
                <w:sz w:val="20"/>
                <w:szCs w:val="20"/>
                <w:color w:val="auto"/>
              </w:rPr>
            </w:pPr>
            <w:r>
              <w:rPr>
                <w:rFonts w:ascii="Arial" w:cs="Arial" w:eastAsia="Arial" w:hAnsi="Arial"/>
                <w:sz w:val="14"/>
                <w:szCs w:val="14"/>
                <w:color w:val="auto"/>
              </w:rPr>
              <w:t>(22)</w:t>
            </w:r>
          </w:p>
        </w:tc>
        <w:tc>
          <w:tcPr>
            <w:tcW w:w="0" w:type="dxa"/>
            <w:vAlign w:val="bottom"/>
          </w:tcPr>
          <w:p>
            <w:pPr>
              <w:spacing w:after="0"/>
              <w:rPr>
                <w:sz w:val="1"/>
                <w:szCs w:val="1"/>
                <w:color w:val="auto"/>
              </w:rPr>
            </w:pPr>
          </w:p>
        </w:tc>
      </w:tr>
      <w:tr>
        <w:trPr>
          <w:trHeight w:val="176"/>
        </w:trPr>
        <w:tc>
          <w:tcPr>
            <w:tcW w:w="2780" w:type="dxa"/>
            <w:vAlign w:val="bottom"/>
          </w:tcPr>
          <w:p>
            <w:pPr>
              <w:spacing w:after="0"/>
              <w:rPr>
                <w:sz w:val="20"/>
                <w:szCs w:val="20"/>
                <w:color w:val="auto"/>
              </w:rPr>
            </w:pPr>
            <w:r>
              <w:rPr>
                <w:rFonts w:ascii="Arial" w:cs="Arial" w:eastAsia="Arial" w:hAnsi="Arial"/>
                <w:sz w:val="14"/>
                <w:szCs w:val="14"/>
                <w:color w:val="auto"/>
              </w:rPr>
              <w:t>on foreign currency translation</w:t>
            </w:r>
          </w:p>
        </w:tc>
        <w:tc>
          <w:tcPr>
            <w:tcW w:w="60" w:type="dxa"/>
            <w:vAlign w:val="bottom"/>
          </w:tcPr>
          <w:p>
            <w:pPr>
              <w:spacing w:after="0"/>
              <w:rPr>
                <w:sz w:val="15"/>
                <w:szCs w:val="15"/>
                <w:color w:val="auto"/>
              </w:rPr>
            </w:pPr>
          </w:p>
        </w:tc>
        <w:tc>
          <w:tcPr>
            <w:tcW w:w="720" w:type="dxa"/>
            <w:vAlign w:val="bottom"/>
            <w:gridSpan w:val="3"/>
            <w:vMerge w:val="continue"/>
          </w:tcPr>
          <w:p>
            <w:pPr>
              <w:spacing w:after="0"/>
              <w:rPr>
                <w:sz w:val="15"/>
                <w:szCs w:val="15"/>
                <w:color w:val="auto"/>
              </w:rPr>
            </w:pPr>
          </w:p>
        </w:tc>
        <w:tc>
          <w:tcPr>
            <w:tcW w:w="260" w:type="dxa"/>
            <w:vAlign w:val="bottom"/>
          </w:tcPr>
          <w:p>
            <w:pPr>
              <w:spacing w:after="0"/>
              <w:rPr>
                <w:sz w:val="15"/>
                <w:szCs w:val="15"/>
                <w:color w:val="auto"/>
              </w:rPr>
            </w:pPr>
          </w:p>
        </w:tc>
        <w:tc>
          <w:tcPr>
            <w:tcW w:w="30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8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5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2780" w:type="dxa"/>
            <w:vAlign w:val="bottom"/>
          </w:tcPr>
          <w:p>
            <w:pPr>
              <w:spacing w:after="0"/>
              <w:rPr>
                <w:sz w:val="20"/>
                <w:szCs w:val="20"/>
                <w:color w:val="auto"/>
              </w:rPr>
            </w:pPr>
            <w:r>
              <w:rPr>
                <w:rFonts w:ascii="Arial" w:cs="Arial" w:eastAsia="Arial" w:hAnsi="Arial"/>
                <w:sz w:val="14"/>
                <w:szCs w:val="14"/>
                <w:color w:val="auto"/>
                <w:w w:val="90"/>
              </w:rPr>
              <w:t>Reclassification adjustments for unrealized gains</w:t>
            </w:r>
          </w:p>
        </w:tc>
        <w:tc>
          <w:tcPr>
            <w:tcW w:w="60" w:type="dxa"/>
            <w:vAlign w:val="bottom"/>
          </w:tcPr>
          <w:p>
            <w:pPr>
              <w:spacing w:after="0"/>
              <w:rPr>
                <w:sz w:val="16"/>
                <w:szCs w:val="16"/>
                <w:color w:val="auto"/>
              </w:rPr>
            </w:pPr>
          </w:p>
        </w:tc>
        <w:tc>
          <w:tcPr>
            <w:tcW w:w="720" w:type="dxa"/>
            <w:vAlign w:val="bottom"/>
            <w:gridSpan w:val="3"/>
            <w:vMerge w:val="restart"/>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300" w:type="dxa"/>
            <w:vAlign w:val="bottom"/>
            <w:gridSpan w:val="2"/>
            <w:vMerge w:val="restart"/>
          </w:tcPr>
          <w:p>
            <w:pPr>
              <w:ind w:left="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(8)</w:t>
            </w:r>
          </w:p>
        </w:tc>
        <w:tc>
          <w:tcPr>
            <w:tcW w:w="80" w:type="dxa"/>
            <w:vAlign w:val="bottom"/>
          </w:tcPr>
          <w:p>
            <w:pPr>
              <w:spacing w:after="0"/>
              <w:rPr>
                <w:sz w:val="16"/>
                <w:szCs w:val="16"/>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5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vMerge w:val="restart"/>
          </w:tcPr>
          <w:p>
            <w:pPr>
              <w:jc w:val="right"/>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176"/>
        </w:trPr>
        <w:tc>
          <w:tcPr>
            <w:tcW w:w="2780" w:type="dxa"/>
            <w:vAlign w:val="bottom"/>
          </w:tcPr>
          <w:p>
            <w:pPr>
              <w:spacing w:after="0"/>
              <w:rPr>
                <w:sz w:val="20"/>
                <w:szCs w:val="20"/>
                <w:color w:val="auto"/>
              </w:rPr>
            </w:pPr>
            <w:r>
              <w:rPr>
                <w:rFonts w:ascii="Arial" w:cs="Arial" w:eastAsia="Arial" w:hAnsi="Arial"/>
                <w:sz w:val="14"/>
                <w:szCs w:val="14"/>
                <w:color w:val="auto"/>
              </w:rPr>
              <w:t>and losses included in net earnings</w:t>
            </w:r>
          </w:p>
        </w:tc>
        <w:tc>
          <w:tcPr>
            <w:tcW w:w="60" w:type="dxa"/>
            <w:vAlign w:val="bottom"/>
          </w:tcPr>
          <w:p>
            <w:pPr>
              <w:spacing w:after="0"/>
              <w:rPr>
                <w:sz w:val="15"/>
                <w:szCs w:val="15"/>
                <w:color w:val="auto"/>
              </w:rPr>
            </w:pPr>
          </w:p>
        </w:tc>
        <w:tc>
          <w:tcPr>
            <w:tcW w:w="720" w:type="dxa"/>
            <w:vAlign w:val="bottom"/>
            <w:gridSpan w:val="3"/>
            <w:vMerge w:val="continue"/>
          </w:tcPr>
          <w:p>
            <w:pPr>
              <w:spacing w:after="0"/>
              <w:rPr>
                <w:sz w:val="15"/>
                <w:szCs w:val="15"/>
                <w:color w:val="auto"/>
              </w:rPr>
            </w:pPr>
          </w:p>
        </w:tc>
        <w:tc>
          <w:tcPr>
            <w:tcW w:w="260" w:type="dxa"/>
            <w:vAlign w:val="bottom"/>
          </w:tcPr>
          <w:p>
            <w:pPr>
              <w:spacing w:after="0"/>
              <w:rPr>
                <w:sz w:val="15"/>
                <w:szCs w:val="15"/>
                <w:color w:val="auto"/>
              </w:rPr>
            </w:pPr>
          </w:p>
        </w:tc>
        <w:tc>
          <w:tcPr>
            <w:tcW w:w="30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8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5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780" w:type="dxa"/>
            <w:vAlign w:val="bottom"/>
          </w:tcPr>
          <w:p>
            <w:pPr>
              <w:spacing w:after="0"/>
              <w:rPr>
                <w:sz w:val="20"/>
                <w:szCs w:val="20"/>
                <w:color w:val="auto"/>
              </w:rPr>
            </w:pPr>
            <w:r>
              <w:rPr>
                <w:rFonts w:ascii="Arial" w:cs="Arial" w:eastAsia="Arial" w:hAnsi="Arial"/>
                <w:sz w:val="14"/>
                <w:szCs w:val="14"/>
                <w:color w:val="auto"/>
                <w:w w:val="97"/>
              </w:rPr>
              <w:t>Other comprehensive earnings attributable to</w:t>
            </w:r>
          </w:p>
        </w:tc>
        <w:tc>
          <w:tcPr>
            <w:tcW w:w="60" w:type="dxa"/>
            <w:vAlign w:val="bottom"/>
          </w:tcPr>
          <w:p>
            <w:pPr>
              <w:spacing w:after="0"/>
              <w:rPr>
                <w:sz w:val="14"/>
                <w:szCs w:val="14"/>
                <w:color w:val="auto"/>
              </w:rPr>
            </w:pPr>
          </w:p>
        </w:tc>
        <w:tc>
          <w:tcPr>
            <w:tcW w:w="720" w:type="dxa"/>
            <w:vAlign w:val="bottom"/>
            <w:gridSpan w:val="3"/>
            <w:vMerge w:val="restart"/>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300" w:type="dxa"/>
            <w:vAlign w:val="bottom"/>
            <w:gridSpan w:val="2"/>
            <w:vMerge w:val="restart"/>
          </w:tcPr>
          <w:p>
            <w:pPr>
              <w:ind w:left="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(7)</w:t>
            </w:r>
          </w:p>
        </w:tc>
        <w:tc>
          <w:tcPr>
            <w:tcW w:w="80" w:type="dxa"/>
            <w:vAlign w:val="bottom"/>
          </w:tcPr>
          <w:p>
            <w:pPr>
              <w:spacing w:after="0"/>
              <w:rPr>
                <w:sz w:val="14"/>
                <w:szCs w:val="14"/>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5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8</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6"/>
        </w:trPr>
        <w:tc>
          <w:tcPr>
            <w:tcW w:w="2780" w:type="dxa"/>
            <w:vAlign w:val="bottom"/>
          </w:tcPr>
          <w:p>
            <w:pPr>
              <w:spacing w:after="0"/>
              <w:rPr>
                <w:sz w:val="20"/>
                <w:szCs w:val="20"/>
                <w:color w:val="auto"/>
              </w:rPr>
            </w:pPr>
            <w:r>
              <w:rPr>
                <w:rFonts w:ascii="Arial" w:cs="Arial" w:eastAsia="Arial" w:hAnsi="Arial"/>
                <w:sz w:val="14"/>
                <w:szCs w:val="14"/>
                <w:color w:val="auto"/>
              </w:rPr>
              <w:t>non-controlling interest</w:t>
            </w:r>
          </w:p>
        </w:tc>
        <w:tc>
          <w:tcPr>
            <w:tcW w:w="60" w:type="dxa"/>
            <w:vAlign w:val="bottom"/>
          </w:tcPr>
          <w:p>
            <w:pPr>
              <w:spacing w:after="0"/>
              <w:rPr>
                <w:sz w:val="15"/>
                <w:szCs w:val="15"/>
                <w:color w:val="auto"/>
              </w:rPr>
            </w:pPr>
          </w:p>
        </w:tc>
        <w:tc>
          <w:tcPr>
            <w:tcW w:w="720" w:type="dxa"/>
            <w:vAlign w:val="bottom"/>
            <w:gridSpan w:val="3"/>
            <w:vMerge w:val="continue"/>
          </w:tcPr>
          <w:p>
            <w:pPr>
              <w:spacing w:after="0"/>
              <w:rPr>
                <w:sz w:val="15"/>
                <w:szCs w:val="15"/>
                <w:color w:val="auto"/>
              </w:rPr>
            </w:pPr>
          </w:p>
        </w:tc>
        <w:tc>
          <w:tcPr>
            <w:tcW w:w="260" w:type="dxa"/>
            <w:vAlign w:val="bottom"/>
          </w:tcPr>
          <w:p>
            <w:pPr>
              <w:spacing w:after="0"/>
              <w:rPr>
                <w:sz w:val="15"/>
                <w:szCs w:val="15"/>
                <w:color w:val="auto"/>
              </w:rPr>
            </w:pPr>
          </w:p>
        </w:tc>
        <w:tc>
          <w:tcPr>
            <w:tcW w:w="30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8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5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780" w:type="dxa"/>
            <w:vAlign w:val="bottom"/>
          </w:tcPr>
          <w:p>
            <w:pPr>
              <w:spacing w:after="0"/>
              <w:rPr>
                <w:sz w:val="20"/>
                <w:szCs w:val="20"/>
                <w:color w:val="auto"/>
              </w:rPr>
            </w:pPr>
            <w:r>
              <w:rPr>
                <w:rFonts w:ascii="Arial" w:cs="Arial" w:eastAsia="Arial" w:hAnsi="Arial"/>
                <w:sz w:val="14"/>
                <w:szCs w:val="14"/>
                <w:color w:val="auto"/>
              </w:rPr>
              <w:t>Stock-based compensation</w:t>
            </w:r>
          </w:p>
        </w:tc>
        <w:tc>
          <w:tcPr>
            <w:tcW w:w="60" w:type="dxa"/>
            <w:vAlign w:val="bottom"/>
          </w:tcPr>
          <w:p>
            <w:pPr>
              <w:spacing w:after="0"/>
              <w:rPr>
                <w:sz w:val="18"/>
                <w:szCs w:val="18"/>
                <w:color w:val="auto"/>
              </w:rPr>
            </w:pPr>
          </w:p>
        </w:tc>
        <w:tc>
          <w:tcPr>
            <w:tcW w:w="72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8"/>
                <w:szCs w:val="18"/>
                <w:color w:val="auto"/>
              </w:rPr>
            </w:pPr>
          </w:p>
        </w:tc>
        <w:tc>
          <w:tcPr>
            <w:tcW w:w="300" w:type="dxa"/>
            <w:vAlign w:val="bottom"/>
            <w:gridSpan w:val="2"/>
          </w:tcPr>
          <w:p>
            <w:pPr>
              <w:ind w:left="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80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82</w:t>
            </w:r>
          </w:p>
        </w:tc>
        <w:tc>
          <w:tcPr>
            <w:tcW w:w="0" w:type="dxa"/>
            <w:vAlign w:val="bottom"/>
          </w:tcPr>
          <w:p>
            <w:pPr>
              <w:spacing w:after="0"/>
              <w:rPr>
                <w:sz w:val="1"/>
                <w:szCs w:val="1"/>
                <w:color w:val="auto"/>
              </w:rPr>
            </w:pPr>
          </w:p>
        </w:tc>
      </w:tr>
      <w:tr>
        <w:trPr>
          <w:trHeight w:val="137"/>
        </w:trPr>
        <w:tc>
          <w:tcPr>
            <w:tcW w:w="2780" w:type="dxa"/>
            <w:vAlign w:val="bottom"/>
          </w:tcPr>
          <w:p>
            <w:pPr>
              <w:spacing w:after="0" w:line="137" w:lineRule="exact"/>
              <w:rPr>
                <w:sz w:val="20"/>
                <w:szCs w:val="20"/>
                <w:color w:val="auto"/>
              </w:rPr>
            </w:pPr>
            <w:r>
              <w:rPr>
                <w:rFonts w:ascii="Arial" w:cs="Arial" w:eastAsia="Arial" w:hAnsi="Arial"/>
                <w:sz w:val="14"/>
                <w:szCs w:val="14"/>
                <w:color w:val="auto"/>
                <w:w w:val="98"/>
              </w:rPr>
              <w:t>Dilution from share issuance by consolidated</w:t>
            </w:r>
          </w:p>
        </w:tc>
        <w:tc>
          <w:tcPr>
            <w:tcW w:w="60" w:type="dxa"/>
            <w:vAlign w:val="bottom"/>
          </w:tcPr>
          <w:p>
            <w:pPr>
              <w:spacing w:after="0"/>
              <w:rPr>
                <w:sz w:val="11"/>
                <w:szCs w:val="11"/>
                <w:color w:val="auto"/>
              </w:rPr>
            </w:pPr>
          </w:p>
        </w:tc>
        <w:tc>
          <w:tcPr>
            <w:tcW w:w="720" w:type="dxa"/>
            <w:vAlign w:val="bottom"/>
            <w:gridSpan w:val="3"/>
            <w:vMerge w:val="restart"/>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1"/>
                <w:szCs w:val="11"/>
                <w:color w:val="auto"/>
              </w:rPr>
            </w:pPr>
          </w:p>
        </w:tc>
        <w:tc>
          <w:tcPr>
            <w:tcW w:w="300" w:type="dxa"/>
            <w:vAlign w:val="bottom"/>
            <w:gridSpan w:val="2"/>
            <w:vMerge w:val="restart"/>
          </w:tcPr>
          <w:p>
            <w:pPr>
              <w:ind w:left="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(24)</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1"/>
                <w:szCs w:val="11"/>
                <w:color w:val="auto"/>
              </w:rPr>
            </w:pPr>
          </w:p>
        </w:tc>
        <w:tc>
          <w:tcPr>
            <w:tcW w:w="5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24</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6"/>
        </w:trPr>
        <w:tc>
          <w:tcPr>
            <w:tcW w:w="2780" w:type="dxa"/>
            <w:vAlign w:val="bottom"/>
          </w:tcPr>
          <w:p>
            <w:pPr>
              <w:spacing w:after="0"/>
              <w:rPr>
                <w:sz w:val="20"/>
                <w:szCs w:val="20"/>
                <w:color w:val="auto"/>
              </w:rPr>
            </w:pPr>
            <w:r>
              <w:rPr>
                <w:rFonts w:ascii="Arial" w:cs="Arial" w:eastAsia="Arial" w:hAnsi="Arial"/>
                <w:sz w:val="14"/>
                <w:szCs w:val="14"/>
                <w:color w:val="auto"/>
              </w:rPr>
              <w:t>subsidiary</w:t>
            </w:r>
          </w:p>
        </w:tc>
        <w:tc>
          <w:tcPr>
            <w:tcW w:w="60" w:type="dxa"/>
            <w:vAlign w:val="bottom"/>
          </w:tcPr>
          <w:p>
            <w:pPr>
              <w:spacing w:after="0"/>
              <w:rPr>
                <w:sz w:val="15"/>
                <w:szCs w:val="15"/>
                <w:color w:val="auto"/>
              </w:rPr>
            </w:pPr>
          </w:p>
        </w:tc>
        <w:tc>
          <w:tcPr>
            <w:tcW w:w="720" w:type="dxa"/>
            <w:vAlign w:val="bottom"/>
            <w:gridSpan w:val="3"/>
            <w:vMerge w:val="continue"/>
          </w:tcPr>
          <w:p>
            <w:pPr>
              <w:spacing w:after="0"/>
              <w:rPr>
                <w:sz w:val="15"/>
                <w:szCs w:val="15"/>
                <w:color w:val="auto"/>
              </w:rPr>
            </w:pPr>
          </w:p>
        </w:tc>
        <w:tc>
          <w:tcPr>
            <w:tcW w:w="260" w:type="dxa"/>
            <w:vAlign w:val="bottom"/>
          </w:tcPr>
          <w:p>
            <w:pPr>
              <w:spacing w:after="0"/>
              <w:rPr>
                <w:sz w:val="15"/>
                <w:szCs w:val="15"/>
                <w:color w:val="auto"/>
              </w:rPr>
            </w:pPr>
          </w:p>
        </w:tc>
        <w:tc>
          <w:tcPr>
            <w:tcW w:w="30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8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vMerge w:val="continue"/>
          </w:tcPr>
          <w:p>
            <w:pPr>
              <w:spacing w:after="0"/>
              <w:rPr>
                <w:sz w:val="15"/>
                <w:szCs w:val="15"/>
                <w:color w:val="auto"/>
              </w:rPr>
            </w:pPr>
          </w:p>
        </w:tc>
        <w:tc>
          <w:tcPr>
            <w:tcW w:w="60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5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0"/>
        </w:trPr>
        <w:tc>
          <w:tcPr>
            <w:tcW w:w="2780" w:type="dxa"/>
            <w:vAlign w:val="bottom"/>
          </w:tcPr>
          <w:p>
            <w:pPr>
              <w:spacing w:after="0"/>
              <w:rPr>
                <w:sz w:val="20"/>
                <w:szCs w:val="20"/>
                <w:color w:val="auto"/>
              </w:rPr>
            </w:pPr>
            <w:r>
              <w:rPr>
                <w:rFonts w:ascii="Arial" w:cs="Arial" w:eastAsia="Arial" w:hAnsi="Arial"/>
                <w:sz w:val="14"/>
                <w:szCs w:val="14"/>
                <w:color w:val="auto"/>
              </w:rPr>
              <w:t>Dividends declared</w:t>
            </w:r>
          </w:p>
        </w:tc>
        <w:tc>
          <w:tcPr>
            <w:tcW w:w="60" w:type="dxa"/>
            <w:vAlign w:val="bottom"/>
          </w:tcPr>
          <w:p>
            <w:pPr>
              <w:spacing w:after="0"/>
              <w:rPr>
                <w:sz w:val="19"/>
                <w:szCs w:val="19"/>
                <w:color w:val="auto"/>
              </w:rPr>
            </w:pPr>
          </w:p>
        </w:tc>
        <w:tc>
          <w:tcPr>
            <w:tcW w:w="72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9"/>
                <w:szCs w:val="19"/>
                <w:color w:val="auto"/>
              </w:rPr>
            </w:pPr>
          </w:p>
        </w:tc>
        <w:tc>
          <w:tcPr>
            <w:tcW w:w="300" w:type="dxa"/>
            <w:vAlign w:val="bottom"/>
            <w:gridSpan w:val="2"/>
          </w:tcPr>
          <w:p>
            <w:pPr>
              <w:ind w:left="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(532)</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(532)</w:t>
            </w:r>
          </w:p>
        </w:tc>
        <w:tc>
          <w:tcPr>
            <w:tcW w:w="0" w:type="dxa"/>
            <w:vAlign w:val="bottom"/>
          </w:tcPr>
          <w:p>
            <w:pPr>
              <w:spacing w:after="0"/>
              <w:rPr>
                <w:sz w:val="1"/>
                <w:szCs w:val="1"/>
                <w:color w:val="auto"/>
              </w:rPr>
            </w:pPr>
          </w:p>
        </w:tc>
      </w:tr>
      <w:tr>
        <w:trPr>
          <w:trHeight w:val="220"/>
        </w:trPr>
        <w:tc>
          <w:tcPr>
            <w:tcW w:w="2780" w:type="dxa"/>
            <w:vAlign w:val="bottom"/>
          </w:tcPr>
          <w:p>
            <w:pPr>
              <w:spacing w:after="0"/>
              <w:rPr>
                <w:sz w:val="20"/>
                <w:szCs w:val="20"/>
                <w:color w:val="auto"/>
              </w:rPr>
            </w:pPr>
            <w:r>
              <w:rPr>
                <w:rFonts w:ascii="Arial" w:cs="Arial" w:eastAsia="Arial" w:hAnsi="Arial"/>
                <w:sz w:val="14"/>
                <w:szCs w:val="14"/>
                <w:color w:val="auto"/>
              </w:rPr>
              <w:t>Shares withheld for taxes and in treasury</w:t>
            </w:r>
          </w:p>
        </w:tc>
        <w:tc>
          <w:tcPr>
            <w:tcW w:w="60" w:type="dxa"/>
            <w:vAlign w:val="bottom"/>
          </w:tcPr>
          <w:p>
            <w:pPr>
              <w:spacing w:after="0"/>
              <w:rPr>
                <w:sz w:val="19"/>
                <w:szCs w:val="19"/>
                <w:color w:val="auto"/>
              </w:rPr>
            </w:pPr>
          </w:p>
        </w:tc>
        <w:tc>
          <w:tcPr>
            <w:tcW w:w="72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9"/>
                <w:szCs w:val="19"/>
                <w:color w:val="auto"/>
              </w:rPr>
            </w:pPr>
          </w:p>
        </w:tc>
        <w:tc>
          <w:tcPr>
            <w:tcW w:w="300" w:type="dxa"/>
            <w:vAlign w:val="bottom"/>
            <w:gridSpan w:val="2"/>
          </w:tcPr>
          <w:p>
            <w:pPr>
              <w:ind w:left="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580" w:type="dxa"/>
            <w:vAlign w:val="bottom"/>
            <w:gridSpan w:val="2"/>
          </w:tcPr>
          <w:p>
            <w:pPr>
              <w:jc w:val="right"/>
              <w:spacing w:after="0"/>
              <w:rPr>
                <w:sz w:val="20"/>
                <w:szCs w:val="20"/>
                <w:color w:val="auto"/>
              </w:rPr>
            </w:pPr>
            <w:r>
              <w:rPr>
                <w:rFonts w:ascii="Arial" w:cs="Arial" w:eastAsia="Arial" w:hAnsi="Arial"/>
                <w:sz w:val="14"/>
                <w:szCs w:val="14"/>
                <w:color w:val="auto"/>
              </w:rPr>
              <w:t>(22)</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(12)</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(34)</w:t>
            </w:r>
          </w:p>
        </w:tc>
        <w:tc>
          <w:tcPr>
            <w:tcW w:w="0" w:type="dxa"/>
            <w:vAlign w:val="bottom"/>
          </w:tcPr>
          <w:p>
            <w:pPr>
              <w:spacing w:after="0"/>
              <w:rPr>
                <w:sz w:val="1"/>
                <w:szCs w:val="1"/>
                <w:color w:val="auto"/>
              </w:rPr>
            </w:pPr>
          </w:p>
        </w:tc>
      </w:tr>
      <w:tr>
        <w:trPr>
          <w:trHeight w:val="162"/>
        </w:trPr>
        <w:tc>
          <w:tcPr>
            <w:tcW w:w="2780" w:type="dxa"/>
            <w:vAlign w:val="bottom"/>
          </w:tcPr>
          <w:p>
            <w:pPr>
              <w:spacing w:after="0"/>
              <w:rPr>
                <w:sz w:val="20"/>
                <w:szCs w:val="20"/>
                <w:color w:val="auto"/>
              </w:rPr>
            </w:pPr>
            <w:r>
              <w:rPr>
                <w:rFonts w:ascii="Arial" w:cs="Arial" w:eastAsia="Arial" w:hAnsi="Arial"/>
                <w:sz w:val="14"/>
                <w:szCs w:val="14"/>
                <w:color w:val="auto"/>
                <w:w w:val="98"/>
              </w:rPr>
              <w:t>Change in current discount rate — liability for</w:t>
            </w:r>
          </w:p>
        </w:tc>
        <w:tc>
          <w:tcPr>
            <w:tcW w:w="60" w:type="dxa"/>
            <w:vAlign w:val="bottom"/>
          </w:tcPr>
          <w:p>
            <w:pPr>
              <w:spacing w:after="0"/>
              <w:rPr>
                <w:sz w:val="14"/>
                <w:szCs w:val="14"/>
                <w:color w:val="auto"/>
              </w:rPr>
            </w:pPr>
          </w:p>
        </w:tc>
        <w:tc>
          <w:tcPr>
            <w:tcW w:w="720" w:type="dxa"/>
            <w:vAlign w:val="bottom"/>
            <w:gridSpan w:val="3"/>
            <w:vMerge w:val="restart"/>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300" w:type="dxa"/>
            <w:vAlign w:val="bottom"/>
            <w:gridSpan w:val="2"/>
            <w:vMerge w:val="restart"/>
          </w:tcPr>
          <w:p>
            <w:pPr>
              <w:ind w:left="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224</w:t>
            </w:r>
          </w:p>
        </w:tc>
        <w:tc>
          <w:tcPr>
            <w:tcW w:w="80" w:type="dxa"/>
            <w:vAlign w:val="bottom"/>
          </w:tcPr>
          <w:p>
            <w:pPr>
              <w:spacing w:after="0"/>
              <w:rPr>
                <w:sz w:val="14"/>
                <w:szCs w:val="14"/>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5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vMerge w:val="restart"/>
          </w:tcPr>
          <w:p>
            <w:pPr>
              <w:jc w:val="right"/>
              <w:spacing w:after="0"/>
              <w:rPr>
                <w:sz w:val="20"/>
                <w:szCs w:val="20"/>
                <w:color w:val="auto"/>
              </w:rPr>
            </w:pPr>
            <w:r>
              <w:rPr>
                <w:rFonts w:ascii="Arial" w:cs="Arial" w:eastAsia="Arial" w:hAnsi="Arial"/>
                <w:sz w:val="14"/>
                <w:szCs w:val="14"/>
                <w:color w:val="auto"/>
              </w:rPr>
              <w:t>224</w:t>
            </w:r>
          </w:p>
        </w:tc>
        <w:tc>
          <w:tcPr>
            <w:tcW w:w="0" w:type="dxa"/>
            <w:vAlign w:val="bottom"/>
          </w:tcPr>
          <w:p>
            <w:pPr>
              <w:spacing w:after="0"/>
              <w:rPr>
                <w:sz w:val="1"/>
                <w:szCs w:val="1"/>
                <w:color w:val="auto"/>
              </w:rPr>
            </w:pPr>
          </w:p>
        </w:tc>
      </w:tr>
      <w:tr>
        <w:trPr>
          <w:trHeight w:val="176"/>
        </w:trPr>
        <w:tc>
          <w:tcPr>
            <w:tcW w:w="2780" w:type="dxa"/>
            <w:vAlign w:val="bottom"/>
          </w:tcPr>
          <w:p>
            <w:pPr>
              <w:spacing w:after="0"/>
              <w:rPr>
                <w:sz w:val="20"/>
                <w:szCs w:val="20"/>
                <w:color w:val="auto"/>
              </w:rPr>
            </w:pPr>
            <w:r>
              <w:rPr>
                <w:rFonts w:ascii="Arial" w:cs="Arial" w:eastAsia="Arial" w:hAnsi="Arial"/>
                <w:sz w:val="14"/>
                <w:szCs w:val="14"/>
                <w:color w:val="auto"/>
              </w:rPr>
              <w:t>future policy benefits</w:t>
            </w:r>
          </w:p>
        </w:tc>
        <w:tc>
          <w:tcPr>
            <w:tcW w:w="60" w:type="dxa"/>
            <w:vAlign w:val="bottom"/>
          </w:tcPr>
          <w:p>
            <w:pPr>
              <w:spacing w:after="0"/>
              <w:rPr>
                <w:sz w:val="15"/>
                <w:szCs w:val="15"/>
                <w:color w:val="auto"/>
              </w:rPr>
            </w:pPr>
          </w:p>
        </w:tc>
        <w:tc>
          <w:tcPr>
            <w:tcW w:w="720" w:type="dxa"/>
            <w:vAlign w:val="bottom"/>
            <w:gridSpan w:val="3"/>
            <w:vMerge w:val="continue"/>
          </w:tcPr>
          <w:p>
            <w:pPr>
              <w:spacing w:after="0"/>
              <w:rPr>
                <w:sz w:val="15"/>
                <w:szCs w:val="15"/>
                <w:color w:val="auto"/>
              </w:rPr>
            </w:pPr>
          </w:p>
        </w:tc>
        <w:tc>
          <w:tcPr>
            <w:tcW w:w="260" w:type="dxa"/>
            <w:vAlign w:val="bottom"/>
          </w:tcPr>
          <w:p>
            <w:pPr>
              <w:spacing w:after="0"/>
              <w:rPr>
                <w:sz w:val="15"/>
                <w:szCs w:val="15"/>
                <w:color w:val="auto"/>
              </w:rPr>
            </w:pPr>
          </w:p>
        </w:tc>
        <w:tc>
          <w:tcPr>
            <w:tcW w:w="30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8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5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780" w:type="dxa"/>
            <w:vAlign w:val="bottom"/>
          </w:tcPr>
          <w:p>
            <w:pPr>
              <w:spacing w:after="0"/>
              <w:rPr>
                <w:sz w:val="20"/>
                <w:szCs w:val="20"/>
                <w:color w:val="auto"/>
              </w:rPr>
            </w:pPr>
            <w:r>
              <w:rPr>
                <w:rFonts w:ascii="Arial" w:cs="Arial" w:eastAsia="Arial" w:hAnsi="Arial"/>
                <w:sz w:val="14"/>
                <w:szCs w:val="14"/>
                <w:color w:val="auto"/>
              </w:rPr>
              <w:t>Change in instrument-specific credit risk -</w:t>
            </w:r>
          </w:p>
        </w:tc>
        <w:tc>
          <w:tcPr>
            <w:tcW w:w="60" w:type="dxa"/>
            <w:vAlign w:val="bottom"/>
          </w:tcPr>
          <w:p>
            <w:pPr>
              <w:spacing w:after="0"/>
              <w:rPr>
                <w:sz w:val="14"/>
                <w:szCs w:val="14"/>
                <w:color w:val="auto"/>
              </w:rPr>
            </w:pPr>
          </w:p>
        </w:tc>
        <w:tc>
          <w:tcPr>
            <w:tcW w:w="720" w:type="dxa"/>
            <w:vAlign w:val="bottom"/>
            <w:gridSpan w:val="3"/>
            <w:vMerge w:val="restart"/>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300" w:type="dxa"/>
            <w:vAlign w:val="bottom"/>
            <w:gridSpan w:val="2"/>
            <w:vMerge w:val="restart"/>
          </w:tcPr>
          <w:p>
            <w:pPr>
              <w:ind w:left="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5</w:t>
            </w:r>
          </w:p>
        </w:tc>
        <w:tc>
          <w:tcPr>
            <w:tcW w:w="80" w:type="dxa"/>
            <w:vAlign w:val="bottom"/>
          </w:tcPr>
          <w:p>
            <w:pPr>
              <w:spacing w:after="0"/>
              <w:rPr>
                <w:sz w:val="14"/>
                <w:szCs w:val="14"/>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5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vMerge w:val="restart"/>
          </w:tcPr>
          <w:p>
            <w:pPr>
              <w:jc w:val="right"/>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176"/>
        </w:trPr>
        <w:tc>
          <w:tcPr>
            <w:tcW w:w="2780" w:type="dxa"/>
            <w:vAlign w:val="bottom"/>
          </w:tcPr>
          <w:p>
            <w:pPr>
              <w:spacing w:after="0"/>
              <w:rPr>
                <w:sz w:val="20"/>
                <w:szCs w:val="20"/>
                <w:color w:val="auto"/>
              </w:rPr>
            </w:pPr>
            <w:r>
              <w:rPr>
                <w:rFonts w:ascii="Arial" w:cs="Arial" w:eastAsia="Arial" w:hAnsi="Arial"/>
                <w:sz w:val="14"/>
                <w:szCs w:val="14"/>
                <w:color w:val="auto"/>
              </w:rPr>
              <w:t>market risk benefits</w:t>
            </w:r>
          </w:p>
        </w:tc>
        <w:tc>
          <w:tcPr>
            <w:tcW w:w="60" w:type="dxa"/>
            <w:vAlign w:val="bottom"/>
          </w:tcPr>
          <w:p>
            <w:pPr>
              <w:spacing w:after="0"/>
              <w:rPr>
                <w:sz w:val="15"/>
                <w:szCs w:val="15"/>
                <w:color w:val="auto"/>
              </w:rPr>
            </w:pPr>
          </w:p>
        </w:tc>
        <w:tc>
          <w:tcPr>
            <w:tcW w:w="720" w:type="dxa"/>
            <w:vAlign w:val="bottom"/>
            <w:gridSpan w:val="3"/>
            <w:vMerge w:val="continue"/>
          </w:tcPr>
          <w:p>
            <w:pPr>
              <w:spacing w:after="0"/>
              <w:rPr>
                <w:sz w:val="15"/>
                <w:szCs w:val="15"/>
                <w:color w:val="auto"/>
              </w:rPr>
            </w:pPr>
          </w:p>
        </w:tc>
        <w:tc>
          <w:tcPr>
            <w:tcW w:w="260" w:type="dxa"/>
            <w:vAlign w:val="bottom"/>
          </w:tcPr>
          <w:p>
            <w:pPr>
              <w:spacing w:after="0"/>
              <w:rPr>
                <w:sz w:val="15"/>
                <w:szCs w:val="15"/>
                <w:color w:val="auto"/>
              </w:rPr>
            </w:pPr>
          </w:p>
        </w:tc>
        <w:tc>
          <w:tcPr>
            <w:tcW w:w="30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8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5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780" w:type="dxa"/>
            <w:vAlign w:val="bottom"/>
          </w:tcPr>
          <w:p>
            <w:pPr>
              <w:spacing w:after="0"/>
              <w:rPr>
                <w:sz w:val="20"/>
                <w:szCs w:val="20"/>
                <w:color w:val="auto"/>
              </w:rPr>
            </w:pPr>
            <w:r>
              <w:rPr>
                <w:rFonts w:ascii="Arial" w:cs="Arial" w:eastAsia="Arial" w:hAnsi="Arial"/>
                <w:sz w:val="14"/>
                <w:szCs w:val="14"/>
                <w:color w:val="auto"/>
                <w:w w:val="92"/>
              </w:rPr>
              <w:t>Subsidiary dividends declared to non-controlling</w:t>
            </w:r>
          </w:p>
        </w:tc>
        <w:tc>
          <w:tcPr>
            <w:tcW w:w="60" w:type="dxa"/>
            <w:vAlign w:val="bottom"/>
          </w:tcPr>
          <w:p>
            <w:pPr>
              <w:spacing w:after="0"/>
              <w:rPr>
                <w:sz w:val="14"/>
                <w:szCs w:val="14"/>
                <w:color w:val="auto"/>
              </w:rPr>
            </w:pPr>
          </w:p>
        </w:tc>
        <w:tc>
          <w:tcPr>
            <w:tcW w:w="720" w:type="dxa"/>
            <w:vAlign w:val="bottom"/>
            <w:gridSpan w:val="3"/>
            <w:vMerge w:val="restart"/>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300" w:type="dxa"/>
            <w:vAlign w:val="bottom"/>
            <w:gridSpan w:val="2"/>
            <w:vMerge w:val="restart"/>
          </w:tcPr>
          <w:p>
            <w:pPr>
              <w:ind w:left="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5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(48)</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vMerge w:val="restart"/>
          </w:tcPr>
          <w:p>
            <w:pPr>
              <w:jc w:val="right"/>
              <w:spacing w:after="0"/>
              <w:rPr>
                <w:sz w:val="20"/>
                <w:szCs w:val="20"/>
                <w:color w:val="auto"/>
              </w:rPr>
            </w:pPr>
            <w:r>
              <w:rPr>
                <w:rFonts w:ascii="Arial" w:cs="Arial" w:eastAsia="Arial" w:hAnsi="Arial"/>
                <w:sz w:val="14"/>
                <w:szCs w:val="14"/>
                <w:color w:val="auto"/>
              </w:rPr>
              <w:t>(48)</w:t>
            </w:r>
          </w:p>
        </w:tc>
        <w:tc>
          <w:tcPr>
            <w:tcW w:w="0" w:type="dxa"/>
            <w:vAlign w:val="bottom"/>
          </w:tcPr>
          <w:p>
            <w:pPr>
              <w:spacing w:after="0"/>
              <w:rPr>
                <w:sz w:val="1"/>
                <w:szCs w:val="1"/>
                <w:color w:val="auto"/>
              </w:rPr>
            </w:pPr>
          </w:p>
        </w:tc>
      </w:tr>
      <w:tr>
        <w:trPr>
          <w:trHeight w:val="176"/>
        </w:trPr>
        <w:tc>
          <w:tcPr>
            <w:tcW w:w="2780" w:type="dxa"/>
            <w:vAlign w:val="bottom"/>
          </w:tcPr>
          <w:p>
            <w:pPr>
              <w:spacing w:after="0"/>
              <w:rPr>
                <w:sz w:val="20"/>
                <w:szCs w:val="20"/>
                <w:color w:val="auto"/>
              </w:rPr>
            </w:pPr>
            <w:r>
              <w:rPr>
                <w:rFonts w:ascii="Arial" w:cs="Arial" w:eastAsia="Arial" w:hAnsi="Arial"/>
                <w:sz w:val="14"/>
                <w:szCs w:val="14"/>
                <w:color w:val="auto"/>
              </w:rPr>
              <w:t>interests</w:t>
            </w:r>
          </w:p>
        </w:tc>
        <w:tc>
          <w:tcPr>
            <w:tcW w:w="60" w:type="dxa"/>
            <w:vAlign w:val="bottom"/>
          </w:tcPr>
          <w:p>
            <w:pPr>
              <w:spacing w:after="0"/>
              <w:rPr>
                <w:sz w:val="15"/>
                <w:szCs w:val="15"/>
                <w:color w:val="auto"/>
              </w:rPr>
            </w:pPr>
          </w:p>
        </w:tc>
        <w:tc>
          <w:tcPr>
            <w:tcW w:w="720" w:type="dxa"/>
            <w:vAlign w:val="bottom"/>
            <w:gridSpan w:val="3"/>
            <w:vMerge w:val="continue"/>
          </w:tcPr>
          <w:p>
            <w:pPr>
              <w:spacing w:after="0"/>
              <w:rPr>
                <w:sz w:val="15"/>
                <w:szCs w:val="15"/>
                <w:color w:val="auto"/>
              </w:rPr>
            </w:pPr>
          </w:p>
        </w:tc>
        <w:tc>
          <w:tcPr>
            <w:tcW w:w="260" w:type="dxa"/>
            <w:vAlign w:val="bottom"/>
          </w:tcPr>
          <w:p>
            <w:pPr>
              <w:spacing w:after="0"/>
              <w:rPr>
                <w:sz w:val="15"/>
                <w:szCs w:val="15"/>
                <w:color w:val="auto"/>
              </w:rPr>
            </w:pPr>
          </w:p>
        </w:tc>
        <w:tc>
          <w:tcPr>
            <w:tcW w:w="30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8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vMerge w:val="continue"/>
          </w:tcPr>
          <w:p>
            <w:pPr>
              <w:spacing w:after="0"/>
              <w:rPr>
                <w:sz w:val="15"/>
                <w:szCs w:val="15"/>
                <w:color w:val="auto"/>
              </w:rPr>
            </w:pPr>
          </w:p>
        </w:tc>
        <w:tc>
          <w:tcPr>
            <w:tcW w:w="60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5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2780" w:type="dxa"/>
            <w:vAlign w:val="bottom"/>
          </w:tcPr>
          <w:p>
            <w:pPr>
              <w:spacing w:after="0"/>
              <w:rPr>
                <w:sz w:val="20"/>
                <w:szCs w:val="20"/>
                <w:color w:val="auto"/>
              </w:rPr>
            </w:pPr>
            <w:r>
              <w:rPr>
                <w:rFonts w:ascii="Arial" w:cs="Arial" w:eastAsia="Arial" w:hAnsi="Arial"/>
                <w:sz w:val="14"/>
                <w:szCs w:val="14"/>
                <w:color w:val="auto"/>
              </w:rPr>
              <w:t>Net earnings</w:t>
            </w:r>
          </w:p>
        </w:tc>
        <w:tc>
          <w:tcPr>
            <w:tcW w:w="60" w:type="dxa"/>
            <w:vAlign w:val="bottom"/>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1,270</w:t>
            </w:r>
          </w:p>
        </w:tc>
        <w:tc>
          <w:tcPr>
            <w:tcW w:w="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121</w:t>
            </w:r>
          </w:p>
        </w:tc>
        <w:tc>
          <w:tcPr>
            <w:tcW w:w="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1,391</w:t>
            </w:r>
          </w:p>
        </w:tc>
        <w:tc>
          <w:tcPr>
            <w:tcW w:w="0" w:type="dxa"/>
            <w:vAlign w:val="bottom"/>
          </w:tcPr>
          <w:p>
            <w:pPr>
              <w:spacing w:after="0"/>
              <w:rPr>
                <w:sz w:val="1"/>
                <w:szCs w:val="1"/>
                <w:color w:val="auto"/>
              </w:rPr>
            </w:pPr>
          </w:p>
        </w:tc>
      </w:tr>
      <w:tr>
        <w:trPr>
          <w:trHeight w:val="181"/>
        </w:trPr>
        <w:tc>
          <w:tcPr>
            <w:tcW w:w="2780" w:type="dxa"/>
            <w:vAlign w:val="bottom"/>
          </w:tcPr>
          <w:p>
            <w:pPr>
              <w:spacing w:after="0"/>
              <w:rPr>
                <w:sz w:val="20"/>
                <w:szCs w:val="20"/>
                <w:color w:val="auto"/>
              </w:rPr>
            </w:pPr>
            <w:r>
              <w:rPr>
                <w:rFonts w:ascii="Arial" w:cs="Arial" w:eastAsia="Arial" w:hAnsi="Arial"/>
                <w:sz w:val="14"/>
                <w:szCs w:val="14"/>
                <w:color w:val="auto"/>
              </w:rPr>
              <w:t>Balance, December 31, 2024</w:t>
            </w:r>
          </w:p>
        </w:tc>
        <w:tc>
          <w:tcPr>
            <w:tcW w:w="660" w:type="dxa"/>
            <w:vAlign w:val="bottom"/>
            <w:gridSpan w:val="2"/>
          </w:tcPr>
          <w:p>
            <w:pPr>
              <w:jc w:val="right"/>
              <w:spacing w:after="0"/>
              <w:rPr>
                <w:sz w:val="20"/>
                <w:szCs w:val="20"/>
                <w:color w:val="auto"/>
              </w:rPr>
            </w:pPr>
            <w:r>
              <w:rPr>
                <w:rFonts w:ascii="Arial" w:cs="Arial" w:eastAsia="Arial" w:hAnsi="Arial"/>
                <w:sz w:val="14"/>
                <w:szCs w:val="14"/>
                <w:color w:val="auto"/>
              </w:rPr>
              <w:t>331</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tcPr>
          <w:p>
            <w:pPr>
              <w:jc w:val="right"/>
              <w:ind w:right="111"/>
              <w:spacing w:after="0"/>
              <w:rPr>
                <w:sz w:val="20"/>
                <w:szCs w:val="20"/>
                <w:color w:val="auto"/>
              </w:rPr>
            </w:pPr>
            <w:r>
              <w:rPr>
                <w:rFonts w:ascii="Arial" w:cs="Arial" w:eastAsia="Arial" w:hAnsi="Arial"/>
                <w:sz w:val="14"/>
                <w:szCs w:val="14"/>
                <w:color w:val="auto"/>
                <w:w w:val="76"/>
              </w:rPr>
              <w:t>$</w:t>
            </w:r>
          </w:p>
        </w:tc>
        <w:tc>
          <w:tcPr>
            <w:tcW w:w="300" w:type="dxa"/>
            <w:vAlign w:val="bottom"/>
            <w:gridSpan w:val="2"/>
          </w:tcPr>
          <w:p>
            <w:pPr>
              <w:ind w:left="2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5,976</w:t>
            </w:r>
          </w:p>
        </w:tc>
        <w:tc>
          <w:tcPr>
            <w:tcW w:w="300" w:type="dxa"/>
            <w:vAlign w:val="bottom"/>
            <w:gridSpan w:val="2"/>
          </w:tcPr>
          <w:p>
            <w:pPr>
              <w:jc w:val="right"/>
              <w:ind w:right="31"/>
              <w:spacing w:after="0"/>
              <w:rPr>
                <w:sz w:val="20"/>
                <w:szCs w:val="20"/>
                <w:color w:val="auto"/>
              </w:rPr>
            </w:pPr>
            <w:r>
              <w:rPr>
                <w:rFonts w:ascii="Arial" w:cs="Arial" w:eastAsia="Arial" w:hAnsi="Arial"/>
                <w:sz w:val="14"/>
                <w:szCs w:val="14"/>
                <w:color w:val="auto"/>
              </w:rPr>
              <w:t>$</w:t>
            </w:r>
          </w:p>
        </w:tc>
        <w:tc>
          <w:tcPr>
            <w:tcW w:w="480" w:type="dxa"/>
            <w:vAlign w:val="bottom"/>
          </w:tcPr>
          <w:p>
            <w:pPr>
              <w:jc w:val="right"/>
              <w:spacing w:after="0"/>
              <w:rPr>
                <w:sz w:val="20"/>
                <w:szCs w:val="20"/>
                <w:color w:val="auto"/>
              </w:rPr>
            </w:pPr>
            <w:r>
              <w:rPr>
                <w:rFonts w:ascii="Arial" w:cs="Arial" w:eastAsia="Arial" w:hAnsi="Arial"/>
                <w:sz w:val="14"/>
                <w:szCs w:val="14"/>
                <w:color w:val="auto"/>
              </w:rPr>
              <w:t>5,982</w:t>
            </w:r>
          </w:p>
        </w:tc>
        <w:tc>
          <w:tcPr>
            <w:tcW w:w="2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(2,052)</w:t>
            </w:r>
          </w:p>
        </w:tc>
        <w:tc>
          <w:tcPr>
            <w:tcW w:w="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56</w:t>
            </w:r>
          </w:p>
        </w:tc>
        <w:tc>
          <w:tcPr>
            <w:tcW w:w="580" w:type="dxa"/>
            <w:vAlign w:val="bottom"/>
            <w:gridSpan w:val="2"/>
          </w:tcPr>
          <w:p>
            <w:pPr>
              <w:jc w:val="right"/>
              <w:spacing w:after="0"/>
              <w:rPr>
                <w:sz w:val="20"/>
                <w:szCs w:val="20"/>
                <w:color w:val="auto"/>
              </w:rPr>
            </w:pPr>
            <w:r>
              <w:rPr>
                <w:rFonts w:ascii="Arial" w:cs="Arial" w:eastAsia="Arial" w:hAnsi="Arial"/>
                <w:sz w:val="14"/>
                <w:szCs w:val="14"/>
                <w:color w:val="auto"/>
              </w:rPr>
              <w:t>$(2,152)</w:t>
            </w:r>
          </w:p>
        </w:tc>
        <w:tc>
          <w:tcPr>
            <w:tcW w:w="200" w:type="dxa"/>
            <w:vAlign w:val="bottom"/>
            <w:gridSpan w:val="2"/>
          </w:tcPr>
          <w:p>
            <w:pPr>
              <w:ind w:left="120"/>
              <w:spacing w:after="0"/>
              <w:rPr>
                <w:sz w:val="20"/>
                <w:szCs w:val="20"/>
                <w:color w:val="auto"/>
              </w:rPr>
            </w:pPr>
            <w:r>
              <w:rPr>
                <w:rFonts w:ascii="Arial" w:cs="Arial" w:eastAsia="Arial" w:hAnsi="Arial"/>
                <w:sz w:val="14"/>
                <w:szCs w:val="14"/>
                <w:color w:val="auto"/>
                <w:w w:val="76"/>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778</w:t>
            </w:r>
          </w:p>
        </w:tc>
        <w:tc>
          <w:tcPr>
            <w:tcW w:w="2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460" w:type="dxa"/>
            <w:vAlign w:val="bottom"/>
          </w:tcPr>
          <w:p>
            <w:pPr>
              <w:jc w:val="right"/>
              <w:spacing w:after="0"/>
              <w:rPr>
                <w:sz w:val="20"/>
                <w:szCs w:val="20"/>
                <w:color w:val="auto"/>
              </w:rPr>
            </w:pPr>
            <w:r>
              <w:rPr>
                <w:rFonts w:ascii="Arial" w:cs="Arial" w:eastAsia="Arial" w:hAnsi="Arial"/>
                <w:sz w:val="14"/>
                <w:szCs w:val="14"/>
                <w:color w:val="auto"/>
              </w:rPr>
              <w:t>8,532</w:t>
            </w:r>
          </w:p>
        </w:tc>
        <w:tc>
          <w:tcPr>
            <w:tcW w:w="0" w:type="dxa"/>
            <w:vAlign w:val="bottom"/>
          </w:tcPr>
          <w:p>
            <w:pPr>
              <w:spacing w:after="0"/>
              <w:rPr>
                <w:sz w:val="1"/>
                <w:szCs w:val="1"/>
                <w:color w:val="auto"/>
              </w:rPr>
            </w:pPr>
          </w:p>
        </w:tc>
      </w:tr>
      <w:tr>
        <w:trPr>
          <w:trHeight w:val="20"/>
        </w:trPr>
        <w:tc>
          <w:tcPr>
            <w:tcW w:w="2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5" w:lineRule="exact"/>
        <w:rPr>
          <w:sz w:val="20"/>
          <w:szCs w:val="20"/>
          <w:color w:val="auto"/>
        </w:rPr>
      </w:pPr>
    </w:p>
    <w:p>
      <w:pPr>
        <w:jc w:val="center"/>
        <w:ind w:right="60"/>
        <w:spacing w:after="0"/>
        <w:rPr>
          <w:sz w:val="20"/>
          <w:szCs w:val="20"/>
          <w:color w:val="auto"/>
        </w:rPr>
      </w:pPr>
      <w:r>
        <w:rPr>
          <w:rFonts w:ascii="Arial" w:cs="Arial" w:eastAsia="Arial" w:hAnsi="Arial"/>
          <w:sz w:val="20"/>
          <w:szCs w:val="20"/>
          <w:color w:val="auto"/>
        </w:rPr>
        <w:t>See accompanying Notes to Consolidated Financial Statements</w:t>
      </w:r>
    </w:p>
    <w:p>
      <w:pPr>
        <w:sectPr>
          <w:pgSz w:w="11880" w:h="15480" w:orient="portrait"/>
          <w:cols w:equalWidth="0" w:num="1">
            <w:col w:w="9620"/>
          </w:cols>
          <w:pgMar w:left="1160" w:top="1002" w:right="11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60"/>
        <w:spacing w:after="0"/>
        <w:rPr>
          <w:sz w:val="20"/>
          <w:szCs w:val="20"/>
          <w:color w:val="auto"/>
        </w:rPr>
      </w:pPr>
      <w:r>
        <w:rPr>
          <w:rFonts w:ascii="Arial" w:cs="Arial" w:eastAsia="Arial" w:hAnsi="Arial"/>
          <w:sz w:val="16"/>
          <w:szCs w:val="16"/>
          <w:color w:val="auto"/>
        </w:rPr>
        <w:t>105</w:t>
      </w:r>
    </w:p>
    <w:p>
      <w:pPr>
        <w:sectPr>
          <w:pgSz w:w="11880" w:h="15480" w:orient="portrait"/>
          <w:cols w:equalWidth="0" w:num="1">
            <w:col w:w="9620"/>
          </w:cols>
          <w:pgMar w:left="1160" w:top="1002" w:right="1100" w:bottom="0" w:gutter="0" w:footer="0" w:header="0"/>
          <w:type w:val="continuous"/>
        </w:sectPr>
      </w:pPr>
    </w:p>
    <w:bookmarkStart w:id="117" w:name="page118"/>
    <w:bookmarkEnd w:id="117"/>
    <w:p>
      <w:pPr>
        <w:jc w:val="center"/>
        <w:ind w:right="60"/>
        <w:spacing w:after="0" w:line="262" w:lineRule="auto"/>
        <w:rPr>
          <w:sz w:val="20"/>
          <w:szCs w:val="20"/>
          <w:color w:val="auto"/>
        </w:rPr>
      </w:pPr>
      <w:r>
        <w:rPr>
          <w:rFonts w:ascii="Arial" w:cs="Arial" w:eastAsia="Arial" w:hAnsi="Arial"/>
          <w:sz w:val="20"/>
          <w:szCs w:val="20"/>
          <w:b w:val="1"/>
          <w:bCs w:val="1"/>
          <w:color w:val="auto"/>
        </w:rPr>
        <w:t xml:space="preserve">FIDELITY NATIONAL FINANCIAL, INC. AND SUBSIDIARIES CONSOLIDATED STATEMENTS OF EQUITY (CONTINUED) </w:t>
      </w:r>
      <w:r>
        <w:rPr>
          <w:rFonts w:ascii="Arial" w:cs="Arial" w:eastAsia="Arial" w:hAnsi="Arial"/>
          <w:sz w:val="20"/>
          <w:szCs w:val="20"/>
          <w:color w:val="auto"/>
        </w:rPr>
        <w:t>(In millions, except per share data)</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76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3700" w:type="dxa"/>
            <w:vAlign w:val="bottom"/>
            <w:tcBorders>
              <w:bottom w:val="single" w:sz="8" w:color="auto"/>
            </w:tcBorders>
            <w:gridSpan w:val="12"/>
          </w:tcPr>
          <w:p>
            <w:pPr>
              <w:ind w:left="20"/>
              <w:spacing w:after="0"/>
              <w:rPr>
                <w:sz w:val="20"/>
                <w:szCs w:val="20"/>
                <w:color w:val="auto"/>
              </w:rPr>
            </w:pPr>
            <w:r>
              <w:rPr>
                <w:rFonts w:ascii="Arial" w:cs="Arial" w:eastAsia="Arial" w:hAnsi="Arial"/>
                <w:sz w:val="14"/>
                <w:szCs w:val="14"/>
                <w:b w:val="1"/>
                <w:bCs w:val="1"/>
                <w:color w:val="auto"/>
              </w:rPr>
              <w:t>Fidelity National Financial, Inc. Common Shareholders</w:t>
            </w:r>
          </w:p>
        </w:tc>
        <w:tc>
          <w:tcPr>
            <w:tcW w:w="6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3"/>
        </w:trPr>
        <w:tc>
          <w:tcPr>
            <w:tcW w:w="2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8"/>
              </w:rPr>
              <w:t>Accumulated</w:t>
            </w: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gridSpan w:val="3"/>
          </w:tcPr>
          <w:p>
            <w:pPr>
              <w:jc w:val="center"/>
              <w:ind w:left="391"/>
              <w:spacing w:after="0"/>
              <w:rPr>
                <w:sz w:val="20"/>
                <w:szCs w:val="20"/>
                <w:color w:val="auto"/>
              </w:rPr>
            </w:pPr>
            <w:r>
              <w:rPr>
                <w:rFonts w:ascii="Arial" w:cs="Arial" w:eastAsia="Arial" w:hAnsi="Arial"/>
                <w:sz w:val="14"/>
                <w:szCs w:val="14"/>
                <w:b w:val="1"/>
                <w:bCs w:val="1"/>
                <w:color w:val="auto"/>
                <w:w w:val="95"/>
              </w:rPr>
              <w:t>FNF</w:t>
            </w: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6"/>
              </w:rPr>
              <w:t>Other</w:t>
            </w: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5"/>
        </w:trPr>
        <w:tc>
          <w:tcPr>
            <w:tcW w:w="2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gridSpan w:val="4"/>
          </w:tcPr>
          <w:p>
            <w:pPr>
              <w:jc w:val="center"/>
              <w:ind w:left="131"/>
              <w:spacing w:after="0"/>
              <w:rPr>
                <w:sz w:val="20"/>
                <w:szCs w:val="20"/>
                <w:color w:val="auto"/>
              </w:rPr>
            </w:pPr>
            <w:r>
              <w:rPr>
                <w:rFonts w:ascii="Arial" w:cs="Arial" w:eastAsia="Arial" w:hAnsi="Arial"/>
                <w:sz w:val="14"/>
                <w:szCs w:val="14"/>
                <w:b w:val="1"/>
                <w:bCs w:val="1"/>
                <w:color w:val="auto"/>
                <w:w w:val="88"/>
              </w:rPr>
              <w:t>Common</w:t>
            </w: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40" w:type="dxa"/>
            <w:vAlign w:val="bottom"/>
            <w:gridSpan w:val="2"/>
          </w:tcPr>
          <w:p>
            <w:pPr>
              <w:jc w:val="right"/>
              <w:ind w:right="31"/>
              <w:spacing w:after="0"/>
              <w:rPr>
                <w:sz w:val="20"/>
                <w:szCs w:val="20"/>
                <w:color w:val="auto"/>
              </w:rPr>
            </w:pPr>
            <w:r>
              <w:rPr>
                <w:rFonts w:ascii="Arial" w:cs="Arial" w:eastAsia="Arial" w:hAnsi="Arial"/>
                <w:sz w:val="14"/>
                <w:szCs w:val="14"/>
                <w:b w:val="1"/>
                <w:bCs w:val="1"/>
                <w:color w:val="auto"/>
              </w:rPr>
              <w:t>Additional</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2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87"/>
              </w:rPr>
              <w:t>Comprehensive</w:t>
            </w:r>
          </w:p>
        </w:tc>
        <w:tc>
          <w:tcPr>
            <w:tcW w:w="1180" w:type="dxa"/>
            <w:vAlign w:val="bottom"/>
            <w:gridSpan w:val="3"/>
          </w:tcPr>
          <w:p>
            <w:pPr>
              <w:jc w:val="right"/>
              <w:ind w:right="251"/>
              <w:spacing w:after="0"/>
              <w:rPr>
                <w:sz w:val="20"/>
                <w:szCs w:val="20"/>
                <w:color w:val="auto"/>
              </w:rPr>
            </w:pPr>
            <w:r>
              <w:rPr>
                <w:rFonts w:ascii="Arial" w:cs="Arial" w:eastAsia="Arial" w:hAnsi="Arial"/>
                <w:sz w:val="14"/>
                <w:szCs w:val="14"/>
                <w:b w:val="1"/>
                <w:bCs w:val="1"/>
                <w:color w:val="auto"/>
              </w:rPr>
              <w:t>Treasury</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ind w:right="171"/>
              <w:spacing w:after="0"/>
              <w:rPr>
                <w:sz w:val="20"/>
                <w:szCs w:val="20"/>
                <w:color w:val="auto"/>
              </w:rPr>
            </w:pPr>
            <w:r>
              <w:rPr>
                <w:rFonts w:ascii="Arial" w:cs="Arial" w:eastAsia="Arial" w:hAnsi="Arial"/>
                <w:sz w:val="14"/>
                <w:szCs w:val="14"/>
                <w:b w:val="1"/>
                <w:bCs w:val="1"/>
                <w:color w:val="auto"/>
              </w:rPr>
              <w:t>Non-</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0"/>
        </w:trPr>
        <w:tc>
          <w:tcPr>
            <w:tcW w:w="2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Borders>
              <w:bottom w:val="single" w:sz="8" w:color="auto"/>
            </w:tcBorders>
            <w:gridSpan w:val="4"/>
          </w:tcPr>
          <w:p>
            <w:pPr>
              <w:jc w:val="center"/>
              <w:ind w:left="151"/>
              <w:spacing w:after="0"/>
              <w:rPr>
                <w:sz w:val="20"/>
                <w:szCs w:val="20"/>
                <w:color w:val="auto"/>
              </w:rPr>
            </w:pPr>
            <w:r>
              <w:rPr>
                <w:rFonts w:ascii="Arial" w:cs="Arial" w:eastAsia="Arial" w:hAnsi="Arial"/>
                <w:sz w:val="14"/>
                <w:szCs w:val="14"/>
                <w:b w:val="1"/>
                <w:bCs w:val="1"/>
                <w:color w:val="auto"/>
                <w:w w:val="83"/>
              </w:rPr>
              <w:t>Stock</w:t>
            </w:r>
          </w:p>
        </w:tc>
        <w:tc>
          <w:tcPr>
            <w:tcW w:w="220" w:type="dxa"/>
            <w:vAlign w:val="bottom"/>
            <w:tcBorders>
              <w:bottom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jc w:val="right"/>
              <w:ind w:right="131"/>
              <w:spacing w:after="0"/>
              <w:rPr>
                <w:sz w:val="20"/>
                <w:szCs w:val="20"/>
                <w:color w:val="auto"/>
              </w:rPr>
            </w:pPr>
            <w:r>
              <w:rPr>
                <w:rFonts w:ascii="Arial" w:cs="Arial" w:eastAsia="Arial" w:hAnsi="Arial"/>
                <w:sz w:val="14"/>
                <w:szCs w:val="14"/>
                <w:b w:val="1"/>
                <w:bCs w:val="1"/>
                <w:color w:val="auto"/>
                <w:w w:val="98"/>
              </w:rPr>
              <w:t>Paid-in</w:t>
            </w:r>
          </w:p>
        </w:tc>
        <w:tc>
          <w:tcPr>
            <w:tcW w:w="80" w:type="dxa"/>
            <w:vAlign w:val="bottom"/>
          </w:tcPr>
          <w:p>
            <w:pPr>
              <w:spacing w:after="0"/>
              <w:rPr>
                <w:sz w:val="17"/>
                <w:szCs w:val="17"/>
                <w:color w:val="auto"/>
              </w:rPr>
            </w:pPr>
          </w:p>
        </w:tc>
        <w:tc>
          <w:tcPr>
            <w:tcW w:w="700" w:type="dxa"/>
            <w:vAlign w:val="bottom"/>
            <w:gridSpan w:val="2"/>
          </w:tcPr>
          <w:p>
            <w:pPr>
              <w:jc w:val="right"/>
              <w:ind w:right="11"/>
              <w:spacing w:after="0"/>
              <w:rPr>
                <w:sz w:val="20"/>
                <w:szCs w:val="20"/>
                <w:color w:val="auto"/>
              </w:rPr>
            </w:pPr>
            <w:r>
              <w:rPr>
                <w:rFonts w:ascii="Arial" w:cs="Arial" w:eastAsia="Arial" w:hAnsi="Arial"/>
                <w:sz w:val="14"/>
                <w:szCs w:val="14"/>
                <w:b w:val="1"/>
                <w:bCs w:val="1"/>
                <w:color w:val="auto"/>
              </w:rPr>
              <w:t>Retained</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Earnings</w:t>
            </w:r>
          </w:p>
        </w:tc>
        <w:tc>
          <w:tcPr>
            <w:tcW w:w="1180" w:type="dxa"/>
            <w:vAlign w:val="bottom"/>
            <w:tcBorders>
              <w:bottom w:val="single" w:sz="8" w:color="auto"/>
            </w:tcBorders>
            <w:gridSpan w:val="3"/>
          </w:tcPr>
          <w:p>
            <w:pPr>
              <w:jc w:val="right"/>
              <w:ind w:right="351"/>
              <w:spacing w:after="0"/>
              <w:rPr>
                <w:sz w:val="20"/>
                <w:szCs w:val="20"/>
                <w:color w:val="auto"/>
              </w:rPr>
            </w:pPr>
            <w:r>
              <w:rPr>
                <w:rFonts w:ascii="Arial" w:cs="Arial" w:eastAsia="Arial" w:hAnsi="Arial"/>
                <w:sz w:val="14"/>
                <w:szCs w:val="14"/>
                <w:b w:val="1"/>
                <w:bCs w:val="1"/>
                <w:color w:val="auto"/>
              </w:rPr>
              <w:t>Stock</w:t>
            </w:r>
          </w:p>
        </w:tc>
        <w:tc>
          <w:tcPr>
            <w:tcW w:w="80" w:type="dxa"/>
            <w:vAlign w:val="bottom"/>
          </w:tcPr>
          <w:p>
            <w:pPr>
              <w:spacing w:after="0"/>
              <w:rPr>
                <w:sz w:val="17"/>
                <w:szCs w:val="17"/>
                <w:color w:val="auto"/>
              </w:rPr>
            </w:pPr>
          </w:p>
        </w:tc>
        <w:tc>
          <w:tcPr>
            <w:tcW w:w="780" w:type="dxa"/>
            <w:vAlign w:val="bottom"/>
            <w:gridSpan w:val="2"/>
          </w:tcPr>
          <w:p>
            <w:pPr>
              <w:ind w:left="60"/>
              <w:spacing w:after="0"/>
              <w:rPr>
                <w:sz w:val="20"/>
                <w:szCs w:val="20"/>
                <w:color w:val="auto"/>
              </w:rPr>
            </w:pPr>
            <w:r>
              <w:rPr>
                <w:rFonts w:ascii="Arial" w:cs="Arial" w:eastAsia="Arial" w:hAnsi="Arial"/>
                <w:sz w:val="14"/>
                <w:szCs w:val="14"/>
                <w:b w:val="1"/>
                <w:bCs w:val="1"/>
                <w:color w:val="auto"/>
                <w:w w:val="96"/>
              </w:rPr>
              <w:t>controlling</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jc w:val="right"/>
              <w:ind w:right="71"/>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230"/>
        </w:trPr>
        <w:tc>
          <w:tcPr>
            <w:tcW w:w="2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b w:val="1"/>
                <w:bCs w:val="1"/>
                <w:color w:val="auto"/>
              </w:rPr>
              <w:t>Shares</w:t>
            </w:r>
          </w:p>
        </w:tc>
        <w:tc>
          <w:tcPr>
            <w:tcW w:w="8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22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b w:val="1"/>
                <w:bCs w:val="1"/>
                <w:color w:val="auto"/>
                <w:w w:val="98"/>
              </w:rPr>
              <w:t>Capital</w:t>
            </w:r>
          </w:p>
        </w:tc>
        <w:tc>
          <w:tcPr>
            <w:tcW w:w="80" w:type="dxa"/>
            <w:vAlign w:val="bottom"/>
          </w:tcPr>
          <w:p>
            <w:pPr>
              <w:spacing w:after="0"/>
              <w:rPr>
                <w:sz w:val="19"/>
                <w:szCs w:val="19"/>
                <w:color w:val="auto"/>
              </w:rPr>
            </w:pPr>
          </w:p>
        </w:tc>
        <w:tc>
          <w:tcPr>
            <w:tcW w:w="700" w:type="dxa"/>
            <w:vAlign w:val="bottom"/>
            <w:tcBorders>
              <w:bottom w:val="single" w:sz="8" w:color="auto"/>
            </w:tcBorders>
            <w:gridSpan w:val="2"/>
          </w:tcPr>
          <w:p>
            <w:pPr>
              <w:jc w:val="right"/>
              <w:ind w:right="11"/>
              <w:spacing w:after="0"/>
              <w:rPr>
                <w:sz w:val="20"/>
                <w:szCs w:val="20"/>
                <w:color w:val="auto"/>
              </w:rPr>
            </w:pPr>
            <w:r>
              <w:rPr>
                <w:rFonts w:ascii="Arial" w:cs="Arial" w:eastAsia="Arial" w:hAnsi="Arial"/>
                <w:sz w:val="14"/>
                <w:szCs w:val="14"/>
                <w:b w:val="1"/>
                <w:bCs w:val="1"/>
                <w:color w:val="auto"/>
              </w:rPr>
              <w:t>Earnings</w:t>
            </w:r>
          </w:p>
        </w:tc>
        <w:tc>
          <w:tcPr>
            <w:tcW w:w="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center"/>
              <w:ind w:right="51"/>
              <w:spacing w:after="0"/>
              <w:rPr>
                <w:sz w:val="20"/>
                <w:szCs w:val="20"/>
                <w:color w:val="auto"/>
              </w:rPr>
            </w:pPr>
            <w:r>
              <w:rPr>
                <w:rFonts w:ascii="Arial" w:cs="Arial" w:eastAsia="Arial" w:hAnsi="Arial"/>
                <w:sz w:val="14"/>
                <w:szCs w:val="14"/>
                <w:b w:val="1"/>
                <w:bCs w:val="1"/>
                <w:color w:val="auto"/>
                <w:w w:val="85"/>
              </w:rPr>
              <w:t>(Loss)</w:t>
            </w:r>
          </w:p>
        </w:tc>
        <w:tc>
          <w:tcPr>
            <w:tcW w:w="80" w:type="dxa"/>
            <w:vAlign w:val="bottom"/>
          </w:tcPr>
          <w:p>
            <w:pPr>
              <w:spacing w:after="0"/>
              <w:rPr>
                <w:sz w:val="19"/>
                <w:szCs w:val="19"/>
                <w:color w:val="auto"/>
              </w:rPr>
            </w:pPr>
          </w:p>
        </w:tc>
        <w:tc>
          <w:tcPr>
            <w:tcW w:w="60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b w:val="1"/>
                <w:bCs w:val="1"/>
                <w:color w:val="auto"/>
              </w:rPr>
              <w:t>Shares</w:t>
            </w:r>
          </w:p>
        </w:tc>
        <w:tc>
          <w:tcPr>
            <w:tcW w:w="60" w:type="dxa"/>
            <w:vAlign w:val="bottom"/>
          </w:tcPr>
          <w:p>
            <w:pPr>
              <w:spacing w:after="0"/>
              <w:rPr>
                <w:sz w:val="19"/>
                <w:szCs w:val="19"/>
                <w:color w:val="auto"/>
              </w:rPr>
            </w:pPr>
          </w:p>
        </w:tc>
        <w:tc>
          <w:tcPr>
            <w:tcW w:w="52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71"/>
              <w:spacing w:after="0"/>
              <w:rPr>
                <w:sz w:val="20"/>
                <w:szCs w:val="20"/>
                <w:color w:val="auto"/>
              </w:rPr>
            </w:pPr>
            <w:r>
              <w:rPr>
                <w:rFonts w:ascii="Arial" w:cs="Arial" w:eastAsia="Arial" w:hAnsi="Arial"/>
                <w:sz w:val="14"/>
                <w:szCs w:val="14"/>
                <w:b w:val="1"/>
                <w:bCs w:val="1"/>
                <w:color w:val="auto"/>
                <w:w w:val="85"/>
              </w:rPr>
              <w:t>Interests</w:t>
            </w:r>
          </w:p>
        </w:tc>
        <w:tc>
          <w:tcPr>
            <w:tcW w:w="60" w:type="dxa"/>
            <w:vAlign w:val="bottom"/>
          </w:tcPr>
          <w:p>
            <w:pPr>
              <w:spacing w:after="0"/>
              <w:rPr>
                <w:sz w:val="19"/>
                <w:szCs w:val="19"/>
                <w:color w:val="auto"/>
              </w:rPr>
            </w:pPr>
          </w:p>
        </w:tc>
        <w:tc>
          <w:tcPr>
            <w:tcW w:w="600" w:type="dxa"/>
            <w:vAlign w:val="bottom"/>
            <w:tcBorders>
              <w:bottom w:val="single" w:sz="8" w:color="auto"/>
            </w:tcBorders>
            <w:gridSpan w:val="2"/>
          </w:tcPr>
          <w:p>
            <w:pPr>
              <w:jc w:val="right"/>
              <w:ind w:right="31"/>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92"/>
        </w:trPr>
        <w:tc>
          <w:tcPr>
            <w:tcW w:w="2760" w:type="dxa"/>
            <w:vAlign w:val="bottom"/>
          </w:tcPr>
          <w:p>
            <w:pPr>
              <w:spacing w:after="0"/>
              <w:rPr>
                <w:sz w:val="20"/>
                <w:szCs w:val="20"/>
                <w:color w:val="auto"/>
              </w:rPr>
            </w:pPr>
            <w:r>
              <w:rPr>
                <w:rFonts w:ascii="Arial" w:cs="Arial" w:eastAsia="Arial" w:hAnsi="Arial"/>
                <w:sz w:val="14"/>
                <w:szCs w:val="14"/>
                <w:color w:val="auto"/>
              </w:rPr>
              <w:t>Balance, January 1, 2025</w:t>
            </w:r>
          </w:p>
        </w:tc>
        <w:tc>
          <w:tcPr>
            <w:tcW w:w="680" w:type="dxa"/>
            <w:vAlign w:val="bottom"/>
            <w:gridSpan w:val="2"/>
          </w:tcPr>
          <w:p>
            <w:pPr>
              <w:jc w:val="right"/>
              <w:spacing w:after="0"/>
              <w:rPr>
                <w:sz w:val="20"/>
                <w:szCs w:val="20"/>
                <w:color w:val="auto"/>
              </w:rPr>
            </w:pPr>
            <w:r>
              <w:rPr>
                <w:rFonts w:ascii="Arial" w:cs="Arial" w:eastAsia="Arial" w:hAnsi="Arial"/>
                <w:sz w:val="14"/>
                <w:szCs w:val="14"/>
                <w:color w:val="auto"/>
              </w:rPr>
              <w:t>331</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0" w:type="dxa"/>
            <w:vAlign w:val="bottom"/>
          </w:tcPr>
          <w:p>
            <w:pPr>
              <w:jc w:val="right"/>
              <w:ind w:right="111"/>
              <w:spacing w:after="0"/>
              <w:rPr>
                <w:sz w:val="20"/>
                <w:szCs w:val="20"/>
                <w:color w:val="auto"/>
              </w:rPr>
            </w:pPr>
            <w:r>
              <w:rPr>
                <w:rFonts w:ascii="Arial" w:cs="Arial" w:eastAsia="Arial" w:hAnsi="Arial"/>
                <w:sz w:val="14"/>
                <w:szCs w:val="14"/>
                <w:color w:val="auto"/>
                <w:w w:val="76"/>
              </w:rPr>
              <w:t>$</w:t>
            </w:r>
          </w:p>
        </w:tc>
        <w:tc>
          <w:tcPr>
            <w:tcW w:w="220" w:type="dxa"/>
            <w:vAlign w:val="bottom"/>
          </w:tcPr>
          <w:p>
            <w:pPr>
              <w:ind w:left="20"/>
              <w:spacing w:after="0"/>
              <w:rPr>
                <w:sz w:val="20"/>
                <w:szCs w:val="20"/>
                <w:color w:val="auto"/>
              </w:rPr>
            </w:pPr>
            <w:r>
              <w:rPr>
                <w:rFonts w:ascii="Arial" w:cs="Arial" w:eastAsia="Arial" w:hAnsi="Arial"/>
                <w:sz w:val="14"/>
                <w:szCs w:val="14"/>
                <w:color w:val="auto"/>
              </w:rPr>
              <w:t>—</w:t>
            </w: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5,976</w:t>
            </w:r>
          </w:p>
        </w:tc>
        <w:tc>
          <w:tcPr>
            <w:tcW w:w="300" w:type="dxa"/>
            <w:vAlign w:val="bottom"/>
            <w:gridSpan w:val="2"/>
          </w:tcPr>
          <w:p>
            <w:pPr>
              <w:jc w:val="right"/>
              <w:ind w:right="31"/>
              <w:spacing w:after="0"/>
              <w:rPr>
                <w:sz w:val="20"/>
                <w:szCs w:val="20"/>
                <w:color w:val="auto"/>
              </w:rPr>
            </w:pPr>
            <w:r>
              <w:rPr>
                <w:rFonts w:ascii="Arial" w:cs="Arial" w:eastAsia="Arial" w:hAnsi="Arial"/>
                <w:sz w:val="14"/>
                <w:szCs w:val="14"/>
                <w:color w:val="auto"/>
              </w:rPr>
              <w:t>$</w:t>
            </w:r>
          </w:p>
        </w:tc>
        <w:tc>
          <w:tcPr>
            <w:tcW w:w="480" w:type="dxa"/>
            <w:vAlign w:val="bottom"/>
          </w:tcPr>
          <w:p>
            <w:pPr>
              <w:jc w:val="right"/>
              <w:spacing w:after="0"/>
              <w:rPr>
                <w:sz w:val="20"/>
                <w:szCs w:val="20"/>
                <w:color w:val="auto"/>
              </w:rPr>
            </w:pPr>
            <w:r>
              <w:rPr>
                <w:rFonts w:ascii="Arial" w:cs="Arial" w:eastAsia="Arial" w:hAnsi="Arial"/>
                <w:sz w:val="14"/>
                <w:szCs w:val="14"/>
                <w:color w:val="auto"/>
              </w:rPr>
              <w:t>5,982</w:t>
            </w:r>
          </w:p>
        </w:tc>
        <w:tc>
          <w:tcPr>
            <w:tcW w:w="2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(2,052)</w:t>
            </w:r>
          </w:p>
        </w:tc>
        <w:tc>
          <w:tcPr>
            <w:tcW w:w="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56</w:t>
            </w:r>
          </w:p>
        </w:tc>
        <w:tc>
          <w:tcPr>
            <w:tcW w:w="580" w:type="dxa"/>
            <w:vAlign w:val="bottom"/>
            <w:gridSpan w:val="2"/>
          </w:tcPr>
          <w:p>
            <w:pPr>
              <w:jc w:val="right"/>
              <w:spacing w:after="0"/>
              <w:rPr>
                <w:sz w:val="20"/>
                <w:szCs w:val="20"/>
                <w:color w:val="auto"/>
              </w:rPr>
            </w:pPr>
            <w:r>
              <w:rPr>
                <w:rFonts w:ascii="Arial" w:cs="Arial" w:eastAsia="Arial" w:hAnsi="Arial"/>
                <w:sz w:val="14"/>
                <w:szCs w:val="14"/>
                <w:color w:val="auto"/>
              </w:rPr>
              <w:t>$(2,152)</w:t>
            </w:r>
          </w:p>
        </w:tc>
        <w:tc>
          <w:tcPr>
            <w:tcW w:w="200" w:type="dxa"/>
            <w:vAlign w:val="bottom"/>
            <w:gridSpan w:val="2"/>
          </w:tcPr>
          <w:p>
            <w:pPr>
              <w:ind w:left="120"/>
              <w:spacing w:after="0"/>
              <w:rPr>
                <w:sz w:val="20"/>
                <w:szCs w:val="20"/>
                <w:color w:val="auto"/>
              </w:rPr>
            </w:pPr>
            <w:r>
              <w:rPr>
                <w:rFonts w:ascii="Arial" w:cs="Arial" w:eastAsia="Arial" w:hAnsi="Arial"/>
                <w:sz w:val="14"/>
                <w:szCs w:val="14"/>
                <w:color w:val="auto"/>
                <w:w w:val="76"/>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778</w:t>
            </w:r>
          </w:p>
        </w:tc>
        <w:tc>
          <w:tcPr>
            <w:tcW w:w="2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460" w:type="dxa"/>
            <w:vAlign w:val="bottom"/>
          </w:tcPr>
          <w:p>
            <w:pPr>
              <w:jc w:val="right"/>
              <w:spacing w:after="0"/>
              <w:rPr>
                <w:sz w:val="20"/>
                <w:szCs w:val="20"/>
                <w:color w:val="auto"/>
              </w:rPr>
            </w:pPr>
            <w:r>
              <w:rPr>
                <w:rFonts w:ascii="Arial" w:cs="Arial" w:eastAsia="Arial" w:hAnsi="Arial"/>
                <w:sz w:val="14"/>
                <w:szCs w:val="14"/>
                <w:color w:val="auto"/>
              </w:rPr>
              <w:t>8,532</w:t>
            </w:r>
          </w:p>
        </w:tc>
        <w:tc>
          <w:tcPr>
            <w:tcW w:w="0" w:type="dxa"/>
            <w:vAlign w:val="bottom"/>
          </w:tcPr>
          <w:p>
            <w:pPr>
              <w:spacing w:after="0"/>
              <w:rPr>
                <w:sz w:val="1"/>
                <w:szCs w:val="1"/>
                <w:color w:val="auto"/>
              </w:rPr>
            </w:pPr>
          </w:p>
        </w:tc>
      </w:tr>
      <w:tr>
        <w:trPr>
          <w:trHeight w:val="221"/>
        </w:trPr>
        <w:tc>
          <w:tcPr>
            <w:tcW w:w="2760" w:type="dxa"/>
            <w:vAlign w:val="bottom"/>
          </w:tcPr>
          <w:p>
            <w:pPr>
              <w:spacing w:after="0"/>
              <w:rPr>
                <w:sz w:val="20"/>
                <w:szCs w:val="20"/>
                <w:color w:val="auto"/>
              </w:rPr>
            </w:pPr>
            <w:r>
              <w:rPr>
                <w:rFonts w:ascii="Arial" w:cs="Arial" w:eastAsia="Arial" w:hAnsi="Arial"/>
                <w:sz w:val="14"/>
                <w:szCs w:val="14"/>
                <w:color w:val="auto"/>
              </w:rPr>
              <w:t>Exercise of stock options</w:t>
            </w:r>
          </w:p>
        </w:tc>
        <w:tc>
          <w:tcPr>
            <w:tcW w:w="80" w:type="dxa"/>
            <w:vAlign w:val="bottom"/>
          </w:tcPr>
          <w:p>
            <w:pPr>
              <w:spacing w:after="0"/>
              <w:rPr>
                <w:sz w:val="19"/>
                <w:szCs w:val="19"/>
                <w:color w:val="auto"/>
              </w:rPr>
            </w:pPr>
          </w:p>
        </w:tc>
        <w:tc>
          <w:tcPr>
            <w:tcW w:w="72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9"/>
                <w:szCs w:val="19"/>
                <w:color w:val="auto"/>
              </w:rPr>
            </w:pPr>
          </w:p>
        </w:tc>
        <w:tc>
          <w:tcPr>
            <w:tcW w:w="220" w:type="dxa"/>
            <w:vAlign w:val="bottom"/>
          </w:tcPr>
          <w:p>
            <w:pPr>
              <w:ind w:left="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4</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235"/>
        </w:trPr>
        <w:tc>
          <w:tcPr>
            <w:tcW w:w="2760" w:type="dxa"/>
            <w:vAlign w:val="bottom"/>
          </w:tcPr>
          <w:p>
            <w:pPr>
              <w:spacing w:after="0"/>
              <w:rPr>
                <w:sz w:val="20"/>
                <w:szCs w:val="20"/>
                <w:color w:val="auto"/>
              </w:rPr>
            </w:pPr>
            <w:r>
              <w:rPr>
                <w:rFonts w:ascii="Arial" w:cs="Arial" w:eastAsia="Arial" w:hAnsi="Arial"/>
                <w:sz w:val="14"/>
                <w:szCs w:val="14"/>
                <w:color w:val="auto"/>
              </w:rPr>
              <w:t>F&amp;G common stock offering</w:t>
            </w:r>
          </w:p>
        </w:tc>
        <w:tc>
          <w:tcPr>
            <w:tcW w:w="80" w:type="dxa"/>
            <w:vAlign w:val="bottom"/>
          </w:tcPr>
          <w:p>
            <w:pPr>
              <w:spacing w:after="0"/>
              <w:rPr>
                <w:sz w:val="20"/>
                <w:szCs w:val="20"/>
                <w:color w:val="auto"/>
              </w:rPr>
            </w:pPr>
          </w:p>
        </w:tc>
        <w:tc>
          <w:tcPr>
            <w:tcW w:w="72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0"/>
                <w:szCs w:val="20"/>
                <w:color w:val="auto"/>
              </w:rPr>
            </w:pPr>
          </w:p>
        </w:tc>
        <w:tc>
          <w:tcPr>
            <w:tcW w:w="220" w:type="dxa"/>
            <w:vAlign w:val="bottom"/>
          </w:tcPr>
          <w:p>
            <w:pPr>
              <w:ind w:left="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8</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109</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117</w:t>
            </w:r>
          </w:p>
        </w:tc>
        <w:tc>
          <w:tcPr>
            <w:tcW w:w="0" w:type="dxa"/>
            <w:vAlign w:val="bottom"/>
          </w:tcPr>
          <w:p>
            <w:pPr>
              <w:spacing w:after="0"/>
              <w:rPr>
                <w:sz w:val="1"/>
                <w:szCs w:val="1"/>
                <w:color w:val="auto"/>
              </w:rPr>
            </w:pPr>
          </w:p>
        </w:tc>
      </w:tr>
      <w:tr>
        <w:trPr>
          <w:trHeight w:val="235"/>
        </w:trPr>
        <w:tc>
          <w:tcPr>
            <w:tcW w:w="2760" w:type="dxa"/>
            <w:vAlign w:val="bottom"/>
          </w:tcPr>
          <w:p>
            <w:pPr>
              <w:spacing w:after="0"/>
              <w:rPr>
                <w:sz w:val="20"/>
                <w:szCs w:val="20"/>
                <w:color w:val="auto"/>
              </w:rPr>
            </w:pPr>
            <w:r>
              <w:rPr>
                <w:rFonts w:ascii="Arial" w:cs="Arial" w:eastAsia="Arial" w:hAnsi="Arial"/>
                <w:sz w:val="14"/>
                <w:szCs w:val="14"/>
                <w:color w:val="auto"/>
              </w:rPr>
              <w:t>Treasury stock repurchased</w:t>
            </w:r>
          </w:p>
        </w:tc>
        <w:tc>
          <w:tcPr>
            <w:tcW w:w="80" w:type="dxa"/>
            <w:vAlign w:val="bottom"/>
          </w:tcPr>
          <w:p>
            <w:pPr>
              <w:spacing w:after="0"/>
              <w:rPr>
                <w:sz w:val="20"/>
                <w:szCs w:val="20"/>
                <w:color w:val="auto"/>
              </w:rPr>
            </w:pPr>
          </w:p>
        </w:tc>
        <w:tc>
          <w:tcPr>
            <w:tcW w:w="72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0"/>
                <w:szCs w:val="20"/>
                <w:color w:val="auto"/>
              </w:rPr>
            </w:pPr>
          </w:p>
        </w:tc>
        <w:tc>
          <w:tcPr>
            <w:tcW w:w="220" w:type="dxa"/>
            <w:vAlign w:val="bottom"/>
          </w:tcPr>
          <w:p>
            <w:pPr>
              <w:ind w:left="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5</w:t>
            </w:r>
          </w:p>
        </w:tc>
        <w:tc>
          <w:tcPr>
            <w:tcW w:w="580" w:type="dxa"/>
            <w:vAlign w:val="bottom"/>
            <w:gridSpan w:val="2"/>
          </w:tcPr>
          <w:p>
            <w:pPr>
              <w:jc w:val="right"/>
              <w:spacing w:after="0"/>
              <w:rPr>
                <w:sz w:val="20"/>
                <w:szCs w:val="20"/>
                <w:color w:val="auto"/>
              </w:rPr>
            </w:pPr>
            <w:r>
              <w:rPr>
                <w:rFonts w:ascii="Arial" w:cs="Arial" w:eastAsia="Arial" w:hAnsi="Arial"/>
                <w:sz w:val="14"/>
                <w:szCs w:val="14"/>
                <w:color w:val="auto"/>
              </w:rPr>
              <w:t>(254)</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(254)</w:t>
            </w:r>
          </w:p>
        </w:tc>
        <w:tc>
          <w:tcPr>
            <w:tcW w:w="0" w:type="dxa"/>
            <w:vAlign w:val="bottom"/>
          </w:tcPr>
          <w:p>
            <w:pPr>
              <w:spacing w:after="0"/>
              <w:rPr>
                <w:sz w:val="1"/>
                <w:szCs w:val="1"/>
                <w:color w:val="auto"/>
              </w:rPr>
            </w:pPr>
          </w:p>
        </w:tc>
      </w:tr>
      <w:tr>
        <w:trPr>
          <w:trHeight w:val="235"/>
        </w:trPr>
        <w:tc>
          <w:tcPr>
            <w:tcW w:w="2760" w:type="dxa"/>
            <w:vAlign w:val="bottom"/>
          </w:tcPr>
          <w:p>
            <w:pPr>
              <w:spacing w:after="0"/>
              <w:rPr>
                <w:sz w:val="20"/>
                <w:szCs w:val="20"/>
                <w:color w:val="auto"/>
              </w:rPr>
            </w:pPr>
            <w:r>
              <w:rPr>
                <w:rFonts w:ascii="Arial" w:cs="Arial" w:eastAsia="Arial" w:hAnsi="Arial"/>
                <w:sz w:val="14"/>
                <w:szCs w:val="14"/>
                <w:color w:val="auto"/>
              </w:rPr>
              <w:t>Issuance of restricted stock</w:t>
            </w:r>
          </w:p>
        </w:tc>
        <w:tc>
          <w:tcPr>
            <w:tcW w:w="680" w:type="dxa"/>
            <w:vAlign w:val="bottom"/>
            <w:gridSpan w:val="2"/>
          </w:tcPr>
          <w:p>
            <w:pPr>
              <w:jc w:val="right"/>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ind w:left="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1"/>
        </w:trPr>
        <w:tc>
          <w:tcPr>
            <w:tcW w:w="2760" w:type="dxa"/>
            <w:vAlign w:val="bottom"/>
          </w:tcPr>
          <w:p>
            <w:pPr>
              <w:spacing w:after="0"/>
              <w:rPr>
                <w:sz w:val="20"/>
                <w:szCs w:val="20"/>
                <w:color w:val="auto"/>
              </w:rPr>
            </w:pPr>
            <w:r>
              <w:rPr>
                <w:rFonts w:ascii="Arial" w:cs="Arial" w:eastAsia="Arial" w:hAnsi="Arial"/>
                <w:sz w:val="14"/>
                <w:szCs w:val="14"/>
                <w:color w:val="auto"/>
                <w:w w:val="95"/>
              </w:rPr>
              <w:t>Purchase of incremental share in consolidated</w:t>
            </w:r>
          </w:p>
        </w:tc>
        <w:tc>
          <w:tcPr>
            <w:tcW w:w="80" w:type="dxa"/>
            <w:vAlign w:val="bottom"/>
          </w:tcPr>
          <w:p>
            <w:pPr>
              <w:spacing w:after="0"/>
              <w:rPr>
                <w:sz w:val="16"/>
                <w:szCs w:val="16"/>
                <w:color w:val="auto"/>
              </w:rPr>
            </w:pPr>
          </w:p>
        </w:tc>
        <w:tc>
          <w:tcPr>
            <w:tcW w:w="720" w:type="dxa"/>
            <w:vAlign w:val="bottom"/>
            <w:gridSpan w:val="3"/>
            <w:vMerge w:val="restart"/>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220" w:type="dxa"/>
            <w:vAlign w:val="bottom"/>
            <w:vMerge w:val="restart"/>
          </w:tcPr>
          <w:p>
            <w:pPr>
              <w:ind w:left="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(6)</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5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(3)</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vMerge w:val="restart"/>
          </w:tcPr>
          <w:p>
            <w:pPr>
              <w:jc w:val="right"/>
              <w:spacing w:after="0"/>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176"/>
        </w:trPr>
        <w:tc>
          <w:tcPr>
            <w:tcW w:w="2760" w:type="dxa"/>
            <w:vAlign w:val="bottom"/>
          </w:tcPr>
          <w:p>
            <w:pPr>
              <w:spacing w:after="0"/>
              <w:rPr>
                <w:sz w:val="20"/>
                <w:szCs w:val="20"/>
                <w:color w:val="auto"/>
              </w:rPr>
            </w:pPr>
            <w:r>
              <w:rPr>
                <w:rFonts w:ascii="Arial" w:cs="Arial" w:eastAsia="Arial" w:hAnsi="Arial"/>
                <w:sz w:val="14"/>
                <w:szCs w:val="14"/>
                <w:color w:val="auto"/>
              </w:rPr>
              <w:t>subsidiaries</w:t>
            </w:r>
          </w:p>
        </w:tc>
        <w:tc>
          <w:tcPr>
            <w:tcW w:w="80" w:type="dxa"/>
            <w:vAlign w:val="bottom"/>
          </w:tcPr>
          <w:p>
            <w:pPr>
              <w:spacing w:after="0"/>
              <w:rPr>
                <w:sz w:val="15"/>
                <w:szCs w:val="15"/>
                <w:color w:val="auto"/>
              </w:rPr>
            </w:pPr>
          </w:p>
        </w:tc>
        <w:tc>
          <w:tcPr>
            <w:tcW w:w="720" w:type="dxa"/>
            <w:vAlign w:val="bottom"/>
            <w:gridSpan w:val="3"/>
            <w:vMerge w:val="continue"/>
          </w:tcPr>
          <w:p>
            <w:pPr>
              <w:spacing w:after="0"/>
              <w:rPr>
                <w:sz w:val="15"/>
                <w:szCs w:val="15"/>
                <w:color w:val="auto"/>
              </w:rPr>
            </w:pPr>
          </w:p>
        </w:tc>
        <w:tc>
          <w:tcPr>
            <w:tcW w:w="260" w:type="dxa"/>
            <w:vAlign w:val="bottom"/>
          </w:tcPr>
          <w:p>
            <w:pPr>
              <w:spacing w:after="0"/>
              <w:rPr>
                <w:sz w:val="15"/>
                <w:szCs w:val="15"/>
                <w:color w:val="auto"/>
              </w:rPr>
            </w:pPr>
          </w:p>
        </w:tc>
        <w:tc>
          <w:tcPr>
            <w:tcW w:w="22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8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vMerge w:val="continue"/>
          </w:tcPr>
          <w:p>
            <w:pPr>
              <w:spacing w:after="0"/>
              <w:rPr>
                <w:sz w:val="15"/>
                <w:szCs w:val="15"/>
                <w:color w:val="auto"/>
              </w:rPr>
            </w:pPr>
          </w:p>
        </w:tc>
        <w:tc>
          <w:tcPr>
            <w:tcW w:w="60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5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2760" w:type="dxa"/>
            <w:vAlign w:val="bottom"/>
          </w:tcPr>
          <w:p>
            <w:pPr>
              <w:spacing w:after="0"/>
              <w:rPr>
                <w:sz w:val="20"/>
                <w:szCs w:val="20"/>
                <w:color w:val="auto"/>
              </w:rPr>
            </w:pPr>
            <w:r>
              <w:rPr>
                <w:rFonts w:ascii="Arial" w:cs="Arial" w:eastAsia="Arial" w:hAnsi="Arial"/>
                <w:sz w:val="14"/>
                <w:szCs w:val="14"/>
                <w:color w:val="auto"/>
                <w:w w:val="91"/>
              </w:rPr>
              <w:t>Other comprehensive earnings - unrealized gain</w:t>
            </w:r>
          </w:p>
        </w:tc>
        <w:tc>
          <w:tcPr>
            <w:tcW w:w="80" w:type="dxa"/>
            <w:vAlign w:val="bottom"/>
          </w:tcPr>
          <w:p>
            <w:pPr>
              <w:spacing w:after="0"/>
              <w:rPr>
                <w:sz w:val="16"/>
                <w:szCs w:val="16"/>
                <w:color w:val="auto"/>
              </w:rPr>
            </w:pPr>
          </w:p>
        </w:tc>
        <w:tc>
          <w:tcPr>
            <w:tcW w:w="720" w:type="dxa"/>
            <w:vAlign w:val="bottom"/>
            <w:gridSpan w:val="3"/>
            <w:vMerge w:val="restart"/>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220" w:type="dxa"/>
            <w:vAlign w:val="bottom"/>
            <w:vMerge w:val="restart"/>
          </w:tcPr>
          <w:p>
            <w:pPr>
              <w:ind w:left="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709</w:t>
            </w:r>
          </w:p>
        </w:tc>
        <w:tc>
          <w:tcPr>
            <w:tcW w:w="80" w:type="dxa"/>
            <w:vAlign w:val="bottom"/>
          </w:tcPr>
          <w:p>
            <w:pPr>
              <w:spacing w:after="0"/>
              <w:rPr>
                <w:sz w:val="16"/>
                <w:szCs w:val="16"/>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5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vMerge w:val="restart"/>
          </w:tcPr>
          <w:p>
            <w:pPr>
              <w:jc w:val="right"/>
              <w:spacing w:after="0"/>
              <w:rPr>
                <w:sz w:val="20"/>
                <w:szCs w:val="20"/>
                <w:color w:val="auto"/>
              </w:rPr>
            </w:pPr>
            <w:r>
              <w:rPr>
                <w:rFonts w:ascii="Arial" w:cs="Arial" w:eastAsia="Arial" w:hAnsi="Arial"/>
                <w:sz w:val="14"/>
                <w:szCs w:val="14"/>
                <w:color w:val="auto"/>
              </w:rPr>
              <w:t>709</w:t>
            </w:r>
          </w:p>
        </w:tc>
        <w:tc>
          <w:tcPr>
            <w:tcW w:w="0" w:type="dxa"/>
            <w:vAlign w:val="bottom"/>
          </w:tcPr>
          <w:p>
            <w:pPr>
              <w:spacing w:after="0"/>
              <w:rPr>
                <w:sz w:val="1"/>
                <w:szCs w:val="1"/>
                <w:color w:val="auto"/>
              </w:rPr>
            </w:pPr>
          </w:p>
        </w:tc>
      </w:tr>
      <w:tr>
        <w:trPr>
          <w:trHeight w:val="176"/>
        </w:trPr>
        <w:tc>
          <w:tcPr>
            <w:tcW w:w="2760" w:type="dxa"/>
            <w:vAlign w:val="bottom"/>
          </w:tcPr>
          <w:p>
            <w:pPr>
              <w:spacing w:after="0"/>
              <w:rPr>
                <w:sz w:val="20"/>
                <w:szCs w:val="20"/>
                <w:color w:val="auto"/>
              </w:rPr>
            </w:pPr>
            <w:r>
              <w:rPr>
                <w:rFonts w:ascii="Arial" w:cs="Arial" w:eastAsia="Arial" w:hAnsi="Arial"/>
                <w:sz w:val="14"/>
                <w:szCs w:val="14"/>
                <w:color w:val="auto"/>
                <w:w w:val="94"/>
              </w:rPr>
              <w:t>on investments and other financial instruments</w:t>
            </w:r>
          </w:p>
        </w:tc>
        <w:tc>
          <w:tcPr>
            <w:tcW w:w="80" w:type="dxa"/>
            <w:vAlign w:val="bottom"/>
          </w:tcPr>
          <w:p>
            <w:pPr>
              <w:spacing w:after="0"/>
              <w:rPr>
                <w:sz w:val="15"/>
                <w:szCs w:val="15"/>
                <w:color w:val="auto"/>
              </w:rPr>
            </w:pPr>
          </w:p>
        </w:tc>
        <w:tc>
          <w:tcPr>
            <w:tcW w:w="720" w:type="dxa"/>
            <w:vAlign w:val="bottom"/>
            <w:gridSpan w:val="3"/>
            <w:vMerge w:val="continue"/>
          </w:tcPr>
          <w:p>
            <w:pPr>
              <w:spacing w:after="0"/>
              <w:rPr>
                <w:sz w:val="15"/>
                <w:szCs w:val="15"/>
                <w:color w:val="auto"/>
              </w:rPr>
            </w:pPr>
          </w:p>
        </w:tc>
        <w:tc>
          <w:tcPr>
            <w:tcW w:w="260" w:type="dxa"/>
            <w:vAlign w:val="bottom"/>
          </w:tcPr>
          <w:p>
            <w:pPr>
              <w:spacing w:after="0"/>
              <w:rPr>
                <w:sz w:val="15"/>
                <w:szCs w:val="15"/>
                <w:color w:val="auto"/>
              </w:rPr>
            </w:pPr>
          </w:p>
        </w:tc>
        <w:tc>
          <w:tcPr>
            <w:tcW w:w="22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8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5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2760" w:type="dxa"/>
            <w:vAlign w:val="bottom"/>
          </w:tcPr>
          <w:p>
            <w:pPr>
              <w:spacing w:after="0"/>
              <w:rPr>
                <w:sz w:val="20"/>
                <w:szCs w:val="20"/>
                <w:color w:val="auto"/>
              </w:rPr>
            </w:pPr>
            <w:r>
              <w:rPr>
                <w:rFonts w:ascii="Arial" w:cs="Arial" w:eastAsia="Arial" w:hAnsi="Arial"/>
                <w:sz w:val="14"/>
                <w:szCs w:val="14"/>
                <w:color w:val="auto"/>
                <w:w w:val="91"/>
              </w:rPr>
              <w:t>Other comprehensive earnings - unrealized gain</w:t>
            </w:r>
          </w:p>
        </w:tc>
        <w:tc>
          <w:tcPr>
            <w:tcW w:w="80" w:type="dxa"/>
            <w:vAlign w:val="bottom"/>
          </w:tcPr>
          <w:p>
            <w:pPr>
              <w:spacing w:after="0"/>
              <w:rPr>
                <w:sz w:val="16"/>
                <w:szCs w:val="16"/>
                <w:color w:val="auto"/>
              </w:rPr>
            </w:pPr>
          </w:p>
        </w:tc>
        <w:tc>
          <w:tcPr>
            <w:tcW w:w="720" w:type="dxa"/>
            <w:vAlign w:val="bottom"/>
            <w:gridSpan w:val="3"/>
            <w:vMerge w:val="restart"/>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220" w:type="dxa"/>
            <w:vAlign w:val="bottom"/>
            <w:vMerge w:val="restart"/>
          </w:tcPr>
          <w:p>
            <w:pPr>
              <w:ind w:left="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8</w:t>
            </w:r>
          </w:p>
        </w:tc>
        <w:tc>
          <w:tcPr>
            <w:tcW w:w="80" w:type="dxa"/>
            <w:vAlign w:val="bottom"/>
          </w:tcPr>
          <w:p>
            <w:pPr>
              <w:spacing w:after="0"/>
              <w:rPr>
                <w:sz w:val="16"/>
                <w:szCs w:val="16"/>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5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vMerge w:val="restart"/>
          </w:tcPr>
          <w:p>
            <w:pPr>
              <w:jc w:val="right"/>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176"/>
        </w:trPr>
        <w:tc>
          <w:tcPr>
            <w:tcW w:w="2760" w:type="dxa"/>
            <w:vAlign w:val="bottom"/>
          </w:tcPr>
          <w:p>
            <w:pPr>
              <w:spacing w:after="0"/>
              <w:rPr>
                <w:sz w:val="20"/>
                <w:szCs w:val="20"/>
                <w:color w:val="auto"/>
              </w:rPr>
            </w:pPr>
            <w:r>
              <w:rPr>
                <w:rFonts w:ascii="Arial" w:cs="Arial" w:eastAsia="Arial" w:hAnsi="Arial"/>
                <w:sz w:val="14"/>
                <w:szCs w:val="14"/>
                <w:color w:val="auto"/>
              </w:rPr>
              <w:t>on investments in unconsolidated affiliates</w:t>
            </w:r>
          </w:p>
        </w:tc>
        <w:tc>
          <w:tcPr>
            <w:tcW w:w="80" w:type="dxa"/>
            <w:vAlign w:val="bottom"/>
          </w:tcPr>
          <w:p>
            <w:pPr>
              <w:spacing w:after="0"/>
              <w:rPr>
                <w:sz w:val="15"/>
                <w:szCs w:val="15"/>
                <w:color w:val="auto"/>
              </w:rPr>
            </w:pPr>
          </w:p>
        </w:tc>
        <w:tc>
          <w:tcPr>
            <w:tcW w:w="720" w:type="dxa"/>
            <w:vAlign w:val="bottom"/>
            <w:gridSpan w:val="3"/>
            <w:vMerge w:val="continue"/>
          </w:tcPr>
          <w:p>
            <w:pPr>
              <w:spacing w:after="0"/>
              <w:rPr>
                <w:sz w:val="15"/>
                <w:szCs w:val="15"/>
                <w:color w:val="auto"/>
              </w:rPr>
            </w:pPr>
          </w:p>
        </w:tc>
        <w:tc>
          <w:tcPr>
            <w:tcW w:w="260" w:type="dxa"/>
            <w:vAlign w:val="bottom"/>
          </w:tcPr>
          <w:p>
            <w:pPr>
              <w:spacing w:after="0"/>
              <w:rPr>
                <w:sz w:val="15"/>
                <w:szCs w:val="15"/>
                <w:color w:val="auto"/>
              </w:rPr>
            </w:pPr>
          </w:p>
        </w:tc>
        <w:tc>
          <w:tcPr>
            <w:tcW w:w="22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8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5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2760" w:type="dxa"/>
            <w:vAlign w:val="bottom"/>
          </w:tcPr>
          <w:p>
            <w:pPr>
              <w:spacing w:after="0"/>
              <w:rPr>
                <w:sz w:val="20"/>
                <w:szCs w:val="20"/>
                <w:color w:val="auto"/>
              </w:rPr>
            </w:pPr>
            <w:r>
              <w:rPr>
                <w:rFonts w:ascii="Arial" w:cs="Arial" w:eastAsia="Arial" w:hAnsi="Arial"/>
                <w:sz w:val="14"/>
                <w:szCs w:val="14"/>
                <w:color w:val="auto"/>
                <w:w w:val="91"/>
              </w:rPr>
              <w:t>Other comprehensive earnings - unrealized gain</w:t>
            </w:r>
          </w:p>
        </w:tc>
        <w:tc>
          <w:tcPr>
            <w:tcW w:w="80" w:type="dxa"/>
            <w:vAlign w:val="bottom"/>
          </w:tcPr>
          <w:p>
            <w:pPr>
              <w:spacing w:after="0"/>
              <w:rPr>
                <w:sz w:val="16"/>
                <w:szCs w:val="16"/>
                <w:color w:val="auto"/>
              </w:rPr>
            </w:pPr>
          </w:p>
        </w:tc>
        <w:tc>
          <w:tcPr>
            <w:tcW w:w="720" w:type="dxa"/>
            <w:vAlign w:val="bottom"/>
            <w:gridSpan w:val="3"/>
            <w:vMerge w:val="restart"/>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220" w:type="dxa"/>
            <w:vAlign w:val="bottom"/>
            <w:vMerge w:val="restart"/>
          </w:tcPr>
          <w:p>
            <w:pPr>
              <w:ind w:left="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18</w:t>
            </w:r>
          </w:p>
        </w:tc>
        <w:tc>
          <w:tcPr>
            <w:tcW w:w="80" w:type="dxa"/>
            <w:vAlign w:val="bottom"/>
          </w:tcPr>
          <w:p>
            <w:pPr>
              <w:spacing w:after="0"/>
              <w:rPr>
                <w:sz w:val="16"/>
                <w:szCs w:val="16"/>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5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vMerge w:val="restart"/>
          </w:tcPr>
          <w:p>
            <w:pPr>
              <w:jc w:val="right"/>
              <w:spacing w:after="0"/>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176"/>
        </w:trPr>
        <w:tc>
          <w:tcPr>
            <w:tcW w:w="2760" w:type="dxa"/>
            <w:vAlign w:val="bottom"/>
          </w:tcPr>
          <w:p>
            <w:pPr>
              <w:spacing w:after="0"/>
              <w:rPr>
                <w:sz w:val="20"/>
                <w:szCs w:val="20"/>
                <w:color w:val="auto"/>
              </w:rPr>
            </w:pPr>
            <w:r>
              <w:rPr>
                <w:rFonts w:ascii="Arial" w:cs="Arial" w:eastAsia="Arial" w:hAnsi="Arial"/>
                <w:sz w:val="14"/>
                <w:szCs w:val="14"/>
                <w:color w:val="auto"/>
              </w:rPr>
              <w:t>on foreign currency translation</w:t>
            </w:r>
          </w:p>
        </w:tc>
        <w:tc>
          <w:tcPr>
            <w:tcW w:w="80" w:type="dxa"/>
            <w:vAlign w:val="bottom"/>
          </w:tcPr>
          <w:p>
            <w:pPr>
              <w:spacing w:after="0"/>
              <w:rPr>
                <w:sz w:val="15"/>
                <w:szCs w:val="15"/>
                <w:color w:val="auto"/>
              </w:rPr>
            </w:pPr>
          </w:p>
        </w:tc>
        <w:tc>
          <w:tcPr>
            <w:tcW w:w="720" w:type="dxa"/>
            <w:vAlign w:val="bottom"/>
            <w:gridSpan w:val="3"/>
            <w:vMerge w:val="continue"/>
          </w:tcPr>
          <w:p>
            <w:pPr>
              <w:spacing w:after="0"/>
              <w:rPr>
                <w:sz w:val="15"/>
                <w:szCs w:val="15"/>
                <w:color w:val="auto"/>
              </w:rPr>
            </w:pPr>
          </w:p>
        </w:tc>
        <w:tc>
          <w:tcPr>
            <w:tcW w:w="260" w:type="dxa"/>
            <w:vAlign w:val="bottom"/>
          </w:tcPr>
          <w:p>
            <w:pPr>
              <w:spacing w:after="0"/>
              <w:rPr>
                <w:sz w:val="15"/>
                <w:szCs w:val="15"/>
                <w:color w:val="auto"/>
              </w:rPr>
            </w:pPr>
          </w:p>
        </w:tc>
        <w:tc>
          <w:tcPr>
            <w:tcW w:w="22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8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5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2760" w:type="dxa"/>
            <w:vAlign w:val="bottom"/>
          </w:tcPr>
          <w:p>
            <w:pPr>
              <w:spacing w:after="0"/>
              <w:rPr>
                <w:sz w:val="20"/>
                <w:szCs w:val="20"/>
                <w:color w:val="auto"/>
              </w:rPr>
            </w:pPr>
            <w:r>
              <w:rPr>
                <w:rFonts w:ascii="Arial" w:cs="Arial" w:eastAsia="Arial" w:hAnsi="Arial"/>
                <w:sz w:val="14"/>
                <w:szCs w:val="14"/>
                <w:color w:val="auto"/>
                <w:w w:val="90"/>
              </w:rPr>
              <w:t>Reclassification adjustments for unrealized gains</w:t>
            </w:r>
          </w:p>
        </w:tc>
        <w:tc>
          <w:tcPr>
            <w:tcW w:w="80" w:type="dxa"/>
            <w:vAlign w:val="bottom"/>
          </w:tcPr>
          <w:p>
            <w:pPr>
              <w:spacing w:after="0"/>
              <w:rPr>
                <w:sz w:val="15"/>
                <w:szCs w:val="15"/>
                <w:color w:val="auto"/>
              </w:rPr>
            </w:pPr>
          </w:p>
        </w:tc>
        <w:tc>
          <w:tcPr>
            <w:tcW w:w="720" w:type="dxa"/>
            <w:vAlign w:val="bottom"/>
            <w:gridSpan w:val="3"/>
            <w:vMerge w:val="restart"/>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220" w:type="dxa"/>
            <w:vAlign w:val="bottom"/>
            <w:vMerge w:val="restart"/>
          </w:tcPr>
          <w:p>
            <w:pPr>
              <w:ind w:left="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(46)</w:t>
            </w:r>
          </w:p>
        </w:tc>
        <w:tc>
          <w:tcPr>
            <w:tcW w:w="80" w:type="dxa"/>
            <w:vAlign w:val="bottom"/>
          </w:tcPr>
          <w:p>
            <w:pPr>
              <w:spacing w:after="0"/>
              <w:rPr>
                <w:sz w:val="15"/>
                <w:szCs w:val="15"/>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5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vMerge w:val="restart"/>
          </w:tcPr>
          <w:p>
            <w:pPr>
              <w:jc w:val="right"/>
              <w:spacing w:after="0"/>
              <w:rPr>
                <w:sz w:val="20"/>
                <w:szCs w:val="20"/>
                <w:color w:val="auto"/>
              </w:rPr>
            </w:pPr>
            <w:r>
              <w:rPr>
                <w:rFonts w:ascii="Arial" w:cs="Arial" w:eastAsia="Arial" w:hAnsi="Arial"/>
                <w:sz w:val="14"/>
                <w:szCs w:val="14"/>
                <w:color w:val="auto"/>
              </w:rPr>
              <w:t>(46)</w:t>
            </w:r>
          </w:p>
        </w:tc>
        <w:tc>
          <w:tcPr>
            <w:tcW w:w="0" w:type="dxa"/>
            <w:vAlign w:val="bottom"/>
          </w:tcPr>
          <w:p>
            <w:pPr>
              <w:spacing w:after="0"/>
              <w:rPr>
                <w:sz w:val="1"/>
                <w:szCs w:val="1"/>
                <w:color w:val="auto"/>
              </w:rPr>
            </w:pPr>
          </w:p>
        </w:tc>
      </w:tr>
      <w:tr>
        <w:trPr>
          <w:trHeight w:val="176"/>
        </w:trPr>
        <w:tc>
          <w:tcPr>
            <w:tcW w:w="2760" w:type="dxa"/>
            <w:vAlign w:val="bottom"/>
          </w:tcPr>
          <w:p>
            <w:pPr>
              <w:spacing w:after="0"/>
              <w:rPr>
                <w:sz w:val="20"/>
                <w:szCs w:val="20"/>
                <w:color w:val="auto"/>
              </w:rPr>
            </w:pPr>
            <w:r>
              <w:rPr>
                <w:rFonts w:ascii="Arial" w:cs="Arial" w:eastAsia="Arial" w:hAnsi="Arial"/>
                <w:sz w:val="14"/>
                <w:szCs w:val="14"/>
                <w:color w:val="auto"/>
              </w:rPr>
              <w:t>and losses included in net earnings</w:t>
            </w:r>
          </w:p>
        </w:tc>
        <w:tc>
          <w:tcPr>
            <w:tcW w:w="80" w:type="dxa"/>
            <w:vAlign w:val="bottom"/>
          </w:tcPr>
          <w:p>
            <w:pPr>
              <w:spacing w:after="0"/>
              <w:rPr>
                <w:sz w:val="15"/>
                <w:szCs w:val="15"/>
                <w:color w:val="auto"/>
              </w:rPr>
            </w:pPr>
          </w:p>
        </w:tc>
        <w:tc>
          <w:tcPr>
            <w:tcW w:w="720" w:type="dxa"/>
            <w:vAlign w:val="bottom"/>
            <w:gridSpan w:val="3"/>
            <w:vMerge w:val="continue"/>
          </w:tcPr>
          <w:p>
            <w:pPr>
              <w:spacing w:after="0"/>
              <w:rPr>
                <w:sz w:val="15"/>
                <w:szCs w:val="15"/>
                <w:color w:val="auto"/>
              </w:rPr>
            </w:pPr>
          </w:p>
        </w:tc>
        <w:tc>
          <w:tcPr>
            <w:tcW w:w="260" w:type="dxa"/>
            <w:vAlign w:val="bottom"/>
          </w:tcPr>
          <w:p>
            <w:pPr>
              <w:spacing w:after="0"/>
              <w:rPr>
                <w:sz w:val="15"/>
                <w:szCs w:val="15"/>
                <w:color w:val="auto"/>
              </w:rPr>
            </w:pPr>
          </w:p>
        </w:tc>
        <w:tc>
          <w:tcPr>
            <w:tcW w:w="22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8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5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5"/>
        </w:trPr>
        <w:tc>
          <w:tcPr>
            <w:tcW w:w="2760" w:type="dxa"/>
            <w:vAlign w:val="bottom"/>
          </w:tcPr>
          <w:p>
            <w:pPr>
              <w:spacing w:after="0"/>
              <w:rPr>
                <w:sz w:val="20"/>
                <w:szCs w:val="20"/>
                <w:color w:val="auto"/>
              </w:rPr>
            </w:pPr>
            <w:r>
              <w:rPr>
                <w:rFonts w:ascii="Arial" w:cs="Arial" w:eastAsia="Arial" w:hAnsi="Arial"/>
                <w:sz w:val="14"/>
                <w:szCs w:val="14"/>
                <w:color w:val="auto"/>
              </w:rPr>
              <w:t>Stock-based compensation</w:t>
            </w:r>
          </w:p>
        </w:tc>
        <w:tc>
          <w:tcPr>
            <w:tcW w:w="80" w:type="dxa"/>
            <w:vAlign w:val="bottom"/>
          </w:tcPr>
          <w:p>
            <w:pPr>
              <w:spacing w:after="0"/>
              <w:rPr>
                <w:sz w:val="20"/>
                <w:szCs w:val="20"/>
                <w:color w:val="auto"/>
              </w:rPr>
            </w:pPr>
          </w:p>
        </w:tc>
        <w:tc>
          <w:tcPr>
            <w:tcW w:w="72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0"/>
                <w:szCs w:val="20"/>
                <w:color w:val="auto"/>
              </w:rPr>
            </w:pPr>
          </w:p>
        </w:tc>
        <w:tc>
          <w:tcPr>
            <w:tcW w:w="220" w:type="dxa"/>
            <w:vAlign w:val="bottom"/>
          </w:tcPr>
          <w:p>
            <w:pPr>
              <w:ind w:left="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83</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5</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88</w:t>
            </w:r>
          </w:p>
        </w:tc>
        <w:tc>
          <w:tcPr>
            <w:tcW w:w="0" w:type="dxa"/>
            <w:vAlign w:val="bottom"/>
          </w:tcPr>
          <w:p>
            <w:pPr>
              <w:spacing w:after="0"/>
              <w:rPr>
                <w:sz w:val="1"/>
                <w:szCs w:val="1"/>
                <w:color w:val="auto"/>
              </w:rPr>
            </w:pPr>
          </w:p>
        </w:tc>
      </w:tr>
      <w:tr>
        <w:trPr>
          <w:trHeight w:val="220"/>
        </w:trPr>
        <w:tc>
          <w:tcPr>
            <w:tcW w:w="2760" w:type="dxa"/>
            <w:vAlign w:val="bottom"/>
          </w:tcPr>
          <w:p>
            <w:pPr>
              <w:spacing w:after="0"/>
              <w:rPr>
                <w:sz w:val="20"/>
                <w:szCs w:val="20"/>
                <w:color w:val="auto"/>
              </w:rPr>
            </w:pPr>
            <w:r>
              <w:rPr>
                <w:rFonts w:ascii="Arial" w:cs="Arial" w:eastAsia="Arial" w:hAnsi="Arial"/>
                <w:sz w:val="14"/>
                <w:szCs w:val="14"/>
                <w:color w:val="auto"/>
              </w:rPr>
              <w:t>Dividends declared</w:t>
            </w:r>
          </w:p>
        </w:tc>
        <w:tc>
          <w:tcPr>
            <w:tcW w:w="80" w:type="dxa"/>
            <w:vAlign w:val="bottom"/>
          </w:tcPr>
          <w:p>
            <w:pPr>
              <w:spacing w:after="0"/>
              <w:rPr>
                <w:sz w:val="19"/>
                <w:szCs w:val="19"/>
                <w:color w:val="auto"/>
              </w:rPr>
            </w:pPr>
          </w:p>
        </w:tc>
        <w:tc>
          <w:tcPr>
            <w:tcW w:w="72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9"/>
                <w:szCs w:val="19"/>
                <w:color w:val="auto"/>
              </w:rPr>
            </w:pPr>
          </w:p>
        </w:tc>
        <w:tc>
          <w:tcPr>
            <w:tcW w:w="220" w:type="dxa"/>
            <w:vAlign w:val="bottom"/>
          </w:tcPr>
          <w:p>
            <w:pPr>
              <w:ind w:left="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(549)</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(549)</w:t>
            </w:r>
          </w:p>
        </w:tc>
        <w:tc>
          <w:tcPr>
            <w:tcW w:w="0" w:type="dxa"/>
            <w:vAlign w:val="bottom"/>
          </w:tcPr>
          <w:p>
            <w:pPr>
              <w:spacing w:after="0"/>
              <w:rPr>
                <w:sz w:val="1"/>
                <w:szCs w:val="1"/>
                <w:color w:val="auto"/>
              </w:rPr>
            </w:pPr>
          </w:p>
        </w:tc>
      </w:tr>
      <w:tr>
        <w:trPr>
          <w:trHeight w:val="162"/>
        </w:trPr>
        <w:tc>
          <w:tcPr>
            <w:tcW w:w="2760" w:type="dxa"/>
            <w:vAlign w:val="bottom"/>
          </w:tcPr>
          <w:p>
            <w:pPr>
              <w:spacing w:after="0"/>
              <w:rPr>
                <w:sz w:val="20"/>
                <w:szCs w:val="20"/>
                <w:color w:val="auto"/>
              </w:rPr>
            </w:pPr>
            <w:r>
              <w:rPr>
                <w:rFonts w:ascii="Arial" w:cs="Arial" w:eastAsia="Arial" w:hAnsi="Arial"/>
                <w:sz w:val="14"/>
                <w:szCs w:val="14"/>
                <w:color w:val="auto"/>
                <w:w w:val="98"/>
              </w:rPr>
              <w:t>Dilution from share issuance by consolidated</w:t>
            </w:r>
          </w:p>
        </w:tc>
        <w:tc>
          <w:tcPr>
            <w:tcW w:w="80" w:type="dxa"/>
            <w:vAlign w:val="bottom"/>
          </w:tcPr>
          <w:p>
            <w:pPr>
              <w:spacing w:after="0"/>
              <w:rPr>
                <w:sz w:val="14"/>
                <w:szCs w:val="14"/>
                <w:color w:val="auto"/>
              </w:rPr>
            </w:pPr>
          </w:p>
        </w:tc>
        <w:tc>
          <w:tcPr>
            <w:tcW w:w="720" w:type="dxa"/>
            <w:vAlign w:val="bottom"/>
            <w:gridSpan w:val="3"/>
            <w:vMerge w:val="restart"/>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220" w:type="dxa"/>
            <w:vAlign w:val="bottom"/>
            <w:vMerge w:val="restart"/>
          </w:tcPr>
          <w:p>
            <w:pPr>
              <w:ind w:left="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(32)</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5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31</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vMerge w:val="restart"/>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76"/>
        </w:trPr>
        <w:tc>
          <w:tcPr>
            <w:tcW w:w="2760" w:type="dxa"/>
            <w:vAlign w:val="bottom"/>
          </w:tcPr>
          <w:p>
            <w:pPr>
              <w:spacing w:after="0"/>
              <w:rPr>
                <w:sz w:val="20"/>
                <w:szCs w:val="20"/>
                <w:color w:val="auto"/>
              </w:rPr>
            </w:pPr>
            <w:r>
              <w:rPr>
                <w:rFonts w:ascii="Arial" w:cs="Arial" w:eastAsia="Arial" w:hAnsi="Arial"/>
                <w:sz w:val="14"/>
                <w:szCs w:val="14"/>
                <w:color w:val="auto"/>
              </w:rPr>
              <w:t>subsidiary</w:t>
            </w:r>
          </w:p>
        </w:tc>
        <w:tc>
          <w:tcPr>
            <w:tcW w:w="80" w:type="dxa"/>
            <w:vAlign w:val="bottom"/>
          </w:tcPr>
          <w:p>
            <w:pPr>
              <w:spacing w:after="0"/>
              <w:rPr>
                <w:sz w:val="15"/>
                <w:szCs w:val="15"/>
                <w:color w:val="auto"/>
              </w:rPr>
            </w:pPr>
          </w:p>
        </w:tc>
        <w:tc>
          <w:tcPr>
            <w:tcW w:w="720" w:type="dxa"/>
            <w:vAlign w:val="bottom"/>
            <w:gridSpan w:val="3"/>
            <w:vMerge w:val="continue"/>
          </w:tcPr>
          <w:p>
            <w:pPr>
              <w:spacing w:after="0"/>
              <w:rPr>
                <w:sz w:val="15"/>
                <w:szCs w:val="15"/>
                <w:color w:val="auto"/>
              </w:rPr>
            </w:pPr>
          </w:p>
        </w:tc>
        <w:tc>
          <w:tcPr>
            <w:tcW w:w="260" w:type="dxa"/>
            <w:vAlign w:val="bottom"/>
          </w:tcPr>
          <w:p>
            <w:pPr>
              <w:spacing w:after="0"/>
              <w:rPr>
                <w:sz w:val="15"/>
                <w:szCs w:val="15"/>
                <w:color w:val="auto"/>
              </w:rPr>
            </w:pPr>
          </w:p>
        </w:tc>
        <w:tc>
          <w:tcPr>
            <w:tcW w:w="22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8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vMerge w:val="continue"/>
          </w:tcPr>
          <w:p>
            <w:pPr>
              <w:spacing w:after="0"/>
              <w:rPr>
                <w:sz w:val="15"/>
                <w:szCs w:val="15"/>
                <w:color w:val="auto"/>
              </w:rPr>
            </w:pPr>
          </w:p>
        </w:tc>
        <w:tc>
          <w:tcPr>
            <w:tcW w:w="60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5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5"/>
        </w:trPr>
        <w:tc>
          <w:tcPr>
            <w:tcW w:w="2760" w:type="dxa"/>
            <w:vAlign w:val="bottom"/>
          </w:tcPr>
          <w:p>
            <w:pPr>
              <w:spacing w:after="0"/>
              <w:rPr>
                <w:sz w:val="20"/>
                <w:szCs w:val="20"/>
                <w:color w:val="auto"/>
              </w:rPr>
            </w:pPr>
            <w:r>
              <w:rPr>
                <w:rFonts w:ascii="Arial" w:cs="Arial" w:eastAsia="Arial" w:hAnsi="Arial"/>
                <w:sz w:val="14"/>
                <w:szCs w:val="14"/>
                <w:color w:val="auto"/>
              </w:rPr>
              <w:t>Shares withheld for taxes and in treasury</w:t>
            </w:r>
          </w:p>
        </w:tc>
        <w:tc>
          <w:tcPr>
            <w:tcW w:w="80" w:type="dxa"/>
            <w:vAlign w:val="bottom"/>
          </w:tcPr>
          <w:p>
            <w:pPr>
              <w:spacing w:after="0"/>
              <w:rPr>
                <w:sz w:val="20"/>
                <w:szCs w:val="20"/>
                <w:color w:val="auto"/>
              </w:rPr>
            </w:pPr>
          </w:p>
        </w:tc>
        <w:tc>
          <w:tcPr>
            <w:tcW w:w="72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0"/>
                <w:szCs w:val="20"/>
                <w:color w:val="auto"/>
              </w:rPr>
            </w:pPr>
          </w:p>
        </w:tc>
        <w:tc>
          <w:tcPr>
            <w:tcW w:w="220" w:type="dxa"/>
            <w:vAlign w:val="bottom"/>
          </w:tcPr>
          <w:p>
            <w:pPr>
              <w:ind w:left="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580" w:type="dxa"/>
            <w:vAlign w:val="bottom"/>
            <w:gridSpan w:val="2"/>
          </w:tcPr>
          <w:p>
            <w:pPr>
              <w:jc w:val="right"/>
              <w:spacing w:after="0"/>
              <w:rPr>
                <w:sz w:val="20"/>
                <w:szCs w:val="20"/>
                <w:color w:val="auto"/>
              </w:rPr>
            </w:pPr>
            <w:r>
              <w:rPr>
                <w:rFonts w:ascii="Arial" w:cs="Arial" w:eastAsia="Arial" w:hAnsi="Arial"/>
                <w:sz w:val="14"/>
                <w:szCs w:val="14"/>
                <w:color w:val="auto"/>
              </w:rPr>
              <w:t>(18)</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(9)</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(27)</w:t>
            </w:r>
          </w:p>
        </w:tc>
        <w:tc>
          <w:tcPr>
            <w:tcW w:w="0" w:type="dxa"/>
            <w:vAlign w:val="bottom"/>
          </w:tcPr>
          <w:p>
            <w:pPr>
              <w:spacing w:after="0"/>
              <w:rPr>
                <w:sz w:val="1"/>
                <w:szCs w:val="1"/>
                <w:color w:val="auto"/>
              </w:rPr>
            </w:pPr>
          </w:p>
        </w:tc>
      </w:tr>
      <w:tr>
        <w:trPr>
          <w:trHeight w:val="235"/>
        </w:trPr>
        <w:tc>
          <w:tcPr>
            <w:tcW w:w="2760" w:type="dxa"/>
            <w:vAlign w:val="bottom"/>
          </w:tcPr>
          <w:p>
            <w:pPr>
              <w:spacing w:after="0"/>
              <w:rPr>
                <w:sz w:val="20"/>
                <w:szCs w:val="20"/>
                <w:color w:val="auto"/>
              </w:rPr>
            </w:pPr>
            <w:r>
              <w:rPr>
                <w:rFonts w:ascii="Arial" w:cs="Arial" w:eastAsia="Arial" w:hAnsi="Arial"/>
                <w:sz w:val="14"/>
                <w:szCs w:val="14"/>
                <w:color w:val="auto"/>
              </w:rPr>
              <w:t>Noncontrolling interest return of capital</w:t>
            </w:r>
          </w:p>
        </w:tc>
        <w:tc>
          <w:tcPr>
            <w:tcW w:w="80" w:type="dxa"/>
            <w:vAlign w:val="bottom"/>
          </w:tcPr>
          <w:p>
            <w:pPr>
              <w:spacing w:after="0"/>
              <w:rPr>
                <w:sz w:val="20"/>
                <w:szCs w:val="20"/>
                <w:color w:val="auto"/>
              </w:rPr>
            </w:pPr>
          </w:p>
        </w:tc>
        <w:tc>
          <w:tcPr>
            <w:tcW w:w="72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0"/>
                <w:szCs w:val="20"/>
                <w:color w:val="auto"/>
              </w:rPr>
            </w:pPr>
          </w:p>
        </w:tc>
        <w:tc>
          <w:tcPr>
            <w:tcW w:w="220" w:type="dxa"/>
            <w:vAlign w:val="bottom"/>
          </w:tcPr>
          <w:p>
            <w:pPr>
              <w:ind w:left="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91"/>
        </w:trPr>
        <w:tc>
          <w:tcPr>
            <w:tcW w:w="2760" w:type="dxa"/>
            <w:vAlign w:val="bottom"/>
          </w:tcPr>
          <w:p>
            <w:pPr>
              <w:spacing w:after="0"/>
              <w:rPr>
                <w:sz w:val="20"/>
                <w:szCs w:val="20"/>
                <w:color w:val="auto"/>
              </w:rPr>
            </w:pPr>
            <w:r>
              <w:rPr>
                <w:rFonts w:ascii="Arial" w:cs="Arial" w:eastAsia="Arial" w:hAnsi="Arial"/>
                <w:sz w:val="14"/>
                <w:szCs w:val="14"/>
                <w:color w:val="auto"/>
                <w:w w:val="98"/>
              </w:rPr>
              <w:t>Change in current discount rate — liability for</w:t>
            </w:r>
          </w:p>
        </w:tc>
        <w:tc>
          <w:tcPr>
            <w:tcW w:w="80" w:type="dxa"/>
            <w:vAlign w:val="bottom"/>
          </w:tcPr>
          <w:p>
            <w:pPr>
              <w:spacing w:after="0"/>
              <w:rPr>
                <w:sz w:val="16"/>
                <w:szCs w:val="16"/>
                <w:color w:val="auto"/>
              </w:rPr>
            </w:pPr>
          </w:p>
        </w:tc>
        <w:tc>
          <w:tcPr>
            <w:tcW w:w="720" w:type="dxa"/>
            <w:vAlign w:val="bottom"/>
            <w:gridSpan w:val="3"/>
            <w:vMerge w:val="restart"/>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220" w:type="dxa"/>
            <w:vAlign w:val="bottom"/>
            <w:vMerge w:val="restart"/>
          </w:tcPr>
          <w:p>
            <w:pPr>
              <w:ind w:left="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(234)</w:t>
            </w:r>
          </w:p>
        </w:tc>
        <w:tc>
          <w:tcPr>
            <w:tcW w:w="80" w:type="dxa"/>
            <w:vAlign w:val="bottom"/>
          </w:tcPr>
          <w:p>
            <w:pPr>
              <w:spacing w:after="0"/>
              <w:rPr>
                <w:sz w:val="16"/>
                <w:szCs w:val="16"/>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5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vMerge w:val="restart"/>
          </w:tcPr>
          <w:p>
            <w:pPr>
              <w:jc w:val="right"/>
              <w:spacing w:after="0"/>
              <w:rPr>
                <w:sz w:val="20"/>
                <w:szCs w:val="20"/>
                <w:color w:val="auto"/>
              </w:rPr>
            </w:pPr>
            <w:r>
              <w:rPr>
                <w:rFonts w:ascii="Arial" w:cs="Arial" w:eastAsia="Arial" w:hAnsi="Arial"/>
                <w:sz w:val="14"/>
                <w:szCs w:val="14"/>
                <w:color w:val="auto"/>
              </w:rPr>
              <w:t>(234)</w:t>
            </w:r>
          </w:p>
        </w:tc>
        <w:tc>
          <w:tcPr>
            <w:tcW w:w="0" w:type="dxa"/>
            <w:vAlign w:val="bottom"/>
          </w:tcPr>
          <w:p>
            <w:pPr>
              <w:spacing w:after="0"/>
              <w:rPr>
                <w:sz w:val="1"/>
                <w:szCs w:val="1"/>
                <w:color w:val="auto"/>
              </w:rPr>
            </w:pPr>
          </w:p>
        </w:tc>
      </w:tr>
      <w:tr>
        <w:trPr>
          <w:trHeight w:val="176"/>
        </w:trPr>
        <w:tc>
          <w:tcPr>
            <w:tcW w:w="2760" w:type="dxa"/>
            <w:vAlign w:val="bottom"/>
          </w:tcPr>
          <w:p>
            <w:pPr>
              <w:spacing w:after="0"/>
              <w:rPr>
                <w:sz w:val="20"/>
                <w:szCs w:val="20"/>
                <w:color w:val="auto"/>
              </w:rPr>
            </w:pPr>
            <w:r>
              <w:rPr>
                <w:rFonts w:ascii="Arial" w:cs="Arial" w:eastAsia="Arial" w:hAnsi="Arial"/>
                <w:sz w:val="14"/>
                <w:szCs w:val="14"/>
                <w:color w:val="auto"/>
              </w:rPr>
              <w:t>future policy benefits</w:t>
            </w:r>
          </w:p>
        </w:tc>
        <w:tc>
          <w:tcPr>
            <w:tcW w:w="80" w:type="dxa"/>
            <w:vAlign w:val="bottom"/>
          </w:tcPr>
          <w:p>
            <w:pPr>
              <w:spacing w:after="0"/>
              <w:rPr>
                <w:sz w:val="15"/>
                <w:szCs w:val="15"/>
                <w:color w:val="auto"/>
              </w:rPr>
            </w:pPr>
          </w:p>
        </w:tc>
        <w:tc>
          <w:tcPr>
            <w:tcW w:w="720" w:type="dxa"/>
            <w:vAlign w:val="bottom"/>
            <w:gridSpan w:val="3"/>
            <w:vMerge w:val="continue"/>
          </w:tcPr>
          <w:p>
            <w:pPr>
              <w:spacing w:after="0"/>
              <w:rPr>
                <w:sz w:val="15"/>
                <w:szCs w:val="15"/>
                <w:color w:val="auto"/>
              </w:rPr>
            </w:pPr>
          </w:p>
        </w:tc>
        <w:tc>
          <w:tcPr>
            <w:tcW w:w="260" w:type="dxa"/>
            <w:vAlign w:val="bottom"/>
          </w:tcPr>
          <w:p>
            <w:pPr>
              <w:spacing w:after="0"/>
              <w:rPr>
                <w:sz w:val="15"/>
                <w:szCs w:val="15"/>
                <w:color w:val="auto"/>
              </w:rPr>
            </w:pPr>
          </w:p>
        </w:tc>
        <w:tc>
          <w:tcPr>
            <w:tcW w:w="22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8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5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2760" w:type="dxa"/>
            <w:vAlign w:val="bottom"/>
          </w:tcPr>
          <w:p>
            <w:pPr>
              <w:spacing w:after="0"/>
              <w:rPr>
                <w:sz w:val="20"/>
                <w:szCs w:val="20"/>
                <w:color w:val="auto"/>
              </w:rPr>
            </w:pPr>
            <w:r>
              <w:rPr>
                <w:rFonts w:ascii="Arial" w:cs="Arial" w:eastAsia="Arial" w:hAnsi="Arial"/>
                <w:sz w:val="14"/>
                <w:szCs w:val="14"/>
                <w:color w:val="auto"/>
              </w:rPr>
              <w:t>Change in instrument-specific credit risk -</w:t>
            </w:r>
          </w:p>
        </w:tc>
        <w:tc>
          <w:tcPr>
            <w:tcW w:w="80" w:type="dxa"/>
            <w:vAlign w:val="bottom"/>
          </w:tcPr>
          <w:p>
            <w:pPr>
              <w:spacing w:after="0"/>
              <w:rPr>
                <w:sz w:val="16"/>
                <w:szCs w:val="16"/>
                <w:color w:val="auto"/>
              </w:rPr>
            </w:pPr>
          </w:p>
        </w:tc>
        <w:tc>
          <w:tcPr>
            <w:tcW w:w="720" w:type="dxa"/>
            <w:vAlign w:val="bottom"/>
            <w:gridSpan w:val="3"/>
            <w:vMerge w:val="restart"/>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220" w:type="dxa"/>
            <w:vAlign w:val="bottom"/>
            <w:vMerge w:val="restart"/>
          </w:tcPr>
          <w:p>
            <w:pPr>
              <w:ind w:left="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(24)</w:t>
            </w:r>
          </w:p>
        </w:tc>
        <w:tc>
          <w:tcPr>
            <w:tcW w:w="80" w:type="dxa"/>
            <w:vAlign w:val="bottom"/>
          </w:tcPr>
          <w:p>
            <w:pPr>
              <w:spacing w:after="0"/>
              <w:rPr>
                <w:sz w:val="16"/>
                <w:szCs w:val="16"/>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5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vMerge w:val="restart"/>
          </w:tcPr>
          <w:p>
            <w:pPr>
              <w:jc w:val="right"/>
              <w:spacing w:after="0"/>
              <w:rPr>
                <w:sz w:val="20"/>
                <w:szCs w:val="20"/>
                <w:color w:val="auto"/>
              </w:rPr>
            </w:pPr>
            <w:r>
              <w:rPr>
                <w:rFonts w:ascii="Arial" w:cs="Arial" w:eastAsia="Arial" w:hAnsi="Arial"/>
                <w:sz w:val="14"/>
                <w:szCs w:val="14"/>
                <w:color w:val="auto"/>
              </w:rPr>
              <w:t>(24)</w:t>
            </w:r>
          </w:p>
        </w:tc>
        <w:tc>
          <w:tcPr>
            <w:tcW w:w="0" w:type="dxa"/>
            <w:vAlign w:val="bottom"/>
          </w:tcPr>
          <w:p>
            <w:pPr>
              <w:spacing w:after="0"/>
              <w:rPr>
                <w:sz w:val="1"/>
                <w:szCs w:val="1"/>
                <w:color w:val="auto"/>
              </w:rPr>
            </w:pPr>
          </w:p>
        </w:tc>
      </w:tr>
      <w:tr>
        <w:trPr>
          <w:trHeight w:val="176"/>
        </w:trPr>
        <w:tc>
          <w:tcPr>
            <w:tcW w:w="2760" w:type="dxa"/>
            <w:vAlign w:val="bottom"/>
          </w:tcPr>
          <w:p>
            <w:pPr>
              <w:spacing w:after="0"/>
              <w:rPr>
                <w:sz w:val="20"/>
                <w:szCs w:val="20"/>
                <w:color w:val="auto"/>
              </w:rPr>
            </w:pPr>
            <w:r>
              <w:rPr>
                <w:rFonts w:ascii="Arial" w:cs="Arial" w:eastAsia="Arial" w:hAnsi="Arial"/>
                <w:sz w:val="14"/>
                <w:szCs w:val="14"/>
                <w:color w:val="auto"/>
              </w:rPr>
              <w:t>market risk benefits</w:t>
            </w:r>
          </w:p>
        </w:tc>
        <w:tc>
          <w:tcPr>
            <w:tcW w:w="80" w:type="dxa"/>
            <w:vAlign w:val="bottom"/>
          </w:tcPr>
          <w:p>
            <w:pPr>
              <w:spacing w:after="0"/>
              <w:rPr>
                <w:sz w:val="15"/>
                <w:szCs w:val="15"/>
                <w:color w:val="auto"/>
              </w:rPr>
            </w:pPr>
          </w:p>
        </w:tc>
        <w:tc>
          <w:tcPr>
            <w:tcW w:w="720" w:type="dxa"/>
            <w:vAlign w:val="bottom"/>
            <w:gridSpan w:val="3"/>
            <w:vMerge w:val="continue"/>
          </w:tcPr>
          <w:p>
            <w:pPr>
              <w:spacing w:after="0"/>
              <w:rPr>
                <w:sz w:val="15"/>
                <w:szCs w:val="15"/>
                <w:color w:val="auto"/>
              </w:rPr>
            </w:pPr>
          </w:p>
        </w:tc>
        <w:tc>
          <w:tcPr>
            <w:tcW w:w="260" w:type="dxa"/>
            <w:vAlign w:val="bottom"/>
          </w:tcPr>
          <w:p>
            <w:pPr>
              <w:spacing w:after="0"/>
              <w:rPr>
                <w:sz w:val="15"/>
                <w:szCs w:val="15"/>
                <w:color w:val="auto"/>
              </w:rPr>
            </w:pPr>
          </w:p>
        </w:tc>
        <w:tc>
          <w:tcPr>
            <w:tcW w:w="22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8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5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2760" w:type="dxa"/>
            <w:vAlign w:val="bottom"/>
          </w:tcPr>
          <w:p>
            <w:pPr>
              <w:spacing w:after="0"/>
              <w:rPr>
                <w:sz w:val="20"/>
                <w:szCs w:val="20"/>
                <w:color w:val="auto"/>
              </w:rPr>
            </w:pPr>
            <w:r>
              <w:rPr>
                <w:rFonts w:ascii="Arial" w:cs="Arial" w:eastAsia="Arial" w:hAnsi="Arial"/>
                <w:sz w:val="14"/>
                <w:szCs w:val="14"/>
                <w:color w:val="auto"/>
                <w:w w:val="97"/>
              </w:rPr>
              <w:t>Other comprehensive earnings attributable to</w:t>
            </w:r>
          </w:p>
        </w:tc>
        <w:tc>
          <w:tcPr>
            <w:tcW w:w="80" w:type="dxa"/>
            <w:vAlign w:val="bottom"/>
          </w:tcPr>
          <w:p>
            <w:pPr>
              <w:spacing w:after="0"/>
              <w:rPr>
                <w:sz w:val="16"/>
                <w:szCs w:val="16"/>
                <w:color w:val="auto"/>
              </w:rPr>
            </w:pPr>
          </w:p>
        </w:tc>
        <w:tc>
          <w:tcPr>
            <w:tcW w:w="720" w:type="dxa"/>
            <w:vAlign w:val="bottom"/>
            <w:gridSpan w:val="3"/>
            <w:vMerge w:val="restart"/>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220" w:type="dxa"/>
            <w:vAlign w:val="bottom"/>
            <w:vMerge w:val="restart"/>
          </w:tcPr>
          <w:p>
            <w:pPr>
              <w:ind w:left="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(73)</w:t>
            </w:r>
          </w:p>
        </w:tc>
        <w:tc>
          <w:tcPr>
            <w:tcW w:w="80" w:type="dxa"/>
            <w:vAlign w:val="bottom"/>
          </w:tcPr>
          <w:p>
            <w:pPr>
              <w:spacing w:after="0"/>
              <w:rPr>
                <w:sz w:val="16"/>
                <w:szCs w:val="16"/>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5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73</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6"/>
        </w:trPr>
        <w:tc>
          <w:tcPr>
            <w:tcW w:w="2760" w:type="dxa"/>
            <w:vAlign w:val="bottom"/>
          </w:tcPr>
          <w:p>
            <w:pPr>
              <w:spacing w:after="0"/>
              <w:rPr>
                <w:sz w:val="20"/>
                <w:szCs w:val="20"/>
                <w:color w:val="auto"/>
              </w:rPr>
            </w:pPr>
            <w:r>
              <w:rPr>
                <w:rFonts w:ascii="Arial" w:cs="Arial" w:eastAsia="Arial" w:hAnsi="Arial"/>
                <w:sz w:val="14"/>
                <w:szCs w:val="14"/>
                <w:color w:val="auto"/>
              </w:rPr>
              <w:t>non-controlling interest</w:t>
            </w:r>
          </w:p>
        </w:tc>
        <w:tc>
          <w:tcPr>
            <w:tcW w:w="80" w:type="dxa"/>
            <w:vAlign w:val="bottom"/>
          </w:tcPr>
          <w:p>
            <w:pPr>
              <w:spacing w:after="0"/>
              <w:rPr>
                <w:sz w:val="15"/>
                <w:szCs w:val="15"/>
                <w:color w:val="auto"/>
              </w:rPr>
            </w:pPr>
          </w:p>
        </w:tc>
        <w:tc>
          <w:tcPr>
            <w:tcW w:w="720" w:type="dxa"/>
            <w:vAlign w:val="bottom"/>
            <w:gridSpan w:val="3"/>
            <w:vMerge w:val="continue"/>
          </w:tcPr>
          <w:p>
            <w:pPr>
              <w:spacing w:after="0"/>
              <w:rPr>
                <w:sz w:val="15"/>
                <w:szCs w:val="15"/>
                <w:color w:val="auto"/>
              </w:rPr>
            </w:pPr>
          </w:p>
        </w:tc>
        <w:tc>
          <w:tcPr>
            <w:tcW w:w="260" w:type="dxa"/>
            <w:vAlign w:val="bottom"/>
          </w:tcPr>
          <w:p>
            <w:pPr>
              <w:spacing w:after="0"/>
              <w:rPr>
                <w:sz w:val="15"/>
                <w:szCs w:val="15"/>
                <w:color w:val="auto"/>
              </w:rPr>
            </w:pPr>
          </w:p>
        </w:tc>
        <w:tc>
          <w:tcPr>
            <w:tcW w:w="22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8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5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2760" w:type="dxa"/>
            <w:vAlign w:val="bottom"/>
          </w:tcPr>
          <w:p>
            <w:pPr>
              <w:spacing w:after="0"/>
              <w:rPr>
                <w:sz w:val="20"/>
                <w:szCs w:val="20"/>
                <w:color w:val="auto"/>
              </w:rPr>
            </w:pPr>
            <w:r>
              <w:rPr>
                <w:rFonts w:ascii="Arial" w:cs="Arial" w:eastAsia="Arial" w:hAnsi="Arial"/>
                <w:sz w:val="14"/>
                <w:szCs w:val="14"/>
                <w:color w:val="auto"/>
                <w:w w:val="92"/>
              </w:rPr>
              <w:t>Subsidiary dividends declared to non-controlling</w:t>
            </w:r>
          </w:p>
        </w:tc>
        <w:tc>
          <w:tcPr>
            <w:tcW w:w="80" w:type="dxa"/>
            <w:vAlign w:val="bottom"/>
          </w:tcPr>
          <w:p>
            <w:pPr>
              <w:spacing w:after="0"/>
              <w:rPr>
                <w:sz w:val="16"/>
                <w:szCs w:val="16"/>
                <w:color w:val="auto"/>
              </w:rPr>
            </w:pPr>
          </w:p>
        </w:tc>
        <w:tc>
          <w:tcPr>
            <w:tcW w:w="720" w:type="dxa"/>
            <w:vAlign w:val="bottom"/>
            <w:gridSpan w:val="3"/>
            <w:vMerge w:val="restart"/>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220" w:type="dxa"/>
            <w:vAlign w:val="bottom"/>
            <w:vMerge w:val="restart"/>
          </w:tcPr>
          <w:p>
            <w:pPr>
              <w:ind w:left="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5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(62)</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vMerge w:val="restart"/>
          </w:tcPr>
          <w:p>
            <w:pPr>
              <w:jc w:val="right"/>
              <w:spacing w:after="0"/>
              <w:rPr>
                <w:sz w:val="20"/>
                <w:szCs w:val="20"/>
                <w:color w:val="auto"/>
              </w:rPr>
            </w:pPr>
            <w:r>
              <w:rPr>
                <w:rFonts w:ascii="Arial" w:cs="Arial" w:eastAsia="Arial" w:hAnsi="Arial"/>
                <w:sz w:val="14"/>
                <w:szCs w:val="14"/>
                <w:color w:val="auto"/>
              </w:rPr>
              <w:t>(62)</w:t>
            </w:r>
          </w:p>
        </w:tc>
        <w:tc>
          <w:tcPr>
            <w:tcW w:w="0" w:type="dxa"/>
            <w:vAlign w:val="bottom"/>
          </w:tcPr>
          <w:p>
            <w:pPr>
              <w:spacing w:after="0"/>
              <w:rPr>
                <w:sz w:val="1"/>
                <w:szCs w:val="1"/>
                <w:color w:val="auto"/>
              </w:rPr>
            </w:pPr>
          </w:p>
        </w:tc>
      </w:tr>
      <w:tr>
        <w:trPr>
          <w:trHeight w:val="176"/>
        </w:trPr>
        <w:tc>
          <w:tcPr>
            <w:tcW w:w="2760" w:type="dxa"/>
            <w:vAlign w:val="bottom"/>
          </w:tcPr>
          <w:p>
            <w:pPr>
              <w:spacing w:after="0"/>
              <w:rPr>
                <w:sz w:val="20"/>
                <w:szCs w:val="20"/>
                <w:color w:val="auto"/>
              </w:rPr>
            </w:pPr>
            <w:r>
              <w:rPr>
                <w:rFonts w:ascii="Arial" w:cs="Arial" w:eastAsia="Arial" w:hAnsi="Arial"/>
                <w:sz w:val="14"/>
                <w:szCs w:val="14"/>
                <w:color w:val="auto"/>
              </w:rPr>
              <w:t>interests</w:t>
            </w:r>
          </w:p>
        </w:tc>
        <w:tc>
          <w:tcPr>
            <w:tcW w:w="80" w:type="dxa"/>
            <w:vAlign w:val="bottom"/>
          </w:tcPr>
          <w:p>
            <w:pPr>
              <w:spacing w:after="0"/>
              <w:rPr>
                <w:sz w:val="15"/>
                <w:szCs w:val="15"/>
                <w:color w:val="auto"/>
              </w:rPr>
            </w:pPr>
          </w:p>
        </w:tc>
        <w:tc>
          <w:tcPr>
            <w:tcW w:w="720" w:type="dxa"/>
            <w:vAlign w:val="bottom"/>
            <w:gridSpan w:val="3"/>
            <w:vMerge w:val="continue"/>
          </w:tcPr>
          <w:p>
            <w:pPr>
              <w:spacing w:after="0"/>
              <w:rPr>
                <w:sz w:val="15"/>
                <w:szCs w:val="15"/>
                <w:color w:val="auto"/>
              </w:rPr>
            </w:pPr>
          </w:p>
        </w:tc>
        <w:tc>
          <w:tcPr>
            <w:tcW w:w="260" w:type="dxa"/>
            <w:vAlign w:val="bottom"/>
          </w:tcPr>
          <w:p>
            <w:pPr>
              <w:spacing w:after="0"/>
              <w:rPr>
                <w:sz w:val="15"/>
                <w:szCs w:val="15"/>
                <w:color w:val="auto"/>
              </w:rPr>
            </w:pPr>
          </w:p>
        </w:tc>
        <w:tc>
          <w:tcPr>
            <w:tcW w:w="22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8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vMerge w:val="continue"/>
          </w:tcPr>
          <w:p>
            <w:pPr>
              <w:spacing w:after="0"/>
              <w:rPr>
                <w:sz w:val="15"/>
                <w:szCs w:val="15"/>
                <w:color w:val="auto"/>
              </w:rPr>
            </w:pPr>
          </w:p>
        </w:tc>
        <w:tc>
          <w:tcPr>
            <w:tcW w:w="60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5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5"/>
        </w:trPr>
        <w:tc>
          <w:tcPr>
            <w:tcW w:w="2760" w:type="dxa"/>
            <w:vAlign w:val="bottom"/>
          </w:tcPr>
          <w:p>
            <w:pPr>
              <w:spacing w:after="0"/>
              <w:rPr>
                <w:sz w:val="20"/>
                <w:szCs w:val="20"/>
                <w:color w:val="auto"/>
              </w:rPr>
            </w:pPr>
            <w:r>
              <w:rPr>
                <w:rFonts w:ascii="Arial" w:cs="Arial" w:eastAsia="Arial" w:hAnsi="Arial"/>
                <w:sz w:val="14"/>
                <w:szCs w:val="14"/>
                <w:color w:val="auto"/>
              </w:rPr>
              <w:t>F&amp;G Distribution</w:t>
            </w:r>
          </w:p>
        </w:tc>
        <w:tc>
          <w:tcPr>
            <w:tcW w:w="80" w:type="dxa"/>
            <w:vAlign w:val="bottom"/>
          </w:tcPr>
          <w:p>
            <w:pPr>
              <w:spacing w:after="0"/>
              <w:rPr>
                <w:sz w:val="20"/>
                <w:szCs w:val="20"/>
                <w:color w:val="auto"/>
              </w:rPr>
            </w:pPr>
          </w:p>
        </w:tc>
        <w:tc>
          <w:tcPr>
            <w:tcW w:w="72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0"/>
                <w:szCs w:val="20"/>
                <w:color w:val="auto"/>
              </w:rPr>
            </w:pPr>
          </w:p>
        </w:tc>
        <w:tc>
          <w:tcPr>
            <w:tcW w:w="220" w:type="dxa"/>
            <w:vAlign w:val="bottom"/>
          </w:tcPr>
          <w:p>
            <w:pPr>
              <w:ind w:left="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9</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(551)</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16</w:t>
            </w:r>
          </w:p>
        </w:tc>
        <w:tc>
          <w:tcPr>
            <w:tcW w:w="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551</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r>
        <w:trPr>
          <w:trHeight w:val="244"/>
        </w:trPr>
        <w:tc>
          <w:tcPr>
            <w:tcW w:w="2760" w:type="dxa"/>
            <w:vAlign w:val="bottom"/>
          </w:tcPr>
          <w:p>
            <w:pPr>
              <w:spacing w:after="0"/>
              <w:rPr>
                <w:sz w:val="20"/>
                <w:szCs w:val="20"/>
                <w:color w:val="auto"/>
              </w:rPr>
            </w:pPr>
            <w:r>
              <w:rPr>
                <w:rFonts w:ascii="Arial" w:cs="Arial" w:eastAsia="Arial" w:hAnsi="Arial"/>
                <w:sz w:val="14"/>
                <w:szCs w:val="14"/>
                <w:color w:val="auto"/>
              </w:rPr>
              <w:t>Net earnings</w:t>
            </w:r>
          </w:p>
        </w:tc>
        <w:tc>
          <w:tcPr>
            <w:tcW w:w="80" w:type="dxa"/>
            <w:vAlign w:val="bottom"/>
          </w:tcPr>
          <w:p>
            <w:pPr>
              <w:spacing w:after="0"/>
              <w:rPr>
                <w:sz w:val="21"/>
                <w:szCs w:val="21"/>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602</w:t>
            </w:r>
          </w:p>
        </w:tc>
        <w:tc>
          <w:tcPr>
            <w:tcW w:w="8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1"/>
                <w:szCs w:val="21"/>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1"/>
                <w:szCs w:val="21"/>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77</w:t>
            </w:r>
          </w:p>
        </w:tc>
        <w:tc>
          <w:tcPr>
            <w:tcW w:w="6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679</w:t>
            </w:r>
          </w:p>
        </w:tc>
        <w:tc>
          <w:tcPr>
            <w:tcW w:w="0" w:type="dxa"/>
            <w:vAlign w:val="bottom"/>
          </w:tcPr>
          <w:p>
            <w:pPr>
              <w:spacing w:after="0"/>
              <w:rPr>
                <w:sz w:val="1"/>
                <w:szCs w:val="1"/>
                <w:color w:val="auto"/>
              </w:rPr>
            </w:pPr>
          </w:p>
        </w:tc>
      </w:tr>
      <w:tr>
        <w:trPr>
          <w:trHeight w:val="181"/>
        </w:trPr>
        <w:tc>
          <w:tcPr>
            <w:tcW w:w="2760" w:type="dxa"/>
            <w:vAlign w:val="bottom"/>
          </w:tcPr>
          <w:p>
            <w:pPr>
              <w:spacing w:after="0"/>
              <w:rPr>
                <w:sz w:val="20"/>
                <w:szCs w:val="20"/>
                <w:color w:val="auto"/>
              </w:rPr>
            </w:pPr>
            <w:r>
              <w:rPr>
                <w:rFonts w:ascii="Arial" w:cs="Arial" w:eastAsia="Arial" w:hAnsi="Arial"/>
                <w:sz w:val="14"/>
                <w:szCs w:val="14"/>
                <w:color w:val="auto"/>
              </w:rPr>
              <w:t>Balance, December 31, 2025</w:t>
            </w:r>
          </w:p>
        </w:tc>
        <w:tc>
          <w:tcPr>
            <w:tcW w:w="680" w:type="dxa"/>
            <w:vAlign w:val="bottom"/>
            <w:gridSpan w:val="2"/>
          </w:tcPr>
          <w:p>
            <w:pPr>
              <w:jc w:val="right"/>
              <w:spacing w:after="0"/>
              <w:rPr>
                <w:sz w:val="20"/>
                <w:szCs w:val="20"/>
                <w:color w:val="auto"/>
              </w:rPr>
            </w:pPr>
            <w:r>
              <w:rPr>
                <w:rFonts w:ascii="Arial" w:cs="Arial" w:eastAsia="Arial" w:hAnsi="Arial"/>
                <w:sz w:val="14"/>
                <w:szCs w:val="14"/>
                <w:color w:val="auto"/>
              </w:rPr>
              <w:t>332</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tcPr>
          <w:p>
            <w:pPr>
              <w:jc w:val="right"/>
              <w:ind w:right="111"/>
              <w:spacing w:after="0"/>
              <w:rPr>
                <w:sz w:val="20"/>
                <w:szCs w:val="20"/>
                <w:color w:val="auto"/>
              </w:rPr>
            </w:pPr>
            <w:r>
              <w:rPr>
                <w:rFonts w:ascii="Arial" w:cs="Arial" w:eastAsia="Arial" w:hAnsi="Arial"/>
                <w:sz w:val="14"/>
                <w:szCs w:val="14"/>
                <w:color w:val="auto"/>
                <w:w w:val="76"/>
              </w:rPr>
              <w:t>$</w:t>
            </w:r>
          </w:p>
        </w:tc>
        <w:tc>
          <w:tcPr>
            <w:tcW w:w="220" w:type="dxa"/>
            <w:vAlign w:val="bottom"/>
          </w:tcPr>
          <w:p>
            <w:pPr>
              <w:ind w:left="20"/>
              <w:spacing w:after="0"/>
              <w:rPr>
                <w:sz w:val="20"/>
                <w:szCs w:val="20"/>
                <w:color w:val="auto"/>
              </w:rPr>
            </w:pPr>
            <w:r>
              <w:rPr>
                <w:rFonts w:ascii="Arial" w:cs="Arial" w:eastAsia="Arial" w:hAnsi="Arial"/>
                <w:sz w:val="14"/>
                <w:szCs w:val="14"/>
                <w:color w:val="auto"/>
              </w:rPr>
              <w:t>—</w:t>
            </w: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6,042</w:t>
            </w:r>
          </w:p>
        </w:tc>
        <w:tc>
          <w:tcPr>
            <w:tcW w:w="300" w:type="dxa"/>
            <w:vAlign w:val="bottom"/>
            <w:gridSpan w:val="2"/>
          </w:tcPr>
          <w:p>
            <w:pPr>
              <w:jc w:val="right"/>
              <w:ind w:right="31"/>
              <w:spacing w:after="0"/>
              <w:rPr>
                <w:sz w:val="20"/>
                <w:szCs w:val="20"/>
                <w:color w:val="auto"/>
              </w:rPr>
            </w:pPr>
            <w:r>
              <w:rPr>
                <w:rFonts w:ascii="Arial" w:cs="Arial" w:eastAsia="Arial" w:hAnsi="Arial"/>
                <w:sz w:val="14"/>
                <w:szCs w:val="14"/>
                <w:color w:val="auto"/>
              </w:rPr>
              <w:t>$</w:t>
            </w:r>
          </w:p>
        </w:tc>
        <w:tc>
          <w:tcPr>
            <w:tcW w:w="480" w:type="dxa"/>
            <w:vAlign w:val="bottom"/>
          </w:tcPr>
          <w:p>
            <w:pPr>
              <w:jc w:val="right"/>
              <w:spacing w:after="0"/>
              <w:rPr>
                <w:sz w:val="20"/>
                <w:szCs w:val="20"/>
                <w:color w:val="auto"/>
              </w:rPr>
            </w:pPr>
            <w:r>
              <w:rPr>
                <w:rFonts w:ascii="Arial" w:cs="Arial" w:eastAsia="Arial" w:hAnsi="Arial"/>
                <w:sz w:val="14"/>
                <w:szCs w:val="14"/>
                <w:color w:val="auto"/>
              </w:rPr>
              <w:t>5,484</w:t>
            </w:r>
          </w:p>
        </w:tc>
        <w:tc>
          <w:tcPr>
            <w:tcW w:w="2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(1,678)</w:t>
            </w:r>
          </w:p>
        </w:tc>
        <w:tc>
          <w:tcPr>
            <w:tcW w:w="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61</w:t>
            </w:r>
          </w:p>
        </w:tc>
        <w:tc>
          <w:tcPr>
            <w:tcW w:w="580" w:type="dxa"/>
            <w:vAlign w:val="bottom"/>
            <w:gridSpan w:val="2"/>
          </w:tcPr>
          <w:p>
            <w:pPr>
              <w:jc w:val="right"/>
              <w:spacing w:after="0"/>
              <w:rPr>
                <w:sz w:val="20"/>
                <w:szCs w:val="20"/>
                <w:color w:val="auto"/>
              </w:rPr>
            </w:pPr>
            <w:r>
              <w:rPr>
                <w:rFonts w:ascii="Arial" w:cs="Arial" w:eastAsia="Arial" w:hAnsi="Arial"/>
                <w:sz w:val="14"/>
                <w:szCs w:val="14"/>
                <w:color w:val="auto"/>
              </w:rPr>
              <w:t>$(2,424)</w:t>
            </w:r>
          </w:p>
        </w:tc>
        <w:tc>
          <w:tcPr>
            <w:tcW w:w="200" w:type="dxa"/>
            <w:vAlign w:val="bottom"/>
            <w:gridSpan w:val="2"/>
          </w:tcPr>
          <w:p>
            <w:pPr>
              <w:ind w:left="120"/>
              <w:spacing w:after="0"/>
              <w:rPr>
                <w:sz w:val="20"/>
                <w:szCs w:val="20"/>
                <w:color w:val="auto"/>
              </w:rPr>
            </w:pPr>
            <w:r>
              <w:rPr>
                <w:rFonts w:ascii="Arial" w:cs="Arial" w:eastAsia="Arial" w:hAnsi="Arial"/>
                <w:sz w:val="14"/>
                <w:szCs w:val="14"/>
                <w:color w:val="auto"/>
                <w:w w:val="76"/>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1,548</w:t>
            </w:r>
          </w:p>
        </w:tc>
        <w:tc>
          <w:tcPr>
            <w:tcW w:w="2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460" w:type="dxa"/>
            <w:vAlign w:val="bottom"/>
          </w:tcPr>
          <w:p>
            <w:pPr>
              <w:jc w:val="right"/>
              <w:spacing w:after="0"/>
              <w:rPr>
                <w:sz w:val="20"/>
                <w:szCs w:val="20"/>
                <w:color w:val="auto"/>
              </w:rPr>
            </w:pPr>
            <w:r>
              <w:rPr>
                <w:rFonts w:ascii="Arial" w:cs="Arial" w:eastAsia="Arial" w:hAnsi="Arial"/>
                <w:sz w:val="14"/>
                <w:szCs w:val="14"/>
                <w:color w:val="auto"/>
              </w:rPr>
              <w:t>8,972</w:t>
            </w:r>
          </w:p>
        </w:tc>
        <w:tc>
          <w:tcPr>
            <w:tcW w:w="0" w:type="dxa"/>
            <w:vAlign w:val="bottom"/>
          </w:tcPr>
          <w:p>
            <w:pPr>
              <w:spacing w:after="0"/>
              <w:rPr>
                <w:sz w:val="1"/>
                <w:szCs w:val="1"/>
                <w:color w:val="auto"/>
              </w:rPr>
            </w:pPr>
          </w:p>
        </w:tc>
      </w:tr>
      <w:tr>
        <w:trPr>
          <w:trHeight w:val="20"/>
        </w:trPr>
        <w:tc>
          <w:tcPr>
            <w:tcW w:w="2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-3951605</wp:posOffset>
            </wp:positionV>
            <wp:extent cx="6167755" cy="39585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72">
                      <a:extLst>
                        <a:ext uri="{28A0092B-C50C-407E-A947-70E740481C1C}"/>
                      </a:extLst>
                    </a:blip>
                    <a:srcRect/>
                    <a:stretch>
                      <a:fillRect/>
                    </a:stretch>
                  </pic:blipFill>
                  <pic:spPr bwMode="auto">
                    <a:xfrm>
                      <a:off x="0" y="0"/>
                      <a:ext cx="6167755" cy="3958590"/>
                    </a:xfrm>
                    <a:prstGeom prst="rect">
                      <a:avLst/>
                    </a:prstGeom>
                    <a:noFill/>
                  </pic:spPr>
                </pic:pic>
              </a:graphicData>
            </a:graphic>
          </wp:anchor>
        </w:drawing>
      </w:r>
    </w:p>
    <w:p>
      <w:pPr>
        <w:spacing w:after="0" w:line="105" w:lineRule="exact"/>
        <w:rPr>
          <w:sz w:val="20"/>
          <w:szCs w:val="20"/>
          <w:color w:val="auto"/>
        </w:rPr>
      </w:pPr>
    </w:p>
    <w:p>
      <w:pPr>
        <w:jc w:val="center"/>
        <w:ind w:right="60"/>
        <w:spacing w:after="0"/>
        <w:rPr>
          <w:sz w:val="20"/>
          <w:szCs w:val="20"/>
          <w:color w:val="auto"/>
        </w:rPr>
      </w:pPr>
      <w:r>
        <w:rPr>
          <w:rFonts w:ascii="Arial" w:cs="Arial" w:eastAsia="Arial" w:hAnsi="Arial"/>
          <w:sz w:val="20"/>
          <w:szCs w:val="20"/>
          <w:color w:val="auto"/>
        </w:rPr>
        <w:t>See accompanying Notes to Consolidated Financial Statements</w:t>
      </w:r>
    </w:p>
    <w:p>
      <w:pPr>
        <w:sectPr>
          <w:pgSz w:w="11880" w:h="15480" w:orient="portrait"/>
          <w:cols w:equalWidth="0" w:num="1">
            <w:col w:w="9620"/>
          </w:cols>
          <w:pgMar w:left="1160" w:top="765" w:right="11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60"/>
        <w:spacing w:after="0"/>
        <w:rPr>
          <w:sz w:val="20"/>
          <w:szCs w:val="20"/>
          <w:color w:val="auto"/>
        </w:rPr>
      </w:pPr>
      <w:r>
        <w:rPr>
          <w:rFonts w:ascii="Arial" w:cs="Arial" w:eastAsia="Arial" w:hAnsi="Arial"/>
          <w:sz w:val="16"/>
          <w:szCs w:val="16"/>
          <w:color w:val="auto"/>
        </w:rPr>
        <w:t>106</w:t>
      </w:r>
    </w:p>
    <w:p>
      <w:pPr>
        <w:sectPr>
          <w:pgSz w:w="11880" w:h="15480" w:orient="portrait"/>
          <w:cols w:equalWidth="0" w:num="1">
            <w:col w:w="9620"/>
          </w:cols>
          <w:pgMar w:left="1160" w:top="765" w:right="1100" w:bottom="0" w:gutter="0" w:footer="0" w:header="0"/>
          <w:type w:val="continuous"/>
        </w:sectPr>
      </w:pPr>
    </w:p>
    <w:bookmarkStart w:id="118" w:name="page119"/>
    <w:bookmarkEnd w:id="118"/>
    <w:p>
      <w:pPr>
        <w:jc w:val="center"/>
        <w:ind w:right="60"/>
        <w:spacing w:after="0" w:line="262" w:lineRule="auto"/>
        <w:rPr>
          <w:sz w:val="20"/>
          <w:szCs w:val="20"/>
          <w:color w:val="auto"/>
        </w:rPr>
      </w:pPr>
      <w:r>
        <w:rPr>
          <w:rFonts w:ascii="Arial" w:cs="Arial" w:eastAsia="Arial" w:hAnsi="Arial"/>
          <w:sz w:val="20"/>
          <w:szCs w:val="20"/>
          <w:b w:val="1"/>
          <w:bCs w:val="1"/>
          <w:color w:val="auto"/>
        </w:rPr>
        <w:t xml:space="preserve">FIDELITY NATIONAL FINANCIAL, INC. AND SUBSIDIARIES CONSOLIDATED STATEMENTS OF CASH FLOWS </w:t>
      </w:r>
      <w:r>
        <w:rPr>
          <w:rFonts w:ascii="Arial" w:cs="Arial" w:eastAsia="Arial" w:hAnsi="Arial"/>
          <w:sz w:val="20"/>
          <w:szCs w:val="20"/>
          <w:color w:val="auto"/>
        </w:rPr>
        <w:t>(In millions)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2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420" w:type="dxa"/>
            <w:vAlign w:val="bottom"/>
            <w:tcBorders>
              <w:bottom w:val="single" w:sz="8" w:color="auto"/>
            </w:tcBorders>
            <w:gridSpan w:val="6"/>
          </w:tcPr>
          <w:p>
            <w:pPr>
              <w:jc w:val="right"/>
              <w:ind w:right="62"/>
              <w:spacing w:after="0"/>
              <w:rPr>
                <w:sz w:val="20"/>
                <w:szCs w:val="20"/>
                <w:color w:val="auto"/>
              </w:rPr>
            </w:pPr>
            <w:r>
              <w:rPr>
                <w:rFonts w:ascii="Arial" w:cs="Arial" w:eastAsia="Arial" w:hAnsi="Arial"/>
                <w:sz w:val="16"/>
                <w:szCs w:val="16"/>
                <w:b w:val="1"/>
                <w:bCs w:val="1"/>
                <w:color w:val="auto"/>
                <w:w w:val="88"/>
              </w:rPr>
              <w:t>For the Year Ended December 31,</w:t>
            </w:r>
          </w:p>
        </w:tc>
      </w:tr>
      <w:tr>
        <w:trPr>
          <w:trHeight w:val="215"/>
        </w:trPr>
        <w:tc>
          <w:tcPr>
            <w:tcW w:w="7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ind w:right="202"/>
              <w:spacing w:after="0"/>
              <w:rPr>
                <w:sz w:val="20"/>
                <w:szCs w:val="20"/>
                <w:color w:val="auto"/>
              </w:rPr>
            </w:pPr>
            <w:r>
              <w:rPr>
                <w:rFonts w:ascii="Arial" w:cs="Arial" w:eastAsia="Arial" w:hAnsi="Arial"/>
                <w:sz w:val="16"/>
                <w:szCs w:val="16"/>
                <w:b w:val="1"/>
                <w:bCs w:val="1"/>
                <w:color w:val="auto"/>
              </w:rPr>
              <w:t>2025</w:t>
            </w:r>
          </w:p>
        </w:tc>
        <w:tc>
          <w:tcPr>
            <w:tcW w:w="860" w:type="dxa"/>
            <w:vAlign w:val="bottom"/>
            <w:gridSpan w:val="2"/>
          </w:tcPr>
          <w:p>
            <w:pPr>
              <w:jc w:val="right"/>
              <w:ind w:right="162"/>
              <w:spacing w:after="0"/>
              <w:rPr>
                <w:sz w:val="20"/>
                <w:szCs w:val="20"/>
                <w:color w:val="auto"/>
              </w:rPr>
            </w:pPr>
            <w:r>
              <w:rPr>
                <w:rFonts w:ascii="Arial" w:cs="Arial" w:eastAsia="Arial" w:hAnsi="Arial"/>
                <w:sz w:val="16"/>
                <w:szCs w:val="16"/>
                <w:b w:val="1"/>
                <w:bCs w:val="1"/>
                <w:color w:val="auto"/>
              </w:rPr>
              <w:t>2024</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ind w:right="162"/>
              <w:spacing w:after="0"/>
              <w:rPr>
                <w:sz w:val="20"/>
                <w:szCs w:val="20"/>
                <w:color w:val="auto"/>
              </w:rPr>
            </w:pPr>
            <w:r>
              <w:rPr>
                <w:rFonts w:ascii="Arial" w:cs="Arial" w:eastAsia="Arial" w:hAnsi="Arial"/>
                <w:sz w:val="16"/>
                <w:szCs w:val="16"/>
                <w:b w:val="1"/>
                <w:bCs w:val="1"/>
                <w:color w:val="auto"/>
                <w:w w:val="95"/>
              </w:rPr>
              <w:t>2023</w:t>
            </w:r>
          </w:p>
        </w:tc>
      </w:tr>
      <w:tr>
        <w:trPr>
          <w:trHeight w:val="193"/>
        </w:trPr>
        <w:tc>
          <w:tcPr>
            <w:tcW w:w="7220" w:type="dxa"/>
            <w:vAlign w:val="bottom"/>
          </w:tcPr>
          <w:p>
            <w:pPr>
              <w:spacing w:after="0"/>
              <w:rPr>
                <w:sz w:val="20"/>
                <w:szCs w:val="20"/>
                <w:color w:val="auto"/>
              </w:rPr>
            </w:pPr>
            <w:r>
              <w:rPr>
                <w:rFonts w:ascii="Arial" w:cs="Arial" w:eastAsia="Arial" w:hAnsi="Arial"/>
                <w:sz w:val="16"/>
                <w:szCs w:val="16"/>
                <w:b w:val="1"/>
                <w:bCs w:val="1"/>
                <w:color w:val="auto"/>
              </w:rPr>
              <w:t>Cash Flows From Operating Activities:</w:t>
            </w:r>
          </w:p>
        </w:tc>
        <w:tc>
          <w:tcPr>
            <w:tcW w:w="14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r>
      <w:tr>
        <w:trPr>
          <w:trHeight w:val="221"/>
        </w:trPr>
        <w:tc>
          <w:tcPr>
            <w:tcW w:w="7220" w:type="dxa"/>
            <w:vAlign w:val="bottom"/>
          </w:tcPr>
          <w:p>
            <w:pPr>
              <w:ind w:left="220"/>
              <w:spacing w:after="0"/>
              <w:rPr>
                <w:sz w:val="20"/>
                <w:szCs w:val="20"/>
                <w:color w:val="auto"/>
              </w:rPr>
            </w:pPr>
            <w:r>
              <w:rPr>
                <w:rFonts w:ascii="Arial" w:cs="Arial" w:eastAsia="Arial" w:hAnsi="Arial"/>
                <w:sz w:val="16"/>
                <w:szCs w:val="16"/>
                <w:color w:val="auto"/>
              </w:rPr>
              <w:t>Net earnings</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679</w:t>
            </w: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   1,391</w:t>
            </w:r>
          </w:p>
        </w:tc>
        <w:tc>
          <w:tcPr>
            <w:tcW w:w="24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518</w:t>
            </w:r>
          </w:p>
        </w:tc>
      </w:tr>
      <w:tr>
        <w:trPr>
          <w:trHeight w:val="220"/>
        </w:trPr>
        <w:tc>
          <w:tcPr>
            <w:tcW w:w="7220" w:type="dxa"/>
            <w:vAlign w:val="bottom"/>
          </w:tcPr>
          <w:p>
            <w:pPr>
              <w:ind w:left="220"/>
              <w:spacing w:after="0"/>
              <w:rPr>
                <w:sz w:val="20"/>
                <w:szCs w:val="20"/>
                <w:color w:val="auto"/>
              </w:rPr>
            </w:pPr>
            <w:r>
              <w:rPr>
                <w:rFonts w:ascii="Arial" w:cs="Arial" w:eastAsia="Arial" w:hAnsi="Arial"/>
                <w:sz w:val="16"/>
                <w:szCs w:val="16"/>
                <w:color w:val="auto"/>
              </w:rPr>
              <w:t>Adjustments to reconcile net earnings to net cash provided by operating activities:</w:t>
            </w: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r>
      <w:tr>
        <w:trPr>
          <w:trHeight w:val="221"/>
        </w:trPr>
        <w:tc>
          <w:tcPr>
            <w:tcW w:w="7220" w:type="dxa"/>
            <w:vAlign w:val="bottom"/>
          </w:tcPr>
          <w:p>
            <w:pPr>
              <w:ind w:left="460"/>
              <w:spacing w:after="0"/>
              <w:rPr>
                <w:sz w:val="20"/>
                <w:szCs w:val="20"/>
                <w:color w:val="auto"/>
              </w:rPr>
            </w:pPr>
            <w:r>
              <w:rPr>
                <w:rFonts w:ascii="Arial" w:cs="Arial" w:eastAsia="Arial" w:hAnsi="Arial"/>
                <w:sz w:val="16"/>
                <w:szCs w:val="16"/>
                <w:color w:val="auto"/>
              </w:rPr>
              <w:t>Depreciation and amortization</w:t>
            </w: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844</w:t>
            </w: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739</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593</w:t>
            </w:r>
          </w:p>
        </w:tc>
      </w:tr>
      <w:tr>
        <w:trPr>
          <w:trHeight w:val="221"/>
        </w:trPr>
        <w:tc>
          <w:tcPr>
            <w:tcW w:w="7220" w:type="dxa"/>
            <w:vAlign w:val="bottom"/>
          </w:tcPr>
          <w:p>
            <w:pPr>
              <w:ind w:left="460"/>
              <w:spacing w:after="0"/>
              <w:rPr>
                <w:sz w:val="20"/>
                <w:szCs w:val="20"/>
                <w:color w:val="auto"/>
              </w:rPr>
            </w:pPr>
            <w:r>
              <w:rPr>
                <w:rFonts w:ascii="Arial" w:cs="Arial" w:eastAsia="Arial" w:hAnsi="Arial"/>
                <w:sz w:val="16"/>
                <w:szCs w:val="16"/>
                <w:color w:val="auto"/>
              </w:rPr>
              <w:t>Equity in earnings of unconsolidated affiliates</w:t>
            </w: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(35)</w:t>
            </w: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(16)</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(17)</w:t>
            </w:r>
          </w:p>
        </w:tc>
      </w:tr>
      <w:tr>
        <w:trPr>
          <w:trHeight w:val="220"/>
        </w:trPr>
        <w:tc>
          <w:tcPr>
            <w:tcW w:w="7220" w:type="dxa"/>
            <w:vAlign w:val="bottom"/>
          </w:tcPr>
          <w:p>
            <w:pPr>
              <w:ind w:left="460"/>
              <w:spacing w:after="0"/>
              <w:rPr>
                <w:sz w:val="20"/>
                <w:szCs w:val="20"/>
                <w:color w:val="auto"/>
              </w:rPr>
            </w:pPr>
            <w:r>
              <w:rPr>
                <w:rFonts w:ascii="Arial" w:cs="Arial" w:eastAsia="Arial" w:hAnsi="Arial"/>
                <w:sz w:val="16"/>
                <w:szCs w:val="16"/>
                <w:color w:val="auto"/>
              </w:rPr>
              <w:t>Loss (gain) on sales of investments and other assets and asset impairments, net</w:t>
            </w: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215</w:t>
            </w: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(339)</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542</w:t>
            </w:r>
          </w:p>
        </w:tc>
      </w:tr>
      <w:tr>
        <w:trPr>
          <w:trHeight w:val="221"/>
        </w:trPr>
        <w:tc>
          <w:tcPr>
            <w:tcW w:w="7220" w:type="dxa"/>
            <w:vAlign w:val="bottom"/>
          </w:tcPr>
          <w:p>
            <w:pPr>
              <w:ind w:left="460"/>
              <w:spacing w:after="0"/>
              <w:rPr>
                <w:sz w:val="20"/>
                <w:szCs w:val="20"/>
                <w:color w:val="auto"/>
              </w:rPr>
            </w:pPr>
            <w:r>
              <w:rPr>
                <w:rFonts w:ascii="Arial" w:cs="Arial" w:eastAsia="Arial" w:hAnsi="Arial"/>
                <w:sz w:val="16"/>
                <w:szCs w:val="16"/>
                <w:color w:val="auto"/>
              </w:rPr>
              <w:t>Interest credited/index credits to contractholder account balances</w:t>
            </w: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202</w:t>
            </w: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1,327</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1,409</w:t>
            </w:r>
          </w:p>
        </w:tc>
      </w:tr>
      <w:tr>
        <w:trPr>
          <w:trHeight w:val="220"/>
        </w:trPr>
        <w:tc>
          <w:tcPr>
            <w:tcW w:w="7220" w:type="dxa"/>
            <w:vAlign w:val="bottom"/>
          </w:tcPr>
          <w:p>
            <w:pPr>
              <w:ind w:left="460"/>
              <w:spacing w:after="0"/>
              <w:rPr>
                <w:sz w:val="20"/>
                <w:szCs w:val="20"/>
                <w:color w:val="auto"/>
              </w:rPr>
            </w:pPr>
            <w:r>
              <w:rPr>
                <w:rFonts w:ascii="Arial" w:cs="Arial" w:eastAsia="Arial" w:hAnsi="Arial"/>
                <w:sz w:val="16"/>
                <w:szCs w:val="16"/>
                <w:color w:val="auto"/>
              </w:rPr>
              <w:t>Change in market risk benefits, net</w:t>
            </w: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167</w:t>
            </w: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(25)</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95</w:t>
            </w:r>
          </w:p>
        </w:tc>
      </w:tr>
      <w:tr>
        <w:trPr>
          <w:trHeight w:val="221"/>
        </w:trPr>
        <w:tc>
          <w:tcPr>
            <w:tcW w:w="7220" w:type="dxa"/>
            <w:vAlign w:val="bottom"/>
          </w:tcPr>
          <w:p>
            <w:pPr>
              <w:ind w:left="460"/>
              <w:spacing w:after="0"/>
              <w:rPr>
                <w:sz w:val="20"/>
                <w:szCs w:val="20"/>
                <w:color w:val="auto"/>
              </w:rPr>
            </w:pPr>
            <w:r>
              <w:rPr>
                <w:rFonts w:ascii="Arial" w:cs="Arial" w:eastAsia="Arial" w:hAnsi="Arial"/>
                <w:sz w:val="16"/>
                <w:szCs w:val="16"/>
                <w:color w:val="auto"/>
              </w:rPr>
              <w:t>Deferred policy acquisition costs and deferred sales inducements</w:t>
            </w: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(1,286)</w:t>
            </w: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(1,419)</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(1,084)</w:t>
            </w:r>
          </w:p>
        </w:tc>
      </w:tr>
      <w:tr>
        <w:trPr>
          <w:trHeight w:val="221"/>
        </w:trPr>
        <w:tc>
          <w:tcPr>
            <w:tcW w:w="7220" w:type="dxa"/>
            <w:vAlign w:val="bottom"/>
          </w:tcPr>
          <w:p>
            <w:pPr>
              <w:ind w:left="460"/>
              <w:spacing w:after="0"/>
              <w:rPr>
                <w:sz w:val="20"/>
                <w:szCs w:val="20"/>
                <w:color w:val="auto"/>
              </w:rPr>
            </w:pPr>
            <w:r>
              <w:rPr>
                <w:rFonts w:ascii="Arial" w:cs="Arial" w:eastAsia="Arial" w:hAnsi="Arial"/>
                <w:sz w:val="16"/>
                <w:szCs w:val="16"/>
                <w:color w:val="auto"/>
              </w:rPr>
              <w:t>Charges assessed to contractholders for mortality and administration</w:t>
            </w: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(330)</w:t>
            </w: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(291)</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(255)</w:t>
            </w:r>
          </w:p>
        </w:tc>
      </w:tr>
      <w:tr>
        <w:trPr>
          <w:trHeight w:val="220"/>
        </w:trPr>
        <w:tc>
          <w:tcPr>
            <w:tcW w:w="7220" w:type="dxa"/>
            <w:vAlign w:val="bottom"/>
          </w:tcPr>
          <w:p>
            <w:pPr>
              <w:ind w:left="460"/>
              <w:spacing w:after="0"/>
              <w:rPr>
                <w:sz w:val="20"/>
                <w:szCs w:val="20"/>
                <w:color w:val="auto"/>
              </w:rPr>
            </w:pPr>
            <w:r>
              <w:rPr>
                <w:rFonts w:ascii="Arial" w:cs="Arial" w:eastAsia="Arial" w:hAnsi="Arial"/>
                <w:sz w:val="16"/>
                <w:szCs w:val="16"/>
                <w:color w:val="auto"/>
              </w:rPr>
              <w:t>Non-cash lease costs</w:t>
            </w: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131</w:t>
            </w: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132</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136</w:t>
            </w:r>
          </w:p>
        </w:tc>
      </w:tr>
      <w:tr>
        <w:trPr>
          <w:trHeight w:val="221"/>
        </w:trPr>
        <w:tc>
          <w:tcPr>
            <w:tcW w:w="7220" w:type="dxa"/>
            <w:vAlign w:val="bottom"/>
          </w:tcPr>
          <w:p>
            <w:pPr>
              <w:ind w:left="460"/>
              <w:spacing w:after="0"/>
              <w:rPr>
                <w:sz w:val="20"/>
                <w:szCs w:val="20"/>
                <w:color w:val="auto"/>
              </w:rPr>
            </w:pPr>
            <w:r>
              <w:rPr>
                <w:rFonts w:ascii="Arial" w:cs="Arial" w:eastAsia="Arial" w:hAnsi="Arial"/>
                <w:sz w:val="16"/>
                <w:szCs w:val="16"/>
                <w:color w:val="auto"/>
              </w:rPr>
              <w:t>Operating lease payments</w:t>
            </w: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(136)</w:t>
            </w: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(147)</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(153)</w:t>
            </w:r>
          </w:p>
        </w:tc>
      </w:tr>
      <w:tr>
        <w:trPr>
          <w:trHeight w:val="220"/>
        </w:trPr>
        <w:tc>
          <w:tcPr>
            <w:tcW w:w="7220" w:type="dxa"/>
            <w:vAlign w:val="bottom"/>
          </w:tcPr>
          <w:p>
            <w:pPr>
              <w:ind w:left="460"/>
              <w:spacing w:after="0"/>
              <w:rPr>
                <w:sz w:val="20"/>
                <w:szCs w:val="20"/>
                <w:color w:val="auto"/>
              </w:rPr>
            </w:pPr>
            <w:r>
              <w:rPr>
                <w:rFonts w:ascii="Arial" w:cs="Arial" w:eastAsia="Arial" w:hAnsi="Arial"/>
                <w:sz w:val="16"/>
                <w:szCs w:val="16"/>
                <w:color w:val="auto"/>
              </w:rPr>
              <w:t>Distributions from unconsolidated affiliates, return on investment</w:t>
            </w: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196</w:t>
            </w: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127</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122</w:t>
            </w:r>
          </w:p>
        </w:tc>
      </w:tr>
      <w:tr>
        <w:trPr>
          <w:trHeight w:val="221"/>
        </w:trPr>
        <w:tc>
          <w:tcPr>
            <w:tcW w:w="7220" w:type="dxa"/>
            <w:vAlign w:val="bottom"/>
          </w:tcPr>
          <w:p>
            <w:pPr>
              <w:ind w:left="460"/>
              <w:spacing w:after="0"/>
              <w:rPr>
                <w:sz w:val="20"/>
                <w:szCs w:val="20"/>
                <w:color w:val="auto"/>
              </w:rPr>
            </w:pPr>
            <w:r>
              <w:rPr>
                <w:rFonts w:ascii="Arial" w:cs="Arial" w:eastAsia="Arial" w:hAnsi="Arial"/>
                <w:sz w:val="16"/>
                <w:szCs w:val="16"/>
                <w:color w:val="auto"/>
              </w:rPr>
              <w:t>Stock-based compensation cost</w:t>
            </w: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88</w:t>
            </w: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82</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60</w:t>
            </w:r>
          </w:p>
        </w:tc>
      </w:tr>
      <w:tr>
        <w:trPr>
          <w:trHeight w:val="220"/>
        </w:trPr>
        <w:tc>
          <w:tcPr>
            <w:tcW w:w="7220" w:type="dxa"/>
            <w:vAlign w:val="bottom"/>
          </w:tcPr>
          <w:p>
            <w:pPr>
              <w:ind w:left="460"/>
              <w:spacing w:after="0"/>
              <w:rPr>
                <w:sz w:val="20"/>
                <w:szCs w:val="20"/>
                <w:color w:val="auto"/>
              </w:rPr>
            </w:pPr>
            <w:r>
              <w:rPr>
                <w:rFonts w:ascii="Arial" w:cs="Arial" w:eastAsia="Arial" w:hAnsi="Arial"/>
                <w:sz w:val="16"/>
                <w:szCs w:val="16"/>
                <w:color w:val="auto"/>
              </w:rPr>
              <w:t>Change in NAV of limited partnerships, net</w:t>
            </w: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(349)</w:t>
            </w: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(350)</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(220)</w:t>
            </w:r>
          </w:p>
        </w:tc>
      </w:tr>
      <w:tr>
        <w:trPr>
          <w:trHeight w:val="220"/>
        </w:trPr>
        <w:tc>
          <w:tcPr>
            <w:tcW w:w="7220" w:type="dxa"/>
            <w:vAlign w:val="bottom"/>
          </w:tcPr>
          <w:p>
            <w:pPr>
              <w:ind w:left="460"/>
              <w:spacing w:after="0"/>
              <w:rPr>
                <w:sz w:val="20"/>
                <w:szCs w:val="20"/>
                <w:color w:val="auto"/>
              </w:rPr>
            </w:pPr>
            <w:r>
              <w:rPr>
                <w:rFonts w:ascii="Arial" w:cs="Arial" w:eastAsia="Arial" w:hAnsi="Arial"/>
                <w:sz w:val="16"/>
                <w:szCs w:val="16"/>
                <w:color w:val="auto"/>
              </w:rPr>
              <w:t>Change in valuation of derivatives, equity and preferred securities, net</w:t>
            </w: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(160)</w:t>
            </w: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189</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(388)</w:t>
            </w:r>
          </w:p>
        </w:tc>
      </w:tr>
      <w:tr>
        <w:trPr>
          <w:trHeight w:val="221"/>
        </w:trPr>
        <w:tc>
          <w:tcPr>
            <w:tcW w:w="7220" w:type="dxa"/>
            <w:vAlign w:val="bottom"/>
          </w:tcPr>
          <w:p>
            <w:pPr>
              <w:ind w:left="460"/>
              <w:spacing w:after="0"/>
              <w:rPr>
                <w:sz w:val="20"/>
                <w:szCs w:val="20"/>
                <w:color w:val="auto"/>
              </w:rPr>
            </w:pPr>
            <w:r>
              <w:rPr>
                <w:rFonts w:ascii="Arial" w:cs="Arial" w:eastAsia="Arial" w:hAnsi="Arial"/>
                <w:sz w:val="16"/>
                <w:szCs w:val="16"/>
                <w:color w:val="auto"/>
              </w:rPr>
              <w:t>Change in derivative collateral liability, net</w:t>
            </w: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249</w:t>
            </w: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91</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410</w:t>
            </w:r>
          </w:p>
        </w:tc>
      </w:tr>
      <w:tr>
        <w:trPr>
          <w:trHeight w:val="220"/>
        </w:trPr>
        <w:tc>
          <w:tcPr>
            <w:tcW w:w="7220" w:type="dxa"/>
            <w:vAlign w:val="bottom"/>
          </w:tcPr>
          <w:p>
            <w:pPr>
              <w:ind w:left="220"/>
              <w:spacing w:after="0"/>
              <w:rPr>
                <w:sz w:val="20"/>
                <w:szCs w:val="20"/>
                <w:color w:val="auto"/>
              </w:rPr>
            </w:pPr>
            <w:r>
              <w:rPr>
                <w:rFonts w:ascii="Arial" w:cs="Arial" w:eastAsia="Arial" w:hAnsi="Arial"/>
                <w:sz w:val="16"/>
                <w:szCs w:val="16"/>
                <w:color w:val="auto"/>
              </w:rPr>
              <w:t>Changes in assets and liabilities, net of effects from acquisitions:</w:t>
            </w: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r>
      <w:tr>
        <w:trPr>
          <w:trHeight w:val="220"/>
        </w:trPr>
        <w:tc>
          <w:tcPr>
            <w:tcW w:w="7220" w:type="dxa"/>
            <w:vAlign w:val="bottom"/>
          </w:tcPr>
          <w:p>
            <w:pPr>
              <w:ind w:left="520"/>
              <w:spacing w:after="0"/>
              <w:rPr>
                <w:sz w:val="20"/>
                <w:szCs w:val="20"/>
                <w:color w:val="auto"/>
              </w:rPr>
            </w:pPr>
            <w:r>
              <w:rPr>
                <w:rFonts w:ascii="Arial" w:cs="Arial" w:eastAsia="Arial" w:hAnsi="Arial"/>
                <w:sz w:val="16"/>
                <w:szCs w:val="16"/>
                <w:color w:val="auto"/>
              </w:rPr>
              <w:t>Change in reinsurance recoverable</w:t>
            </w: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w:t>
            </w: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(13)</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78</w:t>
            </w:r>
          </w:p>
        </w:tc>
      </w:tr>
      <w:tr>
        <w:trPr>
          <w:trHeight w:val="220"/>
        </w:trPr>
        <w:tc>
          <w:tcPr>
            <w:tcW w:w="7220" w:type="dxa"/>
            <w:vAlign w:val="bottom"/>
          </w:tcPr>
          <w:p>
            <w:pPr>
              <w:ind w:left="520"/>
              <w:spacing w:after="0"/>
              <w:rPr>
                <w:sz w:val="20"/>
                <w:szCs w:val="20"/>
                <w:color w:val="auto"/>
              </w:rPr>
            </w:pPr>
            <w:r>
              <w:rPr>
                <w:rFonts w:ascii="Arial" w:cs="Arial" w:eastAsia="Arial" w:hAnsi="Arial"/>
                <w:sz w:val="16"/>
                <w:szCs w:val="16"/>
                <w:color w:val="auto"/>
              </w:rPr>
              <w:t>Change in future policy benefits</w:t>
            </w: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1,710</w:t>
            </w: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1,853</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1,325</w:t>
            </w:r>
          </w:p>
        </w:tc>
      </w:tr>
      <w:tr>
        <w:trPr>
          <w:trHeight w:val="220"/>
        </w:trPr>
        <w:tc>
          <w:tcPr>
            <w:tcW w:w="7220" w:type="dxa"/>
            <w:vAlign w:val="bottom"/>
          </w:tcPr>
          <w:p>
            <w:pPr>
              <w:ind w:left="520"/>
              <w:spacing w:after="0"/>
              <w:rPr>
                <w:sz w:val="20"/>
                <w:szCs w:val="20"/>
                <w:color w:val="auto"/>
              </w:rPr>
            </w:pPr>
            <w:r>
              <w:rPr>
                <w:rFonts w:ascii="Arial" w:cs="Arial" w:eastAsia="Arial" w:hAnsi="Arial"/>
                <w:sz w:val="16"/>
                <w:szCs w:val="16"/>
                <w:color w:val="auto"/>
              </w:rPr>
              <w:t>Change in funds withheld from reinsurers</w:t>
            </w: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3,277</w:t>
            </w: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3,795</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3,386</w:t>
            </w:r>
          </w:p>
        </w:tc>
      </w:tr>
      <w:tr>
        <w:trPr>
          <w:trHeight w:val="221"/>
        </w:trPr>
        <w:tc>
          <w:tcPr>
            <w:tcW w:w="7220" w:type="dxa"/>
            <w:vAlign w:val="bottom"/>
          </w:tcPr>
          <w:p>
            <w:pPr>
              <w:ind w:left="520"/>
              <w:spacing w:after="0"/>
              <w:rPr>
                <w:sz w:val="20"/>
                <w:szCs w:val="20"/>
                <w:color w:val="auto"/>
              </w:rPr>
            </w:pPr>
            <w:r>
              <w:rPr>
                <w:rFonts w:ascii="Arial" w:cs="Arial" w:eastAsia="Arial" w:hAnsi="Arial"/>
                <w:sz w:val="16"/>
                <w:szCs w:val="16"/>
                <w:color w:val="auto"/>
              </w:rPr>
              <w:t>Net (increase) decrease in trade receivables</w:t>
            </w: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(14)</w:t>
            </w: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(43)</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37</w:t>
            </w:r>
          </w:p>
        </w:tc>
      </w:tr>
      <w:tr>
        <w:trPr>
          <w:trHeight w:val="220"/>
        </w:trPr>
        <w:tc>
          <w:tcPr>
            <w:tcW w:w="7220" w:type="dxa"/>
            <w:vAlign w:val="bottom"/>
          </w:tcPr>
          <w:p>
            <w:pPr>
              <w:ind w:left="520"/>
              <w:spacing w:after="0"/>
              <w:rPr>
                <w:sz w:val="20"/>
                <w:szCs w:val="20"/>
                <w:color w:val="auto"/>
              </w:rPr>
            </w:pPr>
            <w:r>
              <w:rPr>
                <w:rFonts w:ascii="Arial" w:cs="Arial" w:eastAsia="Arial" w:hAnsi="Arial"/>
                <w:sz w:val="16"/>
                <w:szCs w:val="16"/>
                <w:color w:val="auto"/>
              </w:rPr>
              <w:t>Net decrease in reserve for title claim losses</w:t>
            </w: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(12)</w:t>
            </w: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(57)</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(40)</w:t>
            </w:r>
          </w:p>
        </w:tc>
      </w:tr>
      <w:tr>
        <w:trPr>
          <w:trHeight w:val="220"/>
        </w:trPr>
        <w:tc>
          <w:tcPr>
            <w:tcW w:w="7220" w:type="dxa"/>
            <w:vAlign w:val="bottom"/>
          </w:tcPr>
          <w:p>
            <w:pPr>
              <w:ind w:left="520"/>
              <w:spacing w:after="0"/>
              <w:rPr>
                <w:sz w:val="20"/>
                <w:szCs w:val="20"/>
                <w:color w:val="auto"/>
              </w:rPr>
            </w:pPr>
            <w:r>
              <w:rPr>
                <w:rFonts w:ascii="Arial" w:cs="Arial" w:eastAsia="Arial" w:hAnsi="Arial"/>
                <w:sz w:val="16"/>
                <w:szCs w:val="16"/>
                <w:color w:val="auto"/>
              </w:rPr>
              <w:t>Net change in income taxes</w:t>
            </w: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481</w:t>
            </w: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83</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(50)</w:t>
            </w:r>
          </w:p>
        </w:tc>
      </w:tr>
      <w:tr>
        <w:trPr>
          <w:trHeight w:val="228"/>
        </w:trPr>
        <w:tc>
          <w:tcPr>
            <w:tcW w:w="7220" w:type="dxa"/>
            <w:vAlign w:val="bottom"/>
          </w:tcPr>
          <w:p>
            <w:pPr>
              <w:ind w:left="520"/>
              <w:spacing w:after="0"/>
              <w:rPr>
                <w:sz w:val="20"/>
                <w:szCs w:val="20"/>
                <w:color w:val="auto"/>
              </w:rPr>
            </w:pPr>
            <w:r>
              <w:rPr>
                <w:rFonts w:ascii="Arial" w:cs="Arial" w:eastAsia="Arial" w:hAnsi="Arial"/>
                <w:sz w:val="16"/>
                <w:szCs w:val="16"/>
                <w:color w:val="auto"/>
              </w:rPr>
              <w:t>Net change in other assets and other liabilities</w:t>
            </w: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(88)</w:t>
            </w: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(294)</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(26)</w:t>
            </w:r>
          </w:p>
        </w:tc>
      </w:tr>
      <w:tr>
        <w:trPr>
          <w:trHeight w:val="200"/>
        </w:trPr>
        <w:tc>
          <w:tcPr>
            <w:tcW w:w="7220" w:type="dxa"/>
            <w:vAlign w:val="bottom"/>
          </w:tcPr>
          <w:p>
            <w:pPr>
              <w:spacing w:after="0"/>
              <w:rPr>
                <w:sz w:val="20"/>
                <w:szCs w:val="20"/>
                <w:color w:val="auto"/>
              </w:rPr>
            </w:pPr>
            <w:r>
              <w:rPr>
                <w:rFonts w:ascii="Arial" w:cs="Arial" w:eastAsia="Arial" w:hAnsi="Arial"/>
                <w:sz w:val="16"/>
                <w:szCs w:val="16"/>
                <w:color w:val="auto"/>
              </w:rPr>
              <w:t>Net cash provided by operating activities</w:t>
            </w:r>
          </w:p>
        </w:tc>
        <w:tc>
          <w:tcPr>
            <w:tcW w:w="140" w:type="dxa"/>
            <w:vAlign w:val="bottom"/>
            <w:tcBorders>
              <w:top w:val="single" w:sz="8" w:color="auto"/>
              <w:bottom w:val="single" w:sz="8" w:color="auto"/>
            </w:tcBorders>
          </w:tcPr>
          <w:p>
            <w:pPr>
              <w:spacing w:after="0"/>
              <w:rPr>
                <w:sz w:val="17"/>
                <w:szCs w:val="17"/>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5,828</w:t>
            </w:r>
          </w:p>
        </w:tc>
        <w:tc>
          <w:tcPr>
            <w:tcW w:w="80" w:type="dxa"/>
            <w:vAlign w:val="bottom"/>
          </w:tcPr>
          <w:p>
            <w:pPr>
              <w:spacing w:after="0"/>
              <w:rPr>
                <w:sz w:val="17"/>
                <w:szCs w:val="17"/>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6,815</w:t>
            </w:r>
          </w:p>
        </w:tc>
        <w:tc>
          <w:tcPr>
            <w:tcW w:w="60" w:type="dxa"/>
            <w:vAlign w:val="bottom"/>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6,478</w:t>
            </w:r>
          </w:p>
        </w:tc>
      </w:tr>
      <w:tr>
        <w:trPr>
          <w:trHeight w:val="193"/>
        </w:trPr>
        <w:tc>
          <w:tcPr>
            <w:tcW w:w="7220" w:type="dxa"/>
            <w:vAlign w:val="bottom"/>
          </w:tcPr>
          <w:p>
            <w:pPr>
              <w:spacing w:after="0"/>
              <w:rPr>
                <w:sz w:val="20"/>
                <w:szCs w:val="20"/>
                <w:color w:val="auto"/>
              </w:rPr>
            </w:pPr>
            <w:r>
              <w:rPr>
                <w:rFonts w:ascii="Arial" w:cs="Arial" w:eastAsia="Arial" w:hAnsi="Arial"/>
                <w:sz w:val="16"/>
                <w:szCs w:val="16"/>
                <w:b w:val="1"/>
                <w:bCs w:val="1"/>
                <w:color w:val="auto"/>
              </w:rPr>
              <w:t>Cash Flows From Investing Activities:</w:t>
            </w: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r>
      <w:tr>
        <w:trPr>
          <w:trHeight w:val="220"/>
        </w:trPr>
        <w:tc>
          <w:tcPr>
            <w:tcW w:w="7220" w:type="dxa"/>
            <w:vAlign w:val="bottom"/>
          </w:tcPr>
          <w:p>
            <w:pPr>
              <w:ind w:left="220"/>
              <w:spacing w:after="0"/>
              <w:rPr>
                <w:sz w:val="20"/>
                <w:szCs w:val="20"/>
                <w:color w:val="auto"/>
              </w:rPr>
            </w:pPr>
            <w:r>
              <w:rPr>
                <w:rFonts w:ascii="Arial" w:cs="Arial" w:eastAsia="Arial" w:hAnsi="Arial"/>
                <w:sz w:val="16"/>
                <w:szCs w:val="16"/>
                <w:color w:val="auto"/>
              </w:rPr>
              <w:t>Proceeds from sales, calls and maturities of investment securities</w:t>
            </w: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14,985</w:t>
            </w: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12,274</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5,875</w:t>
            </w:r>
          </w:p>
        </w:tc>
      </w:tr>
      <w:tr>
        <w:trPr>
          <w:trHeight w:val="220"/>
        </w:trPr>
        <w:tc>
          <w:tcPr>
            <w:tcW w:w="7220" w:type="dxa"/>
            <w:vAlign w:val="bottom"/>
          </w:tcPr>
          <w:p>
            <w:pPr>
              <w:ind w:left="220"/>
              <w:spacing w:after="0"/>
              <w:rPr>
                <w:sz w:val="20"/>
                <w:szCs w:val="20"/>
                <w:color w:val="auto"/>
              </w:rPr>
            </w:pPr>
            <w:r>
              <w:rPr>
                <w:rFonts w:ascii="Arial" w:cs="Arial" w:eastAsia="Arial" w:hAnsi="Arial"/>
                <w:sz w:val="16"/>
                <w:szCs w:val="16"/>
                <w:color w:val="auto"/>
              </w:rPr>
              <w:t>Fundings of notes receivable</w:t>
            </w: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(16)</w:t>
            </w: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(21)</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(19)</w:t>
            </w:r>
          </w:p>
        </w:tc>
      </w:tr>
      <w:tr>
        <w:trPr>
          <w:trHeight w:val="220"/>
        </w:trPr>
        <w:tc>
          <w:tcPr>
            <w:tcW w:w="7220" w:type="dxa"/>
            <w:vAlign w:val="bottom"/>
          </w:tcPr>
          <w:p>
            <w:pPr>
              <w:ind w:left="220"/>
              <w:spacing w:after="0"/>
              <w:rPr>
                <w:sz w:val="20"/>
                <w:szCs w:val="20"/>
                <w:color w:val="auto"/>
              </w:rPr>
            </w:pPr>
            <w:r>
              <w:rPr>
                <w:rFonts w:ascii="Arial" w:cs="Arial" w:eastAsia="Arial" w:hAnsi="Arial"/>
                <w:sz w:val="16"/>
                <w:szCs w:val="16"/>
                <w:color w:val="auto"/>
              </w:rPr>
              <w:t>Additions to property and equipment and capitalized software</w:t>
            </w: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(147)</w:t>
            </w: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(146)</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(132)</w:t>
            </w:r>
          </w:p>
        </w:tc>
      </w:tr>
      <w:tr>
        <w:trPr>
          <w:trHeight w:val="220"/>
        </w:trPr>
        <w:tc>
          <w:tcPr>
            <w:tcW w:w="7220" w:type="dxa"/>
            <w:vAlign w:val="bottom"/>
          </w:tcPr>
          <w:p>
            <w:pPr>
              <w:ind w:left="220"/>
              <w:spacing w:after="0"/>
              <w:rPr>
                <w:sz w:val="20"/>
                <w:szCs w:val="20"/>
                <w:color w:val="auto"/>
              </w:rPr>
            </w:pPr>
            <w:r>
              <w:rPr>
                <w:rFonts w:ascii="Arial" w:cs="Arial" w:eastAsia="Arial" w:hAnsi="Arial"/>
                <w:sz w:val="16"/>
                <w:szCs w:val="16"/>
                <w:color w:val="auto"/>
              </w:rPr>
              <w:t>Purchases of investment securities</w:t>
            </w: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(23,198)</w:t>
            </w: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(17,825)</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w w:val="93"/>
              </w:rPr>
              <w:t>(13,985)</w:t>
            </w:r>
          </w:p>
        </w:tc>
      </w:tr>
      <w:tr>
        <w:trPr>
          <w:trHeight w:val="221"/>
        </w:trPr>
        <w:tc>
          <w:tcPr>
            <w:tcW w:w="7220" w:type="dxa"/>
            <w:vAlign w:val="bottom"/>
          </w:tcPr>
          <w:p>
            <w:pPr>
              <w:ind w:left="220"/>
              <w:spacing w:after="0"/>
              <w:rPr>
                <w:sz w:val="20"/>
                <w:szCs w:val="20"/>
                <w:color w:val="auto"/>
              </w:rPr>
            </w:pPr>
            <w:r>
              <w:rPr>
                <w:rFonts w:ascii="Arial" w:cs="Arial" w:eastAsia="Arial" w:hAnsi="Arial"/>
                <w:sz w:val="16"/>
                <w:szCs w:val="16"/>
                <w:color w:val="auto"/>
              </w:rPr>
              <w:t>Net proceeds from (purchases of) sales and maturities of short-term investment securities</w:t>
            </w: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1,298</w:t>
            </w: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(1,076)</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340</w:t>
            </w:r>
          </w:p>
        </w:tc>
      </w:tr>
      <w:tr>
        <w:trPr>
          <w:trHeight w:val="220"/>
        </w:trPr>
        <w:tc>
          <w:tcPr>
            <w:tcW w:w="7220" w:type="dxa"/>
            <w:vAlign w:val="bottom"/>
          </w:tcPr>
          <w:p>
            <w:pPr>
              <w:ind w:left="220"/>
              <w:spacing w:after="0"/>
              <w:rPr>
                <w:sz w:val="20"/>
                <w:szCs w:val="20"/>
                <w:color w:val="auto"/>
              </w:rPr>
            </w:pPr>
            <w:r>
              <w:rPr>
                <w:rFonts w:ascii="Arial" w:cs="Arial" w:eastAsia="Arial" w:hAnsi="Arial"/>
                <w:sz w:val="16"/>
                <w:szCs w:val="16"/>
                <w:color w:val="auto"/>
              </w:rPr>
              <w:t>Other acquisitions/disposals, net of cash acquired</w:t>
            </w: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(62)</w:t>
            </w: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(586)</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(299)</w:t>
            </w:r>
          </w:p>
        </w:tc>
      </w:tr>
      <w:tr>
        <w:trPr>
          <w:trHeight w:val="220"/>
        </w:trPr>
        <w:tc>
          <w:tcPr>
            <w:tcW w:w="7220" w:type="dxa"/>
            <w:vAlign w:val="bottom"/>
          </w:tcPr>
          <w:p>
            <w:pPr>
              <w:ind w:left="220"/>
              <w:spacing w:after="0"/>
              <w:rPr>
                <w:sz w:val="20"/>
                <w:szCs w:val="20"/>
                <w:color w:val="auto"/>
              </w:rPr>
            </w:pPr>
            <w:r>
              <w:rPr>
                <w:rFonts w:ascii="Arial" w:cs="Arial" w:eastAsia="Arial" w:hAnsi="Arial"/>
                <w:sz w:val="16"/>
                <w:szCs w:val="16"/>
                <w:color w:val="auto"/>
              </w:rPr>
              <w:t>Additional investments in unconsolidated affiliates</w:t>
            </w: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(2,493)</w:t>
            </w: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(1,131)</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(1,296)</w:t>
            </w:r>
          </w:p>
        </w:tc>
      </w:tr>
      <w:tr>
        <w:trPr>
          <w:trHeight w:val="250"/>
        </w:trPr>
        <w:tc>
          <w:tcPr>
            <w:tcW w:w="7220" w:type="dxa"/>
            <w:vAlign w:val="bottom"/>
          </w:tcPr>
          <w:p>
            <w:pPr>
              <w:ind w:left="220"/>
              <w:spacing w:after="0"/>
              <w:rPr>
                <w:sz w:val="20"/>
                <w:szCs w:val="20"/>
                <w:color w:val="auto"/>
              </w:rPr>
            </w:pPr>
            <w:r>
              <w:rPr>
                <w:rFonts w:ascii="Arial" w:cs="Arial" w:eastAsia="Arial" w:hAnsi="Arial"/>
                <w:sz w:val="16"/>
                <w:szCs w:val="16"/>
                <w:color w:val="auto"/>
              </w:rPr>
              <w:t>Distributions from unconsolidated affiliates, return of investment</w:t>
            </w:r>
          </w:p>
        </w:tc>
        <w:tc>
          <w:tcPr>
            <w:tcW w:w="14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694</w:t>
            </w: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621</w:t>
            </w: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423</w:t>
            </w:r>
          </w:p>
        </w:tc>
      </w:tr>
      <w:tr>
        <w:trPr>
          <w:trHeight w:val="257"/>
        </w:trPr>
        <w:tc>
          <w:tcPr>
            <w:tcW w:w="7220" w:type="dxa"/>
            <w:vAlign w:val="bottom"/>
          </w:tcPr>
          <w:p>
            <w:pPr>
              <w:ind w:left="220"/>
              <w:spacing w:after="0"/>
              <w:rPr>
                <w:sz w:val="20"/>
                <w:szCs w:val="20"/>
                <w:color w:val="auto"/>
              </w:rPr>
            </w:pPr>
            <w:r>
              <w:rPr>
                <w:rFonts w:ascii="Arial" w:cs="Arial" w:eastAsia="Arial" w:hAnsi="Arial"/>
                <w:sz w:val="16"/>
                <w:szCs w:val="16"/>
                <w:color w:val="auto"/>
              </w:rPr>
              <w:t>Net other investing activities</w:t>
            </w:r>
          </w:p>
        </w:tc>
        <w:tc>
          <w:tcPr>
            <w:tcW w:w="14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5</w:t>
            </w: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28</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3</w:t>
            </w:r>
          </w:p>
        </w:tc>
      </w:tr>
      <w:tr>
        <w:trPr>
          <w:trHeight w:val="200"/>
        </w:trPr>
        <w:tc>
          <w:tcPr>
            <w:tcW w:w="7220" w:type="dxa"/>
            <w:vAlign w:val="bottom"/>
          </w:tcPr>
          <w:p>
            <w:pPr>
              <w:spacing w:after="0"/>
              <w:rPr>
                <w:sz w:val="20"/>
                <w:szCs w:val="20"/>
                <w:color w:val="auto"/>
              </w:rPr>
            </w:pPr>
            <w:r>
              <w:rPr>
                <w:rFonts w:ascii="Arial" w:cs="Arial" w:eastAsia="Arial" w:hAnsi="Arial"/>
                <w:sz w:val="16"/>
                <w:szCs w:val="16"/>
                <w:color w:val="auto"/>
              </w:rPr>
              <w:t>Net cash used in investing activities</w:t>
            </w:r>
          </w:p>
        </w:tc>
        <w:tc>
          <w:tcPr>
            <w:tcW w:w="140" w:type="dxa"/>
            <w:vAlign w:val="bottom"/>
            <w:tcBorders>
              <w:top w:val="single" w:sz="8" w:color="auto"/>
              <w:bottom w:val="single" w:sz="8" w:color="auto"/>
            </w:tcBorders>
          </w:tcPr>
          <w:p>
            <w:pPr>
              <w:spacing w:after="0"/>
              <w:rPr>
                <w:sz w:val="17"/>
                <w:szCs w:val="17"/>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(8,934)</w:t>
            </w:r>
          </w:p>
        </w:tc>
        <w:tc>
          <w:tcPr>
            <w:tcW w:w="80" w:type="dxa"/>
            <w:vAlign w:val="bottom"/>
          </w:tcPr>
          <w:p>
            <w:pPr>
              <w:spacing w:after="0"/>
              <w:rPr>
                <w:sz w:val="17"/>
                <w:szCs w:val="17"/>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(7,862)</w:t>
            </w:r>
          </w:p>
        </w:tc>
        <w:tc>
          <w:tcPr>
            <w:tcW w:w="60" w:type="dxa"/>
            <w:vAlign w:val="bottom"/>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(9,090)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-5096510</wp:posOffset>
            </wp:positionV>
            <wp:extent cx="6269990" cy="748347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73">
                      <a:extLst>
                        <a:ext uri="{28A0092B-C50C-407E-A947-70E740481C1C}"/>
                      </a:extLst>
                    </a:blip>
                    <a:srcRect/>
                    <a:stretch>
                      <a:fillRect/>
                    </a:stretch>
                  </pic:blipFill>
                  <pic:spPr bwMode="auto">
                    <a:xfrm>
                      <a:off x="0" y="0"/>
                      <a:ext cx="6269990" cy="7483475"/>
                    </a:xfrm>
                    <a:prstGeom prst="rect">
                      <a:avLst/>
                    </a:prstGeom>
                    <a:noFill/>
                  </pic:spPr>
                </pic:pic>
              </a:graphicData>
            </a:graphic>
          </wp:anchor>
        </w:drawing>
      </w:r>
    </w:p>
    <w:p>
      <w:pPr>
        <w:sectPr>
          <w:pgSz w:w="11880" w:h="15480" w:orient="portrait"/>
          <w:cols w:equalWidth="0" w:num="1">
            <w:col w:w="9780"/>
          </w:cols>
          <w:pgMar w:left="1080" w:top="1000" w:right="10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60"/>
        <w:spacing w:after="0"/>
        <w:rPr>
          <w:sz w:val="20"/>
          <w:szCs w:val="20"/>
          <w:color w:val="auto"/>
        </w:rPr>
      </w:pPr>
      <w:r>
        <w:rPr>
          <w:rFonts w:ascii="Arial" w:cs="Arial" w:eastAsia="Arial" w:hAnsi="Arial"/>
          <w:sz w:val="16"/>
          <w:szCs w:val="16"/>
          <w:color w:val="auto"/>
        </w:rPr>
        <w:t>107</w:t>
      </w:r>
    </w:p>
    <w:p>
      <w:pPr>
        <w:sectPr>
          <w:pgSz w:w="11880" w:h="15480" w:orient="portrait"/>
          <w:cols w:equalWidth="0" w:num="1">
            <w:col w:w="9780"/>
          </w:cols>
          <w:pgMar w:left="1080" w:top="1000" w:right="1020" w:bottom="0" w:gutter="0" w:footer="0" w:header="0"/>
          <w:type w:val="continuous"/>
        </w:sectPr>
      </w:pPr>
    </w:p>
    <w:bookmarkStart w:id="119" w:name="page120"/>
    <w:bookmarkEnd w:id="119"/>
    <w:p>
      <w:pPr>
        <w:jc w:val="center"/>
        <w:ind w:right="900"/>
        <w:spacing w:after="0" w:line="245" w:lineRule="auto"/>
        <w:rPr>
          <w:sz w:val="20"/>
          <w:szCs w:val="20"/>
          <w:color w:val="auto"/>
        </w:rPr>
      </w:pPr>
      <w:r>
        <w:rPr>
          <w:rFonts w:ascii="Arial" w:cs="Arial" w:eastAsia="Arial" w:hAnsi="Arial"/>
          <w:sz w:val="20"/>
          <w:szCs w:val="20"/>
          <w:b w:val="1"/>
          <w:bCs w:val="1"/>
          <w:color w:val="auto"/>
        </w:rPr>
        <w:t xml:space="preserve">FIDELITY NATIONAL FINANCIAL, INC. AND SUBSIDIARIES CONSOLIDATED STATEMENTS OF CASH FLOWS (CONTINUED) </w:t>
      </w:r>
      <w:r>
        <w:rPr>
          <w:rFonts w:ascii="Arial" w:cs="Arial" w:eastAsia="Arial" w:hAnsi="Arial"/>
          <w:sz w:val="20"/>
          <w:szCs w:val="20"/>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-146685</wp:posOffset>
            </wp:positionV>
            <wp:extent cx="6269990" cy="353822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74">
                      <a:extLst>
                        <a:ext uri="{28A0092B-C50C-407E-A947-70E740481C1C}"/>
                      </a:extLst>
                    </a:blip>
                    <a:srcRect/>
                    <a:stretch>
                      <a:fillRect/>
                    </a:stretch>
                  </pic:blipFill>
                  <pic:spPr bwMode="auto">
                    <a:xfrm>
                      <a:off x="0" y="0"/>
                      <a:ext cx="6269990" cy="3538220"/>
                    </a:xfrm>
                    <a:prstGeom prst="rect">
                      <a:avLst/>
                    </a:prstGeom>
                    <a:noFill/>
                  </pic:spPr>
                </pic:pic>
              </a:graphicData>
            </a:graphic>
          </wp:anchor>
        </w:drawing>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2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420" w:type="dxa"/>
            <w:vAlign w:val="bottom"/>
            <w:tcBorders>
              <w:bottom w:val="single" w:sz="8" w:color="auto"/>
            </w:tcBorders>
            <w:gridSpan w:val="7"/>
          </w:tcPr>
          <w:p>
            <w:pPr>
              <w:jc w:val="right"/>
              <w:ind w:right="62"/>
              <w:spacing w:after="0"/>
              <w:rPr>
                <w:sz w:val="20"/>
                <w:szCs w:val="20"/>
                <w:color w:val="auto"/>
              </w:rPr>
            </w:pPr>
            <w:r>
              <w:rPr>
                <w:rFonts w:ascii="Arial" w:cs="Arial" w:eastAsia="Arial" w:hAnsi="Arial"/>
                <w:sz w:val="16"/>
                <w:szCs w:val="16"/>
                <w:b w:val="1"/>
                <w:bCs w:val="1"/>
                <w:color w:val="auto"/>
                <w:w w:val="88"/>
              </w:rPr>
              <w:t>For the Year Ended December 31,</w:t>
            </w:r>
          </w:p>
        </w:tc>
      </w:tr>
      <w:tr>
        <w:trPr>
          <w:trHeight w:val="201"/>
        </w:trPr>
        <w:tc>
          <w:tcPr>
            <w:tcW w:w="7220" w:type="dxa"/>
            <w:vAlign w:val="bottom"/>
          </w:tcPr>
          <w:p>
            <w:pPr>
              <w:spacing w:after="0"/>
              <w:rPr>
                <w:sz w:val="20"/>
                <w:szCs w:val="20"/>
                <w:color w:val="auto"/>
              </w:rPr>
            </w:pPr>
            <w:r>
              <w:rPr>
                <w:rFonts w:ascii="Arial" w:cs="Arial" w:eastAsia="Arial" w:hAnsi="Arial"/>
                <w:sz w:val="16"/>
                <w:szCs w:val="16"/>
                <w:b w:val="1"/>
                <w:bCs w:val="1"/>
                <w:color w:val="auto"/>
              </w:rPr>
              <w:t>Cash Flows From Financing Activities:</w:t>
            </w:r>
          </w:p>
        </w:tc>
        <w:tc>
          <w:tcPr>
            <w:tcW w:w="1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202"/>
              <w:spacing w:after="0"/>
              <w:rPr>
                <w:sz w:val="20"/>
                <w:szCs w:val="20"/>
                <w:color w:val="auto"/>
              </w:rPr>
            </w:pPr>
            <w:r>
              <w:rPr>
                <w:rFonts w:ascii="Arial" w:cs="Arial" w:eastAsia="Arial" w:hAnsi="Arial"/>
                <w:sz w:val="16"/>
                <w:szCs w:val="16"/>
                <w:b w:val="1"/>
                <w:bCs w:val="1"/>
                <w:color w:val="auto"/>
              </w:rPr>
              <w:t>2025</w:t>
            </w:r>
          </w:p>
        </w:tc>
        <w:tc>
          <w:tcPr>
            <w:tcW w:w="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162"/>
              <w:spacing w:after="0"/>
              <w:rPr>
                <w:sz w:val="20"/>
                <w:szCs w:val="20"/>
                <w:color w:val="auto"/>
              </w:rPr>
            </w:pPr>
            <w:r>
              <w:rPr>
                <w:rFonts w:ascii="Arial" w:cs="Arial" w:eastAsia="Arial" w:hAnsi="Arial"/>
                <w:sz w:val="16"/>
                <w:szCs w:val="16"/>
                <w:b w:val="1"/>
                <w:bCs w:val="1"/>
                <w:color w:val="auto"/>
                <w:w w:val="95"/>
              </w:rPr>
              <w:t>2024</w:t>
            </w:r>
          </w:p>
        </w:tc>
        <w:tc>
          <w:tcPr>
            <w:tcW w:w="6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162"/>
              <w:spacing w:after="0"/>
              <w:rPr>
                <w:sz w:val="20"/>
                <w:szCs w:val="20"/>
                <w:color w:val="auto"/>
              </w:rPr>
            </w:pPr>
            <w:r>
              <w:rPr>
                <w:rFonts w:ascii="Arial" w:cs="Arial" w:eastAsia="Arial" w:hAnsi="Arial"/>
                <w:sz w:val="16"/>
                <w:szCs w:val="16"/>
                <w:b w:val="1"/>
                <w:bCs w:val="1"/>
                <w:color w:val="auto"/>
                <w:w w:val="95"/>
              </w:rPr>
              <w:t>2023</w:t>
            </w:r>
          </w:p>
        </w:tc>
      </w:tr>
      <w:tr>
        <w:trPr>
          <w:trHeight w:val="204"/>
        </w:trPr>
        <w:tc>
          <w:tcPr>
            <w:tcW w:w="7220" w:type="dxa"/>
            <w:vAlign w:val="bottom"/>
          </w:tcPr>
          <w:p>
            <w:pPr>
              <w:ind w:left="220"/>
              <w:spacing w:after="0"/>
              <w:rPr>
                <w:sz w:val="20"/>
                <w:szCs w:val="20"/>
                <w:color w:val="auto"/>
              </w:rPr>
            </w:pPr>
            <w:r>
              <w:rPr>
                <w:rFonts w:ascii="Arial" w:cs="Arial" w:eastAsia="Arial" w:hAnsi="Arial"/>
                <w:sz w:val="16"/>
                <w:szCs w:val="16"/>
                <w:color w:val="auto"/>
              </w:rPr>
              <w:t>Borrowings</w:t>
            </w:r>
          </w:p>
        </w:tc>
        <w:tc>
          <w:tcPr>
            <w:tcW w:w="1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10</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18</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6</w:t>
            </w:r>
          </w:p>
        </w:tc>
      </w:tr>
      <w:tr>
        <w:trPr>
          <w:trHeight w:val="210"/>
        </w:trPr>
        <w:tc>
          <w:tcPr>
            <w:tcW w:w="7220" w:type="dxa"/>
            <w:vAlign w:val="bottom"/>
          </w:tcPr>
          <w:p>
            <w:pPr>
              <w:ind w:left="220"/>
              <w:spacing w:after="0"/>
              <w:rPr>
                <w:sz w:val="20"/>
                <w:szCs w:val="20"/>
                <w:color w:val="auto"/>
              </w:rPr>
            </w:pPr>
            <w:r>
              <w:rPr>
                <w:rFonts w:ascii="Arial" w:cs="Arial" w:eastAsia="Arial" w:hAnsi="Arial"/>
                <w:sz w:val="16"/>
                <w:szCs w:val="16"/>
                <w:color w:val="auto"/>
              </w:rPr>
              <w:t>Debt offering</w:t>
            </w: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375</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1,050</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845</w:t>
            </w:r>
          </w:p>
        </w:tc>
      </w:tr>
      <w:tr>
        <w:trPr>
          <w:trHeight w:val="221"/>
        </w:trPr>
        <w:tc>
          <w:tcPr>
            <w:tcW w:w="7220" w:type="dxa"/>
            <w:vAlign w:val="bottom"/>
          </w:tcPr>
          <w:p>
            <w:pPr>
              <w:ind w:left="220"/>
              <w:spacing w:after="0"/>
              <w:rPr>
                <w:sz w:val="20"/>
                <w:szCs w:val="20"/>
                <w:color w:val="auto"/>
              </w:rPr>
            </w:pPr>
            <w:r>
              <w:rPr>
                <w:rFonts w:ascii="Arial" w:cs="Arial" w:eastAsia="Arial" w:hAnsi="Arial"/>
                <w:sz w:val="16"/>
                <w:szCs w:val="16"/>
                <w:color w:val="auto"/>
              </w:rPr>
              <w:t>F&amp;G Credit Agreement repayments, net</w:t>
            </w: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(365)</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(185)</w:t>
            </w:r>
          </w:p>
        </w:tc>
      </w:tr>
      <w:tr>
        <w:trPr>
          <w:trHeight w:val="221"/>
        </w:trPr>
        <w:tc>
          <w:tcPr>
            <w:tcW w:w="7220" w:type="dxa"/>
            <w:vAlign w:val="bottom"/>
          </w:tcPr>
          <w:p>
            <w:pPr>
              <w:ind w:left="220"/>
              <w:spacing w:after="0"/>
              <w:rPr>
                <w:sz w:val="20"/>
                <w:szCs w:val="20"/>
                <w:color w:val="auto"/>
              </w:rPr>
            </w:pPr>
            <w:r>
              <w:rPr>
                <w:rFonts w:ascii="Arial" w:cs="Arial" w:eastAsia="Arial" w:hAnsi="Arial"/>
                <w:sz w:val="16"/>
                <w:szCs w:val="16"/>
                <w:color w:val="auto"/>
              </w:rPr>
              <w:t>Debt costs/equity issuance additions</w:t>
            </w: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(11)</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(20)</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(16)</w:t>
            </w:r>
          </w:p>
        </w:tc>
      </w:tr>
      <w:tr>
        <w:trPr>
          <w:trHeight w:val="220"/>
        </w:trPr>
        <w:tc>
          <w:tcPr>
            <w:tcW w:w="7220" w:type="dxa"/>
            <w:vAlign w:val="bottom"/>
          </w:tcPr>
          <w:p>
            <w:pPr>
              <w:ind w:left="220"/>
              <w:spacing w:after="0"/>
              <w:rPr>
                <w:sz w:val="20"/>
                <w:szCs w:val="20"/>
                <w:color w:val="auto"/>
              </w:rPr>
            </w:pPr>
            <w:r>
              <w:rPr>
                <w:rFonts w:ascii="Arial" w:cs="Arial" w:eastAsia="Arial" w:hAnsi="Arial"/>
                <w:sz w:val="16"/>
                <w:szCs w:val="16"/>
                <w:color w:val="auto"/>
              </w:rPr>
              <w:t>Debt service payments</w:t>
            </w: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(300)</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(250)</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21"/>
        </w:trPr>
        <w:tc>
          <w:tcPr>
            <w:tcW w:w="7220" w:type="dxa"/>
            <w:vAlign w:val="bottom"/>
          </w:tcPr>
          <w:p>
            <w:pPr>
              <w:ind w:left="220"/>
              <w:spacing w:after="0"/>
              <w:rPr>
                <w:sz w:val="20"/>
                <w:szCs w:val="20"/>
                <w:color w:val="auto"/>
              </w:rPr>
            </w:pPr>
            <w:r>
              <w:rPr>
                <w:rFonts w:ascii="Arial" w:cs="Arial" w:eastAsia="Arial" w:hAnsi="Arial"/>
                <w:sz w:val="16"/>
                <w:szCs w:val="16"/>
                <w:color w:val="auto"/>
              </w:rPr>
              <w:t>Dividends paid</w:t>
            </w: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(546)</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(532)</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(500)</w:t>
            </w:r>
          </w:p>
        </w:tc>
      </w:tr>
      <w:tr>
        <w:trPr>
          <w:trHeight w:val="220"/>
        </w:trPr>
        <w:tc>
          <w:tcPr>
            <w:tcW w:w="7220" w:type="dxa"/>
            <w:vAlign w:val="bottom"/>
          </w:tcPr>
          <w:p>
            <w:pPr>
              <w:ind w:left="220"/>
              <w:spacing w:after="0"/>
              <w:rPr>
                <w:sz w:val="20"/>
                <w:szCs w:val="20"/>
                <w:color w:val="auto"/>
              </w:rPr>
            </w:pPr>
            <w:r>
              <w:rPr>
                <w:rFonts w:ascii="Arial" w:cs="Arial" w:eastAsia="Arial" w:hAnsi="Arial"/>
                <w:sz w:val="16"/>
                <w:szCs w:val="16"/>
                <w:color w:val="auto"/>
              </w:rPr>
              <w:t>Subsidiary dividends paid to non-controlling interest shareholders</w:t>
            </w: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(62)</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(49)</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(32)</w:t>
            </w:r>
          </w:p>
        </w:tc>
      </w:tr>
      <w:tr>
        <w:trPr>
          <w:trHeight w:val="221"/>
        </w:trPr>
        <w:tc>
          <w:tcPr>
            <w:tcW w:w="7220" w:type="dxa"/>
            <w:vAlign w:val="bottom"/>
          </w:tcPr>
          <w:p>
            <w:pPr>
              <w:ind w:left="220"/>
              <w:spacing w:after="0"/>
              <w:rPr>
                <w:sz w:val="20"/>
                <w:szCs w:val="20"/>
                <w:color w:val="auto"/>
              </w:rPr>
            </w:pPr>
            <w:r>
              <w:rPr>
                <w:rFonts w:ascii="Arial" w:cs="Arial" w:eastAsia="Arial" w:hAnsi="Arial"/>
                <w:sz w:val="16"/>
                <w:szCs w:val="16"/>
                <w:color w:val="auto"/>
              </w:rPr>
              <w:t>Exercise of stock options</w:t>
            </w: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4</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21</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15</w:t>
            </w:r>
          </w:p>
        </w:tc>
      </w:tr>
      <w:tr>
        <w:trPr>
          <w:trHeight w:val="221"/>
        </w:trPr>
        <w:tc>
          <w:tcPr>
            <w:tcW w:w="7220" w:type="dxa"/>
            <w:vAlign w:val="bottom"/>
          </w:tcPr>
          <w:p>
            <w:pPr>
              <w:ind w:left="220"/>
              <w:spacing w:after="0"/>
              <w:rPr>
                <w:sz w:val="20"/>
                <w:szCs w:val="20"/>
                <w:color w:val="auto"/>
              </w:rPr>
            </w:pPr>
            <w:r>
              <w:rPr>
                <w:rFonts w:ascii="Arial" w:cs="Arial" w:eastAsia="Arial" w:hAnsi="Arial"/>
                <w:sz w:val="16"/>
                <w:szCs w:val="16"/>
                <w:color w:val="auto"/>
              </w:rPr>
              <w:t>Net change in secured trust deposits</w:t>
            </w: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180</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(179)</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(132)</w:t>
            </w:r>
          </w:p>
        </w:tc>
      </w:tr>
      <w:tr>
        <w:trPr>
          <w:trHeight w:val="220"/>
        </w:trPr>
        <w:tc>
          <w:tcPr>
            <w:tcW w:w="7220" w:type="dxa"/>
            <w:vAlign w:val="bottom"/>
          </w:tcPr>
          <w:p>
            <w:pPr>
              <w:ind w:left="220"/>
              <w:spacing w:after="0"/>
              <w:rPr>
                <w:sz w:val="20"/>
                <w:szCs w:val="20"/>
                <w:color w:val="auto"/>
              </w:rPr>
            </w:pPr>
            <w:r>
              <w:rPr>
                <w:rFonts w:ascii="Arial" w:cs="Arial" w:eastAsia="Arial" w:hAnsi="Arial"/>
                <w:sz w:val="16"/>
                <w:szCs w:val="16"/>
                <w:color w:val="auto"/>
              </w:rPr>
              <w:t>Purchase of additional share in consolidated subsidiaries</w:t>
            </w: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(11)</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(21)</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(19)</w:t>
            </w:r>
          </w:p>
        </w:tc>
      </w:tr>
      <w:tr>
        <w:trPr>
          <w:trHeight w:val="221"/>
        </w:trPr>
        <w:tc>
          <w:tcPr>
            <w:tcW w:w="7220" w:type="dxa"/>
            <w:vAlign w:val="bottom"/>
          </w:tcPr>
          <w:p>
            <w:pPr>
              <w:ind w:left="220"/>
              <w:spacing w:after="0"/>
              <w:rPr>
                <w:sz w:val="20"/>
                <w:szCs w:val="20"/>
                <w:color w:val="auto"/>
              </w:rPr>
            </w:pPr>
            <w:r>
              <w:rPr>
                <w:rFonts w:ascii="Arial" w:cs="Arial" w:eastAsia="Arial" w:hAnsi="Arial"/>
                <w:sz w:val="16"/>
                <w:szCs w:val="16"/>
                <w:color w:val="auto"/>
              </w:rPr>
              <w:t>Payment of contingent consideration for prior period acquisitions</w:t>
            </w: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(27)</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(17)</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(10)</w:t>
            </w:r>
          </w:p>
        </w:tc>
      </w:tr>
      <w:tr>
        <w:trPr>
          <w:trHeight w:val="220"/>
        </w:trPr>
        <w:tc>
          <w:tcPr>
            <w:tcW w:w="7220" w:type="dxa"/>
            <w:vAlign w:val="bottom"/>
          </w:tcPr>
          <w:p>
            <w:pPr>
              <w:ind w:left="220"/>
              <w:spacing w:after="0"/>
              <w:rPr>
                <w:sz w:val="20"/>
                <w:szCs w:val="20"/>
                <w:color w:val="auto"/>
              </w:rPr>
            </w:pPr>
            <w:r>
              <w:rPr>
                <w:rFonts w:ascii="Arial" w:cs="Arial" w:eastAsia="Arial" w:hAnsi="Arial"/>
                <w:sz w:val="16"/>
                <w:szCs w:val="16"/>
                <w:color w:val="auto"/>
              </w:rPr>
              <w:t>Payment for shares withheld for taxes on share-based compensation</w:t>
            </w: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(27)</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(34)</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(17)</w:t>
            </w:r>
          </w:p>
        </w:tc>
      </w:tr>
      <w:tr>
        <w:trPr>
          <w:trHeight w:val="221"/>
        </w:trPr>
        <w:tc>
          <w:tcPr>
            <w:tcW w:w="7220" w:type="dxa"/>
            <w:vAlign w:val="bottom"/>
          </w:tcPr>
          <w:p>
            <w:pPr>
              <w:ind w:left="220"/>
              <w:spacing w:after="0"/>
              <w:rPr>
                <w:sz w:val="20"/>
                <w:szCs w:val="20"/>
                <w:color w:val="auto"/>
              </w:rPr>
            </w:pPr>
            <w:r>
              <w:rPr>
                <w:rFonts w:ascii="Arial" w:cs="Arial" w:eastAsia="Arial" w:hAnsi="Arial"/>
                <w:sz w:val="16"/>
                <w:szCs w:val="16"/>
                <w:color w:val="auto"/>
              </w:rPr>
              <w:t>Contractholder account deposits</w:t>
            </w: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11,575</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10,147</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7,787</w:t>
            </w:r>
          </w:p>
        </w:tc>
      </w:tr>
      <w:tr>
        <w:trPr>
          <w:trHeight w:val="220"/>
        </w:trPr>
        <w:tc>
          <w:tcPr>
            <w:tcW w:w="7220" w:type="dxa"/>
            <w:vAlign w:val="bottom"/>
          </w:tcPr>
          <w:p>
            <w:pPr>
              <w:ind w:left="220"/>
              <w:spacing w:after="0"/>
              <w:rPr>
                <w:sz w:val="20"/>
                <w:szCs w:val="20"/>
                <w:color w:val="auto"/>
              </w:rPr>
            </w:pPr>
            <w:r>
              <w:rPr>
                <w:rFonts w:ascii="Arial" w:cs="Arial" w:eastAsia="Arial" w:hAnsi="Arial"/>
                <w:sz w:val="16"/>
                <w:szCs w:val="16"/>
                <w:color w:val="auto"/>
              </w:rPr>
              <w:t>Contractholder account withdrawals</w:t>
            </w: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(8,763)</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(8,010)</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(4,625)</w:t>
            </w:r>
          </w:p>
        </w:tc>
      </w:tr>
      <w:tr>
        <w:trPr>
          <w:trHeight w:val="220"/>
        </w:trPr>
        <w:tc>
          <w:tcPr>
            <w:tcW w:w="7220" w:type="dxa"/>
            <w:vAlign w:val="bottom"/>
          </w:tcPr>
          <w:p>
            <w:pPr>
              <w:ind w:left="220"/>
              <w:spacing w:after="0"/>
              <w:rPr>
                <w:sz w:val="20"/>
                <w:szCs w:val="20"/>
                <w:color w:val="auto"/>
              </w:rPr>
            </w:pPr>
            <w:r>
              <w:rPr>
                <w:rFonts w:ascii="Arial" w:cs="Arial" w:eastAsia="Arial" w:hAnsi="Arial"/>
                <w:sz w:val="16"/>
                <w:szCs w:val="16"/>
                <w:color w:val="auto"/>
              </w:rPr>
              <w:t>F&amp;G Equity Offering</w:t>
            </w: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117</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20"/>
        </w:trPr>
        <w:tc>
          <w:tcPr>
            <w:tcW w:w="7220" w:type="dxa"/>
            <w:vAlign w:val="bottom"/>
          </w:tcPr>
          <w:p>
            <w:pPr>
              <w:ind w:left="220"/>
              <w:spacing w:after="0"/>
              <w:rPr>
                <w:sz w:val="20"/>
                <w:szCs w:val="20"/>
                <w:color w:val="auto"/>
              </w:rPr>
            </w:pPr>
            <w:r>
              <w:rPr>
                <w:rFonts w:ascii="Arial" w:cs="Arial" w:eastAsia="Arial" w:hAnsi="Arial"/>
                <w:sz w:val="16"/>
                <w:szCs w:val="16"/>
                <w:color w:val="auto"/>
              </w:rPr>
              <w:t>F&amp;G repurchases of F&amp;G stock</w:t>
            </w: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(18)</w:t>
            </w:r>
          </w:p>
        </w:tc>
      </w:tr>
      <w:tr>
        <w:trPr>
          <w:trHeight w:val="228"/>
        </w:trPr>
        <w:tc>
          <w:tcPr>
            <w:tcW w:w="7220" w:type="dxa"/>
            <w:vAlign w:val="bottom"/>
          </w:tcPr>
          <w:p>
            <w:pPr>
              <w:ind w:left="220"/>
              <w:spacing w:after="0"/>
              <w:rPr>
                <w:sz w:val="20"/>
                <w:szCs w:val="20"/>
                <w:color w:val="auto"/>
              </w:rPr>
            </w:pPr>
            <w:r>
              <w:rPr>
                <w:rFonts w:ascii="Arial" w:cs="Arial" w:eastAsia="Arial" w:hAnsi="Arial"/>
                <w:sz w:val="16"/>
                <w:szCs w:val="16"/>
                <w:color w:val="auto"/>
              </w:rPr>
              <w:t>Purchases of treasury stock</w:t>
            </w:r>
          </w:p>
        </w:tc>
        <w:tc>
          <w:tcPr>
            <w:tcW w:w="1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(251)</w:t>
            </w:r>
          </w:p>
        </w:tc>
        <w:tc>
          <w:tcPr>
            <w:tcW w:w="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w:t>
            </w:r>
          </w:p>
        </w:tc>
      </w:tr>
      <w:tr>
        <w:trPr>
          <w:trHeight w:val="200"/>
        </w:trPr>
        <w:tc>
          <w:tcPr>
            <w:tcW w:w="7220" w:type="dxa"/>
            <w:vAlign w:val="bottom"/>
          </w:tcPr>
          <w:p>
            <w:pPr>
              <w:spacing w:after="0"/>
              <w:rPr>
                <w:sz w:val="20"/>
                <w:szCs w:val="20"/>
                <w:color w:val="auto"/>
              </w:rPr>
            </w:pPr>
            <w:r>
              <w:rPr>
                <w:rFonts w:ascii="Arial" w:cs="Arial" w:eastAsia="Arial" w:hAnsi="Arial"/>
                <w:sz w:val="16"/>
                <w:szCs w:val="16"/>
                <w:color w:val="auto"/>
              </w:rPr>
              <w:t>Net cash provided by financing activities</w:t>
            </w:r>
          </w:p>
        </w:tc>
        <w:tc>
          <w:tcPr>
            <w:tcW w:w="1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2,263</w:t>
            </w:r>
          </w:p>
        </w:tc>
        <w:tc>
          <w:tcPr>
            <w:tcW w:w="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1,759</w:t>
            </w:r>
          </w:p>
        </w:tc>
        <w:tc>
          <w:tcPr>
            <w:tcW w:w="6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3,093</w:t>
            </w:r>
          </w:p>
        </w:tc>
      </w:tr>
      <w:tr>
        <w:trPr>
          <w:trHeight w:val="204"/>
        </w:trPr>
        <w:tc>
          <w:tcPr>
            <w:tcW w:w="7220" w:type="dxa"/>
            <w:vAlign w:val="bottom"/>
          </w:tcPr>
          <w:p>
            <w:pPr>
              <w:spacing w:after="0"/>
              <w:rPr>
                <w:sz w:val="20"/>
                <w:szCs w:val="20"/>
                <w:color w:val="auto"/>
              </w:rPr>
            </w:pPr>
            <w:r>
              <w:rPr>
                <w:rFonts w:ascii="Arial" w:cs="Arial" w:eastAsia="Arial" w:hAnsi="Arial"/>
                <w:sz w:val="16"/>
                <w:szCs w:val="16"/>
                <w:color w:val="auto"/>
              </w:rPr>
              <w:t>Net (decrease) increase in cash and cash equivalents</w:t>
            </w:r>
          </w:p>
        </w:tc>
        <w:tc>
          <w:tcPr>
            <w:tcW w:w="1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(843)</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712</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481</w:t>
            </w:r>
          </w:p>
        </w:tc>
      </w:tr>
      <w:tr>
        <w:trPr>
          <w:trHeight w:val="217"/>
        </w:trPr>
        <w:tc>
          <w:tcPr>
            <w:tcW w:w="7220" w:type="dxa"/>
            <w:vAlign w:val="bottom"/>
          </w:tcPr>
          <w:p>
            <w:pPr>
              <w:spacing w:after="0"/>
              <w:rPr>
                <w:sz w:val="20"/>
                <w:szCs w:val="20"/>
                <w:color w:val="auto"/>
              </w:rPr>
            </w:pPr>
            <w:r>
              <w:rPr>
                <w:rFonts w:ascii="Arial" w:cs="Arial" w:eastAsia="Arial" w:hAnsi="Arial"/>
                <w:sz w:val="16"/>
                <w:szCs w:val="16"/>
                <w:color w:val="auto"/>
              </w:rPr>
              <w:t>Cash and cash equivalents at beginning of period</w:t>
            </w:r>
          </w:p>
        </w:tc>
        <w:tc>
          <w:tcPr>
            <w:tcW w:w="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3,479</w:t>
            </w:r>
          </w:p>
        </w:tc>
        <w:tc>
          <w:tcPr>
            <w:tcW w:w="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2,767</w:t>
            </w:r>
          </w:p>
        </w:tc>
        <w:tc>
          <w:tcPr>
            <w:tcW w:w="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2,286</w:t>
            </w:r>
          </w:p>
        </w:tc>
      </w:tr>
      <w:tr>
        <w:trPr>
          <w:trHeight w:val="181"/>
        </w:trPr>
        <w:tc>
          <w:tcPr>
            <w:tcW w:w="7220" w:type="dxa"/>
            <w:vAlign w:val="bottom"/>
          </w:tcPr>
          <w:p>
            <w:pPr>
              <w:spacing w:after="0" w:line="181" w:lineRule="exact"/>
              <w:rPr>
                <w:sz w:val="20"/>
                <w:szCs w:val="20"/>
                <w:color w:val="auto"/>
              </w:rPr>
            </w:pPr>
            <w:r>
              <w:rPr>
                <w:rFonts w:ascii="Arial" w:cs="Arial" w:eastAsia="Arial" w:hAnsi="Arial"/>
                <w:sz w:val="16"/>
                <w:szCs w:val="16"/>
                <w:color w:val="auto"/>
              </w:rPr>
              <w:t>Cash and cash equivalents at end of period</w:t>
            </w:r>
          </w:p>
        </w:tc>
        <w:tc>
          <w:tcPr>
            <w:tcW w:w="140" w:type="dxa"/>
            <w:vAlign w:val="bottom"/>
            <w:tcBorders>
              <w:bottom w:val="single" w:sz="8" w:color="auto"/>
            </w:tcBorders>
          </w:tcPr>
          <w:p>
            <w:pPr>
              <w:jc w:val="right"/>
              <w:spacing w:after="0" w:line="181" w:lineRule="exact"/>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tcPr>
          <w:p>
            <w:pPr>
              <w:jc w:val="right"/>
              <w:spacing w:after="0" w:line="181" w:lineRule="exact"/>
              <w:rPr>
                <w:sz w:val="20"/>
                <w:szCs w:val="20"/>
                <w:color w:val="auto"/>
              </w:rPr>
            </w:pPr>
            <w:r>
              <w:rPr>
                <w:rFonts w:ascii="Arial" w:cs="Arial" w:eastAsia="Arial" w:hAnsi="Arial"/>
                <w:sz w:val="16"/>
                <w:szCs w:val="16"/>
                <w:color w:val="auto"/>
              </w:rPr>
              <w:t>2,636</w:t>
            </w:r>
          </w:p>
        </w:tc>
        <w:tc>
          <w:tcPr>
            <w:tcW w:w="80" w:type="dxa"/>
            <w:vAlign w:val="bottom"/>
          </w:tcPr>
          <w:p>
            <w:pPr>
              <w:spacing w:after="0"/>
              <w:rPr>
                <w:sz w:val="15"/>
                <w:szCs w:val="15"/>
                <w:color w:val="auto"/>
              </w:rPr>
            </w:pPr>
          </w:p>
        </w:tc>
        <w:tc>
          <w:tcPr>
            <w:tcW w:w="180" w:type="dxa"/>
            <w:vAlign w:val="bottom"/>
            <w:tcBorders>
              <w:bottom w:val="single" w:sz="8" w:color="auto"/>
            </w:tcBorders>
          </w:tcPr>
          <w:p>
            <w:pPr>
              <w:jc w:val="right"/>
              <w:spacing w:after="0" w:line="181" w:lineRule="exact"/>
              <w:rPr>
                <w:sz w:val="20"/>
                <w:szCs w:val="20"/>
                <w:color w:val="auto"/>
              </w:rPr>
            </w:pPr>
            <w:r>
              <w:rPr>
                <w:rFonts w:ascii="Arial" w:cs="Arial" w:eastAsia="Arial" w:hAnsi="Arial"/>
                <w:sz w:val="16"/>
                <w:szCs w:val="16"/>
                <w:color w:val="auto"/>
              </w:rPr>
              <w:t>$</w:t>
            </w:r>
          </w:p>
        </w:tc>
        <w:tc>
          <w:tcPr>
            <w:tcW w:w="600" w:type="dxa"/>
            <w:vAlign w:val="bottom"/>
            <w:tcBorders>
              <w:bottom w:val="single" w:sz="8" w:color="auto"/>
            </w:tcBorders>
          </w:tcPr>
          <w:p>
            <w:pPr>
              <w:jc w:val="right"/>
              <w:spacing w:after="0" w:line="181" w:lineRule="exact"/>
              <w:rPr>
                <w:sz w:val="20"/>
                <w:szCs w:val="20"/>
                <w:color w:val="auto"/>
              </w:rPr>
            </w:pPr>
            <w:r>
              <w:rPr>
                <w:rFonts w:ascii="Arial" w:cs="Arial" w:eastAsia="Arial" w:hAnsi="Arial"/>
                <w:sz w:val="16"/>
                <w:szCs w:val="16"/>
                <w:color w:val="auto"/>
              </w:rPr>
              <w:t>3,479</w:t>
            </w:r>
          </w:p>
        </w:tc>
        <w:tc>
          <w:tcPr>
            <w:tcW w:w="60" w:type="dxa"/>
            <w:vAlign w:val="bottom"/>
          </w:tcPr>
          <w:p>
            <w:pPr>
              <w:spacing w:after="0"/>
              <w:rPr>
                <w:sz w:val="15"/>
                <w:szCs w:val="15"/>
                <w:color w:val="auto"/>
              </w:rPr>
            </w:pPr>
          </w:p>
        </w:tc>
        <w:tc>
          <w:tcPr>
            <w:tcW w:w="180" w:type="dxa"/>
            <w:vAlign w:val="bottom"/>
            <w:tcBorders>
              <w:bottom w:val="single" w:sz="8" w:color="auto"/>
            </w:tcBorders>
          </w:tcPr>
          <w:p>
            <w:pPr>
              <w:jc w:val="right"/>
              <w:spacing w:after="0" w:line="181" w:lineRule="exact"/>
              <w:rPr>
                <w:sz w:val="20"/>
                <w:szCs w:val="20"/>
                <w:color w:val="auto"/>
              </w:rPr>
            </w:pPr>
            <w:r>
              <w:rPr>
                <w:rFonts w:ascii="Arial" w:cs="Arial" w:eastAsia="Arial" w:hAnsi="Arial"/>
                <w:sz w:val="16"/>
                <w:szCs w:val="16"/>
                <w:color w:val="auto"/>
              </w:rPr>
              <w:t>$</w:t>
            </w:r>
          </w:p>
        </w:tc>
        <w:tc>
          <w:tcPr>
            <w:tcW w:w="600" w:type="dxa"/>
            <w:vAlign w:val="bottom"/>
            <w:tcBorders>
              <w:bottom w:val="single" w:sz="8" w:color="auto"/>
            </w:tcBorders>
          </w:tcPr>
          <w:p>
            <w:pPr>
              <w:jc w:val="right"/>
              <w:spacing w:after="0" w:line="181" w:lineRule="exact"/>
              <w:rPr>
                <w:sz w:val="20"/>
                <w:szCs w:val="20"/>
                <w:color w:val="auto"/>
              </w:rPr>
            </w:pPr>
            <w:r>
              <w:rPr>
                <w:rFonts w:ascii="Arial" w:cs="Arial" w:eastAsia="Arial" w:hAnsi="Arial"/>
                <w:sz w:val="16"/>
                <w:szCs w:val="16"/>
                <w:color w:val="auto"/>
              </w:rPr>
              <w:t>2,767</w:t>
            </w:r>
          </w:p>
        </w:tc>
      </w:tr>
      <w:tr>
        <w:trPr>
          <w:trHeight w:val="20"/>
        </w:trPr>
        <w:tc>
          <w:tcPr>
            <w:tcW w:w="7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bl>
    <w:p>
      <w:pPr>
        <w:spacing w:after="0" w:line="27" w:lineRule="exact"/>
        <w:rPr>
          <w:sz w:val="20"/>
          <w:szCs w:val="20"/>
          <w:color w:val="auto"/>
        </w:rPr>
      </w:pPr>
    </w:p>
    <w:p>
      <w:pPr>
        <w:jc w:val="center"/>
        <w:ind w:right="60"/>
        <w:spacing w:after="0"/>
        <w:rPr>
          <w:sz w:val="20"/>
          <w:szCs w:val="20"/>
          <w:color w:val="auto"/>
        </w:rPr>
      </w:pPr>
      <w:r>
        <w:rPr>
          <w:rFonts w:ascii="Arial" w:cs="Arial" w:eastAsia="Arial" w:hAnsi="Arial"/>
          <w:sz w:val="20"/>
          <w:szCs w:val="20"/>
          <w:color w:val="auto"/>
        </w:rPr>
        <w:t>See accompanying Notes to Consolidated Financial Statements</w:t>
      </w:r>
    </w:p>
    <w:p>
      <w:pPr>
        <w:sectPr>
          <w:pgSz w:w="11880" w:h="15480" w:orient="portrait"/>
          <w:cols w:equalWidth="0" w:num="1">
            <w:col w:w="9780"/>
          </w:cols>
          <w:pgMar w:left="1080" w:top="1002" w:right="10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60"/>
        <w:spacing w:after="0"/>
        <w:rPr>
          <w:sz w:val="20"/>
          <w:szCs w:val="20"/>
          <w:color w:val="auto"/>
        </w:rPr>
      </w:pPr>
      <w:r>
        <w:rPr>
          <w:rFonts w:ascii="Arial" w:cs="Arial" w:eastAsia="Arial" w:hAnsi="Arial"/>
          <w:sz w:val="16"/>
          <w:szCs w:val="16"/>
          <w:color w:val="auto"/>
        </w:rPr>
        <w:t>108</w:t>
      </w:r>
    </w:p>
    <w:p>
      <w:pPr>
        <w:sectPr>
          <w:pgSz w:w="11880" w:h="15480" w:orient="portrait"/>
          <w:cols w:equalWidth="0" w:num="1">
            <w:col w:w="9780"/>
          </w:cols>
          <w:pgMar w:left="1080" w:top="1002" w:right="1020" w:bottom="0" w:gutter="0" w:footer="0" w:header="0"/>
          <w:type w:val="continuous"/>
        </w:sectPr>
      </w:pPr>
    </w:p>
    <w:bookmarkStart w:id="120" w:name="page121"/>
    <w:bookmarkEnd w:id="120"/>
    <w:p>
      <w:pPr>
        <w:jc w:val="center"/>
        <w:spacing w:after="0"/>
        <w:rPr>
          <w:sz w:val="20"/>
          <w:szCs w:val="20"/>
          <w:color w:val="auto"/>
        </w:rPr>
      </w:pPr>
      <w:r>
        <w:rPr>
          <w:rFonts w:ascii="Arial" w:cs="Arial" w:eastAsia="Arial" w:hAnsi="Arial"/>
          <w:sz w:val="20"/>
          <w:szCs w:val="20"/>
          <w:b w:val="1"/>
          <w:bCs w:val="1"/>
          <w:color w:val="auto"/>
        </w:rPr>
        <w:t>FIDELITY NATIONAL FINANCIAL, INC. AND SUBSIDIARIES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338" w:lineRule="exact"/>
        <w:rPr>
          <w:sz w:val="20"/>
          <w:szCs w:val="20"/>
          <w:color w:val="auto"/>
        </w:rPr>
      </w:pPr>
    </w:p>
    <w:p>
      <w:pPr>
        <w:ind w:left="100"/>
        <w:spacing w:after="0"/>
        <w:tabs>
          <w:tab w:leader="none" w:pos="1380" w:val="left"/>
        </w:tabs>
        <w:rPr>
          <w:sz w:val="20"/>
          <w:szCs w:val="20"/>
          <w:color w:val="auto"/>
        </w:rPr>
      </w:pPr>
      <w:r>
        <w:rPr>
          <w:rFonts w:ascii="Arial" w:cs="Arial" w:eastAsia="Arial" w:hAnsi="Arial"/>
          <w:sz w:val="20"/>
          <w:szCs w:val="20"/>
          <w:b w:val="1"/>
          <w:bCs w:val="1"/>
          <w:color w:val="auto"/>
        </w:rPr>
        <w:t>Note A.</w:t>
      </w:r>
      <w:r>
        <w:rPr>
          <w:sz w:val="20"/>
          <w:szCs w:val="20"/>
          <w:color w:val="auto"/>
        </w:rPr>
        <w:tab/>
      </w:r>
      <w:r>
        <w:rPr>
          <w:rFonts w:ascii="Arial" w:cs="Arial" w:eastAsia="Arial" w:hAnsi="Arial"/>
          <w:sz w:val="17"/>
          <w:szCs w:val="17"/>
          <w:b w:val="1"/>
          <w:bCs w:val="1"/>
          <w:color w:val="auto"/>
        </w:rPr>
        <w:t>Business and Summary of Significant Accounting Policies</w:t>
      </w:r>
    </w:p>
    <w:p>
      <w:pPr>
        <w:spacing w:after="0" w:line="130" w:lineRule="exact"/>
        <w:rPr>
          <w:sz w:val="20"/>
          <w:szCs w:val="20"/>
          <w:color w:val="auto"/>
        </w:rPr>
      </w:pPr>
    </w:p>
    <w:p>
      <w:pPr>
        <w:jc w:val="both"/>
        <w:ind w:firstLine="353"/>
        <w:spacing w:after="0" w:line="258" w:lineRule="auto"/>
        <w:rPr>
          <w:sz w:val="20"/>
          <w:szCs w:val="20"/>
          <w:color w:val="auto"/>
        </w:rPr>
      </w:pPr>
      <w:r>
        <w:rPr>
          <w:rFonts w:ascii="Arial" w:cs="Arial" w:eastAsia="Arial" w:hAnsi="Arial"/>
          <w:sz w:val="20"/>
          <w:szCs w:val="20"/>
          <w:color w:val="auto"/>
        </w:rPr>
        <w:t>The following describes the business and significant accounting policies of Fidelity National Financial, Inc. and its subsidiaries (collectively, "we," "us," "our," the "Company" or "FNF"), which have been followed in preparing the accompanying Consolidated Financial Statements.</w:t>
      </w:r>
    </w:p>
    <w:p>
      <w:pPr>
        <w:spacing w:after="0" w:line="7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Description of the Business</w:t>
      </w:r>
    </w:p>
    <w:p>
      <w:pPr>
        <w:spacing w:after="0" w:line="130" w:lineRule="exact"/>
        <w:rPr>
          <w:sz w:val="20"/>
          <w:szCs w:val="20"/>
          <w:color w:val="auto"/>
        </w:rPr>
      </w:pPr>
    </w:p>
    <w:p>
      <w:pPr>
        <w:jc w:val="both"/>
        <w:ind w:firstLine="353"/>
        <w:spacing w:after="0" w:line="296" w:lineRule="auto"/>
        <w:rPr>
          <w:sz w:val="20"/>
          <w:szCs w:val="20"/>
          <w:color w:val="auto"/>
        </w:rPr>
      </w:pPr>
      <w:r>
        <w:rPr>
          <w:rFonts w:ascii="Arial" w:cs="Arial" w:eastAsia="Arial" w:hAnsi="Arial"/>
          <w:sz w:val="17"/>
          <w:szCs w:val="17"/>
          <w:color w:val="auto"/>
        </w:rPr>
        <w:t>We are a leading provider of (i) title insurance, escrow and other title-related services, including trust activities, trustee sales guarantees, recordings and reconveyances and home warranty products; (ii) technology and transaction services to the real estate and mortgage industries; and (iii) annuity and life insurance products. FNF is one of the nation’s largest title insurance companies operating through its title insurance underwriters - Fidelity National Title Insurance Company ("FNTIC"), Chicago Title Insurance Company ("Chicago Title"), Commonwealth Land Title Insurance Company ("Commonwealth Title"), Alamo Title Insurance and National Title Insurance of New York Inc. - which collectively issue more title insurance policies than any other title company in the United States. Through our subsidiary, ServiceLink Holdings, LLC ("ServiceLink"), we provide mortgage transaction services, including title-related services and facilitation of production and management of mortgage loans. We are also a leading provider of insurance solutions serving retail annuity and life customers and institutional clients through our majority owned subsidiary, F&amp;G Annuities &amp; Life ("F&amp;G").</w:t>
      </w:r>
    </w:p>
    <w:p>
      <w:pPr>
        <w:spacing w:after="0" w:line="57" w:lineRule="exact"/>
        <w:rPr>
          <w:sz w:val="20"/>
          <w:szCs w:val="20"/>
          <w:color w:val="auto"/>
        </w:rPr>
      </w:pPr>
    </w:p>
    <w:p>
      <w:pPr>
        <w:ind w:left="340"/>
        <w:spacing w:after="0"/>
        <w:rPr>
          <w:sz w:val="20"/>
          <w:szCs w:val="20"/>
          <w:color w:val="auto"/>
        </w:rPr>
      </w:pPr>
      <w:r>
        <w:rPr>
          <w:rFonts w:ascii="Arial" w:cs="Arial" w:eastAsia="Arial" w:hAnsi="Arial"/>
          <w:sz w:val="20"/>
          <w:szCs w:val="20"/>
          <w:color w:val="auto"/>
        </w:rPr>
        <w:t xml:space="preserve">For information about our reporting segments refer to Note J </w:t>
      </w:r>
      <w:r>
        <w:rPr>
          <w:rFonts w:ascii="Arial" w:cs="Arial" w:eastAsia="Arial" w:hAnsi="Arial"/>
          <w:sz w:val="20"/>
          <w:szCs w:val="20"/>
          <w:b w:val="1"/>
          <w:bCs w:val="1"/>
          <w:i w:val="1"/>
          <w:iCs w:val="1"/>
          <w:color w:val="auto"/>
        </w:rPr>
        <w:t>Segment Information</w:t>
      </w:r>
      <w:r>
        <w:rPr>
          <w:rFonts w:ascii="Arial" w:cs="Arial" w:eastAsia="Arial" w:hAnsi="Arial"/>
          <w:sz w:val="20"/>
          <w:szCs w:val="20"/>
          <w:color w:val="auto"/>
        </w:rPr>
        <w:t>.</w:t>
      </w:r>
    </w:p>
    <w:p>
      <w:pPr>
        <w:spacing w:after="0" w:line="9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Recent Developments</w:t>
      </w:r>
    </w:p>
    <w:p>
      <w:pPr>
        <w:spacing w:after="0" w:line="128" w:lineRule="exact"/>
        <w:rPr>
          <w:sz w:val="20"/>
          <w:szCs w:val="20"/>
          <w:color w:val="auto"/>
        </w:rPr>
      </w:pPr>
    </w:p>
    <w:p>
      <w:pPr>
        <w:ind w:left="340"/>
        <w:spacing w:after="0"/>
        <w:rPr>
          <w:sz w:val="20"/>
          <w:szCs w:val="20"/>
          <w:color w:val="auto"/>
        </w:rPr>
      </w:pPr>
      <w:r>
        <w:rPr>
          <w:rFonts w:ascii="Arial" w:cs="Arial" w:eastAsia="Arial" w:hAnsi="Arial"/>
          <w:sz w:val="20"/>
          <w:szCs w:val="20"/>
          <w:b w:val="1"/>
          <w:bCs w:val="1"/>
          <w:i w:val="1"/>
          <w:iCs w:val="1"/>
          <w:color w:val="auto"/>
        </w:rPr>
        <w:t>F&amp;G Life Re Ltd. (“F&amp;G Life Re”)</w:t>
      </w:r>
    </w:p>
    <w:p>
      <w:pPr>
        <w:spacing w:after="0" w:line="125" w:lineRule="exact"/>
        <w:rPr>
          <w:sz w:val="20"/>
          <w:szCs w:val="20"/>
          <w:color w:val="auto"/>
        </w:rPr>
      </w:pPr>
    </w:p>
    <w:p>
      <w:pPr>
        <w:jc w:val="both"/>
        <w:ind w:firstLine="353"/>
        <w:spacing w:after="0" w:line="241" w:lineRule="auto"/>
        <w:rPr>
          <w:sz w:val="20"/>
          <w:szCs w:val="20"/>
          <w:color w:val="auto"/>
        </w:rPr>
      </w:pPr>
      <w:r>
        <w:rPr>
          <w:rFonts w:ascii="Arial" w:cs="Arial" w:eastAsia="Arial" w:hAnsi="Arial"/>
          <w:sz w:val="20"/>
          <w:szCs w:val="20"/>
          <w:color w:val="auto"/>
        </w:rPr>
        <w:t>On February 19, 2026, F&amp;G announced the expected sale of its Bermuda based subsidiary, F&amp;G Life Re, to Ancient Financial Holdings, LP (“Ancient”). The transaction is expected to be completed on March 1, 2026, subject to satisfaction or waiver of customary closing conditions.</w:t>
      </w:r>
    </w:p>
    <w:p>
      <w:pPr>
        <w:spacing w:after="0" w:line="82" w:lineRule="exact"/>
        <w:rPr>
          <w:sz w:val="20"/>
          <w:szCs w:val="20"/>
          <w:color w:val="auto"/>
        </w:rPr>
      </w:pPr>
    </w:p>
    <w:p>
      <w:pPr>
        <w:ind w:left="340"/>
        <w:spacing w:after="0"/>
        <w:rPr>
          <w:sz w:val="20"/>
          <w:szCs w:val="20"/>
          <w:color w:val="auto"/>
        </w:rPr>
      </w:pPr>
      <w:r>
        <w:rPr>
          <w:rFonts w:ascii="Arial" w:cs="Arial" w:eastAsia="Arial" w:hAnsi="Arial"/>
          <w:sz w:val="20"/>
          <w:szCs w:val="20"/>
          <w:b w:val="1"/>
          <w:bCs w:val="1"/>
          <w:i w:val="1"/>
          <w:iCs w:val="1"/>
          <w:color w:val="auto"/>
        </w:rPr>
        <w:t>2025 F&amp;G Distribution</w:t>
      </w:r>
    </w:p>
    <w:p>
      <w:pPr>
        <w:spacing w:after="0" w:line="123" w:lineRule="exact"/>
        <w:rPr>
          <w:sz w:val="20"/>
          <w:szCs w:val="20"/>
          <w:color w:val="auto"/>
        </w:rPr>
      </w:pPr>
    </w:p>
    <w:p>
      <w:pPr>
        <w:jc w:val="both"/>
        <w:ind w:firstLine="353"/>
        <w:spacing w:after="0" w:line="313" w:lineRule="auto"/>
        <w:rPr>
          <w:sz w:val="20"/>
          <w:szCs w:val="20"/>
          <w:color w:val="auto"/>
        </w:rPr>
      </w:pPr>
      <w:r>
        <w:rPr>
          <w:rFonts w:ascii="Arial" w:cs="Arial" w:eastAsia="Arial" w:hAnsi="Arial"/>
          <w:sz w:val="17"/>
          <w:szCs w:val="17"/>
          <w:color w:val="auto"/>
        </w:rPr>
        <w:t xml:space="preserve">On December 31, 2025, we completed our previously announced </w:t>
      </w:r>
      <w:r>
        <w:rPr>
          <w:rFonts w:ascii="Arial" w:cs="Arial" w:eastAsia="Arial" w:hAnsi="Arial"/>
          <w:sz w:val="17"/>
          <w:szCs w:val="17"/>
          <w:b w:val="1"/>
          <w:bCs w:val="1"/>
          <w:i w:val="1"/>
          <w:iCs w:val="1"/>
          <w:color w:val="auto"/>
        </w:rPr>
        <w:t>pro rata</w:t>
      </w:r>
      <w:r>
        <w:rPr>
          <w:rFonts w:ascii="Arial" w:cs="Arial" w:eastAsia="Arial" w:hAnsi="Arial"/>
          <w:sz w:val="17"/>
          <w:szCs w:val="17"/>
          <w:color w:val="auto"/>
        </w:rPr>
        <w:t xml:space="preserve"> distribution of approximately 16 million shares of common stock of F&amp;G owned by FNF, representing approximately 12% of the outstanding shares of F&amp;G's common stock, to all of FNF's shareholders of record as of 4:30 p.m. ET on December 17, 2025 (the "2025 F&amp;G Distribution"). FNF's shareholders received six shares of F&amp;G's common stock for every 100 shares of FNF's common stock.</w:t>
      </w:r>
    </w:p>
    <w:p>
      <w:pPr>
        <w:spacing w:after="0" w:line="40" w:lineRule="exact"/>
        <w:rPr>
          <w:sz w:val="20"/>
          <w:szCs w:val="20"/>
          <w:color w:val="auto"/>
        </w:rPr>
      </w:pPr>
    </w:p>
    <w:p>
      <w:pPr>
        <w:jc w:val="both"/>
        <w:ind w:firstLine="353"/>
        <w:spacing w:after="0" w:line="254" w:lineRule="auto"/>
        <w:rPr>
          <w:sz w:val="20"/>
          <w:szCs w:val="20"/>
          <w:color w:val="auto"/>
        </w:rPr>
      </w:pPr>
      <w:r>
        <w:rPr>
          <w:rFonts w:ascii="Arial" w:cs="Arial" w:eastAsia="Arial" w:hAnsi="Arial"/>
          <w:sz w:val="20"/>
          <w:szCs w:val="20"/>
          <w:color w:val="auto"/>
        </w:rPr>
        <w:t>No fractional shares of F&amp;G's common stock were distributed. Instead, FNF's shareholders received cash in lieu of any fraction of a share of F&amp;G's common stock that they otherwise would have received. The 2025 F&amp;G Distribution is structured as a taxable dividend to FNF shareholders for U.S. federal income tax purposes. Immediately following the 2025 F&amp;G Distribution, FNF owned approximately 70% of the common stock of F&amp;G.</w:t>
      </w:r>
    </w:p>
    <w:p>
      <w:pPr>
        <w:spacing w:after="0" w:line="83" w:lineRule="exact"/>
        <w:rPr>
          <w:sz w:val="20"/>
          <w:szCs w:val="20"/>
          <w:color w:val="auto"/>
        </w:rPr>
      </w:pPr>
    </w:p>
    <w:p>
      <w:pPr>
        <w:ind w:left="340"/>
        <w:spacing w:after="0"/>
        <w:rPr>
          <w:sz w:val="20"/>
          <w:szCs w:val="20"/>
          <w:color w:val="auto"/>
        </w:rPr>
      </w:pPr>
      <w:r>
        <w:rPr>
          <w:rFonts w:ascii="Arial" w:cs="Arial" w:eastAsia="Arial" w:hAnsi="Arial"/>
          <w:sz w:val="20"/>
          <w:szCs w:val="20"/>
          <w:b w:val="1"/>
          <w:bCs w:val="1"/>
          <w:i w:val="1"/>
          <w:iCs w:val="1"/>
          <w:color w:val="auto"/>
        </w:rPr>
        <w:t>F&amp;G Common Stock Issuance</w:t>
      </w:r>
    </w:p>
    <w:p>
      <w:pPr>
        <w:spacing w:after="0" w:line="125" w:lineRule="exact"/>
        <w:rPr>
          <w:sz w:val="20"/>
          <w:szCs w:val="20"/>
          <w:color w:val="auto"/>
        </w:rPr>
      </w:pPr>
    </w:p>
    <w:p>
      <w:pPr>
        <w:jc w:val="both"/>
        <w:ind w:firstLine="353"/>
        <w:spacing w:after="0" w:line="303" w:lineRule="auto"/>
        <w:rPr>
          <w:sz w:val="20"/>
          <w:szCs w:val="20"/>
          <w:color w:val="auto"/>
        </w:rPr>
      </w:pPr>
      <w:r>
        <w:rPr>
          <w:rFonts w:ascii="Arial" w:cs="Arial" w:eastAsia="Arial" w:hAnsi="Arial"/>
          <w:sz w:val="17"/>
          <w:szCs w:val="17"/>
          <w:color w:val="auto"/>
        </w:rPr>
        <w:t>On March 24, 2025, F&amp;G completed a public offering of 8,000,000 shares of F&amp;G common stock, par value $0.001 per share. In connection with the offering, F&amp;G entered into an underwriting agreement, pursuant to which they granted the underwriters of the offering a 30-day option to purchase up to an additional 1,200,000 shares of common stock. Pursuant to the underwriting agreement, the underwriters agreed to resell to FNF 4,500,000 shares of F&amp;G common stock at the same price per share paid by the underwriters, which was $33.60 per share. The underwriters option expired unexercised. F&amp;G is used the net proceeds from the offering for general corporate purposes, including the support of organic growth opportunities.</w:t>
      </w:r>
    </w:p>
    <w:p>
      <w:pPr>
        <w:spacing w:after="0" w:line="46" w:lineRule="exact"/>
        <w:rPr>
          <w:sz w:val="20"/>
          <w:szCs w:val="20"/>
          <w:color w:val="auto"/>
        </w:rPr>
      </w:pPr>
    </w:p>
    <w:p>
      <w:pPr>
        <w:ind w:left="340"/>
        <w:spacing w:after="0"/>
        <w:rPr>
          <w:sz w:val="20"/>
          <w:szCs w:val="20"/>
          <w:color w:val="auto"/>
        </w:rPr>
      </w:pPr>
      <w:r>
        <w:rPr>
          <w:rFonts w:ascii="Arial" w:cs="Arial" w:eastAsia="Arial" w:hAnsi="Arial"/>
          <w:sz w:val="20"/>
          <w:szCs w:val="20"/>
          <w:b w:val="1"/>
          <w:bCs w:val="1"/>
          <w:i w:val="1"/>
          <w:iCs w:val="1"/>
          <w:color w:val="auto"/>
        </w:rPr>
        <w:t>Redemption of 5.50% F&amp;G Senior Notes</w:t>
      </w:r>
    </w:p>
    <w:p>
      <w:pPr>
        <w:spacing w:after="0" w:line="125" w:lineRule="exact"/>
        <w:rPr>
          <w:sz w:val="20"/>
          <w:szCs w:val="20"/>
          <w:color w:val="auto"/>
        </w:rPr>
      </w:pPr>
    </w:p>
    <w:p>
      <w:pPr>
        <w:jc w:val="both"/>
        <w:ind w:firstLine="353"/>
        <w:spacing w:after="0" w:line="278" w:lineRule="auto"/>
        <w:rPr>
          <w:sz w:val="20"/>
          <w:szCs w:val="20"/>
          <w:color w:val="auto"/>
        </w:rPr>
      </w:pPr>
      <w:r>
        <w:rPr>
          <w:rFonts w:ascii="Arial" w:cs="Arial" w:eastAsia="Arial" w:hAnsi="Arial"/>
          <w:sz w:val="19"/>
          <w:szCs w:val="19"/>
          <w:color w:val="auto"/>
        </w:rPr>
        <w:t>On February 1, 2025, F&amp;G redeemed the outstanding $300 million aggregate principal amount of its 5.50% Senior Notes due May 1, 2025 (the "5.50% F&amp;G Senior Notes"). The notes were redeemed for a redemption price equal to 100% of the principal amount of the notes plus accrued and unpaid interest to, but excluding, the redemption date.</w:t>
      </w:r>
    </w:p>
    <w:p>
      <w:pPr>
        <w:spacing w:after="0" w:line="62" w:lineRule="exact"/>
        <w:rPr>
          <w:sz w:val="20"/>
          <w:szCs w:val="20"/>
          <w:color w:val="auto"/>
        </w:rPr>
      </w:pPr>
    </w:p>
    <w:p>
      <w:pPr>
        <w:ind w:left="340"/>
        <w:spacing w:after="0"/>
        <w:rPr>
          <w:sz w:val="20"/>
          <w:szCs w:val="20"/>
          <w:color w:val="auto"/>
        </w:rPr>
      </w:pPr>
      <w:r>
        <w:rPr>
          <w:rFonts w:ascii="Arial" w:cs="Arial" w:eastAsia="Arial" w:hAnsi="Arial"/>
          <w:sz w:val="20"/>
          <w:szCs w:val="20"/>
          <w:b w:val="1"/>
          <w:bCs w:val="1"/>
          <w:i w:val="1"/>
          <w:iCs w:val="1"/>
          <w:color w:val="auto"/>
        </w:rPr>
        <w:t>7.30% F&amp;G Junior Notes</w:t>
      </w:r>
    </w:p>
    <w:p>
      <w:pPr>
        <w:spacing w:after="0" w:line="125" w:lineRule="exact"/>
        <w:rPr>
          <w:sz w:val="20"/>
          <w:szCs w:val="20"/>
          <w:color w:val="auto"/>
        </w:rPr>
      </w:pPr>
    </w:p>
    <w:p>
      <w:pPr>
        <w:jc w:val="both"/>
        <w:ind w:firstLine="353"/>
        <w:spacing w:after="0" w:line="312" w:lineRule="auto"/>
        <w:rPr>
          <w:sz w:val="20"/>
          <w:szCs w:val="20"/>
          <w:color w:val="auto"/>
        </w:rPr>
      </w:pPr>
      <w:r>
        <w:rPr>
          <w:rFonts w:ascii="Arial" w:cs="Arial" w:eastAsia="Arial" w:hAnsi="Arial"/>
          <w:sz w:val="17"/>
          <w:szCs w:val="17"/>
          <w:color w:val="auto"/>
        </w:rPr>
        <w:t>On January 13, 2025, F&amp;G completed its public offering of its 7.30% Junior Subordinated Notes due 2065 with an aggregate principal amount of $375 million (the "7.30% F&amp;G Notes"). F&amp;G used a portion of the net proceeds of this offering to redeem the outstanding $300 million aggregate principal amount of its 5.50% F&amp;G Senior Notes. F&amp;G used the remaining net proceeds for general corporate purposes. The 7.30% F&amp;G Notes were registered under the Securities Act of 1933 (as</w:t>
      </w:r>
    </w:p>
    <w:p>
      <w:pPr>
        <w:sectPr>
          <w:pgSz w:w="11880" w:h="15480" w:orient="portrait"/>
          <w:cols w:equalWidth="0" w:num="1">
            <w:col w:w="10040"/>
          </w:cols>
          <w:pgMar w:left="920" w:top="765" w:right="920" w:bottom="0" w:gutter="0" w:footer="0" w:header="0"/>
        </w:sect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109</w:t>
      </w:r>
    </w:p>
    <w:p>
      <w:pPr>
        <w:sectPr>
          <w:pgSz w:w="11880" w:h="15480" w:orient="portrait"/>
          <w:cols w:equalWidth="0" w:num="1">
            <w:col w:w="10040"/>
          </w:cols>
          <w:pgMar w:left="920" w:top="765" w:right="920" w:bottom="0" w:gutter="0" w:footer="0" w:header="0"/>
          <w:type w:val="continuous"/>
        </w:sectPr>
      </w:pPr>
    </w:p>
    <w:bookmarkStart w:id="121" w:name="page122"/>
    <w:bookmarkEnd w:id="121"/>
    <w:p>
      <w:pPr>
        <w:spacing w:after="0"/>
        <w:rPr>
          <w:sz w:val="20"/>
          <w:szCs w:val="20"/>
          <w:color w:val="auto"/>
        </w:rPr>
      </w:pPr>
      <w:r>
        <w:rPr>
          <w:rFonts w:ascii="Arial" w:cs="Arial" w:eastAsia="Arial" w:hAnsi="Arial"/>
          <w:sz w:val="20"/>
          <w:szCs w:val="20"/>
          <w:color w:val="auto"/>
        </w:rPr>
        <w:t>amended) (the “Securities Act”).</w:t>
      </w:r>
    </w:p>
    <w:p>
      <w:pPr>
        <w:spacing w:after="0" w:line="11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Principles of Consolidation and Basis of Presentation</w:t>
      </w:r>
    </w:p>
    <w:p>
      <w:pPr>
        <w:spacing w:after="0" w:line="130" w:lineRule="exact"/>
        <w:rPr>
          <w:sz w:val="20"/>
          <w:szCs w:val="20"/>
          <w:color w:val="auto"/>
        </w:rPr>
      </w:pPr>
    </w:p>
    <w:p>
      <w:pPr>
        <w:jc w:val="both"/>
        <w:ind w:firstLine="353"/>
        <w:spacing w:after="0" w:line="247" w:lineRule="auto"/>
        <w:rPr>
          <w:sz w:val="20"/>
          <w:szCs w:val="20"/>
          <w:color w:val="auto"/>
        </w:rPr>
      </w:pPr>
      <w:r>
        <w:rPr>
          <w:rFonts w:ascii="Arial" w:cs="Arial" w:eastAsia="Arial" w:hAnsi="Arial"/>
          <w:sz w:val="19"/>
          <w:szCs w:val="19"/>
          <w:color w:val="auto"/>
        </w:rPr>
        <w:t>The Consolidated Financial Statements are prepared in accordance with generally accepted accounting principles in the United States ("GAAP") and include our accounts as well as our wholly-owned subsidiaries, majority-owned subsidiaries, and variable interest entities (VIEs) for which we are the primary beneficiary. All intercompany profits, transactions, and balances have been eliminated. Non-controlling interests recorded on the Consolidated Statements of Earnings represent the portion of a majority-owned subsidiary's net earnings or loss that is owned by non-controlling shareholders of the subsidiary. Non-controlling interests recorded on the Consolidated Balance Sheets represent the portion of equity in a consolidated subsidiary owned by non-controlling shareholders.</w:t>
      </w:r>
    </w:p>
    <w:p>
      <w:pPr>
        <w:spacing w:after="0" w:line="80" w:lineRule="exact"/>
        <w:rPr>
          <w:sz w:val="20"/>
          <w:szCs w:val="20"/>
          <w:color w:val="auto"/>
        </w:rPr>
      </w:pPr>
    </w:p>
    <w:p>
      <w:pPr>
        <w:jc w:val="both"/>
        <w:ind w:firstLine="353"/>
        <w:spacing w:after="0" w:line="263" w:lineRule="auto"/>
        <w:rPr>
          <w:sz w:val="20"/>
          <w:szCs w:val="20"/>
          <w:color w:val="auto"/>
        </w:rPr>
      </w:pPr>
      <w:r>
        <w:rPr>
          <w:rFonts w:ascii="Arial" w:cs="Arial" w:eastAsia="Arial" w:hAnsi="Arial"/>
          <w:sz w:val="19"/>
          <w:szCs w:val="19"/>
          <w:color w:val="auto"/>
        </w:rPr>
        <w:t xml:space="preserve">We are involved in certain entities that are considered variable interest entities (“VIEs”) as defined under GAAP. Our involvement with VIEs is primarily to invest in assets that allow us to gain exposure to a broadly diversified portfolio of asset classes. A VIE is an entity that does not have sufficient equity to finance its own activities without additional financial support, where investors lack certain characteristics of a controlling financial interest, or where the entity is structured with non-substantive voting rights. We consolidate VIEs for which we are the primary beneficiary and account for all other VIEs as unconsolidated VIEs. We assess our relationships with VIEs to evaluate if we are the primary beneficiary, which is the party that has both (i) the power to direct the activities that most significantly impact the VIE’s economic performance and (ii) the obligation to absorb losses or the right to receive benefits that could potentially be significant. See Note D </w:t>
      </w:r>
      <w:r>
        <w:rPr>
          <w:rFonts w:ascii="Arial" w:cs="Arial" w:eastAsia="Arial" w:hAnsi="Arial"/>
          <w:sz w:val="19"/>
          <w:szCs w:val="19"/>
          <w:b w:val="1"/>
          <w:bCs w:val="1"/>
          <w:i w:val="1"/>
          <w:iCs w:val="1"/>
          <w:color w:val="auto"/>
        </w:rPr>
        <w:t>Investments</w:t>
      </w:r>
      <w:r>
        <w:rPr>
          <w:rFonts w:ascii="Arial" w:cs="Arial" w:eastAsia="Arial" w:hAnsi="Arial"/>
          <w:sz w:val="19"/>
          <w:szCs w:val="19"/>
          <w:color w:val="auto"/>
        </w:rPr>
        <w:t xml:space="preserve"> for additional information on our investments in VIEs.</w:t>
      </w:r>
    </w:p>
    <w:p>
      <w:pPr>
        <w:spacing w:after="0" w:line="7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Investments</w:t>
      </w:r>
    </w:p>
    <w:p>
      <w:pPr>
        <w:spacing w:after="0" w:line="109" w:lineRule="exact"/>
        <w:rPr>
          <w:sz w:val="20"/>
          <w:szCs w:val="20"/>
          <w:color w:val="auto"/>
        </w:rPr>
      </w:pPr>
    </w:p>
    <w:p>
      <w:pPr>
        <w:ind w:left="340"/>
        <w:spacing w:after="0"/>
        <w:rPr>
          <w:sz w:val="20"/>
          <w:szCs w:val="20"/>
          <w:color w:val="auto"/>
        </w:rPr>
      </w:pPr>
      <w:r>
        <w:rPr>
          <w:rFonts w:ascii="Arial" w:cs="Arial" w:eastAsia="Arial" w:hAnsi="Arial"/>
          <w:sz w:val="20"/>
          <w:szCs w:val="20"/>
          <w:b w:val="1"/>
          <w:bCs w:val="1"/>
          <w:i w:val="1"/>
          <w:iCs w:val="1"/>
          <w:color w:val="auto"/>
        </w:rPr>
        <w:t>Fixed Maturity Securities</w:t>
      </w:r>
    </w:p>
    <w:p>
      <w:pPr>
        <w:spacing w:after="0" w:line="105" w:lineRule="exact"/>
        <w:rPr>
          <w:sz w:val="20"/>
          <w:szCs w:val="20"/>
          <w:color w:val="auto"/>
        </w:rPr>
      </w:pPr>
    </w:p>
    <w:p>
      <w:pPr>
        <w:jc w:val="both"/>
        <w:ind w:firstLine="353"/>
        <w:spacing w:after="0" w:line="275" w:lineRule="auto"/>
        <w:rPr>
          <w:sz w:val="20"/>
          <w:szCs w:val="20"/>
          <w:color w:val="auto"/>
        </w:rPr>
      </w:pPr>
      <w:r>
        <w:rPr>
          <w:rFonts w:ascii="Arial" w:cs="Arial" w:eastAsia="Arial" w:hAnsi="Arial"/>
          <w:sz w:val="17"/>
          <w:szCs w:val="17"/>
          <w:color w:val="auto"/>
        </w:rPr>
        <w:t xml:space="preserve">Fixed maturity securities are purchased to support our investment strategies, which are developed based on factors including rate of return, maturity, credit risk, duration, tax considerations and regulatory requirements. Our investments in fixed maturity securities have been designated as available-for-sale ("AFS") and are carried at fair value, net of allowance for expected credit losses, with unrealized gains and losses included within AOCI, net of deferred income taxes. Fair values for fixed maturity securities are principally a function of current market conditions and are primarily valued based on quoted prices in markets that are not active or model inputs that are observable or unobservable. We recognize investment income on fixed maturities based on the effective interest method, which results in the recognition of a constant rate of return on the investment equal to the prevailing rate at the time of purchase or at the time of subsequent adjustments of book value. Realized gains and losses on sales of our fixed maturity securities are determined on the basis of the cost of the specific investments sold and are credited or charged to income on a trade date basis except for private placements, which are recorded on a settlement date basis. Realized gains and losses on sales of fixed maturity securities are reported within Recognized gains and (losses), net in the accompanying Consolidated Statements of Earnings. Fixed maturity securities AFS are subject to an allowance for credit loss and changes in the allowance are reported in net earnings as a component of Recognized gains and (losses), net. For details on our policy around allowance for expected credit losses on AFS securities, refer to Note D </w:t>
      </w:r>
      <w:r>
        <w:rPr>
          <w:rFonts w:ascii="Arial" w:cs="Arial" w:eastAsia="Arial" w:hAnsi="Arial"/>
          <w:sz w:val="17"/>
          <w:szCs w:val="17"/>
          <w:b w:val="1"/>
          <w:bCs w:val="1"/>
          <w:i w:val="1"/>
          <w:iCs w:val="1"/>
          <w:color w:val="auto"/>
        </w:rPr>
        <w:t>Investments.</w:t>
      </w:r>
    </w:p>
    <w:p>
      <w:pPr>
        <w:spacing w:after="0" w:line="53" w:lineRule="exact"/>
        <w:rPr>
          <w:sz w:val="20"/>
          <w:szCs w:val="20"/>
          <w:color w:val="auto"/>
        </w:rPr>
      </w:pPr>
    </w:p>
    <w:p>
      <w:pPr>
        <w:ind w:left="340"/>
        <w:spacing w:after="0"/>
        <w:rPr>
          <w:sz w:val="20"/>
          <w:szCs w:val="20"/>
          <w:color w:val="auto"/>
        </w:rPr>
      </w:pPr>
      <w:r>
        <w:rPr>
          <w:rFonts w:ascii="Arial" w:cs="Arial" w:eastAsia="Arial" w:hAnsi="Arial"/>
          <w:sz w:val="20"/>
          <w:szCs w:val="20"/>
          <w:b w:val="1"/>
          <w:bCs w:val="1"/>
          <w:i w:val="1"/>
          <w:iCs w:val="1"/>
          <w:color w:val="auto"/>
        </w:rPr>
        <w:t>Equity Securities</w:t>
      </w:r>
    </w:p>
    <w:p>
      <w:pPr>
        <w:spacing w:after="0" w:line="105" w:lineRule="exact"/>
        <w:rPr>
          <w:sz w:val="20"/>
          <w:szCs w:val="20"/>
          <w:color w:val="auto"/>
        </w:rPr>
      </w:pPr>
    </w:p>
    <w:p>
      <w:pPr>
        <w:jc w:val="both"/>
        <w:ind w:firstLine="353"/>
        <w:spacing w:after="0" w:line="303" w:lineRule="auto"/>
        <w:rPr>
          <w:sz w:val="20"/>
          <w:szCs w:val="20"/>
          <w:color w:val="auto"/>
        </w:rPr>
      </w:pPr>
      <w:r>
        <w:rPr>
          <w:rFonts w:ascii="Arial" w:cs="Arial" w:eastAsia="Arial" w:hAnsi="Arial"/>
          <w:sz w:val="17"/>
          <w:szCs w:val="17"/>
          <w:color w:val="auto"/>
        </w:rPr>
        <w:t>Preferred and common equity securities held are carried at fair value as of the balance sheet dates. Changes in fair value and realized gains and losses on sales of our preferred and common equity securities are reported within Recognized gains and losses, net in the Consolidated Statements of Earnings. Realized gains and losses on sales of our preferred and common equity securities are determined on the specific identification basis and are credited or charged to earnings on a trade date basis unless the security is a private placement in which case settlement date basis is used. Interest and dividend income from these investments is reported in Interest and investment income in the Consolidated Statements of Earnings.</w:t>
      </w:r>
    </w:p>
    <w:p>
      <w:pPr>
        <w:spacing w:after="0" w:line="46" w:lineRule="exact"/>
        <w:rPr>
          <w:sz w:val="20"/>
          <w:szCs w:val="20"/>
          <w:color w:val="auto"/>
        </w:rPr>
      </w:pPr>
    </w:p>
    <w:p>
      <w:pPr>
        <w:ind w:left="340"/>
        <w:spacing w:after="0"/>
        <w:rPr>
          <w:sz w:val="20"/>
          <w:szCs w:val="20"/>
          <w:color w:val="auto"/>
        </w:rPr>
      </w:pPr>
      <w:r>
        <w:rPr>
          <w:rFonts w:ascii="Arial" w:cs="Arial" w:eastAsia="Arial" w:hAnsi="Arial"/>
          <w:sz w:val="20"/>
          <w:szCs w:val="20"/>
          <w:b w:val="1"/>
          <w:bCs w:val="1"/>
          <w:i w:val="1"/>
          <w:iCs w:val="1"/>
          <w:color w:val="auto"/>
        </w:rPr>
        <w:t>Derivative Financial Instruments</w:t>
      </w:r>
    </w:p>
    <w:p>
      <w:pPr>
        <w:spacing w:after="0" w:line="103" w:lineRule="exact"/>
        <w:rPr>
          <w:sz w:val="20"/>
          <w:szCs w:val="20"/>
          <w:color w:val="auto"/>
        </w:rPr>
      </w:pPr>
    </w:p>
    <w:p>
      <w:pPr>
        <w:ind w:left="340"/>
        <w:spacing w:after="0"/>
        <w:rPr>
          <w:sz w:val="20"/>
          <w:szCs w:val="20"/>
          <w:color w:val="auto"/>
        </w:rPr>
      </w:pPr>
      <w:r>
        <w:rPr>
          <w:rFonts w:ascii="Arial" w:cs="Arial" w:eastAsia="Arial" w:hAnsi="Arial"/>
          <w:sz w:val="20"/>
          <w:szCs w:val="20"/>
          <w:b w:val="1"/>
          <w:bCs w:val="1"/>
          <w:i w:val="1"/>
          <w:iCs w:val="1"/>
          <w:color w:val="auto"/>
        </w:rPr>
        <w:t>Freestanding Derivatives</w:t>
      </w:r>
    </w:p>
    <w:p>
      <w:pPr>
        <w:spacing w:after="0" w:line="125" w:lineRule="exact"/>
        <w:rPr>
          <w:sz w:val="20"/>
          <w:szCs w:val="20"/>
          <w:color w:val="auto"/>
        </w:rPr>
      </w:pPr>
    </w:p>
    <w:p>
      <w:pPr>
        <w:jc w:val="both"/>
        <w:ind w:firstLine="353"/>
        <w:spacing w:after="0" w:line="263" w:lineRule="auto"/>
        <w:rPr>
          <w:sz w:val="20"/>
          <w:szCs w:val="20"/>
          <w:color w:val="auto"/>
        </w:rPr>
      </w:pPr>
      <w:r>
        <w:rPr>
          <w:rFonts w:ascii="Arial" w:cs="Arial" w:eastAsia="Arial" w:hAnsi="Arial"/>
          <w:sz w:val="19"/>
          <w:szCs w:val="19"/>
          <w:color w:val="auto"/>
        </w:rPr>
        <w:t>In our F&amp;G segment, we economically hedge certain portions of our exposure to product related equity market risk by entering into derivative transactions (primarily equity options and, to a lesser degree, futures contracts). We also utilize certain interest rate swaps, to reduce market risks from interest rate changes on our earnings associated with our floating rate investments, and foreign currency swaps, to reduce market risks from fluctuations in foreign exchange rates that impact earnings associated with our foreign currency denominated investments. All such derivative instruments are recognized as either assets or liabilities in the Consolidated Balance Sheets at fair value. The changes in fair value of derivatives not designated to hedge relationships are reported within Recognized gains and losses, net in the Consolidated Statements of Earnings. The change in the fair value of these derivative instruments is included in operating activities in the Consolidated Statements of Cash Flows.</w:t>
      </w:r>
    </w:p>
    <w:p>
      <w:pPr>
        <w:sectPr>
          <w:pgSz w:w="11880" w:h="15480" w:orient="portrait"/>
          <w:cols w:equalWidth="0" w:num="1">
            <w:col w:w="10040"/>
          </w:cols>
          <w:pgMar w:left="920" w:top="772"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110</w:t>
      </w:r>
    </w:p>
    <w:p>
      <w:pPr>
        <w:sectPr>
          <w:pgSz w:w="11880" w:h="15480" w:orient="portrait"/>
          <w:cols w:equalWidth="0" w:num="1">
            <w:col w:w="10040"/>
          </w:cols>
          <w:pgMar w:left="920" w:top="772" w:right="920" w:bottom="0" w:gutter="0" w:footer="0" w:header="0"/>
          <w:type w:val="continuous"/>
        </w:sectPr>
      </w:pPr>
    </w:p>
    <w:bookmarkStart w:id="122" w:name="page123"/>
    <w:bookmarkEnd w:id="122"/>
    <w:p>
      <w:pPr>
        <w:ind w:left="340"/>
        <w:spacing w:after="0"/>
        <w:rPr>
          <w:sz w:val="20"/>
          <w:szCs w:val="20"/>
          <w:color w:val="auto"/>
        </w:rPr>
      </w:pPr>
      <w:r>
        <w:rPr>
          <w:rFonts w:ascii="Arial" w:cs="Arial" w:eastAsia="Arial" w:hAnsi="Arial"/>
          <w:sz w:val="20"/>
          <w:szCs w:val="20"/>
          <w:b w:val="1"/>
          <w:bCs w:val="1"/>
          <w:i w:val="1"/>
          <w:iCs w:val="1"/>
          <w:color w:val="auto"/>
        </w:rPr>
        <w:t>Hedge Accounting</w:t>
      </w:r>
    </w:p>
    <w:p>
      <w:pPr>
        <w:spacing w:after="0" w:line="125" w:lineRule="exact"/>
        <w:rPr>
          <w:sz w:val="20"/>
          <w:szCs w:val="20"/>
          <w:color w:val="auto"/>
        </w:rPr>
      </w:pPr>
    </w:p>
    <w:p>
      <w:pPr>
        <w:jc w:val="both"/>
        <w:ind w:firstLine="353"/>
        <w:spacing w:after="0" w:line="254" w:lineRule="auto"/>
        <w:rPr>
          <w:sz w:val="20"/>
          <w:szCs w:val="20"/>
          <w:color w:val="auto"/>
        </w:rPr>
      </w:pPr>
      <w:r>
        <w:rPr>
          <w:rFonts w:ascii="Arial" w:cs="Arial" w:eastAsia="Arial" w:hAnsi="Arial"/>
          <w:sz w:val="20"/>
          <w:szCs w:val="20"/>
          <w:color w:val="auto"/>
        </w:rPr>
        <w:t>We designate certain derivatives to fair value or cash flow hedge relationships that hedge exposures to interest rates, foreign currency, or both, associated with changes in the fair value of a recognized asset or liability (“fair value hedge”) or a forecasted transaction or variability of cash flows to be received or paid related to a recognized asset or liability (“cash flow hedge”).</w:t>
      </w:r>
    </w:p>
    <w:p>
      <w:pPr>
        <w:spacing w:after="0" w:line="85" w:lineRule="exact"/>
        <w:rPr>
          <w:sz w:val="20"/>
          <w:szCs w:val="20"/>
          <w:color w:val="auto"/>
        </w:rPr>
      </w:pPr>
    </w:p>
    <w:p>
      <w:pPr>
        <w:jc w:val="both"/>
        <w:ind w:firstLine="353"/>
        <w:spacing w:after="0" w:line="258" w:lineRule="auto"/>
        <w:rPr>
          <w:sz w:val="20"/>
          <w:szCs w:val="20"/>
          <w:color w:val="auto"/>
        </w:rPr>
      </w:pPr>
      <w:r>
        <w:rPr>
          <w:rFonts w:ascii="Arial" w:cs="Arial" w:eastAsia="Arial" w:hAnsi="Arial"/>
          <w:sz w:val="20"/>
          <w:szCs w:val="20"/>
          <w:color w:val="auto"/>
        </w:rPr>
        <w:t>When a derivative is designated as a fair value hedge and is determined to be highly effective, changes in the fair value of the derivative included in the assessment of effectiveness are reported in the same line on the Consolidated Statements of Earnings that is used to report the earnings effect of the hedged item.</w:t>
      </w:r>
    </w:p>
    <w:p>
      <w:pPr>
        <w:spacing w:after="0" w:line="82" w:lineRule="exact"/>
        <w:rPr>
          <w:sz w:val="20"/>
          <w:szCs w:val="20"/>
          <w:color w:val="auto"/>
        </w:rPr>
      </w:pPr>
    </w:p>
    <w:p>
      <w:pPr>
        <w:jc w:val="both"/>
        <w:ind w:firstLine="353"/>
        <w:spacing w:after="0" w:line="306" w:lineRule="auto"/>
        <w:rPr>
          <w:sz w:val="20"/>
          <w:szCs w:val="20"/>
          <w:color w:val="auto"/>
        </w:rPr>
      </w:pPr>
      <w:r>
        <w:rPr>
          <w:rFonts w:ascii="Arial" w:cs="Arial" w:eastAsia="Arial" w:hAnsi="Arial"/>
          <w:sz w:val="17"/>
          <w:szCs w:val="17"/>
          <w:color w:val="auto"/>
        </w:rPr>
        <w:t>When a derivative is designated as a cash flow hedge and is determined to be highly effective, changes in the fair value of the derivative included in the assessment of effectiveness are recorded in AOCI until earnings are affected by the variability of cash flows being hedged. At the time the variability of cash flows being hedged impacts net earnings, the related portion of deferred gains or losses on the derivative instrument is reclassified and reported in net earnings in the same line item on the Consolidated Statements of Earnings that is used to report the earnings effect of the hedged item.</w:t>
      </w:r>
    </w:p>
    <w:p>
      <w:pPr>
        <w:spacing w:after="0" w:line="47" w:lineRule="exact"/>
        <w:rPr>
          <w:sz w:val="20"/>
          <w:szCs w:val="20"/>
          <w:color w:val="auto"/>
        </w:rPr>
      </w:pPr>
    </w:p>
    <w:p>
      <w:pPr>
        <w:jc w:val="both"/>
        <w:ind w:firstLine="353"/>
        <w:spacing w:after="0" w:line="258" w:lineRule="auto"/>
        <w:rPr>
          <w:sz w:val="20"/>
          <w:szCs w:val="20"/>
          <w:color w:val="auto"/>
        </w:rPr>
      </w:pPr>
      <w:r>
        <w:rPr>
          <w:rFonts w:ascii="Arial" w:cs="Arial" w:eastAsia="Arial" w:hAnsi="Arial"/>
          <w:sz w:val="20"/>
          <w:szCs w:val="20"/>
          <w:color w:val="auto"/>
        </w:rPr>
        <w:t>Any portion of the change in fair value of a derivative designated to a fair value or cash flow hedge relationship that is excluded from the assessment of effectiveness will be recorded in AOCI and amortized into earnings over the life of the remaining term of the hedge relationship.</w:t>
      </w:r>
    </w:p>
    <w:p>
      <w:pPr>
        <w:spacing w:after="0" w:line="82" w:lineRule="exact"/>
        <w:rPr>
          <w:sz w:val="20"/>
          <w:szCs w:val="20"/>
          <w:color w:val="auto"/>
        </w:rPr>
      </w:pPr>
    </w:p>
    <w:p>
      <w:pPr>
        <w:jc w:val="both"/>
        <w:ind w:firstLine="353"/>
        <w:spacing w:after="0" w:line="303" w:lineRule="auto"/>
        <w:rPr>
          <w:sz w:val="20"/>
          <w:szCs w:val="20"/>
          <w:color w:val="auto"/>
        </w:rPr>
      </w:pPr>
      <w:r>
        <w:rPr>
          <w:rFonts w:ascii="Arial" w:cs="Arial" w:eastAsia="Arial" w:hAnsi="Arial"/>
          <w:sz w:val="17"/>
          <w:szCs w:val="17"/>
          <w:color w:val="auto"/>
        </w:rPr>
        <w:t>To qualify for hedge accounting, at hedge inception we formally document our risk management objective and strategy for entering into hedging relationships, as well as the designation of the hedge. In our hedge documentation, we explain how the hedging instrument is expected to hedge the designated risks related to the hedged item and the method that will be used to test for hedge effectiveness on both a prospective and retrospective basis. A derivative designated as a hedging instrument must be assessed as being highly effective in offsetting the designated risk of the hedged item. Effectiveness of the hedge is formally assessed at inception and at least quarterly throughout the life of the hedging relationship.</w:t>
      </w:r>
    </w:p>
    <w:p>
      <w:pPr>
        <w:spacing w:after="0" w:line="48" w:lineRule="exact"/>
        <w:rPr>
          <w:sz w:val="20"/>
          <w:szCs w:val="20"/>
          <w:color w:val="auto"/>
        </w:rPr>
      </w:pPr>
    </w:p>
    <w:p>
      <w:pPr>
        <w:jc w:val="both"/>
        <w:ind w:firstLine="353"/>
        <w:spacing w:after="0" w:line="258" w:lineRule="auto"/>
        <w:rPr>
          <w:sz w:val="20"/>
          <w:szCs w:val="20"/>
          <w:color w:val="auto"/>
        </w:rPr>
      </w:pPr>
      <w:r>
        <w:rPr>
          <w:rFonts w:ascii="Arial" w:cs="Arial" w:eastAsia="Arial" w:hAnsi="Arial"/>
          <w:sz w:val="20"/>
          <w:szCs w:val="20"/>
          <w:color w:val="auto"/>
        </w:rPr>
        <w:t>We prospectively discontinue hedge accounting when (1) the criteria to qualify for hedge accounting is no longer met; (2) the derivative expires, is sold, terminated, or is exercised; or (3) we de-designate the derivative from being the hedging instrument for a fair value or cash flow hedge.</w:t>
      </w:r>
    </w:p>
    <w:p>
      <w:pPr>
        <w:spacing w:after="0" w:line="82" w:lineRule="exact"/>
        <w:rPr>
          <w:sz w:val="20"/>
          <w:szCs w:val="20"/>
          <w:color w:val="auto"/>
        </w:rPr>
      </w:pPr>
    </w:p>
    <w:p>
      <w:pPr>
        <w:jc w:val="both"/>
        <w:ind w:firstLine="353"/>
        <w:spacing w:after="0" w:line="258" w:lineRule="auto"/>
        <w:rPr>
          <w:sz w:val="20"/>
          <w:szCs w:val="20"/>
          <w:color w:val="auto"/>
        </w:rPr>
      </w:pPr>
      <w:r>
        <w:rPr>
          <w:rFonts w:ascii="Arial" w:cs="Arial" w:eastAsia="Arial" w:hAnsi="Arial"/>
          <w:sz w:val="20"/>
          <w:szCs w:val="20"/>
          <w:color w:val="auto"/>
        </w:rPr>
        <w:t>If a fair value or cash flow hedge is discontinued, the derivative will continue to be carried at fair value on the Consolidated Balance Sheets, with changes in fair value recognized prospectively in Recognized gains and losses in the Consolidated Statements of Earnings.</w:t>
      </w:r>
    </w:p>
    <w:p>
      <w:pPr>
        <w:spacing w:after="0" w:line="82" w:lineRule="exact"/>
        <w:rPr>
          <w:sz w:val="20"/>
          <w:szCs w:val="20"/>
          <w:color w:val="auto"/>
        </w:rPr>
      </w:pPr>
    </w:p>
    <w:p>
      <w:pPr>
        <w:jc w:val="both"/>
        <w:ind w:firstLine="353"/>
        <w:spacing w:after="0" w:line="268" w:lineRule="auto"/>
        <w:rPr>
          <w:sz w:val="20"/>
          <w:szCs w:val="20"/>
          <w:color w:val="auto"/>
        </w:rPr>
      </w:pPr>
      <w:r>
        <w:rPr>
          <w:rFonts w:ascii="Arial" w:cs="Arial" w:eastAsia="Arial" w:hAnsi="Arial"/>
          <w:sz w:val="19"/>
          <w:szCs w:val="19"/>
          <w:color w:val="auto"/>
        </w:rPr>
        <w:t>For discontinued fair value hedges, the hedged item will no longer be adjusted for changes in the hedged risk and any existing basis adjustment will be amortized into the Consolidated Statements of Earnings within the same line item that is used to report other earnings effects of the hedged item. Any amounts remaining in AOCI associated with a component of the change in derivative fair value excluded from the assessment of effectiveness will be amortized into earnings in a manner consistent with how any basis adjustment associated with the hedged item would be amortized.</w:t>
      </w:r>
    </w:p>
    <w:p>
      <w:pPr>
        <w:spacing w:after="0" w:line="74" w:lineRule="exact"/>
        <w:rPr>
          <w:sz w:val="20"/>
          <w:szCs w:val="20"/>
          <w:color w:val="auto"/>
        </w:rPr>
      </w:pPr>
    </w:p>
    <w:p>
      <w:pPr>
        <w:jc w:val="both"/>
        <w:ind w:firstLine="353"/>
        <w:spacing w:after="0" w:line="325" w:lineRule="auto"/>
        <w:rPr>
          <w:sz w:val="20"/>
          <w:szCs w:val="20"/>
          <w:color w:val="auto"/>
        </w:rPr>
      </w:pPr>
      <w:r>
        <w:rPr>
          <w:rFonts w:ascii="Arial" w:cs="Arial" w:eastAsia="Arial" w:hAnsi="Arial"/>
          <w:sz w:val="17"/>
          <w:szCs w:val="17"/>
          <w:color w:val="auto"/>
        </w:rPr>
        <w:t>The component of AOCI related to discontinued cash flow hedges where it is probable the hedged forecasted transaction will not occur, will be immediately reclassified from AOCI into earnings. In all other cases any amounts remaining in AOCI will be amortized into earnings consistent with the earnings impacts expected from the original hedged cash flows.</w:t>
      </w:r>
    </w:p>
    <w:p>
      <w:pPr>
        <w:spacing w:after="0" w:line="27" w:lineRule="exact"/>
        <w:rPr>
          <w:sz w:val="20"/>
          <w:szCs w:val="20"/>
          <w:color w:val="auto"/>
        </w:rPr>
      </w:pPr>
    </w:p>
    <w:p>
      <w:pPr>
        <w:ind w:left="340"/>
        <w:spacing w:after="0"/>
        <w:rPr>
          <w:sz w:val="20"/>
          <w:szCs w:val="20"/>
          <w:color w:val="auto"/>
        </w:rPr>
      </w:pPr>
      <w:r>
        <w:rPr>
          <w:rFonts w:ascii="Arial" w:cs="Arial" w:eastAsia="Arial" w:hAnsi="Arial"/>
          <w:sz w:val="20"/>
          <w:szCs w:val="20"/>
          <w:b w:val="1"/>
          <w:bCs w:val="1"/>
          <w:i w:val="1"/>
          <w:iCs w:val="1"/>
          <w:color w:val="auto"/>
        </w:rPr>
        <w:t>Embedded Derivatives</w:t>
      </w:r>
    </w:p>
    <w:p>
      <w:pPr>
        <w:spacing w:after="0" w:line="125" w:lineRule="exact"/>
        <w:rPr>
          <w:sz w:val="20"/>
          <w:szCs w:val="20"/>
          <w:color w:val="auto"/>
        </w:rPr>
      </w:pPr>
    </w:p>
    <w:p>
      <w:pPr>
        <w:jc w:val="both"/>
        <w:ind w:firstLine="353"/>
        <w:spacing w:after="0" w:line="251" w:lineRule="auto"/>
        <w:rPr>
          <w:sz w:val="20"/>
          <w:szCs w:val="20"/>
          <w:color w:val="auto"/>
        </w:rPr>
      </w:pPr>
      <w:r>
        <w:rPr>
          <w:rFonts w:ascii="Arial" w:cs="Arial" w:eastAsia="Arial" w:hAnsi="Arial"/>
          <w:sz w:val="20"/>
          <w:szCs w:val="20"/>
          <w:color w:val="auto"/>
        </w:rPr>
        <w:t xml:space="preserve">We purchase financial instruments and enter into agreements that may contain embedded derivatives. If it is determined that the embedded derivative possesses economic characteristics that are not clearly and closely related to the economic characteristics of the host contract, and a separate instrument with the same terms would qualify as a derivative instrument, the embedded derivative is bifurcated from the host contract for measurement purposes. For further information, refer to Note E </w:t>
      </w:r>
      <w:r>
        <w:rPr>
          <w:rFonts w:ascii="Arial" w:cs="Arial" w:eastAsia="Arial" w:hAnsi="Arial"/>
          <w:sz w:val="20"/>
          <w:szCs w:val="20"/>
          <w:b w:val="1"/>
          <w:bCs w:val="1"/>
          <w:i w:val="1"/>
          <w:iCs w:val="1"/>
          <w:color w:val="auto"/>
        </w:rPr>
        <w:t>Derivative Financial Instruments</w:t>
      </w:r>
      <w:r>
        <w:rPr>
          <w:rFonts w:ascii="Arial" w:cs="Arial" w:eastAsia="Arial" w:hAnsi="Arial"/>
          <w:sz w:val="20"/>
          <w:szCs w:val="20"/>
          <w:color w:val="auto"/>
        </w:rPr>
        <w:t>.</w:t>
      </w:r>
    </w:p>
    <w:p>
      <w:pPr>
        <w:spacing w:after="0" w:line="89" w:lineRule="exact"/>
        <w:rPr>
          <w:sz w:val="20"/>
          <w:szCs w:val="20"/>
          <w:color w:val="auto"/>
        </w:rPr>
      </w:pPr>
    </w:p>
    <w:p>
      <w:pPr>
        <w:ind w:left="340"/>
        <w:spacing w:after="0"/>
        <w:rPr>
          <w:sz w:val="20"/>
          <w:szCs w:val="20"/>
          <w:color w:val="auto"/>
        </w:rPr>
      </w:pPr>
      <w:r>
        <w:rPr>
          <w:rFonts w:ascii="Arial" w:cs="Arial" w:eastAsia="Arial" w:hAnsi="Arial"/>
          <w:sz w:val="20"/>
          <w:szCs w:val="20"/>
          <w:b w:val="1"/>
          <w:bCs w:val="1"/>
          <w:i w:val="1"/>
          <w:iCs w:val="1"/>
          <w:color w:val="auto"/>
        </w:rPr>
        <w:t>Mortgage Loans</w:t>
      </w:r>
    </w:p>
    <w:p>
      <w:pPr>
        <w:spacing w:after="0" w:line="125" w:lineRule="exact"/>
        <w:rPr>
          <w:sz w:val="20"/>
          <w:szCs w:val="20"/>
          <w:color w:val="auto"/>
        </w:rPr>
      </w:pPr>
    </w:p>
    <w:p>
      <w:pPr>
        <w:jc w:val="both"/>
        <w:ind w:firstLine="353"/>
        <w:spacing w:after="0" w:line="258" w:lineRule="auto"/>
        <w:rPr>
          <w:sz w:val="20"/>
          <w:szCs w:val="20"/>
          <w:color w:val="auto"/>
        </w:rPr>
      </w:pPr>
      <w:r>
        <w:rPr>
          <w:rFonts w:ascii="Arial" w:cs="Arial" w:eastAsia="Arial" w:hAnsi="Arial"/>
          <w:sz w:val="20"/>
          <w:szCs w:val="20"/>
          <w:color w:val="auto"/>
        </w:rPr>
        <w:t xml:space="preserve">Our investment in mortgage loans consists of commercial and residential mortgage loans on real estate, which are reported at amortized cost, less allowance for expected credit losses. For details on our policy around allowance for expected credit losses on mortgage loans, refer to Note D </w:t>
      </w:r>
      <w:r>
        <w:rPr>
          <w:rFonts w:ascii="Arial" w:cs="Arial" w:eastAsia="Arial" w:hAnsi="Arial"/>
          <w:sz w:val="20"/>
          <w:szCs w:val="20"/>
          <w:b w:val="1"/>
          <w:bCs w:val="1"/>
          <w:i w:val="1"/>
          <w:iCs w:val="1"/>
          <w:color w:val="auto"/>
        </w:rPr>
        <w:t>Investments</w:t>
      </w:r>
      <w:r>
        <w:rPr>
          <w:rFonts w:ascii="Arial" w:cs="Arial" w:eastAsia="Arial" w:hAnsi="Arial"/>
          <w:sz w:val="20"/>
          <w:szCs w:val="20"/>
          <w:color w:val="auto"/>
        </w:rPr>
        <w:t>.</w:t>
      </w:r>
    </w:p>
    <w:p>
      <w:pPr>
        <w:spacing w:after="0" w:line="52" w:lineRule="exact"/>
        <w:rPr>
          <w:sz w:val="20"/>
          <w:szCs w:val="20"/>
          <w:color w:val="auto"/>
        </w:rPr>
      </w:pPr>
    </w:p>
    <w:p>
      <w:pPr>
        <w:jc w:val="both"/>
        <w:ind w:firstLine="353"/>
        <w:spacing w:after="0" w:line="360" w:lineRule="auto"/>
        <w:rPr>
          <w:sz w:val="20"/>
          <w:szCs w:val="20"/>
          <w:color w:val="auto"/>
        </w:rPr>
      </w:pPr>
      <w:r>
        <w:rPr>
          <w:rFonts w:ascii="Arial" w:cs="Arial" w:eastAsia="Arial" w:hAnsi="Arial"/>
          <w:sz w:val="17"/>
          <w:szCs w:val="17"/>
          <w:color w:val="auto"/>
        </w:rPr>
        <w:t>Commercial mortgage loans ("CMLs") are continuously monitored by reviewing appraisals, operating statements, rent revenues, annual inspection reports, loan specific credit quality, property characteristics, market trends and other factors.</w:t>
      </w:r>
    </w:p>
    <w:p>
      <w:pPr>
        <w:spacing w:after="0" w:line="2" w:lineRule="exact"/>
        <w:rPr>
          <w:sz w:val="20"/>
          <w:szCs w:val="20"/>
          <w:color w:val="auto"/>
        </w:rPr>
      </w:pPr>
    </w:p>
    <w:p>
      <w:pPr>
        <w:jc w:val="both"/>
        <w:ind w:firstLine="401"/>
        <w:spacing w:after="0" w:line="361" w:lineRule="auto"/>
        <w:rPr>
          <w:sz w:val="20"/>
          <w:szCs w:val="20"/>
          <w:color w:val="auto"/>
        </w:rPr>
      </w:pPr>
      <w:r>
        <w:rPr>
          <w:rFonts w:ascii="Arial" w:cs="Arial" w:eastAsia="Arial" w:hAnsi="Arial"/>
          <w:sz w:val="17"/>
          <w:szCs w:val="17"/>
          <w:color w:val="auto"/>
        </w:rPr>
        <w:t>CMLs are rated for the purpose of quantifying the level of risk. Loans are placed on a watch list when the debt service coverage ("DSC") ratio falls below certain thresholds and the loan-to-value ("LTV") ratios exceeds certain thresholds. Loans on</w:t>
      </w:r>
    </w:p>
    <w:p>
      <w:pPr>
        <w:sectPr>
          <w:pgSz w:w="11880" w:h="15480" w:orient="portrait"/>
          <w:cols w:equalWidth="0" w:num="1">
            <w:col w:w="10040"/>
          </w:cols>
          <w:pgMar w:left="920" w:top="770" w:right="920" w:bottom="0" w:gutter="0" w:footer="0" w:header="0"/>
        </w:sect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111</w:t>
      </w:r>
    </w:p>
    <w:p>
      <w:pPr>
        <w:sectPr>
          <w:pgSz w:w="11880" w:h="15480" w:orient="portrait"/>
          <w:cols w:equalWidth="0" w:num="1">
            <w:col w:w="10040"/>
          </w:cols>
          <w:pgMar w:left="920" w:top="770" w:right="920" w:bottom="0" w:gutter="0" w:footer="0" w:header="0"/>
          <w:type w:val="continuous"/>
        </w:sectPr>
      </w:pPr>
    </w:p>
    <w:bookmarkStart w:id="123" w:name="page124"/>
    <w:bookmarkEnd w:id="123"/>
    <w:p>
      <w:pPr>
        <w:jc w:val="both"/>
        <w:spacing w:after="0" w:line="298" w:lineRule="auto"/>
        <w:rPr>
          <w:sz w:val="20"/>
          <w:szCs w:val="20"/>
          <w:color w:val="auto"/>
        </w:rPr>
      </w:pPr>
      <w:r>
        <w:rPr>
          <w:rFonts w:ascii="Arial" w:cs="Arial" w:eastAsia="Arial" w:hAnsi="Arial"/>
          <w:sz w:val="19"/>
          <w:szCs w:val="19"/>
          <w:color w:val="auto"/>
        </w:rPr>
        <w:t>the watchlist are closely monitored for collateral deficiency or other credit events that may lead to a potential loss of principal or interest. We define delinquent mortgage loans as 30 days past due, consistent with industry practice.</w:t>
      </w:r>
    </w:p>
    <w:p>
      <w:pPr>
        <w:spacing w:after="0" w:line="45" w:lineRule="exact"/>
        <w:rPr>
          <w:sz w:val="20"/>
          <w:szCs w:val="20"/>
          <w:color w:val="auto"/>
        </w:rPr>
      </w:pPr>
    </w:p>
    <w:p>
      <w:pPr>
        <w:jc w:val="both"/>
        <w:ind w:firstLine="277"/>
        <w:spacing w:after="0" w:line="312" w:lineRule="auto"/>
        <w:rPr>
          <w:sz w:val="20"/>
          <w:szCs w:val="20"/>
          <w:color w:val="auto"/>
        </w:rPr>
      </w:pPr>
      <w:r>
        <w:rPr>
          <w:rFonts w:ascii="Arial" w:cs="Arial" w:eastAsia="Arial" w:hAnsi="Arial"/>
          <w:sz w:val="17"/>
          <w:szCs w:val="17"/>
          <w:color w:val="auto"/>
        </w:rPr>
        <w:t>Residential mortgage loans ("RMLs") have a primary credit quality indicator of either a performing or nonperforming loan. We define nonperforming RMLs as those that are 90 or more days past due and/or in nonaccrual status, which is assessed monthly. Generally, nonperforming RMLs have a higher risk of experiencing a credit loss. We consider residential mortgage loans that are 90 or more days past due and have an LTV greater than 90% to be foreclosure probable.</w:t>
      </w:r>
    </w:p>
    <w:p>
      <w:pPr>
        <w:spacing w:after="0" w:line="42" w:lineRule="exact"/>
        <w:rPr>
          <w:sz w:val="20"/>
          <w:szCs w:val="20"/>
          <w:color w:val="auto"/>
        </w:rPr>
      </w:pPr>
    </w:p>
    <w:p>
      <w:pPr>
        <w:jc w:val="both"/>
        <w:ind w:firstLine="242"/>
        <w:spacing w:after="0" w:line="268" w:lineRule="auto"/>
        <w:rPr>
          <w:sz w:val="20"/>
          <w:szCs w:val="20"/>
          <w:color w:val="auto"/>
        </w:rPr>
      </w:pPr>
      <w:r>
        <w:rPr>
          <w:rFonts w:ascii="Arial" w:cs="Arial" w:eastAsia="Arial" w:hAnsi="Arial"/>
          <w:sz w:val="19"/>
          <w:szCs w:val="19"/>
          <w:color w:val="auto"/>
        </w:rPr>
        <w:t>Interest on loans is recognized on an accrual basis at the applicable interest rate on the principal amount outstanding. Loan origination fees and direct costs, as well as premiums and discounts, are amortized as level yield adjustments over the respective loan terms. Unamortized net fees or costs are recognized upon early repayment of the loans. Interest income, amortization of premiums and discounts, prepayment fees, and loan commitment fees are reported in Interest and investment income in the accompanying Consolidated Statements of Earnings.</w:t>
      </w:r>
    </w:p>
    <w:p>
      <w:pPr>
        <w:spacing w:after="0" w:line="72" w:lineRule="exact"/>
        <w:rPr>
          <w:sz w:val="20"/>
          <w:szCs w:val="20"/>
          <w:color w:val="auto"/>
        </w:rPr>
      </w:pPr>
    </w:p>
    <w:p>
      <w:pPr>
        <w:ind w:left="340"/>
        <w:spacing w:after="0"/>
        <w:rPr>
          <w:sz w:val="20"/>
          <w:szCs w:val="20"/>
          <w:color w:val="auto"/>
        </w:rPr>
      </w:pPr>
      <w:r>
        <w:rPr>
          <w:rFonts w:ascii="Arial" w:cs="Arial" w:eastAsia="Arial" w:hAnsi="Arial"/>
          <w:sz w:val="20"/>
          <w:szCs w:val="20"/>
          <w:b w:val="1"/>
          <w:bCs w:val="1"/>
          <w:i w:val="1"/>
          <w:iCs w:val="1"/>
          <w:color w:val="auto"/>
        </w:rPr>
        <w:t>Short-term investments</w:t>
      </w:r>
    </w:p>
    <w:p>
      <w:pPr>
        <w:spacing w:after="0" w:line="125" w:lineRule="exact"/>
        <w:rPr>
          <w:sz w:val="20"/>
          <w:szCs w:val="20"/>
          <w:color w:val="auto"/>
        </w:rPr>
      </w:pPr>
    </w:p>
    <w:p>
      <w:pPr>
        <w:jc w:val="both"/>
        <w:ind w:firstLine="353"/>
        <w:spacing w:after="0" w:line="258" w:lineRule="auto"/>
        <w:rPr>
          <w:sz w:val="20"/>
          <w:szCs w:val="20"/>
          <w:color w:val="auto"/>
        </w:rPr>
      </w:pPr>
      <w:r>
        <w:rPr>
          <w:rFonts w:ascii="Arial" w:cs="Arial" w:eastAsia="Arial" w:hAnsi="Arial"/>
          <w:sz w:val="20"/>
          <w:szCs w:val="20"/>
          <w:color w:val="auto"/>
        </w:rPr>
        <w:t>Short-term investments consist of financial instruments with an original maturity of one year or less when purchased and include short-term fixed maturity securities and money market instruments, which are carried at fair value, and short-term loans, which are carried at amortized cost, which approximates fair value.</w:t>
      </w:r>
    </w:p>
    <w:p>
      <w:pPr>
        <w:spacing w:after="0" w:line="80" w:lineRule="exact"/>
        <w:rPr>
          <w:sz w:val="20"/>
          <w:szCs w:val="20"/>
          <w:color w:val="auto"/>
        </w:rPr>
      </w:pPr>
    </w:p>
    <w:p>
      <w:pPr>
        <w:ind w:left="340"/>
        <w:spacing w:after="0"/>
        <w:rPr>
          <w:sz w:val="20"/>
          <w:szCs w:val="20"/>
          <w:color w:val="auto"/>
        </w:rPr>
      </w:pPr>
      <w:r>
        <w:rPr>
          <w:rFonts w:ascii="Arial" w:cs="Arial" w:eastAsia="Arial" w:hAnsi="Arial"/>
          <w:sz w:val="20"/>
          <w:szCs w:val="20"/>
          <w:b w:val="1"/>
          <w:bCs w:val="1"/>
          <w:i w:val="1"/>
          <w:iCs w:val="1"/>
          <w:color w:val="auto"/>
        </w:rPr>
        <w:t>Investments in Unconsolidated Affiliates</w:t>
      </w:r>
    </w:p>
    <w:p>
      <w:pPr>
        <w:spacing w:after="0" w:line="125" w:lineRule="exact"/>
        <w:rPr>
          <w:sz w:val="20"/>
          <w:szCs w:val="20"/>
          <w:color w:val="auto"/>
        </w:rPr>
      </w:pPr>
    </w:p>
    <w:p>
      <w:pPr>
        <w:jc w:val="both"/>
        <w:ind w:firstLine="353"/>
        <w:spacing w:after="0" w:line="295" w:lineRule="auto"/>
        <w:rPr>
          <w:sz w:val="20"/>
          <w:szCs w:val="20"/>
          <w:color w:val="auto"/>
        </w:rPr>
      </w:pPr>
      <w:r>
        <w:rPr>
          <w:rFonts w:ascii="Arial" w:cs="Arial" w:eastAsia="Arial" w:hAnsi="Arial"/>
          <w:sz w:val="17"/>
          <w:szCs w:val="17"/>
          <w:color w:val="auto"/>
        </w:rPr>
        <w:t>In our F&amp;G segment, we account for our investments in unconsolidated affiliates using the equity method or by electing the fair value option. Initial investments are recorded at cost. For investments subsequently measured using the equity method (primarily limited partnerships, including those held by consolidated VIEs), adjustments to the carrying amount reflect our pro rata ownership percentage of the operating results as indicated by net asset value ("NAV") in the unconsolidated affiliates’ financial statements, which we may adjust if we determine NAV is not calculated consistent with investment company fair value principles. Our pro rata share of NAV adjustments are reported in Interest and investment income and realized gains and losses on sales are reported in Recognized gains and losses, net in the Consolidated Statements of Earnings. Distributions received from investments measured using the equity method are recorded as a decrease in the investment balance. Recognition of income and adjustments to the carrying amount can be delayed due to the availability of the related financial statements, which are obtained from the general partner or managing member generally on a one to three-month delay. Management inquires quarterly with the general partner or managing member to determine whether any credit or other market events have occurred since prior quarter financial statements to ensure any material events are properly included in current quarter NAV adjustments and investment income.</w:t>
      </w:r>
    </w:p>
    <w:p>
      <w:pPr>
        <w:spacing w:after="0" w:line="292" w:lineRule="exact"/>
        <w:rPr>
          <w:sz w:val="20"/>
          <w:szCs w:val="20"/>
          <w:color w:val="auto"/>
        </w:rPr>
      </w:pPr>
    </w:p>
    <w:p>
      <w:pPr>
        <w:jc w:val="both"/>
        <w:ind w:firstLine="353"/>
        <w:spacing w:after="0" w:line="271" w:lineRule="auto"/>
        <w:rPr>
          <w:sz w:val="20"/>
          <w:szCs w:val="20"/>
          <w:color w:val="auto"/>
        </w:rPr>
      </w:pPr>
      <w:r>
        <w:rPr>
          <w:rFonts w:ascii="Arial" w:cs="Arial" w:eastAsia="Arial" w:hAnsi="Arial"/>
          <w:sz w:val="19"/>
          <w:szCs w:val="19"/>
          <w:color w:val="auto"/>
        </w:rPr>
        <w:t>For investments subsequently measured using the fair value option, adjustments to the carrying amount reflecting the change in fair value of the investment and realized gains and losses on sales are reported in Recognized gains and losses, net in the Consolidated Statements of Earnings. Distributions received from investments measured using the fair value option are reported within Interest and investment income in the Consolidated Statements of Earnings.</w:t>
      </w:r>
    </w:p>
    <w:p>
      <w:pPr>
        <w:spacing w:after="0" w:line="70" w:lineRule="exact"/>
        <w:rPr>
          <w:sz w:val="20"/>
          <w:szCs w:val="20"/>
          <w:color w:val="auto"/>
        </w:rPr>
      </w:pPr>
    </w:p>
    <w:p>
      <w:pPr>
        <w:jc w:val="both"/>
        <w:ind w:firstLine="353"/>
        <w:spacing w:after="0" w:line="273" w:lineRule="auto"/>
        <w:rPr>
          <w:sz w:val="20"/>
          <w:szCs w:val="20"/>
          <w:color w:val="auto"/>
        </w:rPr>
      </w:pPr>
      <w:r>
        <w:rPr>
          <w:rFonts w:ascii="Arial" w:cs="Arial" w:eastAsia="Arial" w:hAnsi="Arial"/>
          <w:sz w:val="20"/>
          <w:szCs w:val="20"/>
          <w:color w:val="auto"/>
        </w:rPr>
        <w:t xml:space="preserve">For descriptions of the fair value methodologies used for our investments, refer to Note C </w:t>
      </w:r>
      <w:r>
        <w:rPr>
          <w:rFonts w:ascii="Arial" w:cs="Arial" w:eastAsia="Arial" w:hAnsi="Arial"/>
          <w:sz w:val="20"/>
          <w:szCs w:val="20"/>
          <w:b w:val="1"/>
          <w:bCs w:val="1"/>
          <w:i w:val="1"/>
          <w:iCs w:val="1"/>
          <w:color w:val="auto"/>
        </w:rPr>
        <w:t>Fair Value of Financial</w:t>
      </w:r>
      <w:r>
        <w:rPr>
          <w:rFonts w:ascii="Arial" w:cs="Arial" w:eastAsia="Arial" w:hAnsi="Arial"/>
          <w:sz w:val="20"/>
          <w:szCs w:val="20"/>
          <w:color w:val="auto"/>
        </w:rPr>
        <w:t xml:space="preserve"> </w:t>
      </w:r>
      <w:r>
        <w:rPr>
          <w:rFonts w:ascii="Arial" w:cs="Arial" w:eastAsia="Arial" w:hAnsi="Arial"/>
          <w:sz w:val="20"/>
          <w:szCs w:val="20"/>
          <w:b w:val="1"/>
          <w:bCs w:val="1"/>
          <w:i w:val="1"/>
          <w:iCs w:val="1"/>
          <w:color w:val="auto"/>
        </w:rPr>
        <w:t>Instruments</w:t>
      </w:r>
      <w:r>
        <w:rPr>
          <w:rFonts w:ascii="Arial" w:cs="Arial" w:eastAsia="Arial" w:hAnsi="Arial"/>
          <w:sz w:val="20"/>
          <w:szCs w:val="20"/>
          <w:color w:val="auto"/>
        </w:rPr>
        <w:t>.</w:t>
      </w:r>
    </w:p>
    <w:p>
      <w:pPr>
        <w:spacing w:after="0" w:line="67" w:lineRule="exact"/>
        <w:rPr>
          <w:sz w:val="20"/>
          <w:szCs w:val="20"/>
          <w:color w:val="auto"/>
        </w:rPr>
      </w:pPr>
    </w:p>
    <w:p>
      <w:pPr>
        <w:jc w:val="both"/>
        <w:ind w:firstLine="353"/>
        <w:spacing w:after="0" w:line="299" w:lineRule="auto"/>
        <w:rPr>
          <w:sz w:val="20"/>
          <w:szCs w:val="20"/>
          <w:color w:val="auto"/>
        </w:rPr>
      </w:pPr>
      <w:r>
        <w:rPr>
          <w:rFonts w:ascii="Arial" w:cs="Arial" w:eastAsia="Arial" w:hAnsi="Arial"/>
          <w:sz w:val="17"/>
          <w:szCs w:val="17"/>
          <w:color w:val="auto"/>
        </w:rPr>
        <w:t>In our title segment, we account for our investments in unconsolidated affiliates using the equity method of accounting and earnings on our investments in unconsolidated affiliates are recorded within Equity in earnings of unconsolidated affiliates within the Consolidated Statements of Earnings. We classify distributions received from unconsolidated affiliates in our Consolidated Statements of Cash Flows using the cumulative earnings approach. Under the cumulative earnings approach, distributions are considered returns on investment and classified as cash inflows from operating activities unless the Company’s cumulative distributions from an investee received exceed the cumulative equity in earnings of such investee. When cumulative distributions from an investee exceed cumulative equity in earnings of the investee, such excess is considered a return of investment and is classified as a cash inflow from investing activities.</w:t>
      </w:r>
    </w:p>
    <w:p>
      <w:pPr>
        <w:spacing w:after="0" w:line="49" w:lineRule="exact"/>
        <w:rPr>
          <w:sz w:val="20"/>
          <w:szCs w:val="20"/>
          <w:color w:val="auto"/>
        </w:rPr>
      </w:pPr>
    </w:p>
    <w:p>
      <w:pPr>
        <w:ind w:left="340"/>
        <w:spacing w:after="0"/>
        <w:rPr>
          <w:sz w:val="20"/>
          <w:szCs w:val="20"/>
          <w:color w:val="auto"/>
        </w:rPr>
      </w:pPr>
      <w:r>
        <w:rPr>
          <w:rFonts w:ascii="Arial" w:cs="Arial" w:eastAsia="Arial" w:hAnsi="Arial"/>
          <w:sz w:val="20"/>
          <w:szCs w:val="20"/>
          <w:b w:val="1"/>
          <w:bCs w:val="1"/>
          <w:i w:val="1"/>
          <w:iCs w:val="1"/>
          <w:color w:val="auto"/>
        </w:rPr>
        <w:t>Interest and investment income</w:t>
      </w:r>
    </w:p>
    <w:p>
      <w:pPr>
        <w:spacing w:after="0" w:line="95" w:lineRule="exact"/>
        <w:rPr>
          <w:sz w:val="20"/>
          <w:szCs w:val="20"/>
          <w:color w:val="auto"/>
        </w:rPr>
      </w:pPr>
    </w:p>
    <w:p>
      <w:pPr>
        <w:jc w:val="both"/>
        <w:ind w:firstLine="353"/>
        <w:spacing w:after="0" w:line="268" w:lineRule="auto"/>
        <w:rPr>
          <w:sz w:val="20"/>
          <w:szCs w:val="20"/>
          <w:color w:val="auto"/>
        </w:rPr>
      </w:pPr>
      <w:r>
        <w:rPr>
          <w:rFonts w:ascii="Arial" w:cs="Arial" w:eastAsia="Arial" w:hAnsi="Arial"/>
          <w:sz w:val="19"/>
          <w:szCs w:val="19"/>
          <w:color w:val="auto"/>
        </w:rPr>
        <w:t>Dividends and interest income are recorded in Interest and investment income and recognized when earned. Income or losses upon call or prepayment of fixed maturity securities are recognized in Interest and investment income. Amortization of premiums and accretion of discounts on investments in fixed maturity securities are reflected in Interest and investment income over the contractual terms of the investments, and for callable investments at a premium, based on the earliest call date of the investments, in a manner that produces a constant effective yield.</w:t>
      </w:r>
    </w:p>
    <w:p>
      <w:pPr>
        <w:spacing w:after="0" w:line="44" w:lineRule="exact"/>
        <w:rPr>
          <w:sz w:val="20"/>
          <w:szCs w:val="20"/>
          <w:color w:val="auto"/>
        </w:rPr>
      </w:pPr>
    </w:p>
    <w:p>
      <w:pPr>
        <w:jc w:val="both"/>
        <w:ind w:firstLine="353"/>
        <w:spacing w:after="0" w:line="305" w:lineRule="auto"/>
        <w:rPr>
          <w:sz w:val="20"/>
          <w:szCs w:val="20"/>
          <w:color w:val="auto"/>
        </w:rPr>
      </w:pPr>
      <w:r>
        <w:rPr>
          <w:rFonts w:ascii="Arial" w:cs="Arial" w:eastAsia="Arial" w:hAnsi="Arial"/>
          <w:sz w:val="17"/>
          <w:szCs w:val="17"/>
          <w:color w:val="auto"/>
        </w:rPr>
        <w:t>For mortgage-backed and asset-backed securities, included in the fixed maturity securities portfolios, one of two models may be used to recognize interest income. For higher rated securities, interest income will be estimated based on an effective yield that considers cash flows received to date plus current expectations of future cash flows. For all other securities, interest</w:t>
      </w:r>
    </w:p>
    <w:p>
      <w:pPr>
        <w:sectPr>
          <w:pgSz w:w="11880" w:h="15480" w:orient="portrait"/>
          <w:cols w:equalWidth="0" w:num="1">
            <w:col w:w="10040"/>
          </w:cols>
          <w:pgMar w:left="920" w:top="772" w:right="920" w:bottom="0" w:gutter="0" w:footer="0" w:header="0"/>
        </w:sect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112</w:t>
      </w:r>
    </w:p>
    <w:p>
      <w:pPr>
        <w:sectPr>
          <w:pgSz w:w="11880" w:h="15480" w:orient="portrait"/>
          <w:cols w:equalWidth="0" w:num="1">
            <w:col w:w="10040"/>
          </w:cols>
          <w:pgMar w:left="920" w:top="772" w:right="920" w:bottom="0" w:gutter="0" w:footer="0" w:header="0"/>
          <w:type w:val="continuous"/>
        </w:sectPr>
      </w:pPr>
    </w:p>
    <w:bookmarkStart w:id="124" w:name="page125"/>
    <w:bookmarkEnd w:id="124"/>
    <w:p>
      <w:pPr>
        <w:jc w:val="both"/>
        <w:spacing w:after="0" w:line="241" w:lineRule="auto"/>
        <w:rPr>
          <w:sz w:val="20"/>
          <w:szCs w:val="20"/>
          <w:color w:val="auto"/>
        </w:rPr>
      </w:pPr>
      <w:r>
        <w:rPr>
          <w:rFonts w:ascii="Arial" w:cs="Arial" w:eastAsia="Arial" w:hAnsi="Arial"/>
          <w:sz w:val="20"/>
          <w:szCs w:val="20"/>
          <w:color w:val="auto"/>
        </w:rPr>
        <w:t>income will be estimated based upon an effective yield that considers current expectations of future cash flows. For both interest income models, the estimated future cash flows include assumptions regarding the performance of the underlying collateral pool.</w:t>
      </w:r>
    </w:p>
    <w:p>
      <w:pPr>
        <w:spacing w:after="0" w:line="54" w:lineRule="exact"/>
        <w:rPr>
          <w:sz w:val="20"/>
          <w:szCs w:val="20"/>
          <w:color w:val="auto"/>
        </w:rPr>
      </w:pPr>
    </w:p>
    <w:p>
      <w:pPr>
        <w:ind w:right="360" w:firstLine="353"/>
        <w:spacing w:after="0" w:line="349" w:lineRule="auto"/>
        <w:rPr>
          <w:sz w:val="20"/>
          <w:szCs w:val="20"/>
          <w:color w:val="auto"/>
        </w:rPr>
      </w:pPr>
      <w:r>
        <w:rPr>
          <w:rFonts w:ascii="Arial" w:cs="Arial" w:eastAsia="Arial" w:hAnsi="Arial"/>
          <w:sz w:val="20"/>
          <w:szCs w:val="20"/>
          <w:color w:val="auto"/>
        </w:rPr>
        <w:t xml:space="preserve">Interest and investment income is presented net of investment expenses and the effects of certain reinsurance contracts. </w:t>
      </w:r>
      <w:r>
        <w:rPr>
          <w:rFonts w:ascii="Arial" w:cs="Arial" w:eastAsia="Arial" w:hAnsi="Arial"/>
          <w:sz w:val="20"/>
          <w:szCs w:val="20"/>
          <w:b w:val="1"/>
          <w:bCs w:val="1"/>
          <w:i w:val="1"/>
          <w:iCs w:val="1"/>
          <w:color w:val="auto"/>
        </w:rPr>
        <w:t>Cash and Cash Equivalents</w:t>
      </w:r>
    </w:p>
    <w:p>
      <w:pPr>
        <w:spacing w:after="0" w:line="1" w:lineRule="exact"/>
        <w:rPr>
          <w:sz w:val="20"/>
          <w:szCs w:val="20"/>
          <w:color w:val="auto"/>
        </w:rPr>
      </w:pPr>
    </w:p>
    <w:p>
      <w:pPr>
        <w:jc w:val="both"/>
        <w:ind w:firstLine="353"/>
        <w:spacing w:after="0" w:line="258" w:lineRule="auto"/>
        <w:rPr>
          <w:sz w:val="20"/>
          <w:szCs w:val="20"/>
          <w:color w:val="auto"/>
        </w:rPr>
      </w:pPr>
      <w:r>
        <w:rPr>
          <w:rFonts w:ascii="Arial" w:cs="Arial" w:eastAsia="Arial" w:hAnsi="Arial"/>
          <w:sz w:val="20"/>
          <w:szCs w:val="20"/>
          <w:color w:val="auto"/>
        </w:rPr>
        <w:t>Highly liquid instruments purchased as part of cash management with original maturities of three months or less are considered cash equivalents. The carrying amounts reported in the Consolidated Balance Sheets for these instruments approximate fair value.</w:t>
      </w:r>
    </w:p>
    <w:p>
      <w:pPr>
        <w:spacing w:after="0" w:line="5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Trade and Notes Receivables</w:t>
      </w:r>
    </w:p>
    <w:p>
      <w:pPr>
        <w:spacing w:after="0" w:line="110" w:lineRule="exact"/>
        <w:rPr>
          <w:sz w:val="20"/>
          <w:szCs w:val="20"/>
          <w:color w:val="auto"/>
        </w:rPr>
      </w:pPr>
    </w:p>
    <w:p>
      <w:pPr>
        <w:jc w:val="both"/>
        <w:ind w:firstLine="353"/>
        <w:spacing w:after="0" w:line="271" w:lineRule="auto"/>
        <w:rPr>
          <w:sz w:val="20"/>
          <w:szCs w:val="20"/>
          <w:color w:val="auto"/>
        </w:rPr>
      </w:pPr>
      <w:r>
        <w:rPr>
          <w:rFonts w:ascii="Arial" w:cs="Arial" w:eastAsia="Arial" w:hAnsi="Arial"/>
          <w:sz w:val="20"/>
          <w:szCs w:val="20"/>
          <w:color w:val="auto"/>
        </w:rPr>
        <w:t>The carrying values reported in the Consolidated Balance Sheets for trade and notes receivables approximate their fair value.</w:t>
      </w:r>
    </w:p>
    <w:p>
      <w:pPr>
        <w:spacing w:after="0" w:line="49" w:lineRule="exact"/>
        <w:rPr>
          <w:sz w:val="20"/>
          <w:szCs w:val="20"/>
          <w:color w:val="auto"/>
        </w:rPr>
      </w:pPr>
    </w:p>
    <w:p>
      <w:pPr>
        <w:jc w:val="both"/>
        <w:ind w:firstLine="353"/>
        <w:spacing w:after="0" w:line="295" w:lineRule="auto"/>
        <w:rPr>
          <w:sz w:val="20"/>
          <w:szCs w:val="20"/>
          <w:color w:val="auto"/>
        </w:rPr>
      </w:pPr>
      <w:r>
        <w:rPr>
          <w:rFonts w:ascii="Arial" w:cs="Arial" w:eastAsia="Arial" w:hAnsi="Arial"/>
          <w:sz w:val="17"/>
          <w:szCs w:val="17"/>
          <w:color w:val="auto"/>
        </w:rPr>
        <w:t>Premium revenues from agency title operations are recognized when the underlying title order and transaction closing, if applicable, are complete and reported to us. Premium revenues from agency operations and related commissions include an accrual based on estimated historical transaction volume data for policies that have closed in a particular period in which premiums have not yet been reported to us. Historically, the time lag between the closing of these transactions by our agents and the reporting of these policies, or premiums, to us has been up to 15 months, with 48% - 75% reported within three months following closing, an additional 24% - 48% reported within the next three months, and the remainder within seven to fifteen months. In addition to accruing these earned but unreported agency premiums, we also accrue agent commission expense, which was 77.5% of agent premiums earned in 2025, 77.4% of agent premiums earned in 2024, and 76.9% of agent premiums earned in 2023. The amount due from our agents relating to this accrual, i.e., the agent premium less their contractual retained commission, was approximately $42 million and $40 million as of December 31, 2025 and 2024, respectively. Due to the offsetting effects of reversing prior period accruals, the impact of this accrual to our recorded Agency title insurance premiums, Agent commissions, and net earnings in any given period is not considered material.</w:t>
      </w:r>
    </w:p>
    <w:p>
      <w:pPr>
        <w:spacing w:after="0" w:line="3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Fair Value of Financial Instruments</w:t>
      </w:r>
    </w:p>
    <w:p>
      <w:pPr>
        <w:spacing w:after="0" w:line="110" w:lineRule="exact"/>
        <w:rPr>
          <w:sz w:val="20"/>
          <w:szCs w:val="20"/>
          <w:color w:val="auto"/>
        </w:rPr>
      </w:pPr>
    </w:p>
    <w:p>
      <w:pPr>
        <w:jc w:val="both"/>
        <w:ind w:firstLine="353"/>
        <w:spacing w:after="0" w:line="271" w:lineRule="auto"/>
        <w:rPr>
          <w:sz w:val="20"/>
          <w:szCs w:val="20"/>
          <w:color w:val="auto"/>
        </w:rPr>
      </w:pPr>
      <w:r>
        <w:rPr>
          <w:rFonts w:ascii="Arial" w:cs="Arial" w:eastAsia="Arial" w:hAnsi="Arial"/>
          <w:sz w:val="19"/>
          <w:szCs w:val="19"/>
          <w:color w:val="auto"/>
        </w:rPr>
        <w:t xml:space="preserve">The fair values of financial instruments presented in the Consolidated Financial Statements are estimates of the fair values at the balance sheet date using available market information and appropriate valuation methodologies. These estimates are subjective in nature and involve uncertainties and significant judgment in the interpretation of current market data. See a description of the fair value methodology used in Note C </w:t>
      </w:r>
      <w:r>
        <w:rPr>
          <w:rFonts w:ascii="Arial" w:cs="Arial" w:eastAsia="Arial" w:hAnsi="Arial"/>
          <w:sz w:val="19"/>
          <w:szCs w:val="19"/>
          <w:b w:val="1"/>
          <w:bCs w:val="1"/>
          <w:i w:val="1"/>
          <w:iCs w:val="1"/>
          <w:color w:val="auto"/>
        </w:rPr>
        <w:t>Fair Value of Financial Instruments</w:t>
      </w:r>
      <w:r>
        <w:rPr>
          <w:rFonts w:ascii="Arial" w:cs="Arial" w:eastAsia="Arial" w:hAnsi="Arial"/>
          <w:sz w:val="19"/>
          <w:szCs w:val="19"/>
          <w:color w:val="auto"/>
        </w:rPr>
        <w:t>.</w:t>
      </w:r>
    </w:p>
    <w:p>
      <w:pPr>
        <w:spacing w:after="0" w:line="4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Fair Value of Assets Acquired and Liabilities Assumed in Business Combinations</w:t>
      </w:r>
    </w:p>
    <w:p>
      <w:pPr>
        <w:spacing w:after="0" w:line="110" w:lineRule="exact"/>
        <w:rPr>
          <w:sz w:val="20"/>
          <w:szCs w:val="20"/>
          <w:color w:val="auto"/>
        </w:rPr>
      </w:pPr>
    </w:p>
    <w:p>
      <w:pPr>
        <w:jc w:val="both"/>
        <w:ind w:firstLine="353"/>
        <w:spacing w:after="0" w:line="294" w:lineRule="auto"/>
        <w:rPr>
          <w:sz w:val="20"/>
          <w:szCs w:val="20"/>
          <w:color w:val="auto"/>
        </w:rPr>
      </w:pPr>
      <w:r>
        <w:rPr>
          <w:rFonts w:ascii="Arial" w:cs="Arial" w:eastAsia="Arial" w:hAnsi="Arial"/>
          <w:sz w:val="17"/>
          <w:szCs w:val="17"/>
          <w:color w:val="auto"/>
        </w:rPr>
        <w:t>The Financial Accounting Standards Board ("FASB") Accounting Standards Codification ("ASC") Topic 805, Business Combinations, requires an acquirer to recognize, separately from goodwill, the identifiable assets acquired, liabilities assumed, and any non-controlling interest in the acquiree, and to measure these items generally at their acquisition date fair values. If the initial accounting for a business combination is incomplete by the end of the reporting period in which the combination occurs, we are required to report provisional amounts in the financial statements for the items for which the accounting is incomplete. Adjustments to provisional amounts initially recorded that are identified during the measurement period are recognized in the reporting period in which the adjustment amounts are determined. This includes any effect on earnings of changes in depreciation, amortization, or other income effects as a result of the change to the provisional amounts, calculated as if the accounting had been completed at the acquisition date. During the measurement period, we are also required to recognize additional assets or liabilities if new information is obtained about facts and circumstances that existed as of the acquisition date that, if known, would have resulted in the recognition of those assets and liabilities as of that date. The measurement period ends the sooner of one year from the acquisition date, or when we receive the information we were seeking about facts and circumstances that existed as of the acquisition date or learn that more information is not obtainable.</w:t>
      </w:r>
    </w:p>
    <w:p>
      <w:pPr>
        <w:spacing w:after="0" w:line="5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Goodwill</w:t>
      </w:r>
    </w:p>
    <w:p>
      <w:pPr>
        <w:spacing w:after="0" w:line="130" w:lineRule="exact"/>
        <w:rPr>
          <w:sz w:val="20"/>
          <w:szCs w:val="20"/>
          <w:color w:val="auto"/>
        </w:rPr>
      </w:pPr>
    </w:p>
    <w:p>
      <w:pPr>
        <w:jc w:val="both"/>
        <w:ind w:firstLine="353"/>
        <w:spacing w:after="0" w:line="303" w:lineRule="auto"/>
        <w:rPr>
          <w:sz w:val="20"/>
          <w:szCs w:val="20"/>
          <w:color w:val="auto"/>
        </w:rPr>
      </w:pPr>
      <w:r>
        <w:rPr>
          <w:rFonts w:ascii="Arial" w:cs="Arial" w:eastAsia="Arial" w:hAnsi="Arial"/>
          <w:sz w:val="17"/>
          <w:szCs w:val="17"/>
          <w:color w:val="auto"/>
        </w:rPr>
        <w:t>Goodwill represents the excess of cost over fair value of identifiable net assets acquired and assumed in a business combination. Goodwill and other intangible assets with indefinite useful lives are reviewed for impairment at the reporting unit level on an annual basis or more frequently if circumstances indicate potential impairment, through a comparison of fair value to the carrying amount. In evaluating the recoverability of goodwill, we perform a qualitative analysis at the reporting unit level to determine whether there are any events or circumstances that would indicate it is more likely than not that the fair value of our recorded goodwill exceeds its carrying value, prior to performing a full fair-value assessment.</w:t>
      </w:r>
    </w:p>
    <w:p>
      <w:pPr>
        <w:spacing w:after="0" w:line="28" w:lineRule="exact"/>
        <w:rPr>
          <w:sz w:val="20"/>
          <w:szCs w:val="20"/>
          <w:color w:val="auto"/>
        </w:rPr>
      </w:pPr>
    </w:p>
    <w:p>
      <w:pPr>
        <w:jc w:val="both"/>
        <w:ind w:firstLine="353"/>
        <w:spacing w:after="0" w:line="278" w:lineRule="auto"/>
        <w:rPr>
          <w:sz w:val="20"/>
          <w:szCs w:val="20"/>
          <w:color w:val="auto"/>
        </w:rPr>
      </w:pPr>
      <w:r>
        <w:rPr>
          <w:rFonts w:ascii="Arial" w:cs="Arial" w:eastAsia="Arial" w:hAnsi="Arial"/>
          <w:sz w:val="19"/>
          <w:szCs w:val="19"/>
          <w:color w:val="auto"/>
        </w:rPr>
        <w:t>We complete annual goodwill impairment analyses in the fourth quarter of each period presented using a September 30 measurement date. For the years ended December 31, 2025, 2024, and 2023, we determined there were no events or circumstances which indicated that the carrying value of a reporting unit exceeded the fair value.</w:t>
      </w:r>
    </w:p>
    <w:p>
      <w:pPr>
        <w:sectPr>
          <w:pgSz w:w="11880" w:h="15480" w:orient="portrait"/>
          <w:cols w:equalWidth="0" w:num="1">
            <w:col w:w="10040"/>
          </w:cols>
          <w:pgMar w:left="920" w:top="772" w:right="920" w:bottom="0" w:gutter="0" w:footer="0" w:header="0"/>
        </w:sect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113</w:t>
      </w:r>
    </w:p>
    <w:p>
      <w:pPr>
        <w:sectPr>
          <w:pgSz w:w="11880" w:h="15480" w:orient="portrait"/>
          <w:cols w:equalWidth="0" w:num="1">
            <w:col w:w="10040"/>
          </w:cols>
          <w:pgMar w:left="920" w:top="772" w:right="920" w:bottom="0" w:gutter="0" w:footer="0" w:header="0"/>
          <w:type w:val="continuous"/>
        </w:sectPr>
      </w:pPr>
    </w:p>
    <w:bookmarkStart w:id="125" w:name="page126"/>
    <w:bookmarkEnd w:id="125"/>
    <w:p>
      <w:pPr>
        <w:spacing w:after="0"/>
        <w:rPr>
          <w:sz w:val="20"/>
          <w:szCs w:val="20"/>
          <w:color w:val="auto"/>
        </w:rPr>
      </w:pPr>
      <w:r>
        <w:rPr>
          <w:rFonts w:ascii="Arial" w:cs="Arial" w:eastAsia="Arial" w:hAnsi="Arial"/>
          <w:sz w:val="20"/>
          <w:szCs w:val="20"/>
          <w:b w:val="1"/>
          <w:bCs w:val="1"/>
          <w:i w:val="1"/>
          <w:iCs w:val="1"/>
          <w:color w:val="auto"/>
        </w:rPr>
        <w:t>Insurance and Reinsurance Related Intangible Assets</w:t>
      </w:r>
    </w:p>
    <w:p>
      <w:pPr>
        <w:spacing w:after="0" w:line="130" w:lineRule="exact"/>
        <w:rPr>
          <w:sz w:val="20"/>
          <w:szCs w:val="20"/>
          <w:color w:val="auto"/>
        </w:rPr>
      </w:pPr>
    </w:p>
    <w:p>
      <w:pPr>
        <w:jc w:val="both"/>
        <w:ind w:firstLine="353"/>
        <w:spacing w:after="0" w:line="251" w:lineRule="auto"/>
        <w:rPr>
          <w:sz w:val="20"/>
          <w:szCs w:val="20"/>
          <w:color w:val="auto"/>
        </w:rPr>
      </w:pPr>
      <w:r>
        <w:rPr>
          <w:rFonts w:ascii="Arial" w:cs="Arial" w:eastAsia="Arial" w:hAnsi="Arial"/>
          <w:sz w:val="20"/>
          <w:szCs w:val="20"/>
          <w:color w:val="auto"/>
        </w:rPr>
        <w:t>We have insurance and reinsurance related intangible assets, which include the value of insurance and reinsurance contracts acquired (hereafter referred to as “VOBA”), DAC, DSI, and cost of reinsurance (“COR”). VOBA, DAC, and DSI are reported in Other intangible assets, net, on the Consolidated Balance Sheets. COR may be reported in Prepaid expenses and other assets or in Accounts payable and accrued liabilities on the Consolidated Balance Sheets as described below under “Reinsurance - Cost of Reinsurance.”</w:t>
      </w:r>
    </w:p>
    <w:p>
      <w:pPr>
        <w:spacing w:after="0" w:line="91" w:lineRule="exact"/>
        <w:rPr>
          <w:sz w:val="20"/>
          <w:szCs w:val="20"/>
          <w:color w:val="auto"/>
        </w:rPr>
      </w:pPr>
    </w:p>
    <w:p>
      <w:pPr>
        <w:jc w:val="both"/>
        <w:ind w:firstLine="353"/>
        <w:spacing w:after="0" w:line="295" w:lineRule="auto"/>
        <w:rPr>
          <w:sz w:val="20"/>
          <w:szCs w:val="20"/>
          <w:color w:val="auto"/>
        </w:rPr>
      </w:pPr>
      <w:r>
        <w:rPr>
          <w:rFonts w:ascii="Arial" w:cs="Arial" w:eastAsia="Arial" w:hAnsi="Arial"/>
          <w:sz w:val="17"/>
          <w:szCs w:val="17"/>
          <w:color w:val="auto"/>
        </w:rPr>
        <w:t>VOBA is an intangible asset that reflects the amount recorded as insurance contract liabilities less the estimated fair value of in-force contracts (“VIF”) in a life insurance company acquisition. It represents the portion of the purchase price that is allocated to the value of the rights to receive future cash flows from the business inforce at the acquisition date. VOBA is a function of the VIF, current GAAP reserves, GAAP assets, and deferred tax liability. The VIF is determined by the present value of statutory distributable earnings less opening required capital. DAC consists principally of commissions and other acquisition costs that are related directly to the successful sale of new or renewal insurance contracts that are deferred as they are incurred. When insurance contracts are reinsured and reinsurance accounting is applied, acquisition cost reimbursements from reinsurers are recorded as a reduction to DAC. Indirect or unsuccessful acquisition costs, maintenance, product development, and overhead expenses are charged to expense as incurred and are offset by maintenance expense reimbursements within a reinsurance arrangement, when reinsurance accounting is applied to the respective arrangement DSI represents up front bonus credits and persistency or vesting bonuses credited to contractholder fund balances. COR represents net cash flows on reinsurance coverage to ensure no gain or loss is recognized at inception.</w:t>
      </w:r>
    </w:p>
    <w:p>
      <w:pPr>
        <w:spacing w:after="0" w:line="57" w:lineRule="exact"/>
        <w:rPr>
          <w:sz w:val="20"/>
          <w:szCs w:val="20"/>
          <w:color w:val="auto"/>
        </w:rPr>
      </w:pPr>
    </w:p>
    <w:p>
      <w:pPr>
        <w:jc w:val="both"/>
        <w:ind w:firstLine="353"/>
        <w:spacing w:after="0" w:line="248" w:lineRule="auto"/>
        <w:rPr>
          <w:sz w:val="20"/>
          <w:szCs w:val="20"/>
          <w:color w:val="auto"/>
        </w:rPr>
      </w:pPr>
      <w:r>
        <w:rPr>
          <w:rFonts w:ascii="Arial" w:cs="Arial" w:eastAsia="Arial" w:hAnsi="Arial"/>
          <w:sz w:val="20"/>
          <w:szCs w:val="20"/>
          <w:color w:val="auto"/>
        </w:rPr>
        <w:t>VOBA, DAC, DSI, and COR are amortized on a constant level basis for the grouped contracts over the expected term of the related contracts to approximate straight-line amortization. Contracts are grouped by product type, feature and issue year into cohorts consistent with the grouping used in estimating the associated liability, where applicable. The constant level amortization bases of VOBA, DAC, DSI, and COR varies by product type. For universal life and indexed universal life (“IUL”) insurance products, the constant level basis used is face amount inforce. For deferred annuities (indexed annuities and fixed rate annuities), the constant level basis used is initial premium deposit for DAC and DSI and vested account value as of the acquisition date for VOBA and ceded initial premium for COR. For immediate annuity contracts, the VOBA balance is amortized in alignment with the Company’s accounting policy of amortizing the deferred profit liability (“DPL”). All amortization bases are adjusted by full lapses, which includes deaths, full surrenders, annuitizations and maturities, where applicable.</w:t>
      </w:r>
    </w:p>
    <w:p>
      <w:pPr>
        <w:spacing w:after="0" w:line="93" w:lineRule="exact"/>
        <w:rPr>
          <w:sz w:val="20"/>
          <w:szCs w:val="20"/>
          <w:color w:val="auto"/>
        </w:rPr>
      </w:pPr>
    </w:p>
    <w:p>
      <w:pPr>
        <w:jc w:val="both"/>
        <w:ind w:firstLine="353"/>
        <w:spacing w:after="0" w:line="262" w:lineRule="auto"/>
        <w:rPr>
          <w:sz w:val="20"/>
          <w:szCs w:val="20"/>
          <w:color w:val="auto"/>
        </w:rPr>
      </w:pPr>
      <w:r>
        <w:rPr>
          <w:rFonts w:ascii="Arial" w:cs="Arial" w:eastAsia="Arial" w:hAnsi="Arial"/>
          <w:sz w:val="19"/>
          <w:szCs w:val="19"/>
          <w:color w:val="auto"/>
        </w:rPr>
        <w:t>The constant level basis used for amortization are projected using mortality and lapse assumptions that are based on Company’s experience, industry data, and other factors and are consistent with those used for the FPB, where applicable. If those projected assumptions change in future periods, they will be reflected in the cohort level amortization basis at that time. Unexpected contract terminations, due to higher mortality and/or lapse experience than expected, are recognized in the current period as a reduction of the capitalized balances. All balances are reduced for actual experience in excess of expected experience with changes in future estimates recognized prospectively over the remaining expected grouped contract term. The impact of changes in projected assumptions and the impact of actual experience that is different from expectations impact the amortization of these intangible assets, which is reported within Depreciation and amortization for VOBA, DAC DSI and for COR, if the net COR balance is in a deferred gain position is reported within Life insurance premiums and other fees, and if the net COR balance is in a deferred loss position is reported within Other operating expenses in the Consolidated Statements of Earnings.</w:t>
      </w:r>
    </w:p>
    <w:p>
      <w:pPr>
        <w:spacing w:after="0" w:line="81" w:lineRule="exact"/>
        <w:rPr>
          <w:sz w:val="20"/>
          <w:szCs w:val="20"/>
          <w:color w:val="auto"/>
        </w:rPr>
      </w:pPr>
    </w:p>
    <w:p>
      <w:pPr>
        <w:jc w:val="both"/>
        <w:ind w:firstLine="353"/>
        <w:spacing w:after="0" w:line="254" w:lineRule="auto"/>
        <w:rPr>
          <w:sz w:val="20"/>
          <w:szCs w:val="20"/>
          <w:color w:val="auto"/>
        </w:rPr>
      </w:pPr>
      <w:r>
        <w:rPr>
          <w:rFonts w:ascii="Arial" w:cs="Arial" w:eastAsia="Arial" w:hAnsi="Arial"/>
          <w:sz w:val="20"/>
          <w:szCs w:val="20"/>
          <w:color w:val="auto"/>
        </w:rPr>
        <w:t>Some of our IUL policies require payment of fees or other policyholder assessments in advance for services that will be rendered over the estimated lives of the policies or contracts. These payments are established as URL upon receipt and included in Accounts payable and other accrued liabilities in the Consolidated Balance Sheets. URL is amortized like DAC over the estimated lives of these policies.</w:t>
      </w:r>
    </w:p>
    <w:p>
      <w:pPr>
        <w:spacing w:after="0" w:line="7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Other Intangible Assets</w:t>
      </w:r>
    </w:p>
    <w:p>
      <w:pPr>
        <w:spacing w:after="0" w:line="110" w:lineRule="exact"/>
        <w:rPr>
          <w:sz w:val="20"/>
          <w:szCs w:val="20"/>
          <w:color w:val="auto"/>
        </w:rPr>
      </w:pPr>
    </w:p>
    <w:p>
      <w:pPr>
        <w:jc w:val="both"/>
        <w:ind w:firstLine="353"/>
        <w:spacing w:after="0" w:line="296" w:lineRule="auto"/>
        <w:rPr>
          <w:sz w:val="20"/>
          <w:szCs w:val="20"/>
          <w:color w:val="auto"/>
        </w:rPr>
      </w:pPr>
      <w:r>
        <w:rPr>
          <w:rFonts w:ascii="Arial" w:cs="Arial" w:eastAsia="Arial" w:hAnsi="Arial"/>
          <w:sz w:val="17"/>
          <w:szCs w:val="17"/>
          <w:color w:val="auto"/>
        </w:rPr>
        <w:t>We have other intangible assets, not including goodwill, VOBA, DAC or DSI, which consist primarily of customer relationships and contracts, the value of distribution network acquired ("VODA"), trademarks and tradenames, state licenses, and computer software, which are generally recorded in connection with business combinations at their fair value. Intangible assets with estimable lives are amortized over their respective estimated useful lives to their estimated residual values and reviewed for impairment whenever events or changes in circumstances indicate that the carrying amount may not be recoverable. In general, customer relationships are amortized over their estimated useful lives using an accelerated method, which takes into consideration expected customer attrition rates. VODA is an intangible asset that represents the value of an acquired distribution network and is amortized using the sum of years digits method. Contractual relationships are generally amortized over their contractual life. Trademarks and tradenames are generally amortized over ten years. Capitalized computer software includes the fair value of software acquired in business combinations, purchased software and capitalized software</w:t>
      </w:r>
    </w:p>
    <w:p>
      <w:pPr>
        <w:sectPr>
          <w:pgSz w:w="11880" w:h="15480" w:orient="portrait"/>
          <w:cols w:equalWidth="0" w:num="1">
            <w:col w:w="10040"/>
          </w:cols>
          <w:pgMar w:left="920" w:top="765" w:right="920" w:bottom="0" w:gutter="0" w:footer="0" w:header="0"/>
        </w:sect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114</w:t>
      </w:r>
    </w:p>
    <w:p>
      <w:pPr>
        <w:sectPr>
          <w:pgSz w:w="11880" w:h="15480" w:orient="portrait"/>
          <w:cols w:equalWidth="0" w:num="1">
            <w:col w:w="10040"/>
          </w:cols>
          <w:pgMar w:left="920" w:top="765" w:right="920" w:bottom="0" w:gutter="0" w:footer="0" w:header="0"/>
          <w:type w:val="continuous"/>
        </w:sectPr>
      </w:pPr>
    </w:p>
    <w:bookmarkStart w:id="126" w:name="page127"/>
    <w:bookmarkEnd w:id="126"/>
    <w:p>
      <w:pPr>
        <w:jc w:val="both"/>
        <w:spacing w:after="0" w:line="303" w:lineRule="auto"/>
        <w:rPr>
          <w:sz w:val="20"/>
          <w:szCs w:val="20"/>
          <w:color w:val="auto"/>
        </w:rPr>
      </w:pPr>
      <w:r>
        <w:rPr>
          <w:rFonts w:ascii="Arial" w:cs="Arial" w:eastAsia="Arial" w:hAnsi="Arial"/>
          <w:sz w:val="17"/>
          <w:szCs w:val="17"/>
          <w:color w:val="auto"/>
        </w:rPr>
        <w:t>development costs. Purchased software is recorded at cost and amortized using the straight-line method over its estimated useful life. Software acquired in business combinations is recorded at its fair value and amortized using straight-line or accelerated methods over its estimated useful life. For internal-use computer software products, internal and external costs incurred during the preliminary project stage are expensed as they are incurred. Internal and external costs incurred during the application development stage are capitalized and amortized on a product-by-product basis commencing on the date the software is ready for its intended use. We do not capitalize any costs once the software is ready for its intended use.</w:t>
      </w:r>
    </w:p>
    <w:p>
      <w:pPr>
        <w:spacing w:after="0" w:line="28" w:lineRule="exact"/>
        <w:rPr>
          <w:sz w:val="20"/>
          <w:szCs w:val="20"/>
          <w:color w:val="auto"/>
        </w:rPr>
      </w:pPr>
    </w:p>
    <w:p>
      <w:pPr>
        <w:jc w:val="both"/>
        <w:ind w:firstLine="353"/>
        <w:spacing w:after="0" w:line="258" w:lineRule="auto"/>
        <w:rPr>
          <w:sz w:val="20"/>
          <w:szCs w:val="20"/>
          <w:color w:val="auto"/>
        </w:rPr>
      </w:pPr>
      <w:r>
        <w:rPr>
          <w:rFonts w:ascii="Arial" w:cs="Arial" w:eastAsia="Arial" w:hAnsi="Arial"/>
          <w:sz w:val="20"/>
          <w:szCs w:val="20"/>
          <w:color w:val="auto"/>
        </w:rPr>
        <w:t xml:space="preserve">We review VOBA, DSI and other intangible assets for impairment annually or when events or circumstances occur that indicate a potential change in the underlying basis. For further information, refer to Note L </w:t>
      </w:r>
      <w:r>
        <w:rPr>
          <w:rFonts w:ascii="Arial" w:cs="Arial" w:eastAsia="Arial" w:hAnsi="Arial"/>
          <w:sz w:val="20"/>
          <w:szCs w:val="20"/>
          <w:b w:val="1"/>
          <w:bCs w:val="1"/>
          <w:i w:val="1"/>
          <w:iCs w:val="1"/>
          <w:color w:val="auto"/>
        </w:rPr>
        <w:t>Intangibles</w:t>
      </w:r>
      <w:r>
        <w:rPr>
          <w:rFonts w:ascii="Arial" w:cs="Arial" w:eastAsia="Arial" w:hAnsi="Arial"/>
          <w:sz w:val="20"/>
          <w:szCs w:val="20"/>
          <w:color w:val="auto"/>
        </w:rPr>
        <w:t xml:space="preserve"> for details of impairment expense.</w:t>
      </w:r>
    </w:p>
    <w:p>
      <w:pPr>
        <w:spacing w:after="0" w:line="7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Title Plants</w:t>
      </w:r>
    </w:p>
    <w:p>
      <w:pPr>
        <w:spacing w:after="0" w:line="130" w:lineRule="exact"/>
        <w:rPr>
          <w:sz w:val="20"/>
          <w:szCs w:val="20"/>
          <w:color w:val="auto"/>
        </w:rPr>
      </w:pPr>
    </w:p>
    <w:p>
      <w:pPr>
        <w:jc w:val="both"/>
        <w:ind w:firstLine="353"/>
        <w:spacing w:after="0" w:line="297" w:lineRule="auto"/>
        <w:rPr>
          <w:sz w:val="20"/>
          <w:szCs w:val="20"/>
          <w:color w:val="auto"/>
        </w:rPr>
      </w:pPr>
      <w:r>
        <w:rPr>
          <w:rFonts w:ascii="Arial" w:cs="Arial" w:eastAsia="Arial" w:hAnsi="Arial"/>
          <w:sz w:val="17"/>
          <w:szCs w:val="17"/>
          <w:color w:val="auto"/>
        </w:rPr>
        <w:t>Title plants are recorded at the cost incurred to construct or obtain and organize historical title information to the point it can be used to perform title searches. Costs incurred to maintain, update and operate title plants are expensed as incurred. Title plants are not amortized as they are considered to have an indefinite life, if maintained. Sales of title plants are reported at the amount received net of the adjusted costs of the title plant sold. Sales of title plant copies are reported at the amount received. No cost is allocated to the sale of copies of title plants unless the carrying value of the title plant is diminished or impaired. Title plants are reviewed for impairment whenever events or circumstances indicate that the carrying amounts may not be recoverable. We reviewed title plants for impairment for the years ended December 31, 2025, 2024, and 2023 and did not record any impairment expense in the years ended December 31, 2025 and 2023. We recorded $2 million of impairment expense related to title plants in the year ended December 31, 2024.</w:t>
      </w:r>
    </w:p>
    <w:p>
      <w:pPr>
        <w:spacing w:after="0" w:line="5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Property and Equipment</w:t>
      </w:r>
    </w:p>
    <w:p>
      <w:pPr>
        <w:spacing w:after="0" w:line="130" w:lineRule="exact"/>
        <w:rPr>
          <w:sz w:val="20"/>
          <w:szCs w:val="20"/>
          <w:color w:val="auto"/>
        </w:rPr>
      </w:pPr>
    </w:p>
    <w:p>
      <w:pPr>
        <w:jc w:val="both"/>
        <w:ind w:firstLine="353"/>
        <w:spacing w:after="0" w:line="303" w:lineRule="auto"/>
        <w:rPr>
          <w:sz w:val="20"/>
          <w:szCs w:val="20"/>
          <w:color w:val="auto"/>
        </w:rPr>
      </w:pPr>
      <w:r>
        <w:rPr>
          <w:rFonts w:ascii="Arial" w:cs="Arial" w:eastAsia="Arial" w:hAnsi="Arial"/>
          <w:sz w:val="17"/>
          <w:szCs w:val="17"/>
          <w:color w:val="auto"/>
        </w:rPr>
        <w:t>Property and equipment are recorded at cost, less accumulated depreciation. Depreciation is computed primarily using the straight-line method based on the estimated useful lives of the related assets: twenty to thirty years for buildings and three to twenty-five years for furniture, fixtures and equipment. Leasehold improvements are amortized on a straight-line basis over the lesser of the term of the applicable lease or the estimated useful lives of such assets. Property and equipment are reviewed for impairment whenever events or circumstances indicate that the carrying amounts may not be recoverable. We did not record any impairment expense related to property and equipment in the years ended December 31, 2025, 2024, and 2023.</w:t>
      </w:r>
    </w:p>
    <w:p>
      <w:pPr>
        <w:spacing w:after="0" w:line="4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Contractholder Funds</w:t>
      </w:r>
    </w:p>
    <w:p>
      <w:pPr>
        <w:spacing w:after="0" w:line="130" w:lineRule="exact"/>
        <w:rPr>
          <w:sz w:val="20"/>
          <w:szCs w:val="20"/>
          <w:color w:val="auto"/>
        </w:rPr>
      </w:pPr>
    </w:p>
    <w:p>
      <w:pPr>
        <w:jc w:val="both"/>
        <w:ind w:firstLine="353"/>
        <w:spacing w:after="0" w:line="299" w:lineRule="auto"/>
        <w:rPr>
          <w:sz w:val="20"/>
          <w:szCs w:val="20"/>
          <w:color w:val="auto"/>
        </w:rPr>
      </w:pPr>
      <w:r>
        <w:rPr>
          <w:rFonts w:ascii="Arial" w:cs="Arial" w:eastAsia="Arial" w:hAnsi="Arial"/>
          <w:sz w:val="17"/>
          <w:szCs w:val="17"/>
          <w:color w:val="auto"/>
        </w:rPr>
        <w:t xml:space="preserve">Contractholder funds include deferred annuities (indexed annuities and fixed rate annuities), IULs, funding agreements and non-life contingent ("NLC") immediate annuities (which includes NLC pension risk transfer ("PRT") annuities). The liabilities for contractholder funds for fixed rate annuities, funding agreements and NLC immediate annuities consist of contract account balances that accrue to the benefit of the contractholders. The liabilities for indexed annuities and IUL policies consist of the value of the host contract plus the fair value of the indexed crediting feature of the policy, which is accounted for as an embedded derivative. The embedded derivative liability is carried at fair value in Contractholder funds in the Consolidated Balance Sheets with changes in fair value reported in Benefits and other changes in policy reserves in the Consolidated Statements of Earnings. See a description of the fair value methodology used in Note C </w:t>
      </w:r>
      <w:r>
        <w:rPr>
          <w:rFonts w:ascii="Arial" w:cs="Arial" w:eastAsia="Arial" w:hAnsi="Arial"/>
          <w:sz w:val="17"/>
          <w:szCs w:val="17"/>
          <w:b w:val="1"/>
          <w:bCs w:val="1"/>
          <w:i w:val="1"/>
          <w:iCs w:val="1"/>
          <w:color w:val="auto"/>
        </w:rPr>
        <w:t>Fair Value of Financial Instruments</w:t>
      </w:r>
      <w:r>
        <w:rPr>
          <w:rFonts w:ascii="Arial" w:cs="Arial" w:eastAsia="Arial" w:hAnsi="Arial"/>
          <w:sz w:val="17"/>
          <w:szCs w:val="17"/>
          <w:color w:val="auto"/>
        </w:rPr>
        <w:t>.</w:t>
      </w:r>
    </w:p>
    <w:p>
      <w:pPr>
        <w:spacing w:after="0" w:line="5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Future Policy Benefits</w:t>
      </w:r>
    </w:p>
    <w:p>
      <w:pPr>
        <w:spacing w:after="0" w:line="120" w:lineRule="exact"/>
        <w:rPr>
          <w:sz w:val="20"/>
          <w:szCs w:val="20"/>
          <w:color w:val="auto"/>
        </w:rPr>
      </w:pPr>
    </w:p>
    <w:p>
      <w:pPr>
        <w:jc w:val="both"/>
        <w:ind w:firstLine="353"/>
        <w:spacing w:after="0" w:line="263" w:lineRule="auto"/>
        <w:rPr>
          <w:sz w:val="20"/>
          <w:szCs w:val="20"/>
          <w:color w:val="auto"/>
        </w:rPr>
      </w:pPr>
      <w:r>
        <w:rPr>
          <w:rFonts w:ascii="Arial" w:cs="Arial" w:eastAsia="Arial" w:hAnsi="Arial"/>
          <w:sz w:val="19"/>
          <w:szCs w:val="19"/>
          <w:color w:val="auto"/>
        </w:rPr>
        <w:t>The FPB are determined as the present value of future policy benefits and related claims expenses to be paid to or on behalf of the policyholder less the present value of future net premiums to be collected from policyholders. The FPB for traditional life policies and life-contingent immediate annuity policies (which includes life-contingent PRT annuities) are estimated using current assumptions that include discount rate, mortality and surrender/lapse terminations for traditional life insurance policies only, and expenses. The expense assumption is locked-in at contract issuance and not subsequently reviewed or updated. The initial assumptions are based on generally accepted actuarial methods and a combination of internal and industry experience. Policies are terminated through surrenders, lapses and maturities, where surrenders represent the voluntary terminations of policies by policyholders, lapses represent cancellations by us due to nonpayment of premiums, and maturities are determined by policy contract terms.</w:t>
      </w:r>
    </w:p>
    <w:p>
      <w:pPr>
        <w:spacing w:after="0" w:line="80" w:lineRule="exact"/>
        <w:rPr>
          <w:sz w:val="20"/>
          <w:szCs w:val="20"/>
          <w:color w:val="auto"/>
        </w:rPr>
      </w:pPr>
    </w:p>
    <w:p>
      <w:pPr>
        <w:jc w:val="both"/>
        <w:ind w:firstLine="353"/>
        <w:spacing w:after="0" w:line="250" w:lineRule="auto"/>
        <w:rPr>
          <w:sz w:val="20"/>
          <w:szCs w:val="20"/>
          <w:color w:val="auto"/>
        </w:rPr>
      </w:pPr>
      <w:r>
        <w:rPr>
          <w:rFonts w:ascii="Arial" w:cs="Arial" w:eastAsia="Arial" w:hAnsi="Arial"/>
          <w:sz w:val="20"/>
          <w:szCs w:val="20"/>
          <w:color w:val="auto"/>
        </w:rPr>
        <w:t>For traditional life policies and life-contingent immediate annuity policies, contracts are grouped into cohorts by product type, legal entity, and issue year, or acquisition year for cohorts established as of the F&amp;G acquisition date, June 1, 2020. Life-contingent PRT annuities are grouped into cohorts by deal and legal entity. At contract inception, a net premium ratio ("NPR") is determined, which is calculated based on discounted future cash flows projected using best estimate assumptions and is capped at 100%, as net premiums cannot exceed gross premiums. Cohorts with NPRs less than 100% are not used to offset cohorts with NPRs greater than 100%.</w:t>
      </w:r>
    </w:p>
    <w:p>
      <w:pPr>
        <w:sectPr>
          <w:pgSz w:w="11880" w:h="15480" w:orient="portrait"/>
          <w:cols w:equalWidth="0" w:num="1">
            <w:col w:w="10040"/>
          </w:cols>
          <w:pgMar w:left="920" w:top="772"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115</w:t>
      </w:r>
    </w:p>
    <w:p>
      <w:pPr>
        <w:sectPr>
          <w:pgSz w:w="11880" w:h="15480" w:orient="portrait"/>
          <w:cols w:equalWidth="0" w:num="1">
            <w:col w:w="10040"/>
          </w:cols>
          <w:pgMar w:left="920" w:top="772" w:right="920" w:bottom="0" w:gutter="0" w:footer="0" w:header="0"/>
          <w:type w:val="continuous"/>
        </w:sectPr>
      </w:pPr>
    </w:p>
    <w:bookmarkStart w:id="127" w:name="page128"/>
    <w:bookmarkEnd w:id="127"/>
    <w:p>
      <w:pPr>
        <w:jc w:val="both"/>
        <w:ind w:firstLine="353"/>
        <w:spacing w:after="0" w:line="294" w:lineRule="auto"/>
        <w:rPr>
          <w:sz w:val="20"/>
          <w:szCs w:val="20"/>
          <w:color w:val="auto"/>
        </w:rPr>
      </w:pPr>
      <w:r>
        <w:rPr>
          <w:rFonts w:ascii="Arial" w:cs="Arial" w:eastAsia="Arial" w:hAnsi="Arial"/>
          <w:sz w:val="17"/>
          <w:szCs w:val="17"/>
          <w:color w:val="auto"/>
        </w:rPr>
        <w:t>The NPR is adjusted for changes in cash flow assumptions and for differences between actual and expected experience. We assess the appropriateness of all future cash flow assumptions, excluding the expense assumption, on a quarterly basis and perform an in-depth review of future cash flow assumptions in the third quarter of each year. Updates are made when evidence suggests a revision is necessary. Updates for actual experience, which includes actual cash flows and insurance in-force, are performed on a quarterly basis. These updated cash flows are used to calculate a revised NPR, which is used to derive an updated liability as of the beginning of the current reporting period, discounted at the original contract issuance date. The updated liability is compared with the carrying amount of the liability as of that same date before the revised NPR. The difference between these amounts is the remeasurement gain or loss, presented parenthetically within Benefits and other changes in policy reserves in the Consolidated Statements of Earnings. In subsequent periods, the revised NPR is used to measure the FPB, subject to future revisions. If the NPR is greater than 100%, and therefore capped at 100%, the liability is increased and expensed immediately to reflect the amount necessary for net premiums to equal gross premiums. As the liability assumptions are reviewed and updated, if deemed necessary, at least annually, if conditions improve whereby the contracts are no longer expected to have net premiums in excess of gross premiums, the improvements would be captured in the remeasurement process and reflected in the Consolidated Statements of Earnings in the period of improvement.</w:t>
      </w:r>
    </w:p>
    <w:p>
      <w:pPr>
        <w:spacing w:after="0" w:line="58" w:lineRule="exact"/>
        <w:rPr>
          <w:sz w:val="20"/>
          <w:szCs w:val="20"/>
          <w:color w:val="auto"/>
        </w:rPr>
      </w:pPr>
    </w:p>
    <w:p>
      <w:pPr>
        <w:jc w:val="both"/>
        <w:ind w:firstLine="353"/>
        <w:spacing w:after="0" w:line="264" w:lineRule="auto"/>
        <w:rPr>
          <w:sz w:val="20"/>
          <w:szCs w:val="20"/>
          <w:color w:val="auto"/>
        </w:rPr>
      </w:pPr>
      <w:r>
        <w:rPr>
          <w:rFonts w:ascii="Arial" w:cs="Arial" w:eastAsia="Arial" w:hAnsi="Arial"/>
          <w:sz w:val="19"/>
          <w:szCs w:val="19"/>
          <w:color w:val="auto"/>
        </w:rPr>
        <w:t>For traditional life policies and life-contingent immediate annuity policies (which includes life-contingent PRT annuities), the discount rate assumption is an equivalent single rate that is derived based on A-credit-rated fixed-income instruments with similar duration to the liability. We selected fixed-income instruments that have been A-rated by Bloomberg. In order to reflect the duration characteristics of the liability, we will use an implied forward yield curve and linear interpolation will be used for durations that have limited or no market observable points on the curve. The discount rate assumption is updated quarterly and used to remeasure the liability at the reporting date, with the resulting change reflected in the accompanying Consolidated Statements of Comprehensive Earnings.</w:t>
      </w:r>
    </w:p>
    <w:p>
      <w:pPr>
        <w:spacing w:after="0" w:line="7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Deferred Profit Liability</w:t>
      </w:r>
    </w:p>
    <w:p>
      <w:pPr>
        <w:spacing w:after="0" w:line="130" w:lineRule="exact"/>
        <w:rPr>
          <w:sz w:val="20"/>
          <w:szCs w:val="20"/>
          <w:color w:val="auto"/>
        </w:rPr>
      </w:pPr>
    </w:p>
    <w:p>
      <w:pPr>
        <w:jc w:val="both"/>
        <w:ind w:firstLine="353"/>
        <w:spacing w:after="0" w:line="258" w:lineRule="auto"/>
        <w:rPr>
          <w:sz w:val="20"/>
          <w:szCs w:val="20"/>
          <w:color w:val="auto"/>
        </w:rPr>
      </w:pPr>
      <w:r>
        <w:rPr>
          <w:rFonts w:ascii="Arial" w:cs="Arial" w:eastAsia="Arial" w:hAnsi="Arial"/>
          <w:sz w:val="20"/>
          <w:szCs w:val="20"/>
          <w:color w:val="auto"/>
        </w:rPr>
        <w:t>For life-contingent immediate annuity policies, gross premiums received in excess of net premiums are deferred at initial recognition as a DPL. Premiums are measured using assumptions consistent with those used in the measurement of the related liability for FPBs, including discount rate, mortality, and expenses.</w:t>
      </w:r>
    </w:p>
    <w:p>
      <w:pPr>
        <w:spacing w:after="0" w:line="82" w:lineRule="exact"/>
        <w:rPr>
          <w:sz w:val="20"/>
          <w:szCs w:val="20"/>
          <w:color w:val="auto"/>
        </w:rPr>
      </w:pPr>
    </w:p>
    <w:p>
      <w:pPr>
        <w:jc w:val="both"/>
        <w:ind w:firstLine="353"/>
        <w:spacing w:after="0" w:line="297" w:lineRule="auto"/>
        <w:rPr>
          <w:sz w:val="20"/>
          <w:szCs w:val="20"/>
          <w:color w:val="auto"/>
        </w:rPr>
      </w:pPr>
      <w:r>
        <w:rPr>
          <w:rFonts w:ascii="Arial" w:cs="Arial" w:eastAsia="Arial" w:hAnsi="Arial"/>
          <w:sz w:val="17"/>
          <w:szCs w:val="17"/>
          <w:color w:val="auto"/>
        </w:rPr>
        <w:t>The DPL is amortized and recognized as premium revenue with the amount of expected future benefit payments, discounted using the same discount rate determined and locked-in at contract issuance that is used in the measurement of the related FPB. Interest is accreted on the balance of the DPL using this same discount rate. We periodically review and update our estimates using the actual historical experience and updated cash flows for the DPL at the same time as the estimates of cash flows for the FPB. When cash flows are updated, the updated estimates are used to recalculate the initial DPL at contract issuance. The recalculated DPL as of the beginning of the current reporting period is compared to the carrying amount of the DPL as of the beginning of the current reporting period, with any differences recognized as a remeasurement gain or loss, presented parenthetically within Benefits and other changes in policy reserves in the Consolidated Statements of Earnings. The DPL is recorded as a component of the Future policy benefits in the Consolidated Balance Sheets.</w:t>
      </w:r>
    </w:p>
    <w:p>
      <w:pPr>
        <w:spacing w:after="0" w:line="5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Market Risk Benefits ("MRBs")</w:t>
      </w:r>
    </w:p>
    <w:p>
      <w:pPr>
        <w:spacing w:after="0" w:line="130" w:lineRule="exact"/>
        <w:rPr>
          <w:sz w:val="20"/>
          <w:szCs w:val="20"/>
          <w:color w:val="auto"/>
        </w:rPr>
      </w:pPr>
    </w:p>
    <w:p>
      <w:pPr>
        <w:jc w:val="both"/>
        <w:ind w:firstLine="353"/>
        <w:spacing w:after="0" w:line="250" w:lineRule="auto"/>
        <w:rPr>
          <w:sz w:val="20"/>
          <w:szCs w:val="20"/>
          <w:color w:val="auto"/>
        </w:rPr>
      </w:pPr>
      <w:r>
        <w:rPr>
          <w:rFonts w:ascii="Arial" w:cs="Arial" w:eastAsia="Arial" w:hAnsi="Arial"/>
          <w:sz w:val="20"/>
          <w:szCs w:val="20"/>
          <w:color w:val="auto"/>
        </w:rPr>
        <w:t>MRBs are contracts or contract features that both provide protection to the contract holder from other-than-nominal capital market risk (equity, interest rate and foreign exchange risk) and expose the Company to other-than-nominal capital market risk. MRBs include certain contract features primarily on indexed annuities products that provide minimum guarantees to policyholders, such as guaranteed minimum death benefit ("GMDB"), guaranteed minimum withdrawal benefit ("GMWB") riders and guaranteed minimum accumulation benefit ("GMAB") riders. In certain reinsurance transactions, the underlying risks ceded to a reinsurer contain MRBs.</w:t>
      </w:r>
    </w:p>
    <w:p>
      <w:pPr>
        <w:spacing w:after="0" w:line="91" w:lineRule="exact"/>
        <w:rPr>
          <w:sz w:val="20"/>
          <w:szCs w:val="20"/>
          <w:color w:val="auto"/>
        </w:rPr>
      </w:pPr>
    </w:p>
    <w:p>
      <w:pPr>
        <w:jc w:val="both"/>
        <w:ind w:firstLine="353"/>
        <w:spacing w:after="0" w:line="299" w:lineRule="auto"/>
        <w:rPr>
          <w:sz w:val="20"/>
          <w:szCs w:val="20"/>
          <w:color w:val="auto"/>
        </w:rPr>
      </w:pPr>
      <w:r>
        <w:rPr>
          <w:rFonts w:ascii="Arial" w:cs="Arial" w:eastAsia="Arial" w:hAnsi="Arial"/>
          <w:sz w:val="17"/>
          <w:szCs w:val="17"/>
          <w:color w:val="auto"/>
        </w:rPr>
        <w:t>MRBs (inclusive of reinsured MRBs) are measured at fair value using an attributed fee measurement approach where attributed fees are explicit rider charges collectible from the policyholder (or paid to the reinsurer) used to cover the excess benefits, which represent expected benefits in excess of the policyholder’s account value. At contract inception, an attributed fee ratio is calculated equal to rider charges over benefits paid in excess of the account value attributable to the MRBs. The attributed fee ratio remains static over the life of the MRBs and is capped at 100%. Each period subsequent to contract inception, the attributed fee ratio is used to calculate the fair value of the MRBs using a risk neutral valuation method and is based on current net amounts at risk, market data, internal and industry experience, and other factors. The balances are computed using assumptions including mortality, full and partial surrender, GMWB utilization, risk-free rates including non-performance spread and risk margin, market value of options and economic scenarios. Policyholder behavior assumptions are reviewed at least annually, typically in the third quarter, for any revisions. Reinsured MRBs are valued using a methodology consistent with direct MRBs, with the exception of the non-performance spread which reflects the credit of the reinsurer. MRBs can either be in an asset or liability position and are presented separately on the Consolidated Balance Sheets as the right of setoff criteria are not met. Changes in fair value, net, are recognized in Market risk benefit (gains) losses in the Consolidated</w:t>
      </w:r>
    </w:p>
    <w:p>
      <w:pPr>
        <w:sectPr>
          <w:pgSz w:w="11880" w:h="15480" w:orient="portrait"/>
          <w:cols w:equalWidth="0" w:num="1">
            <w:col w:w="10040"/>
          </w:cols>
          <w:pgMar w:left="920" w:top="772" w:right="920" w:bottom="0" w:gutter="0" w:footer="0" w:header="0"/>
        </w:sect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116</w:t>
      </w:r>
    </w:p>
    <w:p>
      <w:pPr>
        <w:sectPr>
          <w:pgSz w:w="11880" w:h="15480" w:orient="portrait"/>
          <w:cols w:equalWidth="0" w:num="1">
            <w:col w:w="10040"/>
          </w:cols>
          <w:pgMar w:left="920" w:top="772" w:right="920" w:bottom="0" w:gutter="0" w:footer="0" w:header="0"/>
          <w:type w:val="continuous"/>
        </w:sectPr>
      </w:pPr>
    </w:p>
    <w:bookmarkStart w:id="128" w:name="page129"/>
    <w:bookmarkEnd w:id="128"/>
    <w:p>
      <w:pPr>
        <w:jc w:val="both"/>
        <w:spacing w:after="0" w:line="258" w:lineRule="auto"/>
        <w:rPr>
          <w:sz w:val="20"/>
          <w:szCs w:val="20"/>
          <w:color w:val="auto"/>
        </w:rPr>
      </w:pPr>
      <w:r>
        <w:rPr>
          <w:rFonts w:ascii="Arial" w:cs="Arial" w:eastAsia="Arial" w:hAnsi="Arial"/>
          <w:sz w:val="20"/>
          <w:szCs w:val="20"/>
          <w:color w:val="auto"/>
        </w:rPr>
        <w:t xml:space="preserve">Statements of Earnings, except for the change in fair value due to a change in the instrument-specific credit risk, which is recognized in the Consolidated Statements of Comprehensive Earnings. See descriptions of the fair value methodology used in Note C </w:t>
      </w:r>
      <w:r>
        <w:rPr>
          <w:rFonts w:ascii="Arial" w:cs="Arial" w:eastAsia="Arial" w:hAnsi="Arial"/>
          <w:sz w:val="20"/>
          <w:szCs w:val="20"/>
          <w:b w:val="1"/>
          <w:bCs w:val="1"/>
          <w:i w:val="1"/>
          <w:iCs w:val="1"/>
          <w:color w:val="auto"/>
        </w:rPr>
        <w:t>Fair Value of Financial Instruments</w:t>
      </w:r>
      <w:r>
        <w:rPr>
          <w:rFonts w:ascii="Arial" w:cs="Arial" w:eastAsia="Arial" w:hAnsi="Arial"/>
          <w:sz w:val="20"/>
          <w:szCs w:val="20"/>
          <w:color w:val="auto"/>
        </w:rPr>
        <w:t xml:space="preserve"> and Note W </w:t>
      </w:r>
      <w:r>
        <w:rPr>
          <w:rFonts w:ascii="Arial" w:cs="Arial" w:eastAsia="Arial" w:hAnsi="Arial"/>
          <w:sz w:val="20"/>
          <w:szCs w:val="20"/>
          <w:b w:val="1"/>
          <w:bCs w:val="1"/>
          <w:i w:val="1"/>
          <w:iCs w:val="1"/>
          <w:color w:val="auto"/>
        </w:rPr>
        <w:t>Market Risk Benefits</w:t>
      </w:r>
      <w:r>
        <w:rPr>
          <w:rFonts w:ascii="Arial" w:cs="Arial" w:eastAsia="Arial" w:hAnsi="Arial"/>
          <w:sz w:val="20"/>
          <w:szCs w:val="20"/>
          <w:color w:val="auto"/>
        </w:rPr>
        <w:t>.</w:t>
      </w:r>
    </w:p>
    <w:p>
      <w:pPr>
        <w:spacing w:after="0" w:line="7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Reserve for Title Claim Losses</w:t>
      </w:r>
    </w:p>
    <w:p>
      <w:pPr>
        <w:spacing w:after="0" w:line="130" w:lineRule="exact"/>
        <w:rPr>
          <w:sz w:val="20"/>
          <w:szCs w:val="20"/>
          <w:color w:val="auto"/>
        </w:rPr>
      </w:pPr>
    </w:p>
    <w:p>
      <w:pPr>
        <w:jc w:val="both"/>
        <w:ind w:firstLine="353"/>
        <w:spacing w:after="0" w:line="268" w:lineRule="auto"/>
        <w:rPr>
          <w:sz w:val="20"/>
          <w:szCs w:val="20"/>
          <w:color w:val="auto"/>
        </w:rPr>
      </w:pPr>
      <w:r>
        <w:rPr>
          <w:rFonts w:ascii="Arial" w:cs="Arial" w:eastAsia="Arial" w:hAnsi="Arial"/>
          <w:sz w:val="19"/>
          <w:szCs w:val="19"/>
          <w:color w:val="auto"/>
        </w:rPr>
        <w:t>Our reserve for title claim losses includes known claims as well as losses we expect to incur, net of recoupments. Each known claim is reserved based on our review as to the estimated amount of the claim and the costs required to settle the claim. Reserves for claims, which are incurred but not reported are established at the time premium revenue is recognized based on historical loss experience and also take into consideration other factors, including industry trends, claim loss history, current legal environment, geographic considerations, and the type of policy written.</w:t>
      </w:r>
    </w:p>
    <w:p>
      <w:pPr>
        <w:spacing w:after="0" w:line="74" w:lineRule="exact"/>
        <w:rPr>
          <w:sz w:val="20"/>
          <w:szCs w:val="20"/>
          <w:color w:val="auto"/>
        </w:rPr>
      </w:pPr>
    </w:p>
    <w:p>
      <w:pPr>
        <w:jc w:val="both"/>
        <w:ind w:firstLine="353"/>
        <w:spacing w:after="0" w:line="271" w:lineRule="auto"/>
        <w:rPr>
          <w:sz w:val="20"/>
          <w:szCs w:val="20"/>
          <w:color w:val="auto"/>
        </w:rPr>
      </w:pPr>
      <w:r>
        <w:rPr>
          <w:rFonts w:ascii="Arial" w:cs="Arial" w:eastAsia="Arial" w:hAnsi="Arial"/>
          <w:sz w:val="20"/>
          <w:szCs w:val="20"/>
          <w:color w:val="auto"/>
        </w:rPr>
        <w:t>The reserve for title claim losses also includes reserves for losses arising from closing and disbursement functions due to fraud or operational error.</w:t>
      </w:r>
    </w:p>
    <w:p>
      <w:pPr>
        <w:spacing w:after="0" w:line="69" w:lineRule="exact"/>
        <w:rPr>
          <w:sz w:val="20"/>
          <w:szCs w:val="20"/>
          <w:color w:val="auto"/>
        </w:rPr>
      </w:pPr>
    </w:p>
    <w:p>
      <w:pPr>
        <w:jc w:val="both"/>
        <w:ind w:firstLine="353"/>
        <w:spacing w:after="0" w:line="258" w:lineRule="auto"/>
        <w:rPr>
          <w:sz w:val="20"/>
          <w:szCs w:val="20"/>
          <w:color w:val="auto"/>
        </w:rPr>
      </w:pPr>
      <w:r>
        <w:rPr>
          <w:rFonts w:ascii="Arial" w:cs="Arial" w:eastAsia="Arial" w:hAnsi="Arial"/>
          <w:sz w:val="20"/>
          <w:szCs w:val="20"/>
          <w:color w:val="auto"/>
        </w:rPr>
        <w:t>If a loss is related to a policy issued by an independent agent, we may proceed against the independent agent pursuant to the terms of the agency agreement. In any event, we may proceed against third parties who are responsible for any loss under the title insurance policy under rights of subrogation.</w:t>
      </w:r>
    </w:p>
    <w:p>
      <w:pPr>
        <w:spacing w:after="0" w:line="4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Secured Trust Deposits</w:t>
      </w:r>
    </w:p>
    <w:p>
      <w:pPr>
        <w:spacing w:after="0" w:line="130" w:lineRule="exact"/>
        <w:rPr>
          <w:sz w:val="20"/>
          <w:szCs w:val="20"/>
          <w:color w:val="auto"/>
        </w:rPr>
      </w:pPr>
    </w:p>
    <w:p>
      <w:pPr>
        <w:jc w:val="both"/>
        <w:ind w:firstLine="353"/>
        <w:spacing w:after="0" w:line="312" w:lineRule="auto"/>
        <w:rPr>
          <w:sz w:val="20"/>
          <w:szCs w:val="20"/>
          <w:color w:val="auto"/>
        </w:rPr>
      </w:pPr>
      <w:r>
        <w:rPr>
          <w:rFonts w:ascii="Arial" w:cs="Arial" w:eastAsia="Arial" w:hAnsi="Arial"/>
          <w:sz w:val="17"/>
          <w:szCs w:val="17"/>
          <w:color w:val="auto"/>
        </w:rPr>
        <w:t>In the state of Illinois, a trust company is permitted to commingle and invest customers’ assets with its own assets, pending completion of real estate transactions. Accordingly, our Consolidated Balance Sheets reflect a secured trust deposit liability of $731 million and $551 million at December 31, 2025 and 2024, respectively, representing customers’ assets held by us and corresponding assets including cash and investments pledged as security for those trust balances.</w:t>
      </w:r>
    </w:p>
    <w:p>
      <w:pPr>
        <w:spacing w:after="0" w:line="3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Income Taxes</w:t>
      </w:r>
    </w:p>
    <w:p>
      <w:pPr>
        <w:spacing w:after="0" w:line="130" w:lineRule="exact"/>
        <w:rPr>
          <w:sz w:val="20"/>
          <w:szCs w:val="20"/>
          <w:color w:val="auto"/>
        </w:rPr>
      </w:pPr>
    </w:p>
    <w:p>
      <w:pPr>
        <w:jc w:val="both"/>
        <w:ind w:firstLine="353"/>
        <w:spacing w:after="0" w:line="250" w:lineRule="auto"/>
        <w:rPr>
          <w:sz w:val="20"/>
          <w:szCs w:val="20"/>
          <w:color w:val="auto"/>
        </w:rPr>
      </w:pPr>
      <w:r>
        <w:rPr>
          <w:rFonts w:ascii="Arial" w:cs="Arial" w:eastAsia="Arial" w:hAnsi="Arial"/>
          <w:sz w:val="20"/>
          <w:szCs w:val="20"/>
          <w:color w:val="auto"/>
        </w:rPr>
        <w:t>We recognize deferred tax assets and liabilities for temporary differences between the financial reporting basis and the tax basis of our assets and liabilities and expected benefits of utilizing net operating loss and credit carryforwards. Deferred tax assets and liabilities are measured using enacted tax rates expected to apply to taxable income in the years in which those temporary differences are expected to be recovered or settled. The impact on deferred taxes of changes in tax rates and laws, if any, is applied to the years during which temporary differences are expected to be settled and reflected in the financial statements in the period enacted.</w:t>
      </w:r>
    </w:p>
    <w:p>
      <w:pPr>
        <w:spacing w:after="0" w:line="8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Reinsurance</w:t>
      </w:r>
    </w:p>
    <w:p>
      <w:pPr>
        <w:spacing w:after="0" w:line="128" w:lineRule="exact"/>
        <w:rPr>
          <w:sz w:val="20"/>
          <w:szCs w:val="20"/>
          <w:color w:val="auto"/>
        </w:rPr>
      </w:pPr>
    </w:p>
    <w:p>
      <w:pPr>
        <w:ind w:left="340"/>
        <w:spacing w:after="0"/>
        <w:rPr>
          <w:sz w:val="20"/>
          <w:szCs w:val="20"/>
          <w:color w:val="auto"/>
        </w:rPr>
      </w:pPr>
      <w:r>
        <w:rPr>
          <w:rFonts w:ascii="Arial" w:cs="Arial" w:eastAsia="Arial" w:hAnsi="Arial"/>
          <w:sz w:val="20"/>
          <w:szCs w:val="20"/>
          <w:b w:val="1"/>
          <w:bCs w:val="1"/>
          <w:i w:val="1"/>
          <w:iCs w:val="1"/>
          <w:color w:val="auto"/>
        </w:rPr>
        <w:t>Title</w:t>
      </w:r>
    </w:p>
    <w:p>
      <w:pPr>
        <w:spacing w:after="0" w:line="125" w:lineRule="exact"/>
        <w:rPr>
          <w:sz w:val="20"/>
          <w:szCs w:val="20"/>
          <w:color w:val="auto"/>
        </w:rPr>
      </w:pPr>
    </w:p>
    <w:p>
      <w:pPr>
        <w:jc w:val="both"/>
        <w:ind w:firstLine="353"/>
        <w:spacing w:after="0" w:line="249" w:lineRule="auto"/>
        <w:rPr>
          <w:sz w:val="20"/>
          <w:szCs w:val="20"/>
          <w:color w:val="auto"/>
        </w:rPr>
      </w:pPr>
      <w:r>
        <w:rPr>
          <w:rFonts w:ascii="Arial" w:cs="Arial" w:eastAsia="Arial" w:hAnsi="Arial"/>
          <w:sz w:val="20"/>
          <w:szCs w:val="20"/>
          <w:color w:val="auto"/>
        </w:rPr>
        <w:t>In our Title segment, in a limited number of situations, we limit our maximum loss exposure by reinsuring certain risks with other title insurers. We also earn a small amount of additional income, which is reflected in our direct premiums, by assuming reinsurance for certain risks of other title insurers. We cede a portion of certain policy and other liabilities under agent fidelity, excess of loss and case-by-case reinsurance agreements. Reinsurance agreements provide that in the event of a loss (including costs, attorneys’ fees, and expenses) exceeding the retained amounts, the reinsurer is liable for the excess amount assumed. However, the ceding company remains primarily liable in the event the reinsurer does not meet its contractual obligations.</w:t>
      </w:r>
    </w:p>
    <w:p>
      <w:pPr>
        <w:spacing w:after="0" w:line="92" w:lineRule="exact"/>
        <w:rPr>
          <w:sz w:val="20"/>
          <w:szCs w:val="20"/>
          <w:color w:val="auto"/>
        </w:rPr>
      </w:pPr>
    </w:p>
    <w:p>
      <w:pPr>
        <w:ind w:left="340"/>
        <w:spacing w:after="0"/>
        <w:rPr>
          <w:sz w:val="20"/>
          <w:szCs w:val="20"/>
          <w:color w:val="auto"/>
        </w:rPr>
      </w:pPr>
      <w:r>
        <w:rPr>
          <w:rFonts w:ascii="Arial" w:cs="Arial" w:eastAsia="Arial" w:hAnsi="Arial"/>
          <w:sz w:val="20"/>
          <w:szCs w:val="20"/>
          <w:b w:val="1"/>
          <w:bCs w:val="1"/>
          <w:i w:val="1"/>
          <w:iCs w:val="1"/>
          <w:color w:val="auto"/>
        </w:rPr>
        <w:t>F&amp;G</w:t>
      </w:r>
    </w:p>
    <w:p>
      <w:pPr>
        <w:spacing w:after="0" w:line="125" w:lineRule="exact"/>
        <w:rPr>
          <w:sz w:val="20"/>
          <w:szCs w:val="20"/>
          <w:color w:val="auto"/>
        </w:rPr>
      </w:pPr>
    </w:p>
    <w:p>
      <w:pPr>
        <w:jc w:val="both"/>
        <w:ind w:firstLine="353"/>
        <w:spacing w:after="0" w:line="254" w:lineRule="auto"/>
        <w:rPr>
          <w:sz w:val="20"/>
          <w:szCs w:val="20"/>
          <w:color w:val="auto"/>
        </w:rPr>
      </w:pPr>
      <w:r>
        <w:rPr>
          <w:rFonts w:ascii="Arial" w:cs="Arial" w:eastAsia="Arial" w:hAnsi="Arial"/>
          <w:sz w:val="20"/>
          <w:szCs w:val="20"/>
          <w:color w:val="auto"/>
        </w:rPr>
        <w:t>In our F&amp;G segment, our insurance subsidiaries enter into reinsurance agreements with other companies in the normal course of business. In certain arrangements that are not accounted for as reinsurance, the right of offset may be applied resulting in all balances and activity associated with the agreement being presented on a net basis in the Consolidated Balance Sheets and Statements of Earnings, respectively.</w:t>
      </w:r>
    </w:p>
    <w:p>
      <w:pPr>
        <w:spacing w:after="0" w:line="85" w:lineRule="exact"/>
        <w:rPr>
          <w:sz w:val="20"/>
          <w:szCs w:val="20"/>
          <w:color w:val="auto"/>
        </w:rPr>
      </w:pPr>
    </w:p>
    <w:p>
      <w:pPr>
        <w:jc w:val="both"/>
        <w:ind w:firstLine="353"/>
        <w:spacing w:after="0" w:line="297" w:lineRule="auto"/>
        <w:rPr>
          <w:sz w:val="20"/>
          <w:szCs w:val="20"/>
          <w:color w:val="auto"/>
        </w:rPr>
      </w:pPr>
      <w:r>
        <w:rPr>
          <w:rFonts w:ascii="Arial" w:cs="Arial" w:eastAsia="Arial" w:hAnsi="Arial"/>
          <w:sz w:val="17"/>
          <w:szCs w:val="17"/>
          <w:color w:val="auto"/>
        </w:rPr>
        <w:t>When the right of offset is not applied, the arrangement is reflected on a gross basis in the Consolidated Balance Sheets and Statements of Earnings. This results in the recognition of a Reinsurance recoverable for amounts due from the reinsurer. For arrangements accounted for as reinsurance, the Reinsurance recoverable balance reflects the reserve balance of the policies ceded. For arrangements not accounted for as reinsurance, deposit accounting is applied. As a result, the deposit asset presented as a Reinsurance recoverable on the Consolidated Balance Sheets, is based on the actual and expected cash flows due from the reinsurer where the interest method is used to accrete the deposit asset using an effective yield based on changes in actual and expected cash flows. For coinsurance of FIA and IUL policies, the Reinsurance recoverable will incorporate the fair value of the indexed crediting feature, which is accounted for as an embedded derivative. Changes in the Reinsurance recoverable balance are reported as Benefits and other changes in policy reserves in the Consolidated Statements of Earnings.</w:t>
      </w:r>
    </w:p>
    <w:p>
      <w:pPr>
        <w:sectPr>
          <w:pgSz w:w="11880" w:h="15480" w:orient="portrait"/>
          <w:cols w:equalWidth="0" w:num="1">
            <w:col w:w="10040"/>
          </w:cols>
          <w:pgMar w:left="920" w:top="772"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117</w:t>
      </w:r>
    </w:p>
    <w:p>
      <w:pPr>
        <w:sectPr>
          <w:pgSz w:w="11880" w:h="15480" w:orient="portrait"/>
          <w:cols w:equalWidth="0" w:num="1">
            <w:col w:w="10040"/>
          </w:cols>
          <w:pgMar w:left="920" w:top="772" w:right="920" w:bottom="0" w:gutter="0" w:footer="0" w:header="0"/>
          <w:type w:val="continuous"/>
        </w:sectPr>
      </w:pPr>
    </w:p>
    <w:bookmarkStart w:id="129" w:name="page130"/>
    <w:bookmarkEnd w:id="129"/>
    <w:p>
      <w:pPr>
        <w:spacing w:after="0"/>
        <w:rPr>
          <w:sz w:val="20"/>
          <w:szCs w:val="20"/>
          <w:color w:val="auto"/>
        </w:rPr>
      </w:pPr>
      <w:r>
        <w:rPr>
          <w:rFonts w:ascii="Arial" w:cs="Arial" w:eastAsia="Arial" w:hAnsi="Arial"/>
          <w:sz w:val="20"/>
          <w:szCs w:val="20"/>
          <w:b w:val="1"/>
          <w:bCs w:val="1"/>
          <w:i w:val="1"/>
          <w:iCs w:val="1"/>
          <w:color w:val="auto"/>
        </w:rPr>
        <w:t>Cost of Reinsurance</w:t>
      </w:r>
    </w:p>
    <w:p>
      <w:pPr>
        <w:spacing w:after="0" w:line="130" w:lineRule="exact"/>
        <w:rPr>
          <w:sz w:val="20"/>
          <w:szCs w:val="20"/>
          <w:color w:val="auto"/>
        </w:rPr>
      </w:pPr>
    </w:p>
    <w:p>
      <w:pPr>
        <w:jc w:val="both"/>
        <w:ind w:firstLine="353"/>
        <w:spacing w:after="0" w:line="250" w:lineRule="auto"/>
        <w:rPr>
          <w:sz w:val="20"/>
          <w:szCs w:val="20"/>
          <w:color w:val="auto"/>
        </w:rPr>
      </w:pPr>
      <w:r>
        <w:rPr>
          <w:rFonts w:ascii="Arial" w:cs="Arial" w:eastAsia="Arial" w:hAnsi="Arial"/>
          <w:sz w:val="20"/>
          <w:szCs w:val="20"/>
          <w:color w:val="auto"/>
        </w:rPr>
        <w:t>Amounts received from or paid to reinsurers in excess of reimbursements or liabilities ceded, respectively, represents COR. If the net COR balance is in a deferred gain position, it is included within Accounts payable and accrued liabilities with the related amortization reflected within Life insurance premiums and other fees and, if in a deferred loss position, is included within the Prepaid expenses and other assets with the related amortization reflected within Other operating expenses, in the Consolidated Balance Sheets and Statements of Earnings, respectively. Premiums and expenses are recorded net of reinsurance ceded.</w:t>
      </w:r>
    </w:p>
    <w:p>
      <w:pPr>
        <w:spacing w:after="0" w:line="8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Funds Withheld Arrangements</w:t>
      </w:r>
    </w:p>
    <w:p>
      <w:pPr>
        <w:spacing w:after="0" w:line="130" w:lineRule="exact"/>
        <w:rPr>
          <w:sz w:val="20"/>
          <w:szCs w:val="20"/>
          <w:color w:val="auto"/>
        </w:rPr>
      </w:pPr>
    </w:p>
    <w:p>
      <w:pPr>
        <w:jc w:val="both"/>
        <w:ind w:firstLine="353"/>
        <w:spacing w:after="0" w:line="295" w:lineRule="auto"/>
        <w:rPr>
          <w:sz w:val="20"/>
          <w:szCs w:val="20"/>
          <w:color w:val="auto"/>
        </w:rPr>
      </w:pPr>
      <w:r>
        <w:rPr>
          <w:rFonts w:ascii="Arial" w:cs="Arial" w:eastAsia="Arial" w:hAnsi="Arial"/>
          <w:sz w:val="17"/>
          <w:szCs w:val="17"/>
          <w:color w:val="auto"/>
        </w:rPr>
        <w:t xml:space="preserve">F&amp;G cedes certain business on a coinsurance funds withheld basis. Assets supporting the arrangements are reported within Funds withheld for reinsurance liabilities on our Consolidated Balance Sheets. All assets within the Funds withheld for reinsurance liabilities are recorded in a manner consistent with each respective item of our accounting policies discussed in this Note A </w:t>
      </w:r>
      <w:r>
        <w:rPr>
          <w:rFonts w:ascii="Arial" w:cs="Arial" w:eastAsia="Arial" w:hAnsi="Arial"/>
          <w:sz w:val="17"/>
          <w:szCs w:val="17"/>
          <w:b w:val="1"/>
          <w:bCs w:val="1"/>
          <w:i w:val="1"/>
          <w:iCs w:val="1"/>
          <w:color w:val="auto"/>
        </w:rPr>
        <w:t>Business and Summary of Significant Accounting Policies</w:t>
      </w:r>
      <w:r>
        <w:rPr>
          <w:rFonts w:ascii="Arial" w:cs="Arial" w:eastAsia="Arial" w:hAnsi="Arial"/>
          <w:sz w:val="17"/>
          <w:szCs w:val="17"/>
          <w:color w:val="auto"/>
        </w:rPr>
        <w:t>. Investment results for the assets that support the coinsurance are segregated within the funds withheld account and are passed directly to the reinsurer pursuant to the contractual terms of the reinsurance agreement, which creates embedded derivatives considered to be total return swaps. These embedded derivatives are not clearly and closely related to the underlying reinsurance agreement and thus require bifurcation. For arrangements reinsuring indexed annuities products, the funds withheld account additionally contains an embedded derivative representing the index credit obligation due the reinsurer, resulting in a compound embedded derivative. Beginning in 2025, these embedded derivatives are reported in Funds withheld for reinsurance liabilities, irrespective if in a net asset position or a net liability position, on the Consolidated Balance Sheets and prior periods have been reclassified from Prepaid expenses and other assets to conform with the current presentation. The related gains or losses are reported in Recognized gains and losses, net, on the Consolidated Statements of Earnings.</w:t>
      </w:r>
    </w:p>
    <w:p>
      <w:pPr>
        <w:spacing w:after="0" w:line="290" w:lineRule="exact"/>
        <w:rPr>
          <w:sz w:val="20"/>
          <w:szCs w:val="20"/>
          <w:color w:val="auto"/>
        </w:rPr>
      </w:pPr>
    </w:p>
    <w:p>
      <w:pPr>
        <w:ind w:left="340"/>
        <w:spacing w:after="0"/>
        <w:rPr>
          <w:sz w:val="20"/>
          <w:szCs w:val="20"/>
          <w:color w:val="auto"/>
        </w:rPr>
      </w:pPr>
      <w:r>
        <w:rPr>
          <w:rFonts w:ascii="Arial" w:cs="Arial" w:eastAsia="Arial" w:hAnsi="Arial"/>
          <w:sz w:val="20"/>
          <w:szCs w:val="20"/>
          <w:color w:val="auto"/>
        </w:rPr>
        <w:t xml:space="preserve">See Note N </w:t>
      </w:r>
      <w:r>
        <w:rPr>
          <w:rFonts w:ascii="Arial" w:cs="Arial" w:eastAsia="Arial" w:hAnsi="Arial"/>
          <w:sz w:val="20"/>
          <w:szCs w:val="20"/>
          <w:b w:val="1"/>
          <w:bCs w:val="1"/>
          <w:i w:val="1"/>
          <w:iCs w:val="1"/>
          <w:color w:val="auto"/>
        </w:rPr>
        <w:t>F&amp;G Reinsurance</w:t>
      </w:r>
      <w:r>
        <w:rPr>
          <w:rFonts w:ascii="Arial" w:cs="Arial" w:eastAsia="Arial" w:hAnsi="Arial"/>
          <w:sz w:val="20"/>
          <w:szCs w:val="20"/>
          <w:color w:val="auto"/>
        </w:rPr>
        <w:t xml:space="preserve"> for more details over F&amp;G's reinsurance agreements.</w:t>
      </w:r>
    </w:p>
    <w:p>
      <w:pPr>
        <w:spacing w:after="0" w:line="8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Revenue Recognition</w:t>
      </w:r>
    </w:p>
    <w:p>
      <w:pPr>
        <w:spacing w:after="0" w:line="128" w:lineRule="exact"/>
        <w:rPr>
          <w:sz w:val="20"/>
          <w:szCs w:val="20"/>
          <w:color w:val="auto"/>
        </w:rPr>
      </w:pPr>
    </w:p>
    <w:p>
      <w:pPr>
        <w:ind w:right="1400" w:firstLine="353"/>
        <w:spacing w:after="0" w:line="369" w:lineRule="auto"/>
        <w:rPr>
          <w:sz w:val="20"/>
          <w:szCs w:val="20"/>
          <w:color w:val="auto"/>
        </w:rPr>
      </w:pPr>
      <w:r>
        <w:rPr>
          <w:rFonts w:ascii="Arial" w:cs="Arial" w:eastAsia="Arial" w:hAnsi="Arial"/>
          <w:sz w:val="20"/>
          <w:szCs w:val="20"/>
          <w:color w:val="auto"/>
        </w:rPr>
        <w:t xml:space="preserve">Refer to Note K </w:t>
      </w:r>
      <w:r>
        <w:rPr>
          <w:rFonts w:ascii="Arial" w:cs="Arial" w:eastAsia="Arial" w:hAnsi="Arial"/>
          <w:sz w:val="20"/>
          <w:szCs w:val="20"/>
          <w:b w:val="1"/>
          <w:bCs w:val="1"/>
          <w:i w:val="1"/>
          <w:iCs w:val="1"/>
          <w:color w:val="auto"/>
        </w:rPr>
        <w:t>Revenue Recognition</w:t>
      </w:r>
      <w:r>
        <w:rPr>
          <w:rFonts w:ascii="Arial" w:cs="Arial" w:eastAsia="Arial" w:hAnsi="Arial"/>
          <w:sz w:val="20"/>
          <w:szCs w:val="20"/>
          <w:color w:val="auto"/>
        </w:rPr>
        <w:t xml:space="preserve"> for a description of our accounting for our various revenue streams. </w:t>
      </w:r>
      <w:r>
        <w:rPr>
          <w:rFonts w:ascii="Arial" w:cs="Arial" w:eastAsia="Arial" w:hAnsi="Arial"/>
          <w:sz w:val="20"/>
          <w:szCs w:val="20"/>
          <w:b w:val="1"/>
          <w:bCs w:val="1"/>
          <w:i w:val="1"/>
          <w:iCs w:val="1"/>
          <w:color w:val="auto"/>
        </w:rPr>
        <w:t>Benefits and Other Changes in Policy Reserves</w:t>
      </w:r>
    </w:p>
    <w:p>
      <w:pPr>
        <w:jc w:val="both"/>
        <w:ind w:firstLine="353"/>
        <w:spacing w:after="0" w:line="251" w:lineRule="auto"/>
        <w:rPr>
          <w:sz w:val="20"/>
          <w:szCs w:val="20"/>
          <w:color w:val="auto"/>
        </w:rPr>
      </w:pPr>
      <w:r>
        <w:rPr>
          <w:rFonts w:ascii="Arial" w:cs="Arial" w:eastAsia="Arial" w:hAnsi="Arial"/>
          <w:sz w:val="20"/>
          <w:szCs w:val="20"/>
          <w:color w:val="auto"/>
        </w:rPr>
        <w:t>Benefit expenses for deferred annuities (indexed annuities and fixed rate annuities), IUL policies and funding agreements include interest credited to contractholder account balances. For indexed annuities and IUL, the benefits expense includes the change in fair value of the embedded derivatives associated with the equity crediting rates. Benefit claims in excess of contract account balances, net of reinsurance recoveries, are charged to expense in the period that they are earned by the policyholder based on their selected strategy or strategies.</w:t>
      </w:r>
    </w:p>
    <w:p>
      <w:pPr>
        <w:spacing w:after="0" w:line="91" w:lineRule="exact"/>
        <w:rPr>
          <w:sz w:val="20"/>
          <w:szCs w:val="20"/>
          <w:color w:val="auto"/>
        </w:rPr>
      </w:pPr>
    </w:p>
    <w:p>
      <w:pPr>
        <w:jc w:val="both"/>
        <w:ind w:firstLine="353"/>
        <w:spacing w:after="0" w:line="251" w:lineRule="auto"/>
        <w:rPr>
          <w:sz w:val="20"/>
          <w:szCs w:val="20"/>
          <w:color w:val="auto"/>
        </w:rPr>
      </w:pPr>
      <w:r>
        <w:rPr>
          <w:rFonts w:ascii="Arial" w:cs="Arial" w:eastAsia="Arial" w:hAnsi="Arial"/>
          <w:sz w:val="20"/>
          <w:szCs w:val="20"/>
          <w:color w:val="auto"/>
        </w:rPr>
        <w:t>With the exception of reinsured MRBs discussed above, changes in the Reinsurance recoverable balance that need to be reflected in earnings are included within Benefits and other changes in policy reserves on the Consolidated Statements of Earnings. For reinsurance arrangements that apply reinsurance accounting, this primarily relates to changes in the reserve balance ceded. For reinsurance arrangements that apply deposit accounting, this primarily relates to accretion of the deposit asset balance.</w:t>
      </w:r>
    </w:p>
    <w:p>
      <w:pPr>
        <w:spacing w:after="0" w:line="91" w:lineRule="exact"/>
        <w:rPr>
          <w:sz w:val="20"/>
          <w:szCs w:val="20"/>
          <w:color w:val="auto"/>
        </w:rPr>
      </w:pPr>
    </w:p>
    <w:p>
      <w:pPr>
        <w:jc w:val="both"/>
        <w:ind w:firstLine="353"/>
        <w:spacing w:after="0" w:line="251" w:lineRule="auto"/>
        <w:rPr>
          <w:sz w:val="20"/>
          <w:szCs w:val="20"/>
          <w:color w:val="auto"/>
        </w:rPr>
      </w:pPr>
      <w:r>
        <w:rPr>
          <w:rFonts w:ascii="Arial" w:cs="Arial" w:eastAsia="Arial" w:hAnsi="Arial"/>
          <w:sz w:val="20"/>
          <w:szCs w:val="20"/>
          <w:color w:val="auto"/>
        </w:rPr>
        <w:t>Other changes in policy reserves also include the change in reserves for life insurance products. For traditional life and life-contingent immediate annuities (which includes PRT annuities with life contingencies), policy benefit claims are charged to expense in the period that the claims are incurred, net of reinsurance recoveries. Remeasurement gains or losses on the related FPB and DPL balances are presented parenthetically within Benefits and other changes in policy reserves in the accompanying Consolidated Statements of Earnings.</w:t>
      </w:r>
    </w:p>
    <w:p>
      <w:pPr>
        <w:spacing w:after="0" w:line="8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Stock-Based Compensation Plans</w:t>
      </w:r>
    </w:p>
    <w:p>
      <w:pPr>
        <w:spacing w:after="0" w:line="130" w:lineRule="exact"/>
        <w:rPr>
          <w:sz w:val="20"/>
          <w:szCs w:val="20"/>
          <w:color w:val="auto"/>
        </w:rPr>
      </w:pPr>
    </w:p>
    <w:p>
      <w:pPr>
        <w:jc w:val="both"/>
        <w:ind w:firstLine="353"/>
        <w:spacing w:after="0" w:line="258" w:lineRule="auto"/>
        <w:rPr>
          <w:sz w:val="20"/>
          <w:szCs w:val="20"/>
          <w:color w:val="auto"/>
        </w:rPr>
      </w:pPr>
      <w:r>
        <w:rPr>
          <w:rFonts w:ascii="Arial" w:cs="Arial" w:eastAsia="Arial" w:hAnsi="Arial"/>
          <w:sz w:val="20"/>
          <w:szCs w:val="20"/>
          <w:color w:val="auto"/>
        </w:rPr>
        <w:t>We account for stock-based compensation plans using the fair value method. Using the fair value method of accounting, compensation cost is measured based on the fair value of the award at the grant date using quoted market prices, and recognized over the service period.</w:t>
      </w:r>
    </w:p>
    <w:p>
      <w:pPr>
        <w:spacing w:after="0" w:line="7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Earnings Per Share</w:t>
      </w:r>
    </w:p>
    <w:p>
      <w:pPr>
        <w:spacing w:after="0" w:line="130" w:lineRule="exact"/>
        <w:rPr>
          <w:sz w:val="20"/>
          <w:szCs w:val="20"/>
          <w:color w:val="auto"/>
        </w:rPr>
      </w:pPr>
    </w:p>
    <w:p>
      <w:pPr>
        <w:jc w:val="both"/>
        <w:ind w:firstLine="353"/>
        <w:spacing w:after="0" w:line="312" w:lineRule="auto"/>
        <w:rPr>
          <w:sz w:val="20"/>
          <w:szCs w:val="20"/>
          <w:color w:val="auto"/>
        </w:rPr>
      </w:pPr>
      <w:r>
        <w:rPr>
          <w:rFonts w:ascii="Arial" w:cs="Arial" w:eastAsia="Arial" w:hAnsi="Arial"/>
          <w:sz w:val="17"/>
          <w:szCs w:val="17"/>
          <w:color w:val="auto"/>
        </w:rPr>
        <w:t>Basic earnings per share, as presented on the Consolidated Statement of Earnings, is computed by dividing net earnings available to common shareholders by the weighted average number of common shares outstanding during the period. In periods when earnings are positive, diluted earnings per share is calculated by dividing net earnings available to common shareholders by the weighted average number of common shares outstanding plus the impact of assumed conversions of potentially dilutive</w:t>
      </w:r>
    </w:p>
    <w:p>
      <w:pPr>
        <w:sectPr>
          <w:pgSz w:w="11880" w:h="15480" w:orient="portrait"/>
          <w:cols w:equalWidth="0" w:num="1">
            <w:col w:w="10040"/>
          </w:cols>
          <w:pgMar w:left="920" w:top="1118" w:right="920" w:bottom="0" w:gutter="0" w:footer="0" w:header="0"/>
        </w:sect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118</w:t>
      </w:r>
    </w:p>
    <w:p>
      <w:pPr>
        <w:sectPr>
          <w:pgSz w:w="11880" w:h="15480" w:orient="portrait"/>
          <w:cols w:equalWidth="0" w:num="1">
            <w:col w:w="10040"/>
          </w:cols>
          <w:pgMar w:left="920" w:top="1118" w:right="920" w:bottom="0" w:gutter="0" w:footer="0" w:header="0"/>
          <w:type w:val="continuous"/>
        </w:sectPr>
      </w:pPr>
    </w:p>
    <w:bookmarkStart w:id="130" w:name="page131"/>
    <w:bookmarkEnd w:id="130"/>
    <w:p>
      <w:pPr>
        <w:jc w:val="both"/>
        <w:spacing w:after="0" w:line="251" w:lineRule="auto"/>
        <w:rPr>
          <w:sz w:val="20"/>
          <w:szCs w:val="20"/>
          <w:color w:val="auto"/>
        </w:rPr>
      </w:pPr>
      <w:r>
        <w:rPr>
          <w:rFonts w:ascii="Arial" w:cs="Arial" w:eastAsia="Arial" w:hAnsi="Arial"/>
          <w:sz w:val="20"/>
          <w:szCs w:val="20"/>
          <w:color w:val="auto"/>
        </w:rPr>
        <w:t>securities. For periods when we recognize a net loss, diluted earnings per share is equal to basic earnings per share as the impact of assumed conversions of potentially dilutive securities is considered to be antidilutive. We have granted certain stock options, shares of restricted stock, convertible debt instruments and certain other convertible share-based payments, which have been treated as common share equivalents for purposes of calculating diluted earnings per share for periods in which positive earnings have been reported.</w:t>
      </w:r>
    </w:p>
    <w:p>
      <w:pPr>
        <w:spacing w:after="0" w:line="91" w:lineRule="exact"/>
        <w:rPr>
          <w:sz w:val="20"/>
          <w:szCs w:val="20"/>
          <w:color w:val="auto"/>
        </w:rPr>
      </w:pPr>
    </w:p>
    <w:p>
      <w:pPr>
        <w:jc w:val="both"/>
        <w:ind w:firstLine="353"/>
        <w:spacing w:after="0" w:line="251" w:lineRule="auto"/>
        <w:rPr>
          <w:sz w:val="20"/>
          <w:szCs w:val="20"/>
          <w:color w:val="auto"/>
        </w:rPr>
      </w:pPr>
      <w:r>
        <w:rPr>
          <w:rFonts w:ascii="Arial" w:cs="Arial" w:eastAsia="Arial" w:hAnsi="Arial"/>
          <w:sz w:val="20"/>
          <w:szCs w:val="20"/>
          <w:color w:val="auto"/>
        </w:rPr>
        <w:t>The net earnings of F&amp;G in our calculation of diluted earnings per share is adjusted for dilution related to certain F&amp;G restricted stock granted to F&amp;G's employees in accordance with ASC 260-10-55-20. We calculate the ratio of the shares of F&amp;G we own to the total weighted average diluted shares of F&amp;G outstanding and multiply the ratio by F&amp;G's net earnings. The result is used for F&amp;G's net earnings attributable to FNF included in our consolidated net earnings in the numerator for our diluted EPS calculation.</w:t>
      </w:r>
    </w:p>
    <w:p>
      <w:pPr>
        <w:spacing w:after="0" w:line="91" w:lineRule="exact"/>
        <w:rPr>
          <w:sz w:val="20"/>
          <w:szCs w:val="20"/>
          <w:color w:val="auto"/>
        </w:rPr>
      </w:pPr>
    </w:p>
    <w:p>
      <w:pPr>
        <w:jc w:val="both"/>
        <w:ind w:firstLine="353"/>
        <w:spacing w:after="0" w:line="258" w:lineRule="auto"/>
        <w:rPr>
          <w:sz w:val="20"/>
          <w:szCs w:val="20"/>
          <w:color w:val="auto"/>
        </w:rPr>
      </w:pPr>
      <w:r>
        <w:rPr>
          <w:rFonts w:ascii="Arial" w:cs="Arial" w:eastAsia="Arial" w:hAnsi="Arial"/>
          <w:sz w:val="20"/>
          <w:szCs w:val="20"/>
          <w:color w:val="auto"/>
        </w:rPr>
        <w:t>Restricted stock, options or other instruments, which provide the ability to acquire shares of our common stock that are antidilutive are excluded from the computation of diluted earnings per share. There were no antidilutive instruments outstanding for the years ended December 31, 2025 and 2024.</w:t>
      </w:r>
    </w:p>
    <w:p>
      <w:pPr>
        <w:spacing w:after="0" w:line="7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Comprehensive Earnings (Loss)</w:t>
      </w:r>
    </w:p>
    <w:p>
      <w:pPr>
        <w:spacing w:after="0" w:line="130" w:lineRule="exact"/>
        <w:rPr>
          <w:sz w:val="20"/>
          <w:szCs w:val="20"/>
          <w:color w:val="auto"/>
        </w:rPr>
      </w:pPr>
    </w:p>
    <w:p>
      <w:pPr>
        <w:jc w:val="both"/>
        <w:ind w:firstLine="353"/>
        <w:spacing w:after="0" w:line="299" w:lineRule="auto"/>
        <w:rPr>
          <w:sz w:val="20"/>
          <w:szCs w:val="20"/>
          <w:color w:val="auto"/>
        </w:rPr>
      </w:pPr>
      <w:r>
        <w:rPr>
          <w:rFonts w:ascii="Arial" w:cs="Arial" w:eastAsia="Arial" w:hAnsi="Arial"/>
          <w:sz w:val="17"/>
          <w:szCs w:val="17"/>
          <w:color w:val="auto"/>
        </w:rPr>
        <w:t>We report Comprehensive earnings (loss) in accordance with GAAP on the Consolidated Statements of Comprehensive Earnings. Total comprehensive earnings are defined as all changes in shareholders' equity during a period, other than those resulting from investments by and distributions to shareholders. While total comprehensive earnings is the activity in a period and is largely driven by net earnings in that period, accumulated other comprehensive earnings or loss represents the cumulative balance of other comprehensive earnings, net of tax, as of the balance sheet date. Amounts reclassified to net earnings relate to the realized gains (losses) on our investments and other financial instruments, excluding investments in unconsolidated affiliates, and are included in Recognized gains and losses, net on the Consolidated Statements of Earnings. The income tax effects are released from AOCI when the related activity is reclassified to net earnings.</w:t>
      </w:r>
    </w:p>
    <w:p>
      <w:pPr>
        <w:spacing w:after="0" w:line="51" w:lineRule="exact"/>
        <w:rPr>
          <w:sz w:val="20"/>
          <w:szCs w:val="20"/>
          <w:color w:val="auto"/>
        </w:rPr>
      </w:pPr>
    </w:p>
    <w:p>
      <w:pPr>
        <w:jc w:val="both"/>
        <w:ind w:firstLine="353"/>
        <w:spacing w:after="0" w:line="271" w:lineRule="auto"/>
        <w:rPr>
          <w:sz w:val="20"/>
          <w:szCs w:val="20"/>
          <w:color w:val="auto"/>
        </w:rPr>
      </w:pPr>
      <w:r>
        <w:rPr>
          <w:rFonts w:ascii="Arial" w:cs="Arial" w:eastAsia="Arial" w:hAnsi="Arial"/>
          <w:sz w:val="20"/>
          <w:szCs w:val="20"/>
          <w:color w:val="auto"/>
        </w:rPr>
        <w:t>Changes in the balance of Other comprehensive earnings (loss) for the years ended December 31, 2025, 2024, and 2023, by component are as follows:</w:t>
      </w:r>
    </w:p>
    <w:p>
      <w:pPr>
        <w:sectPr>
          <w:pgSz w:w="11880" w:h="15480" w:orient="portrait"/>
          <w:cols w:equalWidth="0" w:num="1">
            <w:col w:w="10040"/>
          </w:cols>
          <w:pgMar w:left="920" w:top="772"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280" w:hanging="220"/>
        <w:spacing w:after="0" w:line="460" w:lineRule="auto"/>
        <w:rPr>
          <w:sz w:val="20"/>
          <w:szCs w:val="20"/>
          <w:color w:val="auto"/>
        </w:rPr>
      </w:pPr>
      <w:r>
        <w:rPr>
          <w:rFonts w:ascii="Arial" w:cs="Arial" w:eastAsia="Arial" w:hAnsi="Arial"/>
          <w:sz w:val="13"/>
          <w:szCs w:val="13"/>
          <w:color w:val="auto"/>
        </w:rPr>
        <w:t>Balance January 1, 2023 Reclassification adjustments Other comprehensive earnings Non-controlling interest</w:t>
      </w:r>
    </w:p>
    <w:p>
      <w:pPr>
        <w:ind w:left="280" w:hanging="220"/>
        <w:spacing w:after="0" w:line="448" w:lineRule="auto"/>
        <w:rPr>
          <w:sz w:val="20"/>
          <w:szCs w:val="20"/>
          <w:color w:val="auto"/>
        </w:rPr>
      </w:pPr>
      <w:r>
        <w:rPr>
          <w:rFonts w:ascii="Arial" w:cs="Arial" w:eastAsia="Arial" w:hAnsi="Arial"/>
          <w:sz w:val="13"/>
          <w:szCs w:val="13"/>
          <w:color w:val="auto"/>
        </w:rPr>
        <w:t>Balance December 31, 2023 Reclassification adjustments Other comprehensive earnings Non-controlling interest</w:t>
      </w:r>
    </w:p>
    <w:p>
      <w:pPr>
        <w:spacing w:after="0" w:line="1" w:lineRule="exact"/>
        <w:rPr>
          <w:sz w:val="20"/>
          <w:szCs w:val="20"/>
          <w:color w:val="auto"/>
        </w:rPr>
      </w:pPr>
    </w:p>
    <w:p>
      <w:pPr>
        <w:ind w:left="280" w:hanging="220"/>
        <w:spacing w:after="0" w:line="409" w:lineRule="auto"/>
        <w:rPr>
          <w:sz w:val="20"/>
          <w:szCs w:val="20"/>
          <w:color w:val="auto"/>
        </w:rPr>
      </w:pPr>
      <w:r>
        <w:rPr>
          <w:rFonts w:ascii="Arial" w:cs="Arial" w:eastAsia="Arial" w:hAnsi="Arial"/>
          <w:sz w:val="15"/>
          <w:szCs w:val="15"/>
          <w:color w:val="auto"/>
        </w:rPr>
        <w:t>Balance December 31, 2024 Reclassification adjustments Other comprehensive earnings F&amp;G Distribution Non-controlling interest</w:t>
      </w:r>
    </w:p>
    <w:p>
      <w:pPr>
        <w:ind w:left="60"/>
        <w:spacing w:after="0"/>
        <w:rPr>
          <w:sz w:val="20"/>
          <w:szCs w:val="20"/>
          <w:color w:val="auto"/>
        </w:rPr>
      </w:pPr>
      <w:r>
        <w:rPr>
          <w:rFonts w:ascii="Arial" w:cs="Arial" w:eastAsia="Arial" w:hAnsi="Arial"/>
          <w:sz w:val="16"/>
          <w:szCs w:val="16"/>
          <w:color w:val="auto"/>
        </w:rPr>
        <w:t>Balance December 31, 2025</w:t>
      </w:r>
    </w:p>
    <w:p>
      <w:pPr>
        <w:spacing w:after="0" w:line="20" w:lineRule="exact"/>
        <w:rPr>
          <w:sz w:val="20"/>
          <w:szCs w:val="20"/>
          <w:color w:val="auto"/>
        </w:rPr>
      </w:pPr>
      <w:r>
        <w:rPr>
          <w:sz w:val="20"/>
          <w:szCs w:val="20"/>
          <w:color w:val="auto"/>
        </w:rPr>
        <w:br w:type="column"/>
      </w:r>
    </w:p>
    <w:p>
      <w:pPr>
        <w:spacing w:after="0" w:line="4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160" w:type="dxa"/>
            <w:vAlign w:val="bottom"/>
          </w:tcPr>
          <w:p>
            <w:pPr>
              <w:spacing w:after="0"/>
              <w:rPr>
                <w:sz w:val="16"/>
                <w:szCs w:val="16"/>
                <w:color w:val="auto"/>
              </w:rPr>
            </w:pPr>
          </w:p>
        </w:tc>
        <w:tc>
          <w:tcPr>
            <w:tcW w:w="1880" w:type="dxa"/>
            <w:vAlign w:val="bottom"/>
          </w:tcPr>
          <w:p>
            <w:pPr>
              <w:jc w:val="center"/>
              <w:ind w:right="82"/>
              <w:spacing w:after="0"/>
              <w:rPr>
                <w:sz w:val="20"/>
                <w:szCs w:val="20"/>
                <w:color w:val="auto"/>
              </w:rPr>
            </w:pPr>
            <w:r>
              <w:rPr>
                <w:rFonts w:ascii="Arial" w:cs="Arial" w:eastAsia="Arial" w:hAnsi="Arial"/>
                <w:sz w:val="16"/>
                <w:szCs w:val="16"/>
                <w:b w:val="1"/>
                <w:bCs w:val="1"/>
                <w:color w:val="auto"/>
                <w:w w:val="86"/>
              </w:rPr>
              <w:t>Unrealized gain (loss) on</w:t>
            </w:r>
          </w:p>
        </w:tc>
        <w:tc>
          <w:tcPr>
            <w:tcW w:w="80" w:type="dxa"/>
            <w:vAlign w:val="bottom"/>
          </w:tcPr>
          <w:p>
            <w:pPr>
              <w:spacing w:after="0"/>
              <w:rPr>
                <w:sz w:val="16"/>
                <w:szCs w:val="16"/>
                <w:color w:val="auto"/>
              </w:rPr>
            </w:pPr>
          </w:p>
        </w:tc>
        <w:tc>
          <w:tcPr>
            <w:tcW w:w="1360" w:type="dxa"/>
            <w:vAlign w:val="bottom"/>
            <w:gridSpan w:val="2"/>
            <w:vMerge w:val="restart"/>
          </w:tcPr>
          <w:p>
            <w:pPr>
              <w:jc w:val="center"/>
              <w:spacing w:after="0"/>
              <w:rPr>
                <w:sz w:val="20"/>
                <w:szCs w:val="20"/>
                <w:color w:val="auto"/>
              </w:rPr>
            </w:pPr>
            <w:r>
              <w:rPr>
                <w:rFonts w:ascii="Arial" w:cs="Arial" w:eastAsia="Arial" w:hAnsi="Arial"/>
                <w:sz w:val="16"/>
                <w:szCs w:val="16"/>
                <w:b w:val="1"/>
                <w:bCs w:val="1"/>
                <w:color w:val="auto"/>
                <w:w w:val="89"/>
              </w:rPr>
              <w:t>Change in current</w:t>
            </w: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tcPr>
          <w:p>
            <w:pPr>
              <w:jc w:val="center"/>
              <w:ind w:right="122"/>
              <w:spacing w:after="0"/>
              <w:rPr>
                <w:sz w:val="20"/>
                <w:szCs w:val="20"/>
                <w:color w:val="auto"/>
              </w:rPr>
            </w:pPr>
            <w:r>
              <w:rPr>
                <w:rFonts w:ascii="Arial" w:cs="Arial" w:eastAsia="Arial" w:hAnsi="Arial"/>
                <w:sz w:val="16"/>
                <w:szCs w:val="16"/>
                <w:b w:val="1"/>
                <w:bCs w:val="1"/>
                <w:color w:val="auto"/>
                <w:w w:val="90"/>
              </w:rPr>
              <w:t>Change in</w:t>
            </w: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jc w:val="center"/>
              <w:ind w:right="102"/>
              <w:spacing w:after="0"/>
              <w:rPr>
                <w:sz w:val="20"/>
                <w:szCs w:val="20"/>
                <w:color w:val="auto"/>
              </w:rPr>
            </w:pPr>
            <w:r>
              <w:rPr>
                <w:rFonts w:ascii="Arial" w:cs="Arial" w:eastAsia="Arial" w:hAnsi="Arial"/>
                <w:sz w:val="16"/>
                <w:szCs w:val="16"/>
                <w:b w:val="1"/>
                <w:bCs w:val="1"/>
                <w:color w:val="auto"/>
                <w:w w:val="94"/>
              </w:rPr>
              <w:t>Total</w:t>
            </w:r>
          </w:p>
        </w:tc>
        <w:tc>
          <w:tcPr>
            <w:tcW w:w="0" w:type="dxa"/>
            <w:vAlign w:val="bottom"/>
          </w:tcPr>
          <w:p>
            <w:pPr>
              <w:spacing w:after="0"/>
              <w:rPr>
                <w:sz w:val="1"/>
                <w:szCs w:val="1"/>
                <w:color w:val="auto"/>
              </w:rPr>
            </w:pPr>
          </w:p>
        </w:tc>
      </w:tr>
      <w:tr>
        <w:trPr>
          <w:trHeight w:val="157"/>
        </w:trPr>
        <w:tc>
          <w:tcPr>
            <w:tcW w:w="160" w:type="dxa"/>
            <w:vAlign w:val="bottom"/>
          </w:tcPr>
          <w:p>
            <w:pPr>
              <w:spacing w:after="0"/>
              <w:rPr>
                <w:sz w:val="13"/>
                <w:szCs w:val="13"/>
                <w:color w:val="auto"/>
              </w:rPr>
            </w:pPr>
          </w:p>
        </w:tc>
        <w:tc>
          <w:tcPr>
            <w:tcW w:w="1880" w:type="dxa"/>
            <w:vAlign w:val="bottom"/>
          </w:tcPr>
          <w:p>
            <w:pPr>
              <w:jc w:val="center"/>
              <w:ind w:right="82"/>
              <w:spacing w:after="0" w:line="157" w:lineRule="exact"/>
              <w:rPr>
                <w:sz w:val="20"/>
                <w:szCs w:val="20"/>
                <w:color w:val="auto"/>
              </w:rPr>
            </w:pPr>
            <w:r>
              <w:rPr>
                <w:rFonts w:ascii="Arial" w:cs="Arial" w:eastAsia="Arial" w:hAnsi="Arial"/>
                <w:sz w:val="16"/>
                <w:szCs w:val="16"/>
                <w:b w:val="1"/>
                <w:bCs w:val="1"/>
                <w:color w:val="auto"/>
                <w:w w:val="86"/>
              </w:rPr>
              <w:t>investments and other</w:t>
            </w:r>
          </w:p>
        </w:tc>
        <w:tc>
          <w:tcPr>
            <w:tcW w:w="80" w:type="dxa"/>
            <w:vAlign w:val="bottom"/>
          </w:tcPr>
          <w:p>
            <w:pPr>
              <w:spacing w:after="0"/>
              <w:rPr>
                <w:sz w:val="13"/>
                <w:szCs w:val="13"/>
                <w:color w:val="auto"/>
              </w:rPr>
            </w:pPr>
          </w:p>
        </w:tc>
        <w:tc>
          <w:tcPr>
            <w:tcW w:w="1360" w:type="dxa"/>
            <w:vAlign w:val="bottom"/>
            <w:gridSpan w:val="2"/>
            <w:vMerge w:val="continue"/>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tcPr>
          <w:p>
            <w:pPr>
              <w:jc w:val="center"/>
              <w:ind w:right="122"/>
              <w:spacing w:after="0" w:line="157" w:lineRule="exact"/>
              <w:rPr>
                <w:sz w:val="20"/>
                <w:szCs w:val="20"/>
                <w:color w:val="auto"/>
              </w:rPr>
            </w:pPr>
            <w:r>
              <w:rPr>
                <w:rFonts w:ascii="Arial" w:cs="Arial" w:eastAsia="Arial" w:hAnsi="Arial"/>
                <w:sz w:val="16"/>
                <w:szCs w:val="16"/>
                <w:b w:val="1"/>
                <w:bCs w:val="1"/>
                <w:color w:val="auto"/>
                <w:w w:val="88"/>
              </w:rPr>
              <w:t>instrument-</w:t>
            </w: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tcPr>
          <w:p>
            <w:pPr>
              <w:jc w:val="center"/>
              <w:ind w:right="82"/>
              <w:spacing w:after="0" w:line="157" w:lineRule="exact"/>
              <w:rPr>
                <w:sz w:val="20"/>
                <w:szCs w:val="20"/>
                <w:color w:val="auto"/>
              </w:rPr>
            </w:pPr>
            <w:r>
              <w:rPr>
                <w:rFonts w:ascii="Arial" w:cs="Arial" w:eastAsia="Arial" w:hAnsi="Arial"/>
                <w:sz w:val="16"/>
                <w:szCs w:val="16"/>
                <w:b w:val="1"/>
                <w:bCs w:val="1"/>
                <w:color w:val="auto"/>
                <w:w w:val="89"/>
              </w:rPr>
              <w:t>Accumulated</w:t>
            </w:r>
          </w:p>
        </w:tc>
        <w:tc>
          <w:tcPr>
            <w:tcW w:w="0" w:type="dxa"/>
            <w:vAlign w:val="bottom"/>
          </w:tcPr>
          <w:p>
            <w:pPr>
              <w:spacing w:after="0"/>
              <w:rPr>
                <w:sz w:val="1"/>
                <w:szCs w:val="1"/>
                <w:color w:val="auto"/>
              </w:rPr>
            </w:pPr>
          </w:p>
        </w:tc>
      </w:tr>
      <w:tr>
        <w:trPr>
          <w:trHeight w:val="157"/>
        </w:trPr>
        <w:tc>
          <w:tcPr>
            <w:tcW w:w="160" w:type="dxa"/>
            <w:vAlign w:val="bottom"/>
          </w:tcPr>
          <w:p>
            <w:pPr>
              <w:spacing w:after="0"/>
              <w:rPr>
                <w:sz w:val="13"/>
                <w:szCs w:val="13"/>
                <w:color w:val="auto"/>
              </w:rPr>
            </w:pPr>
          </w:p>
        </w:tc>
        <w:tc>
          <w:tcPr>
            <w:tcW w:w="1880" w:type="dxa"/>
            <w:vAlign w:val="bottom"/>
          </w:tcPr>
          <w:p>
            <w:pPr>
              <w:jc w:val="center"/>
              <w:ind w:right="82"/>
              <w:spacing w:after="0" w:line="157" w:lineRule="exact"/>
              <w:rPr>
                <w:sz w:val="20"/>
                <w:szCs w:val="20"/>
                <w:color w:val="auto"/>
              </w:rPr>
            </w:pPr>
            <w:r>
              <w:rPr>
                <w:rFonts w:ascii="Arial" w:cs="Arial" w:eastAsia="Arial" w:hAnsi="Arial"/>
                <w:sz w:val="16"/>
                <w:szCs w:val="16"/>
                <w:b w:val="1"/>
                <w:bCs w:val="1"/>
                <w:color w:val="auto"/>
                <w:w w:val="88"/>
              </w:rPr>
              <w:t>financial instruments, net</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tcPr>
          <w:p>
            <w:pPr>
              <w:jc w:val="center"/>
              <w:ind w:right="82"/>
              <w:spacing w:after="0" w:line="157" w:lineRule="exact"/>
              <w:rPr>
                <w:sz w:val="20"/>
                <w:szCs w:val="20"/>
                <w:color w:val="auto"/>
              </w:rPr>
            </w:pPr>
            <w:r>
              <w:rPr>
                <w:rFonts w:ascii="Arial" w:cs="Arial" w:eastAsia="Arial" w:hAnsi="Arial"/>
                <w:sz w:val="16"/>
                <w:szCs w:val="16"/>
                <w:b w:val="1"/>
                <w:bCs w:val="1"/>
                <w:color w:val="auto"/>
                <w:w w:val="87"/>
              </w:rPr>
              <w:t>discount rate -</w:t>
            </w:r>
          </w:p>
        </w:tc>
        <w:tc>
          <w:tcPr>
            <w:tcW w:w="60" w:type="dxa"/>
            <w:vAlign w:val="bottom"/>
          </w:tcPr>
          <w:p>
            <w:pPr>
              <w:spacing w:after="0"/>
              <w:rPr>
                <w:sz w:val="13"/>
                <w:szCs w:val="13"/>
                <w:color w:val="auto"/>
              </w:rPr>
            </w:pPr>
          </w:p>
        </w:tc>
        <w:tc>
          <w:tcPr>
            <w:tcW w:w="1380" w:type="dxa"/>
            <w:vAlign w:val="bottom"/>
            <w:gridSpan w:val="2"/>
          </w:tcPr>
          <w:p>
            <w:pPr>
              <w:jc w:val="center"/>
              <w:spacing w:after="0" w:line="157" w:lineRule="exact"/>
              <w:rPr>
                <w:sz w:val="20"/>
                <w:szCs w:val="20"/>
                <w:color w:val="auto"/>
              </w:rPr>
            </w:pPr>
            <w:r>
              <w:rPr>
                <w:rFonts w:ascii="Arial" w:cs="Arial" w:eastAsia="Arial" w:hAnsi="Arial"/>
                <w:sz w:val="16"/>
                <w:szCs w:val="16"/>
                <w:b w:val="1"/>
                <w:bCs w:val="1"/>
                <w:color w:val="auto"/>
                <w:w w:val="86"/>
              </w:rPr>
              <w:t>specific credit risk</w:t>
            </w: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tcPr>
          <w:p>
            <w:pPr>
              <w:jc w:val="center"/>
              <w:ind w:right="102"/>
              <w:spacing w:after="0" w:line="157" w:lineRule="exact"/>
              <w:rPr>
                <w:sz w:val="20"/>
                <w:szCs w:val="20"/>
                <w:color w:val="auto"/>
              </w:rPr>
            </w:pPr>
            <w:r>
              <w:rPr>
                <w:rFonts w:ascii="Arial" w:cs="Arial" w:eastAsia="Arial" w:hAnsi="Arial"/>
                <w:sz w:val="16"/>
                <w:szCs w:val="16"/>
                <w:b w:val="1"/>
                <w:bCs w:val="1"/>
                <w:color w:val="auto"/>
                <w:w w:val="93"/>
              </w:rPr>
              <w:t>Other</w:t>
            </w:r>
          </w:p>
        </w:tc>
        <w:tc>
          <w:tcPr>
            <w:tcW w:w="0" w:type="dxa"/>
            <w:vAlign w:val="bottom"/>
          </w:tcPr>
          <w:p>
            <w:pPr>
              <w:spacing w:after="0"/>
              <w:rPr>
                <w:sz w:val="1"/>
                <w:szCs w:val="1"/>
                <w:color w:val="auto"/>
              </w:rPr>
            </w:pPr>
          </w:p>
        </w:tc>
      </w:tr>
      <w:tr>
        <w:trPr>
          <w:trHeight w:val="157"/>
        </w:trPr>
        <w:tc>
          <w:tcPr>
            <w:tcW w:w="160" w:type="dxa"/>
            <w:vAlign w:val="bottom"/>
          </w:tcPr>
          <w:p>
            <w:pPr>
              <w:spacing w:after="0"/>
              <w:rPr>
                <w:sz w:val="13"/>
                <w:szCs w:val="13"/>
                <w:color w:val="auto"/>
              </w:rPr>
            </w:pPr>
          </w:p>
        </w:tc>
        <w:tc>
          <w:tcPr>
            <w:tcW w:w="1880" w:type="dxa"/>
            <w:vAlign w:val="bottom"/>
          </w:tcPr>
          <w:p>
            <w:pPr>
              <w:jc w:val="center"/>
              <w:ind w:right="62"/>
              <w:spacing w:after="0" w:line="157" w:lineRule="exact"/>
              <w:rPr>
                <w:sz w:val="20"/>
                <w:szCs w:val="20"/>
                <w:color w:val="auto"/>
              </w:rPr>
            </w:pPr>
            <w:r>
              <w:rPr>
                <w:rFonts w:ascii="Arial" w:cs="Arial" w:eastAsia="Arial" w:hAnsi="Arial"/>
                <w:sz w:val="16"/>
                <w:szCs w:val="16"/>
                <w:b w:val="1"/>
                <w:bCs w:val="1"/>
                <w:color w:val="auto"/>
                <w:w w:val="86"/>
              </w:rPr>
              <w:t>(excluding investments in</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tcPr>
          <w:p>
            <w:pPr>
              <w:jc w:val="center"/>
              <w:ind w:right="102"/>
              <w:spacing w:after="0" w:line="157" w:lineRule="exact"/>
              <w:rPr>
                <w:sz w:val="20"/>
                <w:szCs w:val="20"/>
                <w:color w:val="auto"/>
              </w:rPr>
            </w:pPr>
            <w:r>
              <w:rPr>
                <w:rFonts w:ascii="Arial" w:cs="Arial" w:eastAsia="Arial" w:hAnsi="Arial"/>
                <w:sz w:val="16"/>
                <w:szCs w:val="16"/>
                <w:b w:val="1"/>
                <w:bCs w:val="1"/>
                <w:color w:val="auto"/>
                <w:w w:val="89"/>
              </w:rPr>
              <w:t>future policy</w:t>
            </w: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tcPr>
          <w:p>
            <w:pPr>
              <w:jc w:val="center"/>
              <w:ind w:right="142"/>
              <w:spacing w:after="0" w:line="157" w:lineRule="exact"/>
              <w:rPr>
                <w:sz w:val="20"/>
                <w:szCs w:val="20"/>
                <w:color w:val="auto"/>
              </w:rPr>
            </w:pPr>
            <w:r>
              <w:rPr>
                <w:rFonts w:ascii="Arial" w:cs="Arial" w:eastAsia="Arial" w:hAnsi="Arial"/>
                <w:sz w:val="16"/>
                <w:szCs w:val="16"/>
                <w:b w:val="1"/>
                <w:bCs w:val="1"/>
                <w:color w:val="auto"/>
                <w:w w:val="92"/>
              </w:rPr>
              <w:t>- market risk</w:t>
            </w: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40" w:type="dxa"/>
            <w:vAlign w:val="bottom"/>
            <w:vMerge w:val="restart"/>
          </w:tcPr>
          <w:p>
            <w:pPr>
              <w:jc w:val="right"/>
              <w:ind w:right="322"/>
              <w:spacing w:after="0"/>
              <w:rPr>
                <w:sz w:val="20"/>
                <w:szCs w:val="20"/>
                <w:color w:val="auto"/>
              </w:rPr>
            </w:pPr>
            <w:r>
              <w:rPr>
                <w:rFonts w:ascii="Arial" w:cs="Arial" w:eastAsia="Arial" w:hAnsi="Arial"/>
                <w:sz w:val="16"/>
                <w:szCs w:val="16"/>
                <w:b w:val="1"/>
                <w:bCs w:val="1"/>
                <w:color w:val="auto"/>
              </w:rPr>
              <w:t>Other</w:t>
            </w:r>
          </w:p>
        </w:tc>
        <w:tc>
          <w:tcPr>
            <w:tcW w:w="80" w:type="dxa"/>
            <w:vAlign w:val="bottom"/>
          </w:tcPr>
          <w:p>
            <w:pPr>
              <w:spacing w:after="0"/>
              <w:rPr>
                <w:sz w:val="13"/>
                <w:szCs w:val="13"/>
                <w:color w:val="auto"/>
              </w:rPr>
            </w:pPr>
          </w:p>
        </w:tc>
        <w:tc>
          <w:tcPr>
            <w:tcW w:w="1300" w:type="dxa"/>
            <w:vAlign w:val="bottom"/>
            <w:gridSpan w:val="2"/>
          </w:tcPr>
          <w:p>
            <w:pPr>
              <w:jc w:val="center"/>
              <w:spacing w:after="0" w:line="157" w:lineRule="exact"/>
              <w:rPr>
                <w:sz w:val="20"/>
                <w:szCs w:val="20"/>
                <w:color w:val="auto"/>
              </w:rPr>
            </w:pPr>
            <w:r>
              <w:rPr>
                <w:rFonts w:ascii="Arial" w:cs="Arial" w:eastAsia="Arial" w:hAnsi="Arial"/>
                <w:sz w:val="16"/>
                <w:szCs w:val="16"/>
                <w:b w:val="1"/>
                <w:bCs w:val="1"/>
                <w:color w:val="auto"/>
                <w:w w:val="86"/>
              </w:rPr>
              <w:t>Comprehensive</w:t>
            </w:r>
          </w:p>
        </w:tc>
        <w:tc>
          <w:tcPr>
            <w:tcW w:w="0" w:type="dxa"/>
            <w:vAlign w:val="bottom"/>
          </w:tcPr>
          <w:p>
            <w:pPr>
              <w:spacing w:after="0"/>
              <w:rPr>
                <w:sz w:val="1"/>
                <w:szCs w:val="1"/>
                <w:color w:val="auto"/>
              </w:rPr>
            </w:pPr>
          </w:p>
        </w:tc>
      </w:tr>
      <w:tr>
        <w:trPr>
          <w:trHeight w:val="210"/>
        </w:trPr>
        <w:tc>
          <w:tcPr>
            <w:tcW w:w="16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tcPr>
          <w:p>
            <w:pPr>
              <w:jc w:val="center"/>
              <w:ind w:right="82"/>
              <w:spacing w:after="0"/>
              <w:rPr>
                <w:sz w:val="20"/>
                <w:szCs w:val="20"/>
                <w:color w:val="auto"/>
              </w:rPr>
            </w:pPr>
            <w:r>
              <w:rPr>
                <w:rFonts w:ascii="Arial" w:cs="Arial" w:eastAsia="Arial" w:hAnsi="Arial"/>
                <w:sz w:val="16"/>
                <w:szCs w:val="16"/>
                <w:b w:val="1"/>
                <w:bCs w:val="1"/>
                <w:color w:val="auto"/>
                <w:w w:val="87"/>
              </w:rPr>
              <w:t>unconsolidated affiliates)</w:t>
            </w: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center"/>
              <w:ind w:right="82"/>
              <w:spacing w:after="0"/>
              <w:rPr>
                <w:sz w:val="20"/>
                <w:szCs w:val="20"/>
                <w:color w:val="auto"/>
              </w:rPr>
            </w:pPr>
            <w:r>
              <w:rPr>
                <w:rFonts w:ascii="Arial" w:cs="Arial" w:eastAsia="Arial" w:hAnsi="Arial"/>
                <w:sz w:val="16"/>
                <w:szCs w:val="16"/>
                <w:b w:val="1"/>
                <w:bCs w:val="1"/>
                <w:color w:val="auto"/>
                <w:w w:val="84"/>
              </w:rPr>
              <w:t>benefits</w:t>
            </w:r>
          </w:p>
        </w:tc>
        <w:tc>
          <w:tcPr>
            <w:tcW w:w="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center"/>
              <w:ind w:right="142"/>
              <w:spacing w:after="0"/>
              <w:rPr>
                <w:sz w:val="20"/>
                <w:szCs w:val="20"/>
                <w:color w:val="auto"/>
              </w:rPr>
            </w:pPr>
            <w:r>
              <w:rPr>
                <w:rFonts w:ascii="Arial" w:cs="Arial" w:eastAsia="Arial" w:hAnsi="Arial"/>
                <w:sz w:val="16"/>
                <w:szCs w:val="16"/>
                <w:b w:val="1"/>
                <w:bCs w:val="1"/>
                <w:color w:val="auto"/>
                <w:w w:val="84"/>
              </w:rPr>
              <w:t>benefits</w:t>
            </w:r>
          </w:p>
        </w:tc>
        <w:tc>
          <w:tcPr>
            <w:tcW w:w="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w w:val="87"/>
              </w:rPr>
              <w:t>Earnings (Loss)</w:t>
            </w:r>
          </w:p>
        </w:tc>
        <w:tc>
          <w:tcPr>
            <w:tcW w:w="0" w:type="dxa"/>
            <w:vAlign w:val="bottom"/>
          </w:tcPr>
          <w:p>
            <w:pPr>
              <w:spacing w:after="0"/>
              <w:rPr>
                <w:sz w:val="1"/>
                <w:szCs w:val="1"/>
                <w:color w:val="auto"/>
              </w:rPr>
            </w:pPr>
          </w:p>
        </w:tc>
      </w:tr>
      <w:tr>
        <w:trPr>
          <w:trHeight w:val="289"/>
        </w:trPr>
        <w:tc>
          <w:tcPr>
            <w:tcW w:w="16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gridSpan w:val="4"/>
          </w:tcPr>
          <w:p>
            <w:pPr>
              <w:jc w:val="right"/>
              <w:ind w:right="642"/>
              <w:spacing w:after="0"/>
              <w:rPr>
                <w:sz w:val="20"/>
                <w:szCs w:val="20"/>
                <w:color w:val="auto"/>
              </w:rPr>
            </w:pPr>
            <w:r>
              <w:rPr>
                <w:rFonts w:ascii="Arial" w:cs="Arial" w:eastAsia="Arial" w:hAnsi="Arial"/>
                <w:sz w:val="16"/>
                <w:szCs w:val="16"/>
                <w:b w:val="1"/>
                <w:bCs w:val="1"/>
                <w:color w:val="auto"/>
              </w:rPr>
              <w:t>(In millions)</w:t>
            </w:r>
          </w:p>
        </w:tc>
        <w:tc>
          <w:tcPr>
            <w:tcW w:w="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880" w:type="dxa"/>
            <w:vAlign w:val="bottom"/>
          </w:tcPr>
          <w:p>
            <w:pPr>
              <w:jc w:val="right"/>
              <w:spacing w:after="0"/>
              <w:rPr>
                <w:sz w:val="20"/>
                <w:szCs w:val="20"/>
                <w:color w:val="auto"/>
              </w:rPr>
            </w:pPr>
            <w:r>
              <w:rPr>
                <w:rFonts w:ascii="Arial" w:cs="Arial" w:eastAsia="Arial" w:hAnsi="Arial"/>
                <w:sz w:val="16"/>
                <w:szCs w:val="16"/>
                <w:color w:val="auto"/>
              </w:rPr>
              <w:t>(3,583)</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2"/>
              <w:spacing w:after="0"/>
              <w:rPr>
                <w:sz w:val="20"/>
                <w:szCs w:val="20"/>
                <w:color w:val="auto"/>
              </w:rPr>
            </w:pPr>
            <w:r>
              <w:rPr>
                <w:rFonts w:ascii="Arial" w:cs="Arial" w:eastAsia="Arial" w:hAnsi="Arial"/>
                <w:sz w:val="16"/>
                <w:szCs w:val="16"/>
                <w:color w:val="auto"/>
              </w:rPr>
              <w:t>763</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(48)</w:t>
            </w:r>
          </w:p>
        </w:tc>
        <w:tc>
          <w:tcPr>
            <w:tcW w:w="3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(2)</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(2,870)</w:t>
            </w:r>
          </w:p>
        </w:tc>
        <w:tc>
          <w:tcPr>
            <w:tcW w:w="0" w:type="dxa"/>
            <w:vAlign w:val="bottom"/>
          </w:tcPr>
          <w:p>
            <w:pPr>
              <w:spacing w:after="0"/>
              <w:rPr>
                <w:sz w:val="1"/>
                <w:szCs w:val="1"/>
                <w:color w:val="auto"/>
              </w:rPr>
            </w:pPr>
          </w:p>
        </w:tc>
      </w:tr>
      <w:tr>
        <w:trPr>
          <w:trHeight w:val="250"/>
        </w:trPr>
        <w:tc>
          <w:tcPr>
            <w:tcW w:w="160" w:type="dxa"/>
            <w:vAlign w:val="bottom"/>
          </w:tcPr>
          <w:p>
            <w:pPr>
              <w:spacing w:after="0"/>
              <w:rPr>
                <w:sz w:val="21"/>
                <w:szCs w:val="21"/>
                <w:color w:val="auto"/>
              </w:rPr>
            </w:pPr>
          </w:p>
        </w:tc>
        <w:tc>
          <w:tcPr>
            <w:tcW w:w="1880" w:type="dxa"/>
            <w:vAlign w:val="bottom"/>
          </w:tcPr>
          <w:p>
            <w:pPr>
              <w:jc w:val="right"/>
              <w:spacing w:after="0"/>
              <w:rPr>
                <w:sz w:val="20"/>
                <w:szCs w:val="20"/>
                <w:color w:val="auto"/>
              </w:rPr>
            </w:pPr>
            <w:r>
              <w:rPr>
                <w:rFonts w:ascii="Arial" w:cs="Arial" w:eastAsia="Arial" w:hAnsi="Arial"/>
                <w:sz w:val="16"/>
                <w:szCs w:val="16"/>
                <w:color w:val="auto"/>
              </w:rPr>
              <w:t>137</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(11)</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jc w:val="right"/>
              <w:ind w:right="2"/>
              <w:spacing w:after="0"/>
              <w:rPr>
                <w:sz w:val="20"/>
                <w:szCs w:val="20"/>
                <w:color w:val="auto"/>
              </w:rPr>
            </w:pPr>
            <w:r>
              <w:rPr>
                <w:rFonts w:ascii="Arial" w:cs="Arial" w:eastAsia="Arial" w:hAnsi="Arial"/>
                <w:sz w:val="16"/>
                <w:szCs w:val="16"/>
                <w:color w:val="auto"/>
              </w:rPr>
              <w:t>126</w:t>
            </w:r>
          </w:p>
        </w:tc>
        <w:tc>
          <w:tcPr>
            <w:tcW w:w="0" w:type="dxa"/>
            <w:vAlign w:val="bottom"/>
          </w:tcPr>
          <w:p>
            <w:pPr>
              <w:spacing w:after="0"/>
              <w:rPr>
                <w:sz w:val="1"/>
                <w:szCs w:val="1"/>
                <w:color w:val="auto"/>
              </w:rPr>
            </w:pPr>
          </w:p>
        </w:tc>
      </w:tr>
      <w:tr>
        <w:trPr>
          <w:trHeight w:val="279"/>
        </w:trPr>
        <w:tc>
          <w:tcPr>
            <w:tcW w:w="160" w:type="dxa"/>
            <w:vAlign w:val="bottom"/>
          </w:tcPr>
          <w:p>
            <w:pPr>
              <w:spacing w:after="0"/>
              <w:rPr>
                <w:sz w:val="24"/>
                <w:szCs w:val="24"/>
                <w:color w:val="auto"/>
              </w:rPr>
            </w:pPr>
          </w:p>
        </w:tc>
        <w:tc>
          <w:tcPr>
            <w:tcW w:w="1880" w:type="dxa"/>
            <w:vAlign w:val="bottom"/>
          </w:tcPr>
          <w:p>
            <w:pPr>
              <w:jc w:val="right"/>
              <w:spacing w:after="0"/>
              <w:rPr>
                <w:sz w:val="20"/>
                <w:szCs w:val="20"/>
                <w:color w:val="auto"/>
              </w:rPr>
            </w:pPr>
            <w:r>
              <w:rPr>
                <w:rFonts w:ascii="Arial" w:cs="Arial" w:eastAsia="Arial" w:hAnsi="Arial"/>
                <w:sz w:val="16"/>
                <w:szCs w:val="16"/>
                <w:color w:val="auto"/>
              </w:rPr>
              <w:t>961</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(189)</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(34)</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21</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jc w:val="right"/>
              <w:ind w:right="2"/>
              <w:spacing w:after="0"/>
              <w:rPr>
                <w:sz w:val="20"/>
                <w:szCs w:val="20"/>
                <w:color w:val="auto"/>
              </w:rPr>
            </w:pPr>
            <w:r>
              <w:rPr>
                <w:rFonts w:ascii="Arial" w:cs="Arial" w:eastAsia="Arial" w:hAnsi="Arial"/>
                <w:sz w:val="16"/>
                <w:szCs w:val="16"/>
                <w:color w:val="auto"/>
              </w:rPr>
              <w:t>759</w:t>
            </w:r>
          </w:p>
        </w:tc>
        <w:tc>
          <w:tcPr>
            <w:tcW w:w="0" w:type="dxa"/>
            <w:vAlign w:val="bottom"/>
          </w:tcPr>
          <w:p>
            <w:pPr>
              <w:spacing w:after="0"/>
              <w:rPr>
                <w:sz w:val="1"/>
                <w:szCs w:val="1"/>
                <w:color w:val="auto"/>
              </w:rPr>
            </w:pPr>
          </w:p>
        </w:tc>
      </w:tr>
      <w:tr>
        <w:trPr>
          <w:trHeight w:val="316"/>
        </w:trPr>
        <w:tc>
          <w:tcPr>
            <w:tcW w:w="16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(170)</w:t>
            </w:r>
          </w:p>
        </w:tc>
        <w:tc>
          <w:tcPr>
            <w:tcW w:w="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31</w:t>
            </w:r>
          </w:p>
        </w:tc>
        <w:tc>
          <w:tcPr>
            <w:tcW w:w="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6</w:t>
            </w:r>
          </w:p>
        </w:tc>
        <w:tc>
          <w:tcPr>
            <w:tcW w:w="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(134)</w:t>
            </w:r>
          </w:p>
        </w:tc>
        <w:tc>
          <w:tcPr>
            <w:tcW w:w="0" w:type="dxa"/>
            <w:vAlign w:val="bottom"/>
          </w:tcPr>
          <w:p>
            <w:pPr>
              <w:spacing w:after="0"/>
              <w:rPr>
                <w:sz w:val="1"/>
                <w:szCs w:val="1"/>
                <w:color w:val="auto"/>
              </w:rPr>
            </w:pPr>
          </w:p>
        </w:tc>
      </w:tr>
      <w:tr>
        <w:trPr>
          <w:trHeight w:val="282"/>
        </w:trPr>
        <w:tc>
          <w:tcPr>
            <w:tcW w:w="160" w:type="dxa"/>
            <w:vAlign w:val="bottom"/>
          </w:tcPr>
          <w:p>
            <w:pPr>
              <w:spacing w:after="0"/>
              <w:rPr>
                <w:sz w:val="24"/>
                <w:szCs w:val="24"/>
                <w:color w:val="auto"/>
              </w:rPr>
            </w:pPr>
          </w:p>
        </w:tc>
        <w:tc>
          <w:tcPr>
            <w:tcW w:w="1880" w:type="dxa"/>
            <w:vAlign w:val="bottom"/>
          </w:tcPr>
          <w:p>
            <w:pPr>
              <w:jc w:val="right"/>
              <w:spacing w:after="0"/>
              <w:rPr>
                <w:sz w:val="20"/>
                <w:szCs w:val="20"/>
                <w:color w:val="auto"/>
              </w:rPr>
            </w:pPr>
            <w:r>
              <w:rPr>
                <w:rFonts w:ascii="Arial" w:cs="Arial" w:eastAsia="Arial" w:hAnsi="Arial"/>
                <w:sz w:val="16"/>
                <w:szCs w:val="16"/>
                <w:color w:val="auto"/>
              </w:rPr>
              <w:t>(2,655)</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jc w:val="right"/>
              <w:ind w:right="2"/>
              <w:spacing w:after="0"/>
              <w:rPr>
                <w:sz w:val="20"/>
                <w:szCs w:val="20"/>
                <w:color w:val="auto"/>
              </w:rPr>
            </w:pPr>
            <w:r>
              <w:rPr>
                <w:rFonts w:ascii="Arial" w:cs="Arial" w:eastAsia="Arial" w:hAnsi="Arial"/>
                <w:sz w:val="16"/>
                <w:szCs w:val="16"/>
                <w:color w:val="auto"/>
              </w:rPr>
              <w:t>605</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(76)</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7</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(2,119)</w:t>
            </w:r>
          </w:p>
        </w:tc>
        <w:tc>
          <w:tcPr>
            <w:tcW w:w="0" w:type="dxa"/>
            <w:vAlign w:val="bottom"/>
          </w:tcPr>
          <w:p>
            <w:pPr>
              <w:spacing w:after="0"/>
              <w:rPr>
                <w:sz w:val="1"/>
                <w:szCs w:val="1"/>
                <w:color w:val="auto"/>
              </w:rPr>
            </w:pPr>
          </w:p>
        </w:tc>
      </w:tr>
      <w:tr>
        <w:trPr>
          <w:trHeight w:val="250"/>
        </w:trPr>
        <w:tc>
          <w:tcPr>
            <w:tcW w:w="160" w:type="dxa"/>
            <w:vAlign w:val="bottom"/>
          </w:tcPr>
          <w:p>
            <w:pPr>
              <w:spacing w:after="0"/>
              <w:rPr>
                <w:sz w:val="21"/>
                <w:szCs w:val="21"/>
                <w:color w:val="auto"/>
              </w:rPr>
            </w:pPr>
          </w:p>
        </w:tc>
        <w:tc>
          <w:tcPr>
            <w:tcW w:w="1880" w:type="dxa"/>
            <w:vAlign w:val="bottom"/>
          </w:tcPr>
          <w:p>
            <w:pPr>
              <w:jc w:val="right"/>
              <w:spacing w:after="0"/>
              <w:rPr>
                <w:sz w:val="20"/>
                <w:szCs w:val="20"/>
                <w:color w:val="auto"/>
              </w:rPr>
            </w:pPr>
            <w:r>
              <w:rPr>
                <w:rFonts w:ascii="Arial" w:cs="Arial" w:eastAsia="Arial" w:hAnsi="Arial"/>
                <w:sz w:val="16"/>
                <w:szCs w:val="16"/>
                <w:color w:val="auto"/>
              </w:rPr>
              <w:t>3</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(11)</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79"/>
        </w:trPr>
        <w:tc>
          <w:tcPr>
            <w:tcW w:w="160" w:type="dxa"/>
            <w:vAlign w:val="bottom"/>
          </w:tcPr>
          <w:p>
            <w:pPr>
              <w:spacing w:after="0"/>
              <w:rPr>
                <w:sz w:val="24"/>
                <w:szCs w:val="24"/>
                <w:color w:val="auto"/>
              </w:rPr>
            </w:pPr>
          </w:p>
        </w:tc>
        <w:tc>
          <w:tcPr>
            <w:tcW w:w="1880" w:type="dxa"/>
            <w:vAlign w:val="bottom"/>
          </w:tcPr>
          <w:p>
            <w:pPr>
              <w:jc w:val="right"/>
              <w:spacing w:after="0"/>
              <w:rPr>
                <w:sz w:val="20"/>
                <w:szCs w:val="20"/>
                <w:color w:val="auto"/>
              </w:rPr>
            </w:pPr>
            <w:r>
              <w:rPr>
                <w:rFonts w:ascii="Arial" w:cs="Arial" w:eastAsia="Arial" w:hAnsi="Arial"/>
                <w:sz w:val="16"/>
                <w:szCs w:val="16"/>
                <w:color w:val="auto"/>
              </w:rPr>
              <w:t>(157)</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jc w:val="right"/>
              <w:ind w:right="2"/>
              <w:spacing w:after="0"/>
              <w:rPr>
                <w:sz w:val="20"/>
                <w:szCs w:val="20"/>
                <w:color w:val="auto"/>
              </w:rPr>
            </w:pPr>
            <w:r>
              <w:rPr>
                <w:rFonts w:ascii="Arial" w:cs="Arial" w:eastAsia="Arial" w:hAnsi="Arial"/>
                <w:sz w:val="16"/>
                <w:szCs w:val="16"/>
                <w:color w:val="auto"/>
              </w:rPr>
              <w:t>224</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jc w:val="right"/>
              <w:ind w:right="2"/>
              <w:spacing w:after="0"/>
              <w:rPr>
                <w:sz w:val="20"/>
                <w:szCs w:val="20"/>
                <w:color w:val="auto"/>
              </w:rPr>
            </w:pPr>
            <w:r>
              <w:rPr>
                <w:rFonts w:ascii="Arial" w:cs="Arial" w:eastAsia="Arial" w:hAnsi="Arial"/>
                <w:sz w:val="16"/>
                <w:szCs w:val="16"/>
                <w:color w:val="auto"/>
              </w:rPr>
              <w:t>5</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10</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jc w:val="right"/>
              <w:ind w:right="2"/>
              <w:spacing w:after="0"/>
              <w:rPr>
                <w:sz w:val="20"/>
                <w:szCs w:val="20"/>
                <w:color w:val="auto"/>
              </w:rPr>
            </w:pPr>
            <w:r>
              <w:rPr>
                <w:rFonts w:ascii="Arial" w:cs="Arial" w:eastAsia="Arial" w:hAnsi="Arial"/>
                <w:sz w:val="16"/>
                <w:szCs w:val="16"/>
                <w:color w:val="auto"/>
              </w:rPr>
              <w:t>82</w:t>
            </w:r>
          </w:p>
        </w:tc>
        <w:tc>
          <w:tcPr>
            <w:tcW w:w="0" w:type="dxa"/>
            <w:vAlign w:val="bottom"/>
          </w:tcPr>
          <w:p>
            <w:pPr>
              <w:spacing w:after="0"/>
              <w:rPr>
                <w:sz w:val="1"/>
                <w:szCs w:val="1"/>
                <w:color w:val="auto"/>
              </w:rPr>
            </w:pPr>
          </w:p>
        </w:tc>
      </w:tr>
      <w:tr>
        <w:trPr>
          <w:trHeight w:val="301"/>
        </w:trPr>
        <w:tc>
          <w:tcPr>
            <w:tcW w:w="16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w:t>
            </w:r>
          </w:p>
        </w:tc>
        <w:tc>
          <w:tcPr>
            <w:tcW w:w="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w:t>
            </w:r>
          </w:p>
        </w:tc>
        <w:tc>
          <w:tcPr>
            <w:tcW w:w="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67"/>
        </w:trPr>
        <w:tc>
          <w:tcPr>
            <w:tcW w:w="160" w:type="dxa"/>
            <w:vAlign w:val="bottom"/>
          </w:tcPr>
          <w:p>
            <w:pPr>
              <w:spacing w:after="0"/>
              <w:rPr>
                <w:sz w:val="23"/>
                <w:szCs w:val="23"/>
                <w:color w:val="auto"/>
              </w:rPr>
            </w:pPr>
          </w:p>
        </w:tc>
        <w:tc>
          <w:tcPr>
            <w:tcW w:w="1880" w:type="dxa"/>
            <w:vAlign w:val="bottom"/>
          </w:tcPr>
          <w:p>
            <w:pPr>
              <w:jc w:val="right"/>
              <w:spacing w:after="0"/>
              <w:rPr>
                <w:sz w:val="20"/>
                <w:szCs w:val="20"/>
                <w:color w:val="auto"/>
              </w:rPr>
            </w:pPr>
            <w:r>
              <w:rPr>
                <w:rFonts w:ascii="Arial" w:cs="Arial" w:eastAsia="Arial" w:hAnsi="Arial"/>
                <w:sz w:val="16"/>
                <w:szCs w:val="16"/>
                <w:color w:val="auto"/>
              </w:rPr>
              <w:t>(2,795)</w:t>
            </w: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tcPr>
          <w:p>
            <w:pPr>
              <w:jc w:val="right"/>
              <w:ind w:right="2"/>
              <w:spacing w:after="0"/>
              <w:rPr>
                <w:sz w:val="20"/>
                <w:szCs w:val="20"/>
                <w:color w:val="auto"/>
              </w:rPr>
            </w:pPr>
            <w:r>
              <w:rPr>
                <w:rFonts w:ascii="Arial" w:cs="Arial" w:eastAsia="Arial" w:hAnsi="Arial"/>
                <w:sz w:val="16"/>
                <w:szCs w:val="16"/>
                <w:color w:val="auto"/>
              </w:rPr>
              <w:t>808</w:t>
            </w: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(71)</w:t>
            </w:r>
          </w:p>
        </w:tc>
        <w:tc>
          <w:tcPr>
            <w:tcW w:w="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6</w:t>
            </w: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(2,052)</w:t>
            </w:r>
          </w:p>
        </w:tc>
        <w:tc>
          <w:tcPr>
            <w:tcW w:w="0" w:type="dxa"/>
            <w:vAlign w:val="bottom"/>
          </w:tcPr>
          <w:p>
            <w:pPr>
              <w:spacing w:after="0"/>
              <w:rPr>
                <w:sz w:val="1"/>
                <w:szCs w:val="1"/>
                <w:color w:val="auto"/>
              </w:rPr>
            </w:pPr>
          </w:p>
        </w:tc>
      </w:tr>
      <w:tr>
        <w:trPr>
          <w:trHeight w:val="294"/>
        </w:trPr>
        <w:tc>
          <w:tcPr>
            <w:tcW w:w="160" w:type="dxa"/>
            <w:vAlign w:val="bottom"/>
          </w:tcPr>
          <w:p>
            <w:pPr>
              <w:spacing w:after="0"/>
              <w:rPr>
                <w:sz w:val="24"/>
                <w:szCs w:val="24"/>
                <w:color w:val="auto"/>
              </w:rPr>
            </w:pPr>
          </w:p>
        </w:tc>
        <w:tc>
          <w:tcPr>
            <w:tcW w:w="1880" w:type="dxa"/>
            <w:vAlign w:val="bottom"/>
          </w:tcPr>
          <w:p>
            <w:pPr>
              <w:jc w:val="right"/>
              <w:spacing w:after="0"/>
              <w:rPr>
                <w:sz w:val="20"/>
                <w:szCs w:val="20"/>
                <w:color w:val="auto"/>
              </w:rPr>
            </w:pPr>
            <w:r>
              <w:rPr>
                <w:rFonts w:ascii="Arial" w:cs="Arial" w:eastAsia="Arial" w:hAnsi="Arial"/>
                <w:sz w:val="16"/>
                <w:szCs w:val="16"/>
                <w:color w:val="auto"/>
              </w:rPr>
              <w:t>12</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(58)</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(46)</w:t>
            </w:r>
          </w:p>
        </w:tc>
        <w:tc>
          <w:tcPr>
            <w:tcW w:w="0" w:type="dxa"/>
            <w:vAlign w:val="bottom"/>
          </w:tcPr>
          <w:p>
            <w:pPr>
              <w:spacing w:after="0"/>
              <w:rPr>
                <w:sz w:val="1"/>
                <w:szCs w:val="1"/>
                <w:color w:val="auto"/>
              </w:rPr>
            </w:pPr>
          </w:p>
        </w:tc>
      </w:tr>
      <w:tr>
        <w:trPr>
          <w:trHeight w:val="294"/>
        </w:trPr>
        <w:tc>
          <w:tcPr>
            <w:tcW w:w="160" w:type="dxa"/>
            <w:vAlign w:val="bottom"/>
          </w:tcPr>
          <w:p>
            <w:pPr>
              <w:spacing w:after="0"/>
              <w:rPr>
                <w:sz w:val="24"/>
                <w:szCs w:val="24"/>
                <w:color w:val="auto"/>
              </w:rPr>
            </w:pPr>
          </w:p>
        </w:tc>
        <w:tc>
          <w:tcPr>
            <w:tcW w:w="1880" w:type="dxa"/>
            <w:vAlign w:val="bottom"/>
          </w:tcPr>
          <w:p>
            <w:pPr>
              <w:jc w:val="right"/>
              <w:spacing w:after="0"/>
              <w:rPr>
                <w:sz w:val="20"/>
                <w:szCs w:val="20"/>
                <w:color w:val="auto"/>
              </w:rPr>
            </w:pPr>
            <w:r>
              <w:rPr>
                <w:rFonts w:ascii="Arial" w:cs="Arial" w:eastAsia="Arial" w:hAnsi="Arial"/>
                <w:sz w:val="16"/>
                <w:szCs w:val="16"/>
                <w:color w:val="auto"/>
              </w:rPr>
              <w:t>711</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(235)</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(24)</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25</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jc w:val="right"/>
              <w:ind w:right="2"/>
              <w:spacing w:after="0"/>
              <w:rPr>
                <w:sz w:val="20"/>
                <w:szCs w:val="20"/>
                <w:color w:val="auto"/>
              </w:rPr>
            </w:pPr>
            <w:r>
              <w:rPr>
                <w:rFonts w:ascii="Arial" w:cs="Arial" w:eastAsia="Arial" w:hAnsi="Arial"/>
                <w:sz w:val="16"/>
                <w:szCs w:val="16"/>
                <w:color w:val="auto"/>
              </w:rPr>
              <w:t>477</w:t>
            </w:r>
          </w:p>
        </w:tc>
        <w:tc>
          <w:tcPr>
            <w:tcW w:w="0" w:type="dxa"/>
            <w:vAlign w:val="bottom"/>
          </w:tcPr>
          <w:p>
            <w:pPr>
              <w:spacing w:after="0"/>
              <w:rPr>
                <w:sz w:val="1"/>
                <w:szCs w:val="1"/>
                <w:color w:val="auto"/>
              </w:rPr>
            </w:pPr>
          </w:p>
        </w:tc>
      </w:tr>
      <w:tr>
        <w:trPr>
          <w:trHeight w:val="294"/>
        </w:trPr>
        <w:tc>
          <w:tcPr>
            <w:tcW w:w="160" w:type="dxa"/>
            <w:vAlign w:val="bottom"/>
          </w:tcPr>
          <w:p>
            <w:pPr>
              <w:spacing w:after="0"/>
              <w:rPr>
                <w:sz w:val="24"/>
                <w:szCs w:val="24"/>
                <w:color w:val="auto"/>
              </w:rPr>
            </w:pPr>
          </w:p>
        </w:tc>
        <w:tc>
          <w:tcPr>
            <w:tcW w:w="1880" w:type="dxa"/>
            <w:vAlign w:val="bottom"/>
          </w:tcPr>
          <w:p>
            <w:pPr>
              <w:jc w:val="right"/>
              <w:spacing w:after="0"/>
              <w:rPr>
                <w:sz w:val="20"/>
                <w:szCs w:val="20"/>
                <w:color w:val="auto"/>
              </w:rPr>
            </w:pPr>
            <w:r>
              <w:rPr>
                <w:rFonts w:ascii="Arial" w:cs="Arial" w:eastAsia="Arial" w:hAnsi="Arial"/>
                <w:sz w:val="16"/>
                <w:szCs w:val="16"/>
                <w:color w:val="auto"/>
              </w:rPr>
              <w:t>16</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jc w:val="right"/>
              <w:ind w:right="2"/>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301"/>
        </w:trPr>
        <w:tc>
          <w:tcPr>
            <w:tcW w:w="16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(116)</w:t>
            </w:r>
          </w:p>
        </w:tc>
        <w:tc>
          <w:tcPr>
            <w:tcW w:w="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40</w:t>
            </w:r>
          </w:p>
        </w:tc>
        <w:tc>
          <w:tcPr>
            <w:tcW w:w="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4</w:t>
            </w:r>
          </w:p>
        </w:tc>
        <w:tc>
          <w:tcPr>
            <w:tcW w:w="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(73)</w:t>
            </w:r>
          </w:p>
        </w:tc>
        <w:tc>
          <w:tcPr>
            <w:tcW w:w="0" w:type="dxa"/>
            <w:vAlign w:val="bottom"/>
          </w:tcPr>
          <w:p>
            <w:pPr>
              <w:spacing w:after="0"/>
              <w:rPr>
                <w:sz w:val="1"/>
                <w:szCs w:val="1"/>
                <w:color w:val="auto"/>
              </w:rPr>
            </w:pPr>
          </w:p>
        </w:tc>
      </w:tr>
      <w:tr>
        <w:trPr>
          <w:trHeight w:val="254"/>
        </w:trPr>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880" w:type="dxa"/>
            <w:vAlign w:val="bottom"/>
          </w:tcPr>
          <w:p>
            <w:pPr>
              <w:jc w:val="right"/>
              <w:spacing w:after="0"/>
              <w:rPr>
                <w:sz w:val="20"/>
                <w:szCs w:val="20"/>
                <w:color w:val="auto"/>
              </w:rPr>
            </w:pPr>
            <w:r>
              <w:rPr>
                <w:rFonts w:ascii="Arial" w:cs="Arial" w:eastAsia="Arial" w:hAnsi="Arial"/>
                <w:sz w:val="16"/>
                <w:szCs w:val="16"/>
                <w:color w:val="auto"/>
              </w:rPr>
              <w:t>(2,172)</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2"/>
              <w:spacing w:after="0"/>
              <w:rPr>
                <w:sz w:val="20"/>
                <w:szCs w:val="20"/>
                <w:color w:val="auto"/>
              </w:rPr>
            </w:pPr>
            <w:r>
              <w:rPr>
                <w:rFonts w:ascii="Arial" w:cs="Arial" w:eastAsia="Arial" w:hAnsi="Arial"/>
                <w:sz w:val="16"/>
                <w:szCs w:val="16"/>
                <w:color w:val="auto"/>
              </w:rPr>
              <w:t>613</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(91)</w:t>
            </w:r>
          </w:p>
        </w:tc>
        <w:tc>
          <w:tcPr>
            <w:tcW w:w="3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(28)</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(1,678)</w:t>
            </w:r>
          </w:p>
        </w:tc>
        <w:tc>
          <w:tcPr>
            <w:tcW w:w="0" w:type="dxa"/>
            <w:vAlign w:val="bottom"/>
          </w:tcPr>
          <w:p>
            <w:pPr>
              <w:spacing w:after="0"/>
              <w:rPr>
                <w:sz w:val="1"/>
                <w:szCs w:val="1"/>
                <w:color w:val="auto"/>
              </w:rPr>
            </w:pPr>
          </w:p>
        </w:tc>
      </w:tr>
      <w:tr>
        <w:trPr>
          <w:trHeight w:val="20"/>
        </w:trPr>
        <w:tc>
          <w:tcPr>
            <w:tcW w:w="160" w:type="dxa"/>
            <w:vAlign w:val="bottom"/>
            <w:tcBorders>
              <w:top w:val="single" w:sz="8" w:color="auto"/>
              <w:bottom w:val="single" w:sz="8" w:color="auto"/>
            </w:tcBorders>
          </w:tcPr>
          <w:p>
            <w:pPr>
              <w:spacing w:after="0" w:line="20" w:lineRule="exact"/>
              <w:rPr>
                <w:sz w:val="1"/>
                <w:szCs w:val="1"/>
                <w:color w:val="auto"/>
              </w:rPr>
            </w:pPr>
          </w:p>
        </w:tc>
        <w:tc>
          <w:tcPr>
            <w:tcW w:w="1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-1569720</wp:posOffset>
            </wp:positionH>
            <wp:positionV relativeFrom="paragraph">
              <wp:posOffset>-2401570</wp:posOffset>
            </wp:positionV>
            <wp:extent cx="6391275" cy="24085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75">
                      <a:extLst>
                        <a:ext uri="{28A0092B-C50C-407E-A947-70E740481C1C}"/>
                      </a:extLst>
                    </a:blip>
                    <a:srcRect/>
                    <a:stretch>
                      <a:fillRect/>
                    </a:stretch>
                  </pic:blipFill>
                  <pic:spPr bwMode="auto">
                    <a:xfrm>
                      <a:off x="0" y="0"/>
                      <a:ext cx="6391275" cy="2408555"/>
                    </a:xfrm>
                    <a:prstGeom prst="rect">
                      <a:avLst/>
                    </a:prstGeom>
                    <a:noFill/>
                  </pic:spPr>
                </pic:pic>
              </a:graphicData>
            </a:graphic>
          </wp:anchor>
        </w:drawing>
      </w:r>
    </w:p>
    <w:p>
      <w:pPr>
        <w:spacing w:after="0" w:line="157" w:lineRule="exact"/>
        <w:rPr>
          <w:sz w:val="20"/>
          <w:szCs w:val="20"/>
          <w:color w:val="auto"/>
        </w:rPr>
      </w:pPr>
    </w:p>
    <w:p>
      <w:pPr>
        <w:sectPr>
          <w:pgSz w:w="11880" w:h="15480" w:orient="portrait"/>
          <w:cols w:equalWidth="0" w:num="2">
            <w:col w:w="2200" w:space="260"/>
            <w:col w:w="7580"/>
          </w:cols>
          <w:pgMar w:left="920" w:top="772" w:right="920" w:bottom="0" w:gutter="0" w:footer="0" w:header="0"/>
          <w:type w:val="continuous"/>
        </w:sectPr>
      </w:pPr>
    </w:p>
    <w:p>
      <w:pPr>
        <w:spacing w:after="0"/>
        <w:rPr>
          <w:sz w:val="20"/>
          <w:szCs w:val="20"/>
          <w:color w:val="auto"/>
        </w:rPr>
      </w:pPr>
      <w:r>
        <w:rPr>
          <w:rFonts w:ascii="Arial" w:cs="Arial" w:eastAsia="Arial" w:hAnsi="Arial"/>
          <w:sz w:val="20"/>
          <w:szCs w:val="20"/>
          <w:b w:val="1"/>
          <w:bCs w:val="1"/>
          <w:i w:val="1"/>
          <w:iCs w:val="1"/>
          <w:color w:val="auto"/>
        </w:rPr>
        <w:t>Management Estimates</w:t>
      </w:r>
    </w:p>
    <w:p>
      <w:pPr>
        <w:spacing w:after="0" w:line="130" w:lineRule="exact"/>
        <w:rPr>
          <w:sz w:val="20"/>
          <w:szCs w:val="20"/>
          <w:color w:val="auto"/>
        </w:rPr>
      </w:pPr>
    </w:p>
    <w:p>
      <w:pPr>
        <w:jc w:val="both"/>
        <w:ind w:firstLine="353"/>
        <w:spacing w:after="0" w:line="254" w:lineRule="auto"/>
        <w:rPr>
          <w:sz w:val="20"/>
          <w:szCs w:val="20"/>
          <w:color w:val="auto"/>
        </w:rPr>
      </w:pPr>
      <w:r>
        <w:rPr>
          <w:rFonts w:ascii="Arial" w:cs="Arial" w:eastAsia="Arial" w:hAnsi="Arial"/>
          <w:sz w:val="20"/>
          <w:szCs w:val="20"/>
          <w:color w:val="auto"/>
        </w:rPr>
        <w:t>The preparation of these Consolidated Financial Statements in conformity with GAAP requires us to make estimates and assumptions that affect the reported amounts of assets and liabilities and disclosure of contingent assets and liabilities at the date of the Consolidated Financial Statements and the reported amounts of revenues and expenses during the reporting period. Actual results could differ from those estimates.</w:t>
      </w:r>
    </w:p>
    <w:p>
      <w:pPr>
        <w:spacing w:after="0" w:line="85" w:lineRule="exact"/>
        <w:rPr>
          <w:sz w:val="20"/>
          <w:szCs w:val="20"/>
          <w:color w:val="auto"/>
        </w:rPr>
      </w:pPr>
    </w:p>
    <w:p>
      <w:pPr>
        <w:jc w:val="both"/>
        <w:ind w:firstLine="353"/>
        <w:spacing w:after="0" w:line="361" w:lineRule="auto"/>
        <w:rPr>
          <w:sz w:val="20"/>
          <w:szCs w:val="20"/>
          <w:color w:val="auto"/>
        </w:rPr>
      </w:pPr>
      <w:r>
        <w:rPr>
          <w:rFonts w:ascii="Arial" w:cs="Arial" w:eastAsia="Arial" w:hAnsi="Arial"/>
          <w:sz w:val="17"/>
          <w:szCs w:val="17"/>
          <w:color w:val="auto"/>
        </w:rPr>
        <w:t>Periodically, and at least annually, typically in the third quarter, we review the assumptions associated with reserves for policy benefits and product guarantees. During the third quarter and for the years ended December 31, 2025 and 2024, based on</w:t>
      </w:r>
    </w:p>
    <w:p>
      <w:pPr>
        <w:sectPr>
          <w:pgSz w:w="11880" w:h="15480" w:orient="portrait"/>
          <w:cols w:equalWidth="0" w:num="1">
            <w:col w:w="10040"/>
          </w:cols>
          <w:pgMar w:left="920" w:top="772" w:right="920" w:bottom="0" w:gutter="0" w:footer="0" w:header="0"/>
          <w:type w:val="continuous"/>
        </w:sect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119</w:t>
      </w:r>
    </w:p>
    <w:p>
      <w:pPr>
        <w:sectPr>
          <w:pgSz w:w="11880" w:h="15480" w:orient="portrait"/>
          <w:cols w:equalWidth="0" w:num="1">
            <w:col w:w="10040"/>
          </w:cols>
          <w:pgMar w:left="920" w:top="772" w:right="920" w:bottom="0" w:gutter="0" w:footer="0" w:header="0"/>
          <w:type w:val="continuous"/>
        </w:sectPr>
      </w:pPr>
    </w:p>
    <w:bookmarkStart w:id="131" w:name="page132"/>
    <w:bookmarkEnd w:id="131"/>
    <w:p>
      <w:pPr>
        <w:jc w:val="both"/>
        <w:spacing w:after="0" w:line="251" w:lineRule="auto"/>
        <w:rPr>
          <w:sz w:val="20"/>
          <w:szCs w:val="20"/>
          <w:color w:val="auto"/>
        </w:rPr>
      </w:pPr>
      <w:r>
        <w:rPr>
          <w:rFonts w:ascii="Arial" w:cs="Arial" w:eastAsia="Arial" w:hAnsi="Arial"/>
          <w:sz w:val="20"/>
          <w:szCs w:val="20"/>
          <w:color w:val="auto"/>
        </w:rPr>
        <w:t>policyholder behavior, experience and interest rate movements, we reflected updates to surrender assumptions for recent and expected near term policyholder behavior, as well as updated certain indexed annuities assumptions used to calculate the fair value of the embedded derivative component within Contractholder funds. These changes resulted in decreases in total benefits and other changes in policy reserves of approximately $20 million and $89 million for the years ended December 31, 2025 and 2024, respectively.</w:t>
      </w:r>
    </w:p>
    <w:p>
      <w:pPr>
        <w:spacing w:after="0" w:line="91" w:lineRule="exact"/>
        <w:rPr>
          <w:sz w:val="20"/>
          <w:szCs w:val="20"/>
          <w:color w:val="auto"/>
        </w:rPr>
      </w:pPr>
    </w:p>
    <w:p>
      <w:pPr>
        <w:jc w:val="both"/>
        <w:ind w:firstLine="353"/>
        <w:spacing w:after="0" w:line="271" w:lineRule="auto"/>
        <w:rPr>
          <w:sz w:val="20"/>
          <w:szCs w:val="20"/>
          <w:color w:val="auto"/>
        </w:rPr>
      </w:pPr>
      <w:r>
        <w:rPr>
          <w:rFonts w:ascii="Arial" w:cs="Arial" w:eastAsia="Arial" w:hAnsi="Arial"/>
          <w:sz w:val="19"/>
          <w:szCs w:val="19"/>
          <w:color w:val="auto"/>
        </w:rPr>
        <w:t>During the third quarter and for the year ended December 31, 2023, based on increases in interest rates and pricing changes, we updated certain indexed annuities assumptions to calculate the fair value of the embedded derivative component within the contractholder funds and also aligned reserves to actual policyholder behavior. These changes resulted in an increase in total benefits and other changes in policy reserves of approximately $73 million.</w:t>
      </w:r>
    </w:p>
    <w:p>
      <w:pPr>
        <w:spacing w:after="0" w:line="6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Reclassifications</w:t>
      </w:r>
    </w:p>
    <w:p>
      <w:pPr>
        <w:spacing w:after="0" w:line="128" w:lineRule="exact"/>
        <w:rPr>
          <w:sz w:val="20"/>
          <w:szCs w:val="20"/>
          <w:color w:val="auto"/>
        </w:rPr>
      </w:pPr>
    </w:p>
    <w:p>
      <w:pPr>
        <w:jc w:val="both"/>
        <w:ind w:firstLine="353"/>
        <w:spacing w:after="0" w:line="273" w:lineRule="auto"/>
        <w:rPr>
          <w:sz w:val="20"/>
          <w:szCs w:val="20"/>
          <w:color w:val="auto"/>
        </w:rPr>
      </w:pPr>
      <w:r>
        <w:rPr>
          <w:rFonts w:ascii="Arial" w:cs="Arial" w:eastAsia="Arial" w:hAnsi="Arial"/>
          <w:sz w:val="20"/>
          <w:szCs w:val="20"/>
          <w:color w:val="auto"/>
        </w:rPr>
        <w:t>Prior period amounts have been reclassified to conform with the current period presentation. Refer to “</w:t>
      </w:r>
      <w:r>
        <w:rPr>
          <w:rFonts w:ascii="Arial" w:cs="Arial" w:eastAsia="Arial" w:hAnsi="Arial"/>
          <w:sz w:val="20"/>
          <w:szCs w:val="20"/>
          <w:b w:val="1"/>
          <w:bCs w:val="1"/>
          <w:i w:val="1"/>
          <w:iCs w:val="1"/>
          <w:color w:val="auto"/>
        </w:rPr>
        <w:t>Funds Withheld</w:t>
      </w:r>
      <w:r>
        <w:rPr>
          <w:rFonts w:ascii="Arial" w:cs="Arial" w:eastAsia="Arial" w:hAnsi="Arial"/>
          <w:sz w:val="20"/>
          <w:szCs w:val="20"/>
          <w:color w:val="auto"/>
        </w:rPr>
        <w:t xml:space="preserve"> </w:t>
      </w:r>
      <w:r>
        <w:rPr>
          <w:rFonts w:ascii="Arial" w:cs="Arial" w:eastAsia="Arial" w:hAnsi="Arial"/>
          <w:sz w:val="20"/>
          <w:szCs w:val="20"/>
          <w:b w:val="1"/>
          <w:bCs w:val="1"/>
          <w:i w:val="1"/>
          <w:iCs w:val="1"/>
          <w:color w:val="auto"/>
        </w:rPr>
        <w:t>Arrangements</w:t>
      </w:r>
      <w:r>
        <w:rPr>
          <w:rFonts w:ascii="Arial" w:cs="Arial" w:eastAsia="Arial" w:hAnsi="Arial"/>
          <w:sz w:val="20"/>
          <w:szCs w:val="20"/>
          <w:color w:val="auto"/>
        </w:rPr>
        <w:t>” above for further information.</w:t>
      </w:r>
    </w:p>
    <w:p>
      <w:pPr>
        <w:spacing w:after="0" w:line="5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Owned Distribution Investments</w:t>
      </w:r>
    </w:p>
    <w:p>
      <w:pPr>
        <w:spacing w:after="0" w:line="130" w:lineRule="exact"/>
        <w:rPr>
          <w:sz w:val="20"/>
          <w:szCs w:val="20"/>
          <w:color w:val="auto"/>
        </w:rPr>
      </w:pPr>
    </w:p>
    <w:p>
      <w:pPr>
        <w:jc w:val="both"/>
        <w:ind w:firstLine="353"/>
        <w:spacing w:after="0" w:line="254" w:lineRule="auto"/>
        <w:rPr>
          <w:sz w:val="20"/>
          <w:szCs w:val="20"/>
          <w:color w:val="auto"/>
        </w:rPr>
      </w:pPr>
      <w:r>
        <w:rPr>
          <w:rFonts w:ascii="Arial" w:cs="Arial" w:eastAsia="Arial" w:hAnsi="Arial"/>
          <w:sz w:val="20"/>
          <w:szCs w:val="20"/>
          <w:color w:val="auto"/>
        </w:rPr>
        <w:t>For the years ended December 31, 2025, 2024, and 2023, we expensed approximately $55 million, $119 million, and $154 million in commissions on sales through our funded owned distribution investments and their affiliates, respectively, with the acquisition expense deferred and amortized in Depreciation and amortization on the accompanying Consolidated Statements of Earnings.</w:t>
      </w:r>
    </w:p>
    <w:p>
      <w:pPr>
        <w:spacing w:after="0" w:line="31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B — Summary of Reserve for Title Claim Losses</w:t>
      </w:r>
    </w:p>
    <w:p>
      <w:pPr>
        <w:spacing w:after="0" w:line="71" w:lineRule="exact"/>
        <w:rPr>
          <w:sz w:val="20"/>
          <w:szCs w:val="20"/>
          <w:color w:val="auto"/>
        </w:rPr>
      </w:pPr>
    </w:p>
    <w:p>
      <w:pPr>
        <w:ind w:left="400"/>
        <w:spacing w:after="0"/>
        <w:rPr>
          <w:sz w:val="20"/>
          <w:szCs w:val="20"/>
          <w:color w:val="auto"/>
        </w:rPr>
      </w:pPr>
      <w:r>
        <w:rPr>
          <w:rFonts w:ascii="Arial" w:cs="Arial" w:eastAsia="Arial" w:hAnsi="Arial"/>
          <w:sz w:val="20"/>
          <w:szCs w:val="20"/>
          <w:color w:val="auto"/>
        </w:rPr>
        <w:t>A summary of the reserve for title claim losses follows:</w:t>
      </w:r>
    </w:p>
    <w:p>
      <w:pPr>
        <w:spacing w:after="0" w:line="93" w:lineRule="exact"/>
        <w:rPr>
          <w:sz w:val="20"/>
          <w:szCs w:val="20"/>
          <w:color w:val="auto"/>
        </w:rPr>
      </w:pPr>
    </w:p>
    <w:tbl>
      <w:tblPr>
        <w:tblLayout w:type="fixed"/>
        <w:tblInd w:w="40" w:type="dxa"/>
        <w:tblCellMar>
          <w:top w:w="0" w:type="dxa"/>
          <w:left w:w="0" w:type="dxa"/>
          <w:bottom w:w="0" w:type="dxa"/>
          <w:right w:w="0" w:type="dxa"/>
        </w:tblCellMar>
      </w:tblPr>
      <w:tr>
        <w:trPr>
          <w:trHeight w:val="213"/>
        </w:trPr>
        <w:tc>
          <w:tcPr>
            <w:tcW w:w="60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660" w:type="dxa"/>
            <w:vAlign w:val="bottom"/>
            <w:tcBorders>
              <w:bottom w:val="single" w:sz="8" w:color="auto"/>
            </w:tcBorders>
            <w:gridSpan w:val="5"/>
          </w:tcPr>
          <w:p>
            <w:pPr>
              <w:jc w:val="center"/>
              <w:ind w:left="542"/>
              <w:spacing w:after="0"/>
              <w:rPr>
                <w:sz w:val="20"/>
                <w:szCs w:val="20"/>
                <w:color w:val="auto"/>
              </w:rPr>
            </w:pPr>
            <w:r>
              <w:rPr>
                <w:rFonts w:ascii="Arial" w:cs="Arial" w:eastAsia="Arial" w:hAnsi="Arial"/>
                <w:sz w:val="16"/>
                <w:szCs w:val="16"/>
                <w:b w:val="1"/>
                <w:bCs w:val="1"/>
                <w:color w:val="auto"/>
                <w:w w:val="89"/>
              </w:rPr>
              <w:t>Year Ended December 31,</w:t>
            </w:r>
          </w:p>
        </w:tc>
        <w:tc>
          <w:tcPr>
            <w:tcW w:w="8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r>
      <w:tr>
        <w:trPr>
          <w:trHeight w:val="230"/>
        </w:trPr>
        <w:tc>
          <w:tcPr>
            <w:tcW w:w="60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62"/>
              <w:spacing w:after="0"/>
              <w:rPr>
                <w:sz w:val="20"/>
                <w:szCs w:val="20"/>
                <w:color w:val="auto"/>
              </w:rPr>
            </w:pPr>
            <w:r>
              <w:rPr>
                <w:rFonts w:ascii="Arial" w:cs="Arial" w:eastAsia="Arial" w:hAnsi="Arial"/>
                <w:sz w:val="16"/>
                <w:szCs w:val="16"/>
                <w:b w:val="1"/>
                <w:bCs w:val="1"/>
                <w:color w:val="auto"/>
              </w:rPr>
              <w:t>2025</w:t>
            </w:r>
          </w:p>
        </w:tc>
        <w:tc>
          <w:tcPr>
            <w:tcW w:w="14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center"/>
              <w:ind w:right="102"/>
              <w:spacing w:after="0"/>
              <w:rPr>
                <w:sz w:val="20"/>
                <w:szCs w:val="20"/>
                <w:color w:val="auto"/>
              </w:rPr>
            </w:pPr>
            <w:r>
              <w:rPr>
                <w:rFonts w:ascii="Arial" w:cs="Arial" w:eastAsia="Arial" w:hAnsi="Arial"/>
                <w:sz w:val="16"/>
                <w:szCs w:val="16"/>
                <w:b w:val="1"/>
                <w:bCs w:val="1"/>
                <w:color w:val="auto"/>
                <w:w w:val="89"/>
              </w:rPr>
              <w:t>2024</w:t>
            </w:r>
          </w:p>
        </w:tc>
        <w:tc>
          <w:tcPr>
            <w:tcW w:w="5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62"/>
              <w:spacing w:after="0"/>
              <w:rPr>
                <w:sz w:val="20"/>
                <w:szCs w:val="20"/>
                <w:color w:val="auto"/>
              </w:rPr>
            </w:pPr>
            <w:r>
              <w:rPr>
                <w:rFonts w:ascii="Arial" w:cs="Arial" w:eastAsia="Arial" w:hAnsi="Arial"/>
                <w:sz w:val="16"/>
                <w:szCs w:val="16"/>
                <w:b w:val="1"/>
                <w:bCs w:val="1"/>
                <w:color w:val="auto"/>
              </w:rPr>
              <w:t>2023</w:t>
            </w:r>
          </w:p>
        </w:tc>
        <w:tc>
          <w:tcPr>
            <w:tcW w:w="140" w:type="dxa"/>
            <w:vAlign w:val="bottom"/>
            <w:tcBorders>
              <w:bottom w:val="single" w:sz="8" w:color="auto"/>
            </w:tcBorders>
          </w:tcPr>
          <w:p>
            <w:pPr>
              <w:spacing w:after="0"/>
              <w:rPr>
                <w:sz w:val="19"/>
                <w:szCs w:val="19"/>
                <w:color w:val="auto"/>
              </w:rPr>
            </w:pPr>
          </w:p>
        </w:tc>
      </w:tr>
      <w:tr>
        <w:trPr>
          <w:trHeight w:val="223"/>
        </w:trPr>
        <w:tc>
          <w:tcPr>
            <w:tcW w:w="60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80" w:type="dxa"/>
            <w:vAlign w:val="bottom"/>
            <w:gridSpan w:val="3"/>
          </w:tcPr>
          <w:p>
            <w:pPr>
              <w:jc w:val="center"/>
              <w:ind w:right="263"/>
              <w:spacing w:after="0"/>
              <w:rPr>
                <w:sz w:val="20"/>
                <w:szCs w:val="20"/>
                <w:color w:val="auto"/>
              </w:rPr>
            </w:pPr>
            <w:r>
              <w:rPr>
                <w:rFonts w:ascii="Arial" w:cs="Arial" w:eastAsia="Arial" w:hAnsi="Arial"/>
                <w:sz w:val="16"/>
                <w:szCs w:val="16"/>
                <w:b w:val="1"/>
                <w:bCs w:val="1"/>
                <w:color w:val="auto"/>
                <w:w w:val="90"/>
              </w:rPr>
              <w:t>(Dollars in millions)</w:t>
            </w:r>
          </w:p>
        </w:tc>
        <w:tc>
          <w:tcPr>
            <w:tcW w:w="80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294"/>
        </w:trPr>
        <w:tc>
          <w:tcPr>
            <w:tcW w:w="6080" w:type="dxa"/>
            <w:vAlign w:val="bottom"/>
          </w:tcPr>
          <w:p>
            <w:pPr>
              <w:spacing w:after="0"/>
              <w:rPr>
                <w:sz w:val="20"/>
                <w:szCs w:val="20"/>
                <w:color w:val="auto"/>
              </w:rPr>
            </w:pPr>
            <w:r>
              <w:rPr>
                <w:rFonts w:ascii="Arial" w:cs="Arial" w:eastAsia="Arial" w:hAnsi="Arial"/>
                <w:sz w:val="16"/>
                <w:szCs w:val="16"/>
                <w:color w:val="auto"/>
              </w:rPr>
              <w:t>Beginning balance</w:t>
            </w:r>
          </w:p>
        </w:tc>
        <w:tc>
          <w:tcPr>
            <w:tcW w:w="320" w:type="dxa"/>
            <w:vAlign w:val="bottom"/>
          </w:tcPr>
          <w:p>
            <w:pPr>
              <w:jc w:val="right"/>
              <w:ind w:right="102"/>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1,713</w:t>
            </w:r>
          </w:p>
        </w:tc>
        <w:tc>
          <w:tcPr>
            <w:tcW w:w="140" w:type="dxa"/>
            <w:vAlign w:val="bottom"/>
          </w:tcPr>
          <w:p>
            <w:pPr>
              <w:spacing w:after="0"/>
              <w:rPr>
                <w:sz w:val="24"/>
                <w:szCs w:val="24"/>
                <w:color w:val="auto"/>
              </w:rPr>
            </w:pPr>
          </w:p>
        </w:tc>
        <w:tc>
          <w:tcPr>
            <w:tcW w:w="320" w:type="dxa"/>
            <w:vAlign w:val="bottom"/>
          </w:tcPr>
          <w:p>
            <w:pPr>
              <w:jc w:val="right"/>
              <w:ind w:right="102"/>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1,770</w:t>
            </w:r>
          </w:p>
        </w:tc>
        <w:tc>
          <w:tcPr>
            <w:tcW w:w="500" w:type="dxa"/>
            <w:vAlign w:val="bottom"/>
          </w:tcPr>
          <w:p>
            <w:pPr>
              <w:jc w:val="right"/>
              <w:ind w:right="163"/>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1,810</w:t>
            </w:r>
          </w:p>
        </w:tc>
        <w:tc>
          <w:tcPr>
            <w:tcW w:w="140" w:type="dxa"/>
            <w:vAlign w:val="bottom"/>
          </w:tcPr>
          <w:p>
            <w:pPr>
              <w:spacing w:after="0"/>
              <w:rPr>
                <w:sz w:val="24"/>
                <w:szCs w:val="24"/>
                <w:color w:val="auto"/>
              </w:rPr>
            </w:pPr>
          </w:p>
        </w:tc>
      </w:tr>
      <w:tr>
        <w:trPr>
          <w:trHeight w:val="294"/>
        </w:trPr>
        <w:tc>
          <w:tcPr>
            <w:tcW w:w="6080" w:type="dxa"/>
            <w:vAlign w:val="bottom"/>
          </w:tcPr>
          <w:p>
            <w:pPr>
              <w:spacing w:after="0"/>
              <w:rPr>
                <w:sz w:val="20"/>
                <w:szCs w:val="20"/>
                <w:color w:val="auto"/>
              </w:rPr>
            </w:pPr>
            <w:r>
              <w:rPr>
                <w:rFonts w:ascii="Arial" w:cs="Arial" w:eastAsia="Arial" w:hAnsi="Arial"/>
                <w:sz w:val="16"/>
                <w:szCs w:val="16"/>
                <w:color w:val="auto"/>
              </w:rPr>
              <w:t>Change in insurance recoverable</w:t>
            </w:r>
          </w:p>
        </w:tc>
        <w:tc>
          <w:tcPr>
            <w:tcW w:w="3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(6)</w:t>
            </w: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(10)</w:t>
            </w:r>
          </w:p>
        </w:tc>
        <w:tc>
          <w:tcPr>
            <w:tcW w:w="5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15</w:t>
            </w:r>
          </w:p>
        </w:tc>
        <w:tc>
          <w:tcPr>
            <w:tcW w:w="140" w:type="dxa"/>
            <w:vAlign w:val="bottom"/>
          </w:tcPr>
          <w:p>
            <w:pPr>
              <w:spacing w:after="0"/>
              <w:rPr>
                <w:sz w:val="24"/>
                <w:szCs w:val="24"/>
                <w:color w:val="auto"/>
              </w:rPr>
            </w:pPr>
          </w:p>
        </w:tc>
      </w:tr>
      <w:tr>
        <w:trPr>
          <w:trHeight w:val="294"/>
        </w:trPr>
        <w:tc>
          <w:tcPr>
            <w:tcW w:w="6080" w:type="dxa"/>
            <w:vAlign w:val="bottom"/>
          </w:tcPr>
          <w:p>
            <w:pPr>
              <w:spacing w:after="0"/>
              <w:rPr>
                <w:sz w:val="20"/>
                <w:szCs w:val="20"/>
                <w:color w:val="auto"/>
              </w:rPr>
            </w:pPr>
            <w:r>
              <w:rPr>
                <w:rFonts w:ascii="Arial" w:cs="Arial" w:eastAsia="Arial" w:hAnsi="Arial"/>
                <w:sz w:val="16"/>
                <w:szCs w:val="16"/>
                <w:color w:val="auto"/>
              </w:rPr>
              <w:t>Claim loss provision related to:</w:t>
            </w: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94"/>
        </w:trPr>
        <w:tc>
          <w:tcPr>
            <w:tcW w:w="6080" w:type="dxa"/>
            <w:vAlign w:val="bottom"/>
          </w:tcPr>
          <w:p>
            <w:pPr>
              <w:ind w:left="220"/>
              <w:spacing w:after="0"/>
              <w:rPr>
                <w:sz w:val="20"/>
                <w:szCs w:val="20"/>
                <w:color w:val="auto"/>
              </w:rPr>
            </w:pPr>
            <w:r>
              <w:rPr>
                <w:rFonts w:ascii="Arial" w:cs="Arial" w:eastAsia="Arial" w:hAnsi="Arial"/>
                <w:sz w:val="16"/>
                <w:szCs w:val="16"/>
                <w:color w:val="auto"/>
              </w:rPr>
              <w:t>Current year</w:t>
            </w:r>
          </w:p>
        </w:tc>
        <w:tc>
          <w:tcPr>
            <w:tcW w:w="3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262</w:t>
            </w: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232</w:t>
            </w:r>
          </w:p>
        </w:tc>
        <w:tc>
          <w:tcPr>
            <w:tcW w:w="5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207</w:t>
            </w:r>
          </w:p>
        </w:tc>
        <w:tc>
          <w:tcPr>
            <w:tcW w:w="140" w:type="dxa"/>
            <w:vAlign w:val="bottom"/>
          </w:tcPr>
          <w:p>
            <w:pPr>
              <w:spacing w:after="0"/>
              <w:rPr>
                <w:sz w:val="24"/>
                <w:szCs w:val="24"/>
                <w:color w:val="auto"/>
              </w:rPr>
            </w:pPr>
          </w:p>
        </w:tc>
      </w:tr>
      <w:tr>
        <w:trPr>
          <w:trHeight w:val="301"/>
        </w:trPr>
        <w:tc>
          <w:tcPr>
            <w:tcW w:w="6080" w:type="dxa"/>
            <w:vAlign w:val="bottom"/>
          </w:tcPr>
          <w:p>
            <w:pPr>
              <w:ind w:left="220"/>
              <w:spacing w:after="0"/>
              <w:rPr>
                <w:sz w:val="20"/>
                <w:szCs w:val="20"/>
                <w:color w:val="auto"/>
              </w:rPr>
            </w:pPr>
            <w:r>
              <w:rPr>
                <w:rFonts w:ascii="Arial" w:cs="Arial" w:eastAsia="Arial" w:hAnsi="Arial"/>
                <w:sz w:val="16"/>
                <w:szCs w:val="16"/>
                <w:color w:val="auto"/>
              </w:rPr>
              <w:t>Prior years</w:t>
            </w:r>
          </w:p>
        </w:tc>
        <w:tc>
          <w:tcPr>
            <w:tcW w:w="3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auto"/>
            </w:tcBorders>
          </w:tcPr>
          <w:p>
            <w:pPr>
              <w:spacing w:after="0"/>
              <w:rPr>
                <w:sz w:val="24"/>
                <w:szCs w:val="24"/>
                <w:color w:val="auto"/>
              </w:rPr>
            </w:pPr>
          </w:p>
        </w:tc>
      </w:tr>
      <w:tr>
        <w:trPr>
          <w:trHeight w:val="267"/>
        </w:trPr>
        <w:tc>
          <w:tcPr>
            <w:tcW w:w="6080" w:type="dxa"/>
            <w:vAlign w:val="bottom"/>
          </w:tcPr>
          <w:p>
            <w:pPr>
              <w:ind w:left="480"/>
              <w:spacing w:after="0"/>
              <w:rPr>
                <w:sz w:val="20"/>
                <w:szCs w:val="20"/>
                <w:color w:val="auto"/>
              </w:rPr>
            </w:pPr>
            <w:r>
              <w:rPr>
                <w:rFonts w:ascii="Arial" w:cs="Arial" w:eastAsia="Arial" w:hAnsi="Arial"/>
                <w:sz w:val="16"/>
                <w:szCs w:val="16"/>
                <w:color w:val="auto"/>
              </w:rPr>
              <w:t>Total title claim loss provision</w:t>
            </w:r>
          </w:p>
        </w:tc>
        <w:tc>
          <w:tcPr>
            <w:tcW w:w="32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262</w:t>
            </w:r>
          </w:p>
        </w:tc>
        <w:tc>
          <w:tcPr>
            <w:tcW w:w="1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232</w:t>
            </w:r>
          </w:p>
        </w:tc>
        <w:tc>
          <w:tcPr>
            <w:tcW w:w="50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207</w:t>
            </w:r>
          </w:p>
        </w:tc>
        <w:tc>
          <w:tcPr>
            <w:tcW w:w="140" w:type="dxa"/>
            <w:vAlign w:val="bottom"/>
          </w:tcPr>
          <w:p>
            <w:pPr>
              <w:spacing w:after="0"/>
              <w:rPr>
                <w:sz w:val="23"/>
                <w:szCs w:val="23"/>
                <w:color w:val="auto"/>
              </w:rPr>
            </w:pPr>
          </w:p>
        </w:tc>
      </w:tr>
      <w:tr>
        <w:trPr>
          <w:trHeight w:val="294"/>
        </w:trPr>
        <w:tc>
          <w:tcPr>
            <w:tcW w:w="6080" w:type="dxa"/>
            <w:vAlign w:val="bottom"/>
          </w:tcPr>
          <w:p>
            <w:pPr>
              <w:spacing w:after="0"/>
              <w:rPr>
                <w:sz w:val="20"/>
                <w:szCs w:val="20"/>
                <w:color w:val="auto"/>
              </w:rPr>
            </w:pPr>
            <w:r>
              <w:rPr>
                <w:rFonts w:ascii="Arial" w:cs="Arial" w:eastAsia="Arial" w:hAnsi="Arial"/>
                <w:sz w:val="16"/>
                <w:szCs w:val="16"/>
                <w:color w:val="auto"/>
              </w:rPr>
              <w:t>Claims paid, net of recoupments related to:</w:t>
            </w: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94"/>
        </w:trPr>
        <w:tc>
          <w:tcPr>
            <w:tcW w:w="6080" w:type="dxa"/>
            <w:vAlign w:val="bottom"/>
          </w:tcPr>
          <w:p>
            <w:pPr>
              <w:ind w:left="220"/>
              <w:spacing w:after="0"/>
              <w:rPr>
                <w:sz w:val="20"/>
                <w:szCs w:val="20"/>
                <w:color w:val="auto"/>
              </w:rPr>
            </w:pPr>
            <w:r>
              <w:rPr>
                <w:rFonts w:ascii="Arial" w:cs="Arial" w:eastAsia="Arial" w:hAnsi="Arial"/>
                <w:sz w:val="16"/>
                <w:szCs w:val="16"/>
                <w:color w:val="auto"/>
              </w:rPr>
              <w:t>Current year</w:t>
            </w:r>
          </w:p>
        </w:tc>
        <w:tc>
          <w:tcPr>
            <w:tcW w:w="3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(21)</w:t>
            </w: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(25)</w:t>
            </w:r>
          </w:p>
        </w:tc>
        <w:tc>
          <w:tcPr>
            <w:tcW w:w="5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(22)</w:t>
            </w:r>
          </w:p>
        </w:tc>
        <w:tc>
          <w:tcPr>
            <w:tcW w:w="140" w:type="dxa"/>
            <w:vAlign w:val="bottom"/>
          </w:tcPr>
          <w:p>
            <w:pPr>
              <w:spacing w:after="0"/>
              <w:rPr>
                <w:sz w:val="24"/>
                <w:szCs w:val="24"/>
                <w:color w:val="auto"/>
              </w:rPr>
            </w:pPr>
          </w:p>
        </w:tc>
      </w:tr>
      <w:tr>
        <w:trPr>
          <w:trHeight w:val="301"/>
        </w:trPr>
        <w:tc>
          <w:tcPr>
            <w:tcW w:w="6080" w:type="dxa"/>
            <w:vAlign w:val="bottom"/>
          </w:tcPr>
          <w:p>
            <w:pPr>
              <w:ind w:left="220"/>
              <w:spacing w:after="0"/>
              <w:rPr>
                <w:sz w:val="20"/>
                <w:szCs w:val="20"/>
                <w:color w:val="auto"/>
              </w:rPr>
            </w:pPr>
            <w:r>
              <w:rPr>
                <w:rFonts w:ascii="Arial" w:cs="Arial" w:eastAsia="Arial" w:hAnsi="Arial"/>
                <w:sz w:val="16"/>
                <w:szCs w:val="16"/>
                <w:color w:val="auto"/>
              </w:rPr>
              <w:t>Prior years</w:t>
            </w:r>
          </w:p>
        </w:tc>
        <w:tc>
          <w:tcPr>
            <w:tcW w:w="3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(248)</w:t>
            </w:r>
          </w:p>
        </w:tc>
        <w:tc>
          <w:tcPr>
            <w:tcW w:w="1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(254)</w:t>
            </w:r>
          </w:p>
        </w:tc>
        <w:tc>
          <w:tcPr>
            <w:tcW w:w="5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(240)</w:t>
            </w:r>
          </w:p>
        </w:tc>
        <w:tc>
          <w:tcPr>
            <w:tcW w:w="140" w:type="dxa"/>
            <w:vAlign w:val="bottom"/>
            <w:tcBorders>
              <w:bottom w:val="single" w:sz="8" w:color="auto"/>
            </w:tcBorders>
          </w:tcPr>
          <w:p>
            <w:pPr>
              <w:spacing w:after="0"/>
              <w:rPr>
                <w:sz w:val="24"/>
                <w:szCs w:val="24"/>
                <w:color w:val="auto"/>
              </w:rPr>
            </w:pPr>
          </w:p>
        </w:tc>
      </w:tr>
      <w:tr>
        <w:trPr>
          <w:trHeight w:val="274"/>
        </w:trPr>
        <w:tc>
          <w:tcPr>
            <w:tcW w:w="6080" w:type="dxa"/>
            <w:vAlign w:val="bottom"/>
          </w:tcPr>
          <w:p>
            <w:pPr>
              <w:ind w:left="480"/>
              <w:spacing w:after="0"/>
              <w:rPr>
                <w:sz w:val="20"/>
                <w:szCs w:val="20"/>
                <w:color w:val="auto"/>
              </w:rPr>
            </w:pPr>
            <w:r>
              <w:rPr>
                <w:rFonts w:ascii="Arial" w:cs="Arial" w:eastAsia="Arial" w:hAnsi="Arial"/>
                <w:sz w:val="16"/>
                <w:szCs w:val="16"/>
                <w:color w:val="auto"/>
              </w:rPr>
              <w:t>Total title claims paid, net of recoupments</w:t>
            </w:r>
          </w:p>
        </w:tc>
        <w:tc>
          <w:tcPr>
            <w:tcW w:w="32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(269)</w:t>
            </w:r>
          </w:p>
        </w:tc>
        <w:tc>
          <w:tcPr>
            <w:tcW w:w="140" w:type="dxa"/>
            <w:vAlign w:val="bottom"/>
            <w:tcBorders>
              <w:bottom w:val="single" w:sz="8" w:color="auto"/>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(279)</w:t>
            </w:r>
          </w:p>
        </w:tc>
        <w:tc>
          <w:tcPr>
            <w:tcW w:w="50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(262)</w:t>
            </w:r>
          </w:p>
        </w:tc>
        <w:tc>
          <w:tcPr>
            <w:tcW w:w="140" w:type="dxa"/>
            <w:vAlign w:val="bottom"/>
            <w:tcBorders>
              <w:bottom w:val="single" w:sz="8" w:color="auto"/>
            </w:tcBorders>
          </w:tcPr>
          <w:p>
            <w:pPr>
              <w:spacing w:after="0"/>
              <w:rPr>
                <w:sz w:val="23"/>
                <w:szCs w:val="23"/>
                <w:color w:val="auto"/>
              </w:rPr>
            </w:pPr>
          </w:p>
        </w:tc>
      </w:tr>
      <w:tr>
        <w:trPr>
          <w:trHeight w:val="254"/>
        </w:trPr>
        <w:tc>
          <w:tcPr>
            <w:tcW w:w="6080" w:type="dxa"/>
            <w:vAlign w:val="bottom"/>
          </w:tcPr>
          <w:p>
            <w:pPr>
              <w:spacing w:after="0"/>
              <w:rPr>
                <w:sz w:val="20"/>
                <w:szCs w:val="20"/>
                <w:color w:val="auto"/>
              </w:rPr>
            </w:pPr>
            <w:r>
              <w:rPr>
                <w:rFonts w:ascii="Arial" w:cs="Arial" w:eastAsia="Arial" w:hAnsi="Arial"/>
                <w:sz w:val="16"/>
                <w:szCs w:val="16"/>
                <w:color w:val="auto"/>
              </w:rPr>
              <w:t>Ending balance of claim loss reserve for title insurance</w:t>
            </w:r>
          </w:p>
        </w:tc>
        <w:tc>
          <w:tcPr>
            <w:tcW w:w="320" w:type="dxa"/>
            <w:vAlign w:val="bottom"/>
            <w:tcBorders>
              <w:bottom w:val="single" w:sz="8" w:color="auto"/>
            </w:tcBorders>
          </w:tcPr>
          <w:p>
            <w:pPr>
              <w:jc w:val="right"/>
              <w:ind w:right="102"/>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1,700</w:t>
            </w:r>
          </w:p>
        </w:tc>
        <w:tc>
          <w:tcPr>
            <w:tcW w:w="14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jc w:val="right"/>
              <w:ind w:right="102"/>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1,713</w:t>
            </w:r>
          </w:p>
        </w:tc>
        <w:tc>
          <w:tcPr>
            <w:tcW w:w="500" w:type="dxa"/>
            <w:vAlign w:val="bottom"/>
            <w:tcBorders>
              <w:bottom w:val="single" w:sz="8" w:color="auto"/>
            </w:tcBorders>
          </w:tcPr>
          <w:p>
            <w:pPr>
              <w:jc w:val="right"/>
              <w:ind w:right="163"/>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1,770</w:t>
            </w:r>
          </w:p>
        </w:tc>
        <w:tc>
          <w:tcPr>
            <w:tcW w:w="140" w:type="dxa"/>
            <w:vAlign w:val="bottom"/>
            <w:tcBorders>
              <w:bottom w:val="single" w:sz="8" w:color="auto"/>
            </w:tcBorders>
          </w:tcPr>
          <w:p>
            <w:pPr>
              <w:spacing w:after="0"/>
              <w:rPr>
                <w:sz w:val="22"/>
                <w:szCs w:val="22"/>
                <w:color w:val="auto"/>
              </w:rPr>
            </w:pPr>
          </w:p>
        </w:tc>
      </w:tr>
      <w:tr>
        <w:trPr>
          <w:trHeight w:val="20"/>
        </w:trPr>
        <w:tc>
          <w:tcPr>
            <w:tcW w:w="60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r>
      <w:tr>
        <w:trPr>
          <w:trHeight w:val="219"/>
        </w:trPr>
        <w:tc>
          <w:tcPr>
            <w:tcW w:w="6080" w:type="dxa"/>
            <w:vAlign w:val="bottom"/>
          </w:tcPr>
          <w:p>
            <w:pPr>
              <w:spacing w:after="0"/>
              <w:rPr>
                <w:sz w:val="20"/>
                <w:szCs w:val="20"/>
                <w:color w:val="auto"/>
              </w:rPr>
            </w:pPr>
            <w:r>
              <w:rPr>
                <w:rFonts w:ascii="Arial" w:cs="Arial" w:eastAsia="Arial" w:hAnsi="Arial"/>
                <w:sz w:val="16"/>
                <w:szCs w:val="16"/>
                <w:color w:val="auto"/>
              </w:rPr>
              <w:t>Provision for title insurance claim losses as a percentage of title insurance premiums</w:t>
            </w:r>
          </w:p>
        </w:tc>
        <w:tc>
          <w:tcPr>
            <w:tcW w:w="3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4"/>
              </w:rPr>
              <w:t>%</w:t>
            </w:r>
          </w:p>
        </w:tc>
        <w:tc>
          <w:tcPr>
            <w:tcW w:w="3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w:t>
            </w:r>
          </w:p>
        </w:tc>
        <w:tc>
          <w:tcPr>
            <w:tcW w:w="500" w:type="dxa"/>
            <w:vAlign w:val="bottom"/>
            <w:tcBorders>
              <w:bottom w:val="single" w:sz="8" w:color="auto"/>
            </w:tcBorders>
          </w:tcPr>
          <w:p>
            <w:pPr>
              <w:jc w:val="right"/>
              <w:ind w:right="303"/>
              <w:spacing w:after="0"/>
              <w:rPr>
                <w:sz w:val="20"/>
                <w:szCs w:val="20"/>
                <w:color w:val="auto"/>
              </w:rPr>
            </w:pPr>
            <w:r>
              <w:rPr>
                <w:rFonts w:ascii="Arial" w:cs="Arial" w:eastAsia="Arial" w:hAnsi="Arial"/>
                <w:sz w:val="15"/>
                <w:szCs w:val="15"/>
                <w:color w:val="auto"/>
                <w:w w:val="74"/>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4"/>
              </w:rPr>
              <w:t>%</w:t>
            </w:r>
          </w:p>
        </w:tc>
      </w:tr>
      <w:tr>
        <w:trPr>
          <w:trHeight w:val="20"/>
        </w:trPr>
        <w:tc>
          <w:tcPr>
            <w:tcW w:w="60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3887470</wp:posOffset>
                </wp:positionH>
                <wp:positionV relativeFrom="paragraph">
                  <wp:posOffset>-382270</wp:posOffset>
                </wp:positionV>
                <wp:extent cx="830580" cy="0"/>
                <wp:wrapNone/>
                <wp:docPr id="111" name="Shape 11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3058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11" o:spid="_x0000_s113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06.1pt,-30.0999pt" to="371.5pt,-30.0999pt" o:allowincell="f" strokecolor="#000000" strokeweight="0pt"/>
            </w:pict>
          </mc:Fallback>
        </mc:AlternateContent>
        <w:drawing>
          <wp:anchor simplePos="0" relativeHeight="251657728" behindDoc="1" locked="0" layoutInCell="0" allowOverlap="1">
            <wp:simplePos x="0" y="0"/>
            <wp:positionH relativeFrom="column">
              <wp:posOffset>-16510</wp:posOffset>
            </wp:positionH>
            <wp:positionV relativeFrom="paragraph">
              <wp:posOffset>-2261870</wp:posOffset>
            </wp:positionV>
            <wp:extent cx="6410325" cy="22688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76">
                      <a:extLst>
                        <a:ext uri="{28A0092B-C50C-407E-A947-70E740481C1C}"/>
                      </a:extLst>
                    </a:blip>
                    <a:srcRect/>
                    <a:stretch>
                      <a:fillRect/>
                    </a:stretch>
                  </pic:blipFill>
                  <pic:spPr bwMode="auto">
                    <a:xfrm>
                      <a:off x="0" y="0"/>
                      <a:ext cx="6410325" cy="2268855"/>
                    </a:xfrm>
                    <a:prstGeom prst="rect">
                      <a:avLst/>
                    </a:prstGeom>
                    <a:noFill/>
                  </pic:spPr>
                </pic:pic>
              </a:graphicData>
            </a:graphic>
          </wp:anchor>
        </w:drawing>
      </w:r>
    </w:p>
    <w:p>
      <w:pPr>
        <w:spacing w:after="0" w:line="86" w:lineRule="exact"/>
        <w:rPr>
          <w:sz w:val="20"/>
          <w:szCs w:val="20"/>
          <w:color w:val="auto"/>
        </w:rPr>
      </w:pPr>
    </w:p>
    <w:p>
      <w:pPr>
        <w:jc w:val="both"/>
        <w:ind w:firstLine="353"/>
        <w:spacing w:after="0" w:line="254" w:lineRule="auto"/>
        <w:rPr>
          <w:sz w:val="20"/>
          <w:szCs w:val="20"/>
          <w:color w:val="auto"/>
        </w:rPr>
      </w:pPr>
      <w:r>
        <w:rPr>
          <w:rFonts w:ascii="Arial" w:cs="Arial" w:eastAsia="Arial" w:hAnsi="Arial"/>
          <w:sz w:val="20"/>
          <w:szCs w:val="20"/>
          <w:color w:val="auto"/>
        </w:rPr>
        <w:t>We continually update loss reserve estimates as new information becomes known, new loss patterns emerge or as other contributing factors are considered and incorporated into the analysis of reserve for claim losses. Estimating future title loss payments is difficult because of the complex nature of title claims, the long periods of time over which claims are paid, significantly varying dollar amounts of individual claims and other factors.</w:t>
      </w:r>
    </w:p>
    <w:p>
      <w:pPr>
        <w:spacing w:after="0" w:line="85" w:lineRule="exact"/>
        <w:rPr>
          <w:sz w:val="20"/>
          <w:szCs w:val="20"/>
          <w:color w:val="auto"/>
        </w:rPr>
      </w:pPr>
    </w:p>
    <w:p>
      <w:pPr>
        <w:jc w:val="both"/>
        <w:ind w:firstLine="353"/>
        <w:spacing w:after="0" w:line="271" w:lineRule="auto"/>
        <w:rPr>
          <w:sz w:val="20"/>
          <w:szCs w:val="20"/>
          <w:color w:val="auto"/>
        </w:rPr>
      </w:pPr>
      <w:r>
        <w:rPr>
          <w:rFonts w:ascii="Arial" w:cs="Arial" w:eastAsia="Arial" w:hAnsi="Arial"/>
          <w:sz w:val="19"/>
          <w:szCs w:val="19"/>
          <w:color w:val="auto"/>
        </w:rPr>
        <w:t>Due to the uncertainty inherent in the process and to the judgment used by management, the ultimate liability may be greater or less than our current reserves. If actual claims loss development varies from what is currently expected and is not offset by other factors, it is possible that additional reserve adjustments may be required in future periods in order to maintain our recorded reserve within a reasonable range of our actuary's central estimate.</w:t>
      </w:r>
    </w:p>
    <w:p>
      <w:pPr>
        <w:sectPr>
          <w:pgSz w:w="11880" w:h="15480" w:orient="portrait"/>
          <w:cols w:equalWidth="0" w:num="1">
            <w:col w:w="10040"/>
          </w:cols>
          <w:pgMar w:left="920" w:top="772"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120</w:t>
      </w:r>
    </w:p>
    <w:p>
      <w:pPr>
        <w:sectPr>
          <w:pgSz w:w="11880" w:h="15480" w:orient="portrait"/>
          <w:cols w:equalWidth="0" w:num="1">
            <w:col w:w="10040"/>
          </w:cols>
          <w:pgMar w:left="920" w:top="772" w:right="920" w:bottom="0" w:gutter="0" w:footer="0" w:header="0"/>
          <w:type w:val="continuous"/>
        </w:sectPr>
      </w:pPr>
    </w:p>
    <w:bookmarkStart w:id="132" w:name="page133"/>
    <w:bookmarkEnd w:id="132"/>
    <w:p>
      <w:pPr>
        <w:spacing w:after="0"/>
        <w:rPr>
          <w:sz w:val="20"/>
          <w:szCs w:val="20"/>
          <w:color w:val="auto"/>
        </w:rPr>
      </w:pPr>
      <w:r>
        <w:rPr>
          <w:rFonts w:ascii="Arial" w:cs="Arial" w:eastAsia="Arial" w:hAnsi="Arial"/>
          <w:sz w:val="20"/>
          <w:szCs w:val="20"/>
          <w:b w:val="1"/>
          <w:bCs w:val="1"/>
          <w:color w:val="auto"/>
        </w:rPr>
        <w:t>Note C — Fair Value of Financial Instruments</w:t>
      </w:r>
    </w:p>
    <w:p>
      <w:pPr>
        <w:spacing w:after="0" w:line="130" w:lineRule="exact"/>
        <w:rPr>
          <w:sz w:val="20"/>
          <w:szCs w:val="20"/>
          <w:color w:val="auto"/>
        </w:rPr>
      </w:pPr>
    </w:p>
    <w:p>
      <w:pPr>
        <w:jc w:val="both"/>
        <w:ind w:firstLine="353"/>
        <w:spacing w:after="0" w:line="264" w:lineRule="auto"/>
        <w:rPr>
          <w:sz w:val="20"/>
          <w:szCs w:val="20"/>
          <w:color w:val="auto"/>
        </w:rPr>
      </w:pPr>
      <w:r>
        <w:rPr>
          <w:rFonts w:ascii="Arial" w:cs="Arial" w:eastAsia="Arial" w:hAnsi="Arial"/>
          <w:sz w:val="19"/>
          <w:szCs w:val="19"/>
          <w:color w:val="auto"/>
        </w:rPr>
        <w:t>Our measurement of fair value is based on assumptions used by market participants in pricing the asset or liability, which may include inherent risk, restrictions on the sale or use of an asset, or non-performance risk, which may include our own credit risk. We estimate an exchange price is the price in an orderly transaction between market participants to sell the asset or transfer the liability (“exit price”) in the principal market, or the most advantageous market for that asset or liability in the absence of a principal market as opposed to the price that would be paid to acquire the asset or assume a liability (“entry price”). We categorize financial instruments carried at fair value into a three-level fair value hierarchy, based on the priority of inputs to the respective valuation technique, along with net asset value. The three-level hierarchy for fair value measurement is defined as follows:</w:t>
      </w:r>
    </w:p>
    <w:p>
      <w:pPr>
        <w:spacing w:after="0" w:line="75" w:lineRule="exact"/>
        <w:rPr>
          <w:sz w:val="20"/>
          <w:szCs w:val="20"/>
          <w:color w:val="auto"/>
        </w:rPr>
      </w:pPr>
    </w:p>
    <w:p>
      <w:pPr>
        <w:jc w:val="both"/>
        <w:ind w:left="480"/>
        <w:spacing w:after="0" w:line="273" w:lineRule="auto"/>
        <w:rPr>
          <w:sz w:val="20"/>
          <w:szCs w:val="20"/>
          <w:color w:val="auto"/>
        </w:rPr>
      </w:pPr>
      <w:r>
        <w:rPr>
          <w:rFonts w:ascii="Arial" w:cs="Arial" w:eastAsia="Arial" w:hAnsi="Arial"/>
          <w:sz w:val="20"/>
          <w:szCs w:val="20"/>
          <w:b w:val="1"/>
          <w:bCs w:val="1"/>
          <w:i w:val="1"/>
          <w:iCs w:val="1"/>
          <w:color w:val="auto"/>
        </w:rPr>
        <w:t xml:space="preserve">Level 1 </w:t>
      </w:r>
      <w:r>
        <w:rPr>
          <w:rFonts w:ascii="Arial" w:cs="Arial" w:eastAsia="Arial" w:hAnsi="Arial"/>
          <w:sz w:val="20"/>
          <w:szCs w:val="20"/>
          <w:color w:val="auto"/>
        </w:rPr>
        <w:t>– Values are unadjusted quoted prices for identical assets and liabilities in active markets accessible at the</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measurement date.</w:t>
      </w:r>
    </w:p>
    <w:p>
      <w:pPr>
        <w:spacing w:after="0" w:line="35" w:lineRule="exact"/>
        <w:rPr>
          <w:sz w:val="20"/>
          <w:szCs w:val="20"/>
          <w:color w:val="auto"/>
        </w:rPr>
      </w:pPr>
    </w:p>
    <w:p>
      <w:pPr>
        <w:jc w:val="both"/>
        <w:ind w:left="480"/>
        <w:spacing w:after="0" w:line="324" w:lineRule="auto"/>
        <w:rPr>
          <w:sz w:val="20"/>
          <w:szCs w:val="20"/>
          <w:color w:val="auto"/>
        </w:rPr>
      </w:pPr>
      <w:r>
        <w:rPr>
          <w:rFonts w:ascii="Arial" w:cs="Arial" w:eastAsia="Arial" w:hAnsi="Arial"/>
          <w:sz w:val="17"/>
          <w:szCs w:val="17"/>
          <w:b w:val="1"/>
          <w:bCs w:val="1"/>
          <w:i w:val="1"/>
          <w:iCs w:val="1"/>
          <w:color w:val="auto"/>
        </w:rPr>
        <w:t xml:space="preserve">Level 2 </w:t>
      </w:r>
      <w:r>
        <w:rPr>
          <w:rFonts w:ascii="Arial" w:cs="Arial" w:eastAsia="Arial" w:hAnsi="Arial"/>
          <w:sz w:val="17"/>
          <w:szCs w:val="17"/>
          <w:color w:val="auto"/>
        </w:rPr>
        <w:t>– Inputs include quoted prices for similar assets or liabilities in active markets, quoted prices from those willing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to trade in markets that are not active, or other inputs that are observable or can be corroborated by market data for the term of the instrument. Such inputs include market interest rates and volatilities, spreads, and yield curves.</w:t>
      </w:r>
    </w:p>
    <w:p>
      <w:pPr>
        <w:spacing w:after="0" w:line="2" w:lineRule="exact"/>
        <w:rPr>
          <w:sz w:val="20"/>
          <w:szCs w:val="20"/>
          <w:color w:val="auto"/>
        </w:rPr>
      </w:pPr>
    </w:p>
    <w:p>
      <w:pPr>
        <w:jc w:val="both"/>
        <w:ind w:left="480"/>
        <w:spacing w:after="0" w:line="254" w:lineRule="auto"/>
        <w:rPr>
          <w:sz w:val="20"/>
          <w:szCs w:val="20"/>
          <w:color w:val="auto"/>
        </w:rPr>
      </w:pPr>
      <w:r>
        <w:rPr>
          <w:rFonts w:ascii="Arial" w:cs="Arial" w:eastAsia="Arial" w:hAnsi="Arial"/>
          <w:sz w:val="20"/>
          <w:szCs w:val="20"/>
          <w:b w:val="1"/>
          <w:bCs w:val="1"/>
          <w:i w:val="1"/>
          <w:iCs w:val="1"/>
          <w:color w:val="auto"/>
        </w:rPr>
        <w:t xml:space="preserve">Level 3 </w:t>
      </w:r>
      <w:r>
        <w:rPr>
          <w:rFonts w:ascii="Arial" w:cs="Arial" w:eastAsia="Arial" w:hAnsi="Arial"/>
          <w:sz w:val="20"/>
          <w:szCs w:val="20"/>
          <w:color w:val="auto"/>
        </w:rPr>
        <w:t>– Certain inputs are unobservable (supported by little or no market activity) and significant to the fair value</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measurement. Unobservable inputs reflect the Company’s best estimate of what hypothetical market participants would use to determine a transaction price for the asset or liability at the reporting date based on the best information available in the circumstances.</w:t>
      </w:r>
    </w:p>
    <w:p>
      <w:pPr>
        <w:spacing w:after="0" w:line="55" w:lineRule="exact"/>
        <w:rPr>
          <w:sz w:val="20"/>
          <w:szCs w:val="20"/>
          <w:color w:val="auto"/>
        </w:rPr>
      </w:pPr>
    </w:p>
    <w:p>
      <w:pPr>
        <w:jc w:val="both"/>
        <w:ind w:left="440"/>
        <w:spacing w:after="0" w:line="297" w:lineRule="auto"/>
        <w:rPr>
          <w:sz w:val="20"/>
          <w:szCs w:val="20"/>
          <w:color w:val="auto"/>
        </w:rPr>
      </w:pPr>
      <w:r>
        <w:rPr>
          <w:rFonts w:ascii="Arial" w:cs="Arial" w:eastAsia="Arial" w:hAnsi="Arial"/>
          <w:sz w:val="17"/>
          <w:szCs w:val="17"/>
          <w:b w:val="1"/>
          <w:bCs w:val="1"/>
          <w:i w:val="1"/>
          <w:iCs w:val="1"/>
          <w:color w:val="auto"/>
        </w:rPr>
        <w:t xml:space="preserve">Net Asset Value ("NAV") </w:t>
      </w:r>
      <w:r>
        <w:rPr>
          <w:rFonts w:ascii="Arial" w:cs="Arial" w:eastAsia="Arial" w:hAnsi="Arial"/>
          <w:sz w:val="17"/>
          <w:szCs w:val="17"/>
          <w:color w:val="auto"/>
        </w:rPr>
        <w:t>– Certain equity investments are measured using NAV as a practical expedient in determining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fair value. In addition, our unconsolidated affiliates (primarily limited partnerships) are primarily accounted for using the equity method of accounting with fair value determined using NAV as a practical expedient. Our carrying value reflects our pro rata ownership percentage as indicated by NAV in the unconsolidated affiliate’s financial statements, which we may adjust if we determine NAV is not calculated consistent with investment company fair value principles. The underlying investments of the unconsolidated affiliates may have significant unobservable inputs, which may include, but are not limited to, comparable multiples and weighted average cost of capital rates applied in valuation models or a discounted cash flow model. Additionally, management inquires quarterly with the general partner to determine whether any credit or other market events have occurred since prior period financial statements to ensure any material events are properly included in current period valuation and investment income.</w:t>
      </w:r>
    </w:p>
    <w:p>
      <w:pPr>
        <w:spacing w:after="0" w:line="52" w:lineRule="exact"/>
        <w:rPr>
          <w:sz w:val="20"/>
          <w:szCs w:val="20"/>
          <w:color w:val="auto"/>
        </w:rPr>
      </w:pPr>
    </w:p>
    <w:p>
      <w:pPr>
        <w:jc w:val="both"/>
        <w:ind w:firstLine="353"/>
        <w:spacing w:after="0" w:line="254" w:lineRule="auto"/>
        <w:rPr>
          <w:sz w:val="20"/>
          <w:szCs w:val="20"/>
          <w:color w:val="auto"/>
        </w:rPr>
      </w:pPr>
      <w:r>
        <w:rPr>
          <w:rFonts w:ascii="Arial" w:cs="Arial" w:eastAsia="Arial" w:hAnsi="Arial"/>
          <w:sz w:val="20"/>
          <w:szCs w:val="20"/>
          <w:color w:val="auto"/>
        </w:rPr>
        <w:t>In certain cases, the inputs used to measure fair value may fall into different levels of the fair value hierarchy. In such cases, an investment’s level within the fair value hierarchy is based on the lowest level of input that is significant to the fair value measurement. Our assessment of the significance of a particular input to the fair value measurement in its entirety requires judgment and considers factors specific to the investment.</w:t>
      </w:r>
    </w:p>
    <w:p>
      <w:pPr>
        <w:spacing w:after="0" w:line="85" w:lineRule="exact"/>
        <w:rPr>
          <w:sz w:val="20"/>
          <w:szCs w:val="20"/>
          <w:color w:val="auto"/>
        </w:rPr>
      </w:pPr>
    </w:p>
    <w:p>
      <w:pPr>
        <w:jc w:val="both"/>
        <w:ind w:firstLine="353"/>
        <w:spacing w:after="0" w:line="306" w:lineRule="auto"/>
        <w:rPr>
          <w:sz w:val="20"/>
          <w:szCs w:val="20"/>
          <w:color w:val="auto"/>
        </w:rPr>
      </w:pPr>
      <w:r>
        <w:rPr>
          <w:rFonts w:ascii="Arial" w:cs="Arial" w:eastAsia="Arial" w:hAnsi="Arial"/>
          <w:sz w:val="17"/>
          <w:szCs w:val="17"/>
          <w:color w:val="auto"/>
        </w:rPr>
        <w:t>When a determination is made to classify an asset or liability within Level 3 of the fair value hierarchy, the determination is based upon the significance of the unobservable inputs to the overall fair value measurement. Because certain securities trade in less liquid or illiquid markets with limited or no pricing information, the determination of fair value for these securities is inherently more difficult. In addition to the unobservable inputs, Level 3 fair value investments may include observable components, which are components that are actively quoted or can be validated to market-based sources.</w:t>
      </w:r>
    </w:p>
    <w:p>
      <w:pPr>
        <w:sectPr>
          <w:pgSz w:w="11880" w:h="15480" w:orient="portrait"/>
          <w:cols w:equalWidth="0" w:num="1">
            <w:col w:w="10040"/>
          </w:cols>
          <w:pgMar w:left="920" w:top="765"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121</w:t>
      </w:r>
    </w:p>
    <w:p>
      <w:pPr>
        <w:sectPr>
          <w:pgSz w:w="11880" w:h="15480" w:orient="portrait"/>
          <w:cols w:equalWidth="0" w:num="1">
            <w:col w:w="10040"/>
          </w:cols>
          <w:pgMar w:left="920" w:top="765" w:right="920" w:bottom="0" w:gutter="0" w:footer="0" w:header="0"/>
          <w:type w:val="continuous"/>
        </w:sectPr>
      </w:pPr>
    </w:p>
    <w:bookmarkStart w:id="133" w:name="page134"/>
    <w:bookmarkEnd w:id="133"/>
    <w:p>
      <w:pPr>
        <w:ind w:firstLine="485"/>
        <w:spacing w:after="0" w:line="271" w:lineRule="auto"/>
        <w:rPr>
          <w:sz w:val="20"/>
          <w:szCs w:val="20"/>
          <w:color w:val="auto"/>
        </w:rPr>
      </w:pPr>
      <w:r>
        <w:rPr>
          <w:rFonts w:ascii="Arial" w:cs="Arial" w:eastAsia="Arial" w:hAnsi="Arial"/>
          <w:sz w:val="20"/>
          <w:szCs w:val="20"/>
          <w:color w:val="auto"/>
        </w:rPr>
        <w:t>Our assets and liabilities measured and carried at fair value on a recurring basis, summarized according to the hierarchy previously described, are as follows:</w:t>
      </w:r>
    </w:p>
    <w:p>
      <w:pPr>
        <w:spacing w:after="0" w:line="166" w:lineRule="exact"/>
        <w:rPr>
          <w:sz w:val="20"/>
          <w:szCs w:val="20"/>
          <w:color w:val="auto"/>
        </w:rPr>
      </w:pPr>
    </w:p>
    <w:tbl>
      <w:tblPr>
        <w:tblLayout w:type="fixed"/>
        <w:tblInd w:w="40" w:type="dxa"/>
        <w:tblCellMar>
          <w:top w:w="0" w:type="dxa"/>
          <w:left w:w="0" w:type="dxa"/>
          <w:bottom w:w="0" w:type="dxa"/>
          <w:right w:w="0" w:type="dxa"/>
        </w:tblCellMar>
      </w:tblPr>
      <w:tr>
        <w:trPr>
          <w:trHeight w:val="213"/>
        </w:trPr>
        <w:tc>
          <w:tcPr>
            <w:tcW w:w="46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gridSpan w:val="5"/>
          </w:tcPr>
          <w:p>
            <w:pPr>
              <w:ind w:left="720"/>
              <w:spacing w:after="0"/>
              <w:rPr>
                <w:sz w:val="20"/>
                <w:szCs w:val="20"/>
                <w:color w:val="auto"/>
              </w:rPr>
            </w:pPr>
            <w:r>
              <w:rPr>
                <w:rFonts w:ascii="Arial" w:cs="Arial" w:eastAsia="Arial" w:hAnsi="Arial"/>
                <w:sz w:val="16"/>
                <w:szCs w:val="16"/>
                <w:b w:val="1"/>
                <w:bCs w:val="1"/>
                <w:color w:val="auto"/>
                <w:w w:val="86"/>
              </w:rPr>
              <w:t>December 31, 2025</w:t>
            </w:r>
          </w:p>
        </w:tc>
        <w:tc>
          <w:tcPr>
            <w:tcW w:w="2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6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82"/>
              <w:spacing w:after="0"/>
              <w:rPr>
                <w:sz w:val="20"/>
                <w:szCs w:val="20"/>
                <w:color w:val="auto"/>
              </w:rPr>
            </w:pPr>
            <w:r>
              <w:rPr>
                <w:rFonts w:ascii="Arial" w:cs="Arial" w:eastAsia="Arial" w:hAnsi="Arial"/>
                <w:sz w:val="16"/>
                <w:szCs w:val="16"/>
                <w:b w:val="1"/>
                <w:bCs w:val="1"/>
                <w:color w:val="auto"/>
                <w:w w:val="99"/>
              </w:rPr>
              <w:t>Level 1</w:t>
            </w:r>
          </w:p>
        </w:tc>
        <w:tc>
          <w:tcPr>
            <w:tcW w:w="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82"/>
              <w:spacing w:after="0"/>
              <w:rPr>
                <w:sz w:val="20"/>
                <w:szCs w:val="20"/>
                <w:color w:val="auto"/>
              </w:rPr>
            </w:pPr>
            <w:r>
              <w:rPr>
                <w:rFonts w:ascii="Arial" w:cs="Arial" w:eastAsia="Arial" w:hAnsi="Arial"/>
                <w:sz w:val="16"/>
                <w:szCs w:val="16"/>
                <w:b w:val="1"/>
                <w:bCs w:val="1"/>
                <w:color w:val="auto"/>
                <w:w w:val="99"/>
              </w:rPr>
              <w:t>Level 2</w:t>
            </w:r>
          </w:p>
        </w:tc>
        <w:tc>
          <w:tcPr>
            <w:tcW w:w="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02"/>
              <w:spacing w:after="0"/>
              <w:rPr>
                <w:sz w:val="20"/>
                <w:szCs w:val="20"/>
                <w:color w:val="auto"/>
              </w:rPr>
            </w:pPr>
            <w:r>
              <w:rPr>
                <w:rFonts w:ascii="Arial" w:cs="Arial" w:eastAsia="Arial" w:hAnsi="Arial"/>
                <w:sz w:val="16"/>
                <w:szCs w:val="16"/>
                <w:b w:val="1"/>
                <w:bCs w:val="1"/>
                <w:color w:val="auto"/>
                <w:w w:val="95"/>
              </w:rPr>
              <w:t>Level 3</w:t>
            </w:r>
          </w:p>
        </w:tc>
        <w:tc>
          <w:tcPr>
            <w:tcW w:w="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ind w:left="100"/>
              <w:spacing w:after="0"/>
              <w:rPr>
                <w:sz w:val="20"/>
                <w:szCs w:val="20"/>
                <w:color w:val="auto"/>
              </w:rPr>
            </w:pPr>
            <w:r>
              <w:rPr>
                <w:rFonts w:ascii="Arial" w:cs="Arial" w:eastAsia="Arial" w:hAnsi="Arial"/>
                <w:sz w:val="16"/>
                <w:szCs w:val="16"/>
                <w:b w:val="1"/>
                <w:bCs w:val="1"/>
                <w:color w:val="auto"/>
              </w:rPr>
              <w:t>NAV</w:t>
            </w:r>
          </w:p>
        </w:tc>
        <w:tc>
          <w:tcPr>
            <w:tcW w:w="80" w:type="dxa"/>
            <w:vAlign w:val="bottom"/>
          </w:tcPr>
          <w:p>
            <w:pPr>
              <w:spacing w:after="0"/>
              <w:rPr>
                <w:sz w:val="18"/>
                <w:szCs w:val="18"/>
                <w:color w:val="auto"/>
              </w:rPr>
            </w:pPr>
          </w:p>
        </w:tc>
        <w:tc>
          <w:tcPr>
            <w:tcW w:w="880" w:type="dxa"/>
            <w:vAlign w:val="bottom"/>
            <w:tcBorders>
              <w:bottom w:val="single" w:sz="8" w:color="auto"/>
            </w:tcBorders>
            <w:gridSpan w:val="2"/>
          </w:tcPr>
          <w:p>
            <w:pPr>
              <w:jc w:val="right"/>
              <w:ind w:right="2"/>
              <w:spacing w:after="0"/>
              <w:rPr>
                <w:sz w:val="20"/>
                <w:szCs w:val="20"/>
                <w:color w:val="auto"/>
              </w:rPr>
            </w:pPr>
            <w:r>
              <w:rPr>
                <w:rFonts w:ascii="Arial" w:cs="Arial" w:eastAsia="Arial" w:hAnsi="Arial"/>
                <w:sz w:val="16"/>
                <w:szCs w:val="16"/>
                <w:b w:val="1"/>
                <w:bCs w:val="1"/>
                <w:color w:val="auto"/>
              </w:rPr>
              <w:t>Fair Value</w:t>
            </w:r>
          </w:p>
        </w:tc>
        <w:tc>
          <w:tcPr>
            <w:tcW w:w="0" w:type="dxa"/>
            <w:vAlign w:val="bottom"/>
          </w:tcPr>
          <w:p>
            <w:pPr>
              <w:spacing w:after="0"/>
              <w:rPr>
                <w:sz w:val="1"/>
                <w:szCs w:val="1"/>
                <w:color w:val="auto"/>
              </w:rPr>
            </w:pPr>
          </w:p>
        </w:tc>
      </w:tr>
      <w:tr>
        <w:trPr>
          <w:trHeight w:val="223"/>
        </w:trPr>
        <w:tc>
          <w:tcPr>
            <w:tcW w:w="4640" w:type="dxa"/>
            <w:vAlign w:val="bottom"/>
          </w:tcPr>
          <w:p>
            <w:pPr>
              <w:spacing w:after="0"/>
              <w:rPr>
                <w:sz w:val="20"/>
                <w:szCs w:val="20"/>
                <w:color w:val="auto"/>
              </w:rPr>
            </w:pPr>
            <w:r>
              <w:rPr>
                <w:rFonts w:ascii="Arial" w:cs="Arial" w:eastAsia="Arial" w:hAnsi="Arial"/>
                <w:sz w:val="16"/>
                <w:szCs w:val="16"/>
                <w:b w:val="1"/>
                <w:bCs w:val="1"/>
                <w:color w:val="auto"/>
              </w:rPr>
              <w:t>Assets</w:t>
            </w: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gridSpan w:val="3"/>
          </w:tcPr>
          <w:p>
            <w:pPr>
              <w:ind w:left="40"/>
              <w:spacing w:after="0"/>
              <w:rPr>
                <w:sz w:val="20"/>
                <w:szCs w:val="20"/>
                <w:color w:val="auto"/>
              </w:rPr>
            </w:pPr>
            <w:r>
              <w:rPr>
                <w:rFonts w:ascii="Arial" w:cs="Arial" w:eastAsia="Arial" w:hAnsi="Arial"/>
                <w:sz w:val="16"/>
                <w:szCs w:val="16"/>
                <w:b w:val="1"/>
                <w:bCs w:val="1"/>
                <w:color w:val="auto"/>
              </w:rPr>
              <w:t>(In millions)</w:t>
            </w: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4640" w:type="dxa"/>
            <w:vAlign w:val="bottom"/>
          </w:tcPr>
          <w:p>
            <w:pPr>
              <w:spacing w:after="0"/>
              <w:rPr>
                <w:sz w:val="20"/>
                <w:szCs w:val="20"/>
                <w:color w:val="auto"/>
              </w:rPr>
            </w:pPr>
            <w:r>
              <w:rPr>
                <w:rFonts w:ascii="Arial" w:cs="Arial" w:eastAsia="Arial" w:hAnsi="Arial"/>
                <w:sz w:val="16"/>
                <w:szCs w:val="16"/>
                <w:color w:val="auto"/>
              </w:rPr>
              <w:t>Cash and cash equivalents</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2"/>
              <w:spacing w:after="0"/>
              <w:rPr>
                <w:sz w:val="20"/>
                <w:szCs w:val="20"/>
                <w:color w:val="auto"/>
              </w:rPr>
            </w:pPr>
            <w:r>
              <w:rPr>
                <w:rFonts w:ascii="Arial" w:cs="Arial" w:eastAsia="Arial" w:hAnsi="Arial"/>
                <w:sz w:val="16"/>
                <w:szCs w:val="16"/>
                <w:color w:val="auto"/>
              </w:rPr>
              <w:t>2,636</w:t>
            </w:r>
          </w:p>
        </w:tc>
        <w:tc>
          <w:tcPr>
            <w:tcW w:w="26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gridSpan w:val="2"/>
          </w:tcPr>
          <w:p>
            <w:pPr>
              <w:ind w:left="120"/>
              <w:spacing w:after="0"/>
              <w:rPr>
                <w:sz w:val="20"/>
                <w:szCs w:val="20"/>
                <w:color w:val="auto"/>
              </w:rPr>
            </w:pPr>
            <w:r>
              <w:rPr>
                <w:rFonts w:ascii="Arial" w:cs="Arial" w:eastAsia="Arial" w:hAnsi="Arial"/>
                <w:sz w:val="16"/>
                <w:szCs w:val="16"/>
                <w:color w:val="auto"/>
              </w:rPr>
              <w:t>$</w:t>
            </w:r>
          </w:p>
        </w:tc>
        <w:tc>
          <w:tcPr>
            <w:tcW w:w="8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4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780" w:type="dxa"/>
            <w:vAlign w:val="bottom"/>
          </w:tcPr>
          <w:p>
            <w:pPr>
              <w:ind w:left="560"/>
              <w:spacing w:after="0"/>
              <w:rPr>
                <w:sz w:val="20"/>
                <w:szCs w:val="20"/>
                <w:color w:val="auto"/>
              </w:rPr>
            </w:pPr>
            <w:r>
              <w:rPr>
                <w:rFonts w:ascii="Arial" w:cs="Arial" w:eastAsia="Arial" w:hAnsi="Arial"/>
                <w:sz w:val="16"/>
                <w:szCs w:val="16"/>
                <w:color w:val="auto"/>
              </w:rPr>
              <w:t>—</w:t>
            </w:r>
          </w:p>
        </w:tc>
        <w:tc>
          <w:tcPr>
            <w:tcW w:w="340" w:type="dxa"/>
            <w:vAlign w:val="bottom"/>
            <w:gridSpan w:val="2"/>
          </w:tcPr>
          <w:p>
            <w:pPr>
              <w:jc w:val="right"/>
              <w:ind w:right="62"/>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2,636</w:t>
            </w:r>
          </w:p>
        </w:tc>
        <w:tc>
          <w:tcPr>
            <w:tcW w:w="0" w:type="dxa"/>
            <w:vAlign w:val="bottom"/>
          </w:tcPr>
          <w:p>
            <w:pPr>
              <w:spacing w:after="0"/>
              <w:rPr>
                <w:sz w:val="1"/>
                <w:szCs w:val="1"/>
                <w:color w:val="auto"/>
              </w:rPr>
            </w:pPr>
          </w:p>
        </w:tc>
      </w:tr>
      <w:tr>
        <w:trPr>
          <w:trHeight w:val="235"/>
        </w:trPr>
        <w:tc>
          <w:tcPr>
            <w:tcW w:w="4640" w:type="dxa"/>
            <w:vAlign w:val="bottom"/>
          </w:tcPr>
          <w:p>
            <w:pPr>
              <w:spacing w:after="0"/>
              <w:rPr>
                <w:sz w:val="20"/>
                <w:szCs w:val="20"/>
                <w:color w:val="auto"/>
              </w:rPr>
            </w:pPr>
            <w:r>
              <w:rPr>
                <w:rFonts w:ascii="Arial" w:cs="Arial" w:eastAsia="Arial" w:hAnsi="Arial"/>
                <w:sz w:val="16"/>
                <w:szCs w:val="16"/>
                <w:color w:val="auto"/>
              </w:rPr>
              <w:t>Fixed maturity securities, available-for-sale:</w:t>
            </w: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4640" w:type="dxa"/>
            <w:vAlign w:val="bottom"/>
          </w:tcPr>
          <w:p>
            <w:pPr>
              <w:ind w:left="220"/>
              <w:spacing w:after="0"/>
              <w:rPr>
                <w:sz w:val="20"/>
                <w:szCs w:val="20"/>
                <w:color w:val="auto"/>
              </w:rPr>
            </w:pPr>
            <w:r>
              <w:rPr>
                <w:rFonts w:ascii="Arial" w:cs="Arial" w:eastAsia="Arial" w:hAnsi="Arial"/>
                <w:sz w:val="16"/>
                <w:szCs w:val="16"/>
                <w:color w:val="auto"/>
              </w:rPr>
              <w:t>Asset-backed securities</w:t>
            </w:r>
          </w:p>
        </w:tc>
        <w:tc>
          <w:tcPr>
            <w:tcW w:w="200" w:type="dxa"/>
            <w:vAlign w:val="bottom"/>
          </w:tcPr>
          <w:p>
            <w:pPr>
              <w:spacing w:after="0"/>
              <w:rPr>
                <w:sz w:val="20"/>
                <w:szCs w:val="20"/>
                <w:color w:val="auto"/>
              </w:rPr>
            </w:pPr>
          </w:p>
        </w:tc>
        <w:tc>
          <w:tcPr>
            <w:tcW w:w="82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8,644</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ind w:right="2"/>
              <w:spacing w:after="0"/>
              <w:rPr>
                <w:sz w:val="20"/>
                <w:szCs w:val="20"/>
                <w:color w:val="auto"/>
              </w:rPr>
            </w:pPr>
            <w:r>
              <w:rPr>
                <w:rFonts w:ascii="Arial" w:cs="Arial" w:eastAsia="Arial" w:hAnsi="Arial"/>
                <w:sz w:val="16"/>
                <w:szCs w:val="16"/>
                <w:color w:val="auto"/>
              </w:rPr>
              <w:t>10,094</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ind w:left="5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18,738</w:t>
            </w:r>
          </w:p>
        </w:tc>
        <w:tc>
          <w:tcPr>
            <w:tcW w:w="0" w:type="dxa"/>
            <w:vAlign w:val="bottom"/>
          </w:tcPr>
          <w:p>
            <w:pPr>
              <w:spacing w:after="0"/>
              <w:rPr>
                <w:sz w:val="1"/>
                <w:szCs w:val="1"/>
                <w:color w:val="auto"/>
              </w:rPr>
            </w:pPr>
          </w:p>
        </w:tc>
      </w:tr>
      <w:tr>
        <w:trPr>
          <w:trHeight w:val="235"/>
        </w:trPr>
        <w:tc>
          <w:tcPr>
            <w:tcW w:w="4640" w:type="dxa"/>
            <w:vAlign w:val="bottom"/>
          </w:tcPr>
          <w:p>
            <w:pPr>
              <w:ind w:left="220"/>
              <w:spacing w:after="0"/>
              <w:rPr>
                <w:sz w:val="20"/>
                <w:szCs w:val="20"/>
                <w:color w:val="auto"/>
              </w:rPr>
            </w:pPr>
            <w:r>
              <w:rPr>
                <w:rFonts w:ascii="Arial" w:cs="Arial" w:eastAsia="Arial" w:hAnsi="Arial"/>
                <w:sz w:val="16"/>
                <w:szCs w:val="16"/>
                <w:color w:val="auto"/>
              </w:rPr>
              <w:t>Commercial mortgage-backed securities</w:t>
            </w:r>
          </w:p>
        </w:tc>
        <w:tc>
          <w:tcPr>
            <w:tcW w:w="200" w:type="dxa"/>
            <w:vAlign w:val="bottom"/>
          </w:tcPr>
          <w:p>
            <w:pPr>
              <w:spacing w:after="0"/>
              <w:rPr>
                <w:sz w:val="20"/>
                <w:szCs w:val="20"/>
                <w:color w:val="auto"/>
              </w:rPr>
            </w:pPr>
          </w:p>
        </w:tc>
        <w:tc>
          <w:tcPr>
            <w:tcW w:w="82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5,200</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780" w:type="dxa"/>
            <w:vAlign w:val="bottom"/>
          </w:tcPr>
          <w:p>
            <w:pPr>
              <w:ind w:left="5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5,200</w:t>
            </w:r>
          </w:p>
        </w:tc>
        <w:tc>
          <w:tcPr>
            <w:tcW w:w="0" w:type="dxa"/>
            <w:vAlign w:val="bottom"/>
          </w:tcPr>
          <w:p>
            <w:pPr>
              <w:spacing w:after="0"/>
              <w:rPr>
                <w:sz w:val="1"/>
                <w:szCs w:val="1"/>
                <w:color w:val="auto"/>
              </w:rPr>
            </w:pPr>
          </w:p>
        </w:tc>
      </w:tr>
      <w:tr>
        <w:trPr>
          <w:trHeight w:val="235"/>
        </w:trPr>
        <w:tc>
          <w:tcPr>
            <w:tcW w:w="4640" w:type="dxa"/>
            <w:vAlign w:val="bottom"/>
          </w:tcPr>
          <w:p>
            <w:pPr>
              <w:ind w:left="220"/>
              <w:spacing w:after="0"/>
              <w:rPr>
                <w:sz w:val="20"/>
                <w:szCs w:val="20"/>
                <w:color w:val="auto"/>
              </w:rPr>
            </w:pPr>
            <w:r>
              <w:rPr>
                <w:rFonts w:ascii="Arial" w:cs="Arial" w:eastAsia="Arial" w:hAnsi="Arial"/>
                <w:sz w:val="16"/>
                <w:szCs w:val="16"/>
                <w:color w:val="auto"/>
              </w:rPr>
              <w:t>Corporates</w:t>
            </w:r>
          </w:p>
        </w:tc>
        <w:tc>
          <w:tcPr>
            <w:tcW w:w="200" w:type="dxa"/>
            <w:vAlign w:val="bottom"/>
          </w:tcPr>
          <w:p>
            <w:pPr>
              <w:spacing w:after="0"/>
              <w:rPr>
                <w:sz w:val="20"/>
                <w:szCs w:val="20"/>
                <w:color w:val="auto"/>
              </w:rPr>
            </w:pPr>
          </w:p>
        </w:tc>
        <w:tc>
          <w:tcPr>
            <w:tcW w:w="820" w:type="dxa"/>
            <w:vAlign w:val="bottom"/>
          </w:tcPr>
          <w:p>
            <w:pPr>
              <w:jc w:val="right"/>
              <w:ind w:right="2"/>
              <w:spacing w:after="0"/>
              <w:rPr>
                <w:sz w:val="20"/>
                <w:szCs w:val="20"/>
                <w:color w:val="auto"/>
              </w:rPr>
            </w:pPr>
            <w:r>
              <w:rPr>
                <w:rFonts w:ascii="Arial" w:cs="Arial" w:eastAsia="Arial" w:hAnsi="Arial"/>
                <w:sz w:val="16"/>
                <w:szCs w:val="16"/>
                <w:color w:val="auto"/>
              </w:rPr>
              <w:t>40</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21,263</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ind w:right="2"/>
              <w:spacing w:after="0"/>
              <w:rPr>
                <w:sz w:val="20"/>
                <w:szCs w:val="20"/>
                <w:color w:val="auto"/>
              </w:rPr>
            </w:pPr>
            <w:r>
              <w:rPr>
                <w:rFonts w:ascii="Arial" w:cs="Arial" w:eastAsia="Arial" w:hAnsi="Arial"/>
                <w:sz w:val="16"/>
                <w:szCs w:val="16"/>
                <w:color w:val="auto"/>
              </w:rPr>
              <w:t>3,145</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ind w:left="5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24,448</w:t>
            </w:r>
          </w:p>
        </w:tc>
        <w:tc>
          <w:tcPr>
            <w:tcW w:w="0" w:type="dxa"/>
            <w:vAlign w:val="bottom"/>
          </w:tcPr>
          <w:p>
            <w:pPr>
              <w:spacing w:after="0"/>
              <w:rPr>
                <w:sz w:val="1"/>
                <w:szCs w:val="1"/>
                <w:color w:val="auto"/>
              </w:rPr>
            </w:pPr>
          </w:p>
        </w:tc>
      </w:tr>
      <w:tr>
        <w:trPr>
          <w:trHeight w:val="235"/>
        </w:trPr>
        <w:tc>
          <w:tcPr>
            <w:tcW w:w="4640" w:type="dxa"/>
            <w:vAlign w:val="bottom"/>
          </w:tcPr>
          <w:p>
            <w:pPr>
              <w:ind w:left="220"/>
              <w:spacing w:after="0"/>
              <w:rPr>
                <w:sz w:val="20"/>
                <w:szCs w:val="20"/>
                <w:color w:val="auto"/>
              </w:rPr>
            </w:pPr>
            <w:r>
              <w:rPr>
                <w:rFonts w:ascii="Arial" w:cs="Arial" w:eastAsia="Arial" w:hAnsi="Arial"/>
                <w:sz w:val="16"/>
                <w:szCs w:val="16"/>
                <w:color w:val="auto"/>
              </w:rPr>
              <w:t>Hybrids</w:t>
            </w:r>
          </w:p>
        </w:tc>
        <w:tc>
          <w:tcPr>
            <w:tcW w:w="200" w:type="dxa"/>
            <w:vAlign w:val="bottom"/>
          </w:tcPr>
          <w:p>
            <w:pPr>
              <w:spacing w:after="0"/>
              <w:rPr>
                <w:sz w:val="20"/>
                <w:szCs w:val="20"/>
                <w:color w:val="auto"/>
              </w:rPr>
            </w:pPr>
          </w:p>
        </w:tc>
        <w:tc>
          <w:tcPr>
            <w:tcW w:w="820" w:type="dxa"/>
            <w:vAlign w:val="bottom"/>
          </w:tcPr>
          <w:p>
            <w:pPr>
              <w:jc w:val="right"/>
              <w:ind w:right="2"/>
              <w:spacing w:after="0"/>
              <w:rPr>
                <w:sz w:val="20"/>
                <w:szCs w:val="20"/>
                <w:color w:val="auto"/>
              </w:rPr>
            </w:pPr>
            <w:r>
              <w:rPr>
                <w:rFonts w:ascii="Arial" w:cs="Arial" w:eastAsia="Arial" w:hAnsi="Arial"/>
                <w:sz w:val="16"/>
                <w:szCs w:val="16"/>
                <w:color w:val="auto"/>
              </w:rPr>
              <w:t>36</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558</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ind w:right="2"/>
              <w:spacing w:after="0"/>
              <w:rPr>
                <w:sz w:val="20"/>
                <w:szCs w:val="20"/>
                <w:color w:val="auto"/>
              </w:rPr>
            </w:pPr>
            <w:r>
              <w:rPr>
                <w:rFonts w:ascii="Arial" w:cs="Arial" w:eastAsia="Arial" w:hAnsi="Arial"/>
                <w:sz w:val="16"/>
                <w:szCs w:val="16"/>
                <w:color w:val="auto"/>
              </w:rPr>
              <w:t>15</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ind w:left="5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609</w:t>
            </w:r>
          </w:p>
        </w:tc>
        <w:tc>
          <w:tcPr>
            <w:tcW w:w="0" w:type="dxa"/>
            <w:vAlign w:val="bottom"/>
          </w:tcPr>
          <w:p>
            <w:pPr>
              <w:spacing w:after="0"/>
              <w:rPr>
                <w:sz w:val="1"/>
                <w:szCs w:val="1"/>
                <w:color w:val="auto"/>
              </w:rPr>
            </w:pPr>
          </w:p>
        </w:tc>
      </w:tr>
      <w:tr>
        <w:trPr>
          <w:trHeight w:val="235"/>
        </w:trPr>
        <w:tc>
          <w:tcPr>
            <w:tcW w:w="4640" w:type="dxa"/>
            <w:vAlign w:val="bottom"/>
          </w:tcPr>
          <w:p>
            <w:pPr>
              <w:ind w:left="220"/>
              <w:spacing w:after="0"/>
              <w:rPr>
                <w:sz w:val="20"/>
                <w:szCs w:val="20"/>
                <w:color w:val="auto"/>
              </w:rPr>
            </w:pPr>
            <w:r>
              <w:rPr>
                <w:rFonts w:ascii="Arial" w:cs="Arial" w:eastAsia="Arial" w:hAnsi="Arial"/>
                <w:sz w:val="16"/>
                <w:szCs w:val="16"/>
                <w:color w:val="auto"/>
              </w:rPr>
              <w:t>Municipals</w:t>
            </w:r>
          </w:p>
        </w:tc>
        <w:tc>
          <w:tcPr>
            <w:tcW w:w="200" w:type="dxa"/>
            <w:vAlign w:val="bottom"/>
          </w:tcPr>
          <w:p>
            <w:pPr>
              <w:spacing w:after="0"/>
              <w:rPr>
                <w:sz w:val="20"/>
                <w:szCs w:val="20"/>
                <w:color w:val="auto"/>
              </w:rPr>
            </w:pPr>
          </w:p>
        </w:tc>
        <w:tc>
          <w:tcPr>
            <w:tcW w:w="82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1,390</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ind w:right="2"/>
              <w:spacing w:after="0"/>
              <w:rPr>
                <w:sz w:val="20"/>
                <w:szCs w:val="20"/>
                <w:color w:val="auto"/>
              </w:rPr>
            </w:pPr>
            <w:r>
              <w:rPr>
                <w:rFonts w:ascii="Arial" w:cs="Arial" w:eastAsia="Arial" w:hAnsi="Arial"/>
                <w:sz w:val="16"/>
                <w:szCs w:val="16"/>
                <w:color w:val="auto"/>
              </w:rPr>
              <w:t>3</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ind w:left="5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1,393</w:t>
            </w:r>
          </w:p>
        </w:tc>
        <w:tc>
          <w:tcPr>
            <w:tcW w:w="0" w:type="dxa"/>
            <w:vAlign w:val="bottom"/>
          </w:tcPr>
          <w:p>
            <w:pPr>
              <w:spacing w:after="0"/>
              <w:rPr>
                <w:sz w:val="1"/>
                <w:szCs w:val="1"/>
                <w:color w:val="auto"/>
              </w:rPr>
            </w:pPr>
          </w:p>
        </w:tc>
      </w:tr>
      <w:tr>
        <w:trPr>
          <w:trHeight w:val="235"/>
        </w:trPr>
        <w:tc>
          <w:tcPr>
            <w:tcW w:w="4640" w:type="dxa"/>
            <w:vAlign w:val="bottom"/>
          </w:tcPr>
          <w:p>
            <w:pPr>
              <w:ind w:left="220"/>
              <w:spacing w:after="0"/>
              <w:rPr>
                <w:sz w:val="20"/>
                <w:szCs w:val="20"/>
                <w:color w:val="auto"/>
              </w:rPr>
            </w:pPr>
            <w:r>
              <w:rPr>
                <w:rFonts w:ascii="Arial" w:cs="Arial" w:eastAsia="Arial" w:hAnsi="Arial"/>
                <w:sz w:val="16"/>
                <w:szCs w:val="16"/>
                <w:color w:val="auto"/>
              </w:rPr>
              <w:t>Residential mortgage-backed securities</w:t>
            </w:r>
          </w:p>
        </w:tc>
        <w:tc>
          <w:tcPr>
            <w:tcW w:w="200" w:type="dxa"/>
            <w:vAlign w:val="bottom"/>
          </w:tcPr>
          <w:p>
            <w:pPr>
              <w:spacing w:after="0"/>
              <w:rPr>
                <w:sz w:val="20"/>
                <w:szCs w:val="20"/>
                <w:color w:val="auto"/>
              </w:rPr>
            </w:pPr>
          </w:p>
        </w:tc>
        <w:tc>
          <w:tcPr>
            <w:tcW w:w="82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2,848</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ind w:right="2"/>
              <w:spacing w:after="0"/>
              <w:rPr>
                <w:sz w:val="20"/>
                <w:szCs w:val="20"/>
                <w:color w:val="auto"/>
              </w:rPr>
            </w:pPr>
            <w:r>
              <w:rPr>
                <w:rFonts w:ascii="Arial" w:cs="Arial" w:eastAsia="Arial" w:hAnsi="Arial"/>
                <w:sz w:val="16"/>
                <w:szCs w:val="16"/>
                <w:color w:val="auto"/>
              </w:rPr>
              <w:t>3</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ind w:left="5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2,851</w:t>
            </w:r>
          </w:p>
        </w:tc>
        <w:tc>
          <w:tcPr>
            <w:tcW w:w="0" w:type="dxa"/>
            <w:vAlign w:val="bottom"/>
          </w:tcPr>
          <w:p>
            <w:pPr>
              <w:spacing w:after="0"/>
              <w:rPr>
                <w:sz w:val="1"/>
                <w:szCs w:val="1"/>
                <w:color w:val="auto"/>
              </w:rPr>
            </w:pPr>
          </w:p>
        </w:tc>
      </w:tr>
      <w:tr>
        <w:trPr>
          <w:trHeight w:val="235"/>
        </w:trPr>
        <w:tc>
          <w:tcPr>
            <w:tcW w:w="4640" w:type="dxa"/>
            <w:vAlign w:val="bottom"/>
          </w:tcPr>
          <w:p>
            <w:pPr>
              <w:ind w:left="220"/>
              <w:spacing w:after="0"/>
              <w:rPr>
                <w:sz w:val="20"/>
                <w:szCs w:val="20"/>
                <w:color w:val="auto"/>
              </w:rPr>
            </w:pPr>
            <w:r>
              <w:rPr>
                <w:rFonts w:ascii="Arial" w:cs="Arial" w:eastAsia="Arial" w:hAnsi="Arial"/>
                <w:sz w:val="16"/>
                <w:szCs w:val="16"/>
                <w:color w:val="auto"/>
              </w:rPr>
              <w:t>U.S. Government</w:t>
            </w:r>
          </w:p>
        </w:tc>
        <w:tc>
          <w:tcPr>
            <w:tcW w:w="200" w:type="dxa"/>
            <w:vAlign w:val="bottom"/>
          </w:tcPr>
          <w:p>
            <w:pPr>
              <w:spacing w:after="0"/>
              <w:rPr>
                <w:sz w:val="20"/>
                <w:szCs w:val="20"/>
                <w:color w:val="auto"/>
              </w:rPr>
            </w:pPr>
          </w:p>
        </w:tc>
        <w:tc>
          <w:tcPr>
            <w:tcW w:w="820" w:type="dxa"/>
            <w:vAlign w:val="bottom"/>
          </w:tcPr>
          <w:p>
            <w:pPr>
              <w:jc w:val="right"/>
              <w:ind w:right="2"/>
              <w:spacing w:after="0"/>
              <w:rPr>
                <w:sz w:val="20"/>
                <w:szCs w:val="20"/>
                <w:color w:val="auto"/>
              </w:rPr>
            </w:pPr>
            <w:r>
              <w:rPr>
                <w:rFonts w:ascii="Arial" w:cs="Arial" w:eastAsia="Arial" w:hAnsi="Arial"/>
                <w:sz w:val="16"/>
                <w:szCs w:val="16"/>
                <w:color w:val="auto"/>
              </w:rPr>
              <w:t>938</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15</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780" w:type="dxa"/>
            <w:vAlign w:val="bottom"/>
          </w:tcPr>
          <w:p>
            <w:pPr>
              <w:ind w:left="5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953</w:t>
            </w:r>
          </w:p>
        </w:tc>
        <w:tc>
          <w:tcPr>
            <w:tcW w:w="0" w:type="dxa"/>
            <w:vAlign w:val="bottom"/>
          </w:tcPr>
          <w:p>
            <w:pPr>
              <w:spacing w:after="0"/>
              <w:rPr>
                <w:sz w:val="1"/>
                <w:szCs w:val="1"/>
                <w:color w:val="auto"/>
              </w:rPr>
            </w:pPr>
          </w:p>
        </w:tc>
      </w:tr>
      <w:tr>
        <w:trPr>
          <w:trHeight w:val="235"/>
        </w:trPr>
        <w:tc>
          <w:tcPr>
            <w:tcW w:w="4640" w:type="dxa"/>
            <w:vAlign w:val="bottom"/>
          </w:tcPr>
          <w:p>
            <w:pPr>
              <w:ind w:left="220"/>
              <w:spacing w:after="0"/>
              <w:rPr>
                <w:sz w:val="20"/>
                <w:szCs w:val="20"/>
                <w:color w:val="auto"/>
              </w:rPr>
            </w:pPr>
            <w:r>
              <w:rPr>
                <w:rFonts w:ascii="Arial" w:cs="Arial" w:eastAsia="Arial" w:hAnsi="Arial"/>
                <w:sz w:val="16"/>
                <w:szCs w:val="16"/>
                <w:color w:val="auto"/>
              </w:rPr>
              <w:t>Foreign Governments</w:t>
            </w:r>
          </w:p>
        </w:tc>
        <w:tc>
          <w:tcPr>
            <w:tcW w:w="200" w:type="dxa"/>
            <w:vAlign w:val="bottom"/>
          </w:tcPr>
          <w:p>
            <w:pPr>
              <w:spacing w:after="0"/>
              <w:rPr>
                <w:sz w:val="20"/>
                <w:szCs w:val="20"/>
                <w:color w:val="auto"/>
              </w:rPr>
            </w:pPr>
          </w:p>
        </w:tc>
        <w:tc>
          <w:tcPr>
            <w:tcW w:w="820" w:type="dxa"/>
            <w:vAlign w:val="bottom"/>
          </w:tcPr>
          <w:p>
            <w:pPr>
              <w:jc w:val="right"/>
              <w:ind w:right="2"/>
              <w:spacing w:after="0"/>
              <w:rPr>
                <w:sz w:val="20"/>
                <w:szCs w:val="20"/>
                <w:color w:val="auto"/>
              </w:rPr>
            </w:pPr>
            <w:r>
              <w:rPr>
                <w:rFonts w:ascii="Arial" w:cs="Arial" w:eastAsia="Arial" w:hAnsi="Arial"/>
                <w:sz w:val="16"/>
                <w:szCs w:val="16"/>
                <w:color w:val="auto"/>
              </w:rPr>
              <w:t>107</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238</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ind w:right="2"/>
              <w:spacing w:after="0"/>
              <w:rPr>
                <w:sz w:val="20"/>
                <w:szCs w:val="20"/>
                <w:color w:val="auto"/>
              </w:rPr>
            </w:pPr>
            <w:r>
              <w:rPr>
                <w:rFonts w:ascii="Arial" w:cs="Arial" w:eastAsia="Arial" w:hAnsi="Arial"/>
                <w:sz w:val="16"/>
                <w:szCs w:val="16"/>
                <w:color w:val="auto"/>
              </w:rPr>
              <w:t>23</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ind w:left="5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368</w:t>
            </w:r>
          </w:p>
        </w:tc>
        <w:tc>
          <w:tcPr>
            <w:tcW w:w="0" w:type="dxa"/>
            <w:vAlign w:val="bottom"/>
          </w:tcPr>
          <w:p>
            <w:pPr>
              <w:spacing w:after="0"/>
              <w:rPr>
                <w:sz w:val="1"/>
                <w:szCs w:val="1"/>
                <w:color w:val="auto"/>
              </w:rPr>
            </w:pPr>
          </w:p>
        </w:tc>
      </w:tr>
      <w:tr>
        <w:trPr>
          <w:trHeight w:val="235"/>
        </w:trPr>
        <w:tc>
          <w:tcPr>
            <w:tcW w:w="4640" w:type="dxa"/>
            <w:vAlign w:val="bottom"/>
          </w:tcPr>
          <w:p>
            <w:pPr>
              <w:spacing w:after="0"/>
              <w:rPr>
                <w:sz w:val="20"/>
                <w:szCs w:val="20"/>
                <w:color w:val="auto"/>
              </w:rPr>
            </w:pPr>
            <w:r>
              <w:rPr>
                <w:rFonts w:ascii="Arial" w:cs="Arial" w:eastAsia="Arial" w:hAnsi="Arial"/>
                <w:sz w:val="16"/>
                <w:szCs w:val="16"/>
                <w:color w:val="auto"/>
              </w:rPr>
              <w:t>Equity securities:</w:t>
            </w: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4640" w:type="dxa"/>
            <w:vAlign w:val="bottom"/>
          </w:tcPr>
          <w:p>
            <w:pPr>
              <w:ind w:left="220"/>
              <w:spacing w:after="0"/>
              <w:rPr>
                <w:sz w:val="20"/>
                <w:szCs w:val="20"/>
                <w:color w:val="auto"/>
              </w:rPr>
            </w:pPr>
            <w:r>
              <w:rPr>
                <w:rFonts w:ascii="Arial" w:cs="Arial" w:eastAsia="Arial" w:hAnsi="Arial"/>
                <w:sz w:val="16"/>
                <w:szCs w:val="16"/>
                <w:color w:val="auto"/>
              </w:rPr>
              <w:t>Preferred equity securities</w:t>
            </w:r>
          </w:p>
        </w:tc>
        <w:tc>
          <w:tcPr>
            <w:tcW w:w="200" w:type="dxa"/>
            <w:vAlign w:val="bottom"/>
          </w:tcPr>
          <w:p>
            <w:pPr>
              <w:spacing w:after="0"/>
              <w:rPr>
                <w:sz w:val="20"/>
                <w:szCs w:val="20"/>
                <w:color w:val="auto"/>
              </w:rPr>
            </w:pPr>
          </w:p>
        </w:tc>
        <w:tc>
          <w:tcPr>
            <w:tcW w:w="820" w:type="dxa"/>
            <w:vAlign w:val="bottom"/>
          </w:tcPr>
          <w:p>
            <w:pPr>
              <w:jc w:val="right"/>
              <w:ind w:right="2"/>
              <w:spacing w:after="0"/>
              <w:rPr>
                <w:sz w:val="20"/>
                <w:szCs w:val="20"/>
                <w:color w:val="auto"/>
              </w:rPr>
            </w:pPr>
            <w:r>
              <w:rPr>
                <w:rFonts w:ascii="Arial" w:cs="Arial" w:eastAsia="Arial" w:hAnsi="Arial"/>
                <w:sz w:val="16"/>
                <w:szCs w:val="16"/>
                <w:color w:val="auto"/>
              </w:rPr>
              <w:t>174</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254</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ind w:right="2"/>
              <w:spacing w:after="0"/>
              <w:rPr>
                <w:sz w:val="20"/>
                <w:szCs w:val="20"/>
                <w:color w:val="auto"/>
              </w:rPr>
            </w:pPr>
            <w:r>
              <w:rPr>
                <w:rFonts w:ascii="Arial" w:cs="Arial" w:eastAsia="Arial" w:hAnsi="Arial"/>
                <w:sz w:val="16"/>
                <w:szCs w:val="16"/>
                <w:color w:val="auto"/>
              </w:rPr>
              <w:t>8</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ind w:left="5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436</w:t>
            </w:r>
          </w:p>
        </w:tc>
        <w:tc>
          <w:tcPr>
            <w:tcW w:w="0" w:type="dxa"/>
            <w:vAlign w:val="bottom"/>
          </w:tcPr>
          <w:p>
            <w:pPr>
              <w:spacing w:after="0"/>
              <w:rPr>
                <w:sz w:val="1"/>
                <w:szCs w:val="1"/>
                <w:color w:val="auto"/>
              </w:rPr>
            </w:pPr>
          </w:p>
        </w:tc>
      </w:tr>
      <w:tr>
        <w:trPr>
          <w:trHeight w:val="235"/>
        </w:trPr>
        <w:tc>
          <w:tcPr>
            <w:tcW w:w="4640" w:type="dxa"/>
            <w:vAlign w:val="bottom"/>
          </w:tcPr>
          <w:p>
            <w:pPr>
              <w:ind w:left="220"/>
              <w:spacing w:after="0"/>
              <w:rPr>
                <w:sz w:val="20"/>
                <w:szCs w:val="20"/>
                <w:color w:val="auto"/>
              </w:rPr>
            </w:pPr>
            <w:r>
              <w:rPr>
                <w:rFonts w:ascii="Arial" w:cs="Arial" w:eastAsia="Arial" w:hAnsi="Arial"/>
                <w:sz w:val="16"/>
                <w:szCs w:val="16"/>
                <w:color w:val="auto"/>
              </w:rPr>
              <w:t>Common equity securities</w:t>
            </w:r>
          </w:p>
        </w:tc>
        <w:tc>
          <w:tcPr>
            <w:tcW w:w="200" w:type="dxa"/>
            <w:vAlign w:val="bottom"/>
          </w:tcPr>
          <w:p>
            <w:pPr>
              <w:spacing w:after="0"/>
              <w:rPr>
                <w:sz w:val="20"/>
                <w:szCs w:val="20"/>
                <w:color w:val="auto"/>
              </w:rPr>
            </w:pPr>
          </w:p>
        </w:tc>
        <w:tc>
          <w:tcPr>
            <w:tcW w:w="820" w:type="dxa"/>
            <w:vAlign w:val="bottom"/>
          </w:tcPr>
          <w:p>
            <w:pPr>
              <w:jc w:val="right"/>
              <w:ind w:right="2"/>
              <w:spacing w:after="0"/>
              <w:rPr>
                <w:sz w:val="20"/>
                <w:szCs w:val="20"/>
                <w:color w:val="auto"/>
              </w:rPr>
            </w:pPr>
            <w:r>
              <w:rPr>
                <w:rFonts w:ascii="Arial" w:cs="Arial" w:eastAsia="Arial" w:hAnsi="Arial"/>
                <w:sz w:val="16"/>
                <w:szCs w:val="16"/>
                <w:color w:val="auto"/>
              </w:rPr>
              <w:t>441</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ind w:right="2"/>
              <w:spacing w:after="0"/>
              <w:rPr>
                <w:sz w:val="20"/>
                <w:szCs w:val="20"/>
                <w:color w:val="auto"/>
              </w:rPr>
            </w:pPr>
            <w:r>
              <w:rPr>
                <w:rFonts w:ascii="Arial" w:cs="Arial" w:eastAsia="Arial" w:hAnsi="Arial"/>
                <w:sz w:val="16"/>
                <w:szCs w:val="16"/>
                <w:color w:val="auto"/>
              </w:rPr>
              <w:t>17</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ind w:left="560"/>
              <w:spacing w:after="0"/>
              <w:rPr>
                <w:sz w:val="20"/>
                <w:szCs w:val="20"/>
                <w:color w:val="auto"/>
              </w:rPr>
            </w:pPr>
            <w:r>
              <w:rPr>
                <w:rFonts w:ascii="Arial" w:cs="Arial" w:eastAsia="Arial" w:hAnsi="Arial"/>
                <w:sz w:val="16"/>
                <w:szCs w:val="16"/>
                <w:color w:val="auto"/>
              </w:rPr>
              <w:t>35</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493</w:t>
            </w:r>
          </w:p>
        </w:tc>
        <w:tc>
          <w:tcPr>
            <w:tcW w:w="0" w:type="dxa"/>
            <w:vAlign w:val="bottom"/>
          </w:tcPr>
          <w:p>
            <w:pPr>
              <w:spacing w:after="0"/>
              <w:rPr>
                <w:sz w:val="1"/>
                <w:szCs w:val="1"/>
                <w:color w:val="auto"/>
              </w:rPr>
            </w:pPr>
          </w:p>
        </w:tc>
      </w:tr>
      <w:tr>
        <w:trPr>
          <w:trHeight w:val="235"/>
        </w:trPr>
        <w:tc>
          <w:tcPr>
            <w:tcW w:w="4640" w:type="dxa"/>
            <w:vAlign w:val="bottom"/>
          </w:tcPr>
          <w:p>
            <w:pPr>
              <w:spacing w:after="0"/>
              <w:rPr>
                <w:sz w:val="20"/>
                <w:szCs w:val="20"/>
                <w:color w:val="auto"/>
              </w:rPr>
            </w:pPr>
            <w:r>
              <w:rPr>
                <w:rFonts w:ascii="Arial" w:cs="Arial" w:eastAsia="Arial" w:hAnsi="Arial"/>
                <w:sz w:val="16"/>
                <w:szCs w:val="16"/>
                <w:color w:val="auto"/>
              </w:rPr>
              <w:t>Derivative investments</w:t>
            </w:r>
          </w:p>
        </w:tc>
        <w:tc>
          <w:tcPr>
            <w:tcW w:w="200" w:type="dxa"/>
            <w:vAlign w:val="bottom"/>
          </w:tcPr>
          <w:p>
            <w:pPr>
              <w:spacing w:after="0"/>
              <w:rPr>
                <w:sz w:val="20"/>
                <w:szCs w:val="20"/>
                <w:color w:val="auto"/>
              </w:rPr>
            </w:pPr>
          </w:p>
        </w:tc>
        <w:tc>
          <w:tcPr>
            <w:tcW w:w="82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1,156</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780" w:type="dxa"/>
            <w:vAlign w:val="bottom"/>
          </w:tcPr>
          <w:p>
            <w:pPr>
              <w:ind w:left="5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1,156</w:t>
            </w:r>
          </w:p>
        </w:tc>
        <w:tc>
          <w:tcPr>
            <w:tcW w:w="0" w:type="dxa"/>
            <w:vAlign w:val="bottom"/>
          </w:tcPr>
          <w:p>
            <w:pPr>
              <w:spacing w:after="0"/>
              <w:rPr>
                <w:sz w:val="1"/>
                <w:szCs w:val="1"/>
                <w:color w:val="auto"/>
              </w:rPr>
            </w:pPr>
          </w:p>
        </w:tc>
      </w:tr>
      <w:tr>
        <w:trPr>
          <w:trHeight w:val="235"/>
        </w:trPr>
        <w:tc>
          <w:tcPr>
            <w:tcW w:w="4640" w:type="dxa"/>
            <w:vAlign w:val="bottom"/>
          </w:tcPr>
          <w:p>
            <w:pPr>
              <w:spacing w:after="0"/>
              <w:rPr>
                <w:sz w:val="20"/>
                <w:szCs w:val="20"/>
                <w:color w:val="auto"/>
              </w:rPr>
            </w:pPr>
            <w:r>
              <w:rPr>
                <w:rFonts w:ascii="Arial" w:cs="Arial" w:eastAsia="Arial" w:hAnsi="Arial"/>
                <w:sz w:val="16"/>
                <w:szCs w:val="16"/>
                <w:color w:val="auto"/>
              </w:rPr>
              <w:t>Investments in unconsolidated affiliates</w:t>
            </w:r>
          </w:p>
        </w:tc>
        <w:tc>
          <w:tcPr>
            <w:tcW w:w="200" w:type="dxa"/>
            <w:vAlign w:val="bottom"/>
          </w:tcPr>
          <w:p>
            <w:pPr>
              <w:spacing w:after="0"/>
              <w:rPr>
                <w:sz w:val="20"/>
                <w:szCs w:val="20"/>
                <w:color w:val="auto"/>
              </w:rPr>
            </w:pPr>
          </w:p>
        </w:tc>
        <w:tc>
          <w:tcPr>
            <w:tcW w:w="82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ind w:right="2"/>
              <w:spacing w:after="0"/>
              <w:rPr>
                <w:sz w:val="20"/>
                <w:szCs w:val="20"/>
                <w:color w:val="auto"/>
              </w:rPr>
            </w:pPr>
            <w:r>
              <w:rPr>
                <w:rFonts w:ascii="Arial" w:cs="Arial" w:eastAsia="Arial" w:hAnsi="Arial"/>
                <w:sz w:val="16"/>
                <w:szCs w:val="16"/>
                <w:color w:val="auto"/>
              </w:rPr>
              <w:t>270</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ind w:left="5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270</w:t>
            </w:r>
          </w:p>
        </w:tc>
        <w:tc>
          <w:tcPr>
            <w:tcW w:w="0" w:type="dxa"/>
            <w:vAlign w:val="bottom"/>
          </w:tcPr>
          <w:p>
            <w:pPr>
              <w:spacing w:after="0"/>
              <w:rPr>
                <w:sz w:val="1"/>
                <w:szCs w:val="1"/>
                <w:color w:val="auto"/>
              </w:rPr>
            </w:pPr>
          </w:p>
        </w:tc>
      </w:tr>
      <w:tr>
        <w:trPr>
          <w:trHeight w:val="235"/>
        </w:trPr>
        <w:tc>
          <w:tcPr>
            <w:tcW w:w="4640" w:type="dxa"/>
            <w:vAlign w:val="bottom"/>
          </w:tcPr>
          <w:p>
            <w:pPr>
              <w:spacing w:after="0"/>
              <w:rPr>
                <w:sz w:val="20"/>
                <w:szCs w:val="20"/>
                <w:color w:val="auto"/>
              </w:rPr>
            </w:pPr>
            <w:r>
              <w:rPr>
                <w:rFonts w:ascii="Arial" w:cs="Arial" w:eastAsia="Arial" w:hAnsi="Arial"/>
                <w:sz w:val="16"/>
                <w:szCs w:val="16"/>
                <w:color w:val="auto"/>
              </w:rPr>
              <w:t>Other long-term investments (a)</w:t>
            </w:r>
          </w:p>
        </w:tc>
        <w:tc>
          <w:tcPr>
            <w:tcW w:w="200" w:type="dxa"/>
            <w:vAlign w:val="bottom"/>
          </w:tcPr>
          <w:p>
            <w:pPr>
              <w:spacing w:after="0"/>
              <w:rPr>
                <w:sz w:val="20"/>
                <w:szCs w:val="20"/>
                <w:color w:val="auto"/>
              </w:rPr>
            </w:pPr>
          </w:p>
        </w:tc>
        <w:tc>
          <w:tcPr>
            <w:tcW w:w="82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248</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ind w:right="2"/>
              <w:spacing w:after="0"/>
              <w:rPr>
                <w:sz w:val="20"/>
                <w:szCs w:val="20"/>
                <w:color w:val="auto"/>
              </w:rPr>
            </w:pPr>
            <w:r>
              <w:rPr>
                <w:rFonts w:ascii="Arial" w:cs="Arial" w:eastAsia="Arial" w:hAnsi="Arial"/>
                <w:sz w:val="16"/>
                <w:szCs w:val="16"/>
                <w:color w:val="auto"/>
              </w:rPr>
              <w:t>41</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ind w:left="5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289</w:t>
            </w:r>
          </w:p>
        </w:tc>
        <w:tc>
          <w:tcPr>
            <w:tcW w:w="0" w:type="dxa"/>
            <w:vAlign w:val="bottom"/>
          </w:tcPr>
          <w:p>
            <w:pPr>
              <w:spacing w:after="0"/>
              <w:rPr>
                <w:sz w:val="1"/>
                <w:szCs w:val="1"/>
                <w:color w:val="auto"/>
              </w:rPr>
            </w:pPr>
          </w:p>
        </w:tc>
      </w:tr>
      <w:tr>
        <w:trPr>
          <w:trHeight w:val="235"/>
        </w:trPr>
        <w:tc>
          <w:tcPr>
            <w:tcW w:w="4640" w:type="dxa"/>
            <w:vAlign w:val="bottom"/>
          </w:tcPr>
          <w:p>
            <w:pPr>
              <w:spacing w:after="0"/>
              <w:rPr>
                <w:sz w:val="20"/>
                <w:szCs w:val="20"/>
                <w:color w:val="auto"/>
              </w:rPr>
            </w:pPr>
            <w:r>
              <w:rPr>
                <w:rFonts w:ascii="Arial" w:cs="Arial" w:eastAsia="Arial" w:hAnsi="Arial"/>
                <w:sz w:val="16"/>
                <w:szCs w:val="16"/>
                <w:color w:val="auto"/>
              </w:rPr>
              <w:t>Short term investments</w:t>
            </w:r>
          </w:p>
        </w:tc>
        <w:tc>
          <w:tcPr>
            <w:tcW w:w="200" w:type="dxa"/>
            <w:vAlign w:val="bottom"/>
          </w:tcPr>
          <w:p>
            <w:pPr>
              <w:spacing w:after="0"/>
              <w:rPr>
                <w:sz w:val="20"/>
                <w:szCs w:val="20"/>
                <w:color w:val="auto"/>
              </w:rPr>
            </w:pPr>
          </w:p>
        </w:tc>
        <w:tc>
          <w:tcPr>
            <w:tcW w:w="820" w:type="dxa"/>
            <w:vAlign w:val="bottom"/>
          </w:tcPr>
          <w:p>
            <w:pPr>
              <w:jc w:val="right"/>
              <w:ind w:right="2"/>
              <w:spacing w:after="0"/>
              <w:rPr>
                <w:sz w:val="20"/>
                <w:szCs w:val="20"/>
                <w:color w:val="auto"/>
              </w:rPr>
            </w:pPr>
            <w:r>
              <w:rPr>
                <w:rFonts w:ascii="Arial" w:cs="Arial" w:eastAsia="Arial" w:hAnsi="Arial"/>
                <w:sz w:val="16"/>
                <w:szCs w:val="16"/>
                <w:color w:val="auto"/>
              </w:rPr>
              <w:t>1,764</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82</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ind w:right="2"/>
              <w:spacing w:after="0"/>
              <w:rPr>
                <w:sz w:val="20"/>
                <w:szCs w:val="20"/>
                <w:color w:val="auto"/>
              </w:rPr>
            </w:pPr>
            <w:r>
              <w:rPr>
                <w:rFonts w:ascii="Arial" w:cs="Arial" w:eastAsia="Arial" w:hAnsi="Arial"/>
                <w:sz w:val="16"/>
                <w:szCs w:val="16"/>
                <w:color w:val="auto"/>
              </w:rPr>
              <w:t>74</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ind w:left="5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1,920</w:t>
            </w:r>
          </w:p>
        </w:tc>
        <w:tc>
          <w:tcPr>
            <w:tcW w:w="0" w:type="dxa"/>
            <w:vAlign w:val="bottom"/>
          </w:tcPr>
          <w:p>
            <w:pPr>
              <w:spacing w:after="0"/>
              <w:rPr>
                <w:sz w:val="1"/>
                <w:szCs w:val="1"/>
                <w:color w:val="auto"/>
              </w:rPr>
            </w:pPr>
          </w:p>
        </w:tc>
      </w:tr>
      <w:tr>
        <w:trPr>
          <w:trHeight w:val="194"/>
        </w:trPr>
        <w:tc>
          <w:tcPr>
            <w:tcW w:w="4640" w:type="dxa"/>
            <w:vAlign w:val="bottom"/>
          </w:tcPr>
          <w:p>
            <w:pPr>
              <w:spacing w:after="0"/>
              <w:rPr>
                <w:sz w:val="20"/>
                <w:szCs w:val="20"/>
                <w:color w:val="auto"/>
              </w:rPr>
            </w:pPr>
            <w:r>
              <w:rPr>
                <w:rFonts w:ascii="Arial" w:cs="Arial" w:eastAsia="Arial" w:hAnsi="Arial"/>
                <w:sz w:val="16"/>
                <w:szCs w:val="16"/>
                <w:color w:val="auto"/>
              </w:rPr>
              <w:t>Indexed annuities/IUL ceded embedded derivatives, included in</w:t>
            </w:r>
          </w:p>
        </w:tc>
        <w:tc>
          <w:tcPr>
            <w:tcW w:w="200" w:type="dxa"/>
            <w:vAlign w:val="bottom"/>
          </w:tcPr>
          <w:p>
            <w:pPr>
              <w:spacing w:after="0"/>
              <w:rPr>
                <w:sz w:val="16"/>
                <w:szCs w:val="16"/>
                <w:color w:val="auto"/>
              </w:rPr>
            </w:pPr>
          </w:p>
        </w:tc>
        <w:tc>
          <w:tcPr>
            <w:tcW w:w="820" w:type="dxa"/>
            <w:vAlign w:val="bottom"/>
            <w:vMerge w:val="restart"/>
          </w:tcPr>
          <w:p>
            <w:pPr>
              <w:jc w:val="right"/>
              <w:ind w:right="2"/>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vMerge w:val="restart"/>
          </w:tcPr>
          <w:p>
            <w:pPr>
              <w:jc w:val="right"/>
              <w:ind w:right="2"/>
              <w:spacing w:after="0"/>
              <w:rPr>
                <w:sz w:val="20"/>
                <w:szCs w:val="20"/>
                <w:color w:val="auto"/>
              </w:rPr>
            </w:pPr>
            <w:r>
              <w:rPr>
                <w:rFonts w:ascii="Arial" w:cs="Arial" w:eastAsia="Arial" w:hAnsi="Arial"/>
                <w:sz w:val="16"/>
                <w:szCs w:val="16"/>
                <w:color w:val="auto"/>
              </w:rPr>
              <w:t>399</w:t>
            </w: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vMerge w:val="restart"/>
          </w:tcPr>
          <w:p>
            <w:pPr>
              <w:ind w:left="5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20" w:type="dxa"/>
            <w:vAlign w:val="bottom"/>
            <w:vMerge w:val="restart"/>
          </w:tcPr>
          <w:p>
            <w:pPr>
              <w:jc w:val="right"/>
              <w:spacing w:after="0"/>
              <w:rPr>
                <w:sz w:val="20"/>
                <w:szCs w:val="20"/>
                <w:color w:val="auto"/>
              </w:rPr>
            </w:pPr>
            <w:r>
              <w:rPr>
                <w:rFonts w:ascii="Arial" w:cs="Arial" w:eastAsia="Arial" w:hAnsi="Arial"/>
                <w:sz w:val="16"/>
                <w:szCs w:val="16"/>
                <w:color w:val="auto"/>
              </w:rPr>
              <w:t>399</w:t>
            </w:r>
          </w:p>
        </w:tc>
        <w:tc>
          <w:tcPr>
            <w:tcW w:w="0" w:type="dxa"/>
            <w:vAlign w:val="bottom"/>
          </w:tcPr>
          <w:p>
            <w:pPr>
              <w:spacing w:after="0"/>
              <w:rPr>
                <w:sz w:val="1"/>
                <w:szCs w:val="1"/>
                <w:color w:val="auto"/>
              </w:rPr>
            </w:pPr>
          </w:p>
        </w:tc>
      </w:tr>
      <w:tr>
        <w:trPr>
          <w:trHeight w:val="204"/>
        </w:trPr>
        <w:tc>
          <w:tcPr>
            <w:tcW w:w="4640" w:type="dxa"/>
            <w:vAlign w:val="bottom"/>
          </w:tcPr>
          <w:p>
            <w:pPr>
              <w:spacing w:after="0"/>
              <w:rPr>
                <w:sz w:val="20"/>
                <w:szCs w:val="20"/>
                <w:color w:val="auto"/>
              </w:rPr>
            </w:pPr>
            <w:r>
              <w:rPr>
                <w:rFonts w:ascii="Arial" w:cs="Arial" w:eastAsia="Arial" w:hAnsi="Arial"/>
                <w:sz w:val="16"/>
                <w:szCs w:val="16"/>
                <w:color w:val="auto"/>
              </w:rPr>
              <w:t>Reinsurance recoverable</w:t>
            </w:r>
          </w:p>
        </w:tc>
        <w:tc>
          <w:tcPr>
            <w:tcW w:w="200" w:type="dxa"/>
            <w:vAlign w:val="bottom"/>
          </w:tcPr>
          <w:p>
            <w:pPr>
              <w:spacing w:after="0"/>
              <w:rPr>
                <w:sz w:val="17"/>
                <w:szCs w:val="17"/>
                <w:color w:val="auto"/>
              </w:rPr>
            </w:pPr>
          </w:p>
        </w:tc>
        <w:tc>
          <w:tcPr>
            <w:tcW w:w="82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640" w:type="dxa"/>
            <w:vAlign w:val="bottom"/>
          </w:tcPr>
          <w:p>
            <w:pPr>
              <w:spacing w:after="0"/>
              <w:rPr>
                <w:sz w:val="20"/>
                <w:szCs w:val="20"/>
                <w:color w:val="auto"/>
              </w:rPr>
            </w:pPr>
            <w:r>
              <w:rPr>
                <w:rFonts w:ascii="Arial" w:cs="Arial" w:eastAsia="Arial" w:hAnsi="Arial"/>
                <w:sz w:val="16"/>
                <w:szCs w:val="16"/>
                <w:color w:val="auto"/>
              </w:rPr>
              <w:t>Loan receivable, included in Prepaid expenses and other assets</w:t>
            </w:r>
          </w:p>
        </w:tc>
        <w:tc>
          <w:tcPr>
            <w:tcW w:w="200" w:type="dxa"/>
            <w:vAlign w:val="bottom"/>
          </w:tcPr>
          <w:p>
            <w:pPr>
              <w:spacing w:after="0"/>
              <w:rPr>
                <w:sz w:val="20"/>
                <w:szCs w:val="20"/>
                <w:color w:val="auto"/>
              </w:rPr>
            </w:pPr>
          </w:p>
        </w:tc>
        <w:tc>
          <w:tcPr>
            <w:tcW w:w="82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ind w:right="2"/>
              <w:spacing w:after="0"/>
              <w:rPr>
                <w:sz w:val="20"/>
                <w:szCs w:val="20"/>
                <w:color w:val="auto"/>
              </w:rPr>
            </w:pPr>
            <w:r>
              <w:rPr>
                <w:rFonts w:ascii="Arial" w:cs="Arial" w:eastAsia="Arial" w:hAnsi="Arial"/>
                <w:sz w:val="16"/>
                <w:szCs w:val="16"/>
                <w:color w:val="auto"/>
              </w:rPr>
              <w:t>24</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ind w:left="5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235"/>
        </w:trPr>
        <w:tc>
          <w:tcPr>
            <w:tcW w:w="4640" w:type="dxa"/>
            <w:vAlign w:val="bottom"/>
          </w:tcPr>
          <w:p>
            <w:pPr>
              <w:spacing w:after="0"/>
              <w:rPr>
                <w:sz w:val="20"/>
                <w:szCs w:val="20"/>
                <w:color w:val="auto"/>
              </w:rPr>
            </w:pPr>
            <w:r>
              <w:rPr>
                <w:rFonts w:ascii="Arial" w:cs="Arial" w:eastAsia="Arial" w:hAnsi="Arial"/>
                <w:sz w:val="16"/>
                <w:szCs w:val="16"/>
                <w:color w:val="auto"/>
              </w:rPr>
              <w:t>Market risk benefits asset</w:t>
            </w:r>
          </w:p>
        </w:tc>
        <w:tc>
          <w:tcPr>
            <w:tcW w:w="200" w:type="dxa"/>
            <w:vAlign w:val="bottom"/>
          </w:tcPr>
          <w:p>
            <w:pPr>
              <w:spacing w:after="0"/>
              <w:rPr>
                <w:sz w:val="20"/>
                <w:szCs w:val="20"/>
                <w:color w:val="auto"/>
              </w:rPr>
            </w:pPr>
          </w:p>
        </w:tc>
        <w:tc>
          <w:tcPr>
            <w:tcW w:w="82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ind w:right="2"/>
              <w:spacing w:after="0"/>
              <w:rPr>
                <w:sz w:val="20"/>
                <w:szCs w:val="20"/>
                <w:color w:val="auto"/>
              </w:rPr>
            </w:pPr>
            <w:r>
              <w:rPr>
                <w:rFonts w:ascii="Arial" w:cs="Arial" w:eastAsia="Arial" w:hAnsi="Arial"/>
                <w:sz w:val="16"/>
                <w:szCs w:val="16"/>
                <w:color w:val="auto"/>
              </w:rPr>
              <w:t>285</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ind w:left="5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285</w:t>
            </w:r>
          </w:p>
        </w:tc>
        <w:tc>
          <w:tcPr>
            <w:tcW w:w="0" w:type="dxa"/>
            <w:vAlign w:val="bottom"/>
          </w:tcPr>
          <w:p>
            <w:pPr>
              <w:spacing w:after="0"/>
              <w:rPr>
                <w:sz w:val="1"/>
                <w:szCs w:val="1"/>
                <w:color w:val="auto"/>
              </w:rPr>
            </w:pPr>
          </w:p>
        </w:tc>
      </w:tr>
      <w:tr>
        <w:trPr>
          <w:trHeight w:val="242"/>
        </w:trPr>
        <w:tc>
          <w:tcPr>
            <w:tcW w:w="4640" w:type="dxa"/>
            <w:vAlign w:val="bottom"/>
          </w:tcPr>
          <w:p>
            <w:pPr>
              <w:spacing w:after="0"/>
              <w:rPr>
                <w:sz w:val="20"/>
                <w:szCs w:val="20"/>
                <w:color w:val="auto"/>
              </w:rPr>
            </w:pPr>
            <w:r>
              <w:rPr>
                <w:rFonts w:ascii="Arial" w:cs="Arial" w:eastAsia="Arial" w:hAnsi="Arial"/>
                <w:sz w:val="16"/>
                <w:szCs w:val="16"/>
                <w:color w:val="auto"/>
              </w:rPr>
              <w:t>Other assets</w:t>
            </w:r>
          </w:p>
        </w:tc>
        <w:tc>
          <w:tcPr>
            <w:tcW w:w="20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129</w:t>
            </w:r>
          </w:p>
        </w:tc>
        <w:tc>
          <w:tcPr>
            <w:tcW w:w="6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ind w:left="5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129</w:t>
            </w:r>
          </w:p>
        </w:tc>
        <w:tc>
          <w:tcPr>
            <w:tcW w:w="0" w:type="dxa"/>
            <w:vAlign w:val="bottom"/>
          </w:tcPr>
          <w:p>
            <w:pPr>
              <w:spacing w:after="0"/>
              <w:rPr>
                <w:sz w:val="1"/>
                <w:szCs w:val="1"/>
                <w:color w:val="auto"/>
              </w:rPr>
            </w:pPr>
          </w:p>
        </w:tc>
      </w:tr>
      <w:tr>
        <w:trPr>
          <w:trHeight w:val="196"/>
        </w:trPr>
        <w:tc>
          <w:tcPr>
            <w:tcW w:w="4640" w:type="dxa"/>
            <w:vAlign w:val="bottom"/>
          </w:tcPr>
          <w:p>
            <w:pPr>
              <w:ind w:left="480"/>
              <w:spacing w:after="0"/>
              <w:rPr>
                <w:sz w:val="20"/>
                <w:szCs w:val="20"/>
                <w:color w:val="auto"/>
              </w:rPr>
            </w:pPr>
            <w:r>
              <w:rPr>
                <w:rFonts w:ascii="Arial" w:cs="Arial" w:eastAsia="Arial" w:hAnsi="Arial"/>
                <w:sz w:val="16"/>
                <w:szCs w:val="16"/>
                <w:b w:val="1"/>
                <w:bCs w:val="1"/>
                <w:color w:val="auto"/>
              </w:rPr>
              <w:t>Total financial assets at fair value</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2"/>
              <w:spacing w:after="0"/>
              <w:rPr>
                <w:sz w:val="20"/>
                <w:szCs w:val="20"/>
                <w:color w:val="auto"/>
              </w:rPr>
            </w:pPr>
            <w:r>
              <w:rPr>
                <w:rFonts w:ascii="Arial" w:cs="Arial" w:eastAsia="Arial" w:hAnsi="Arial"/>
                <w:sz w:val="16"/>
                <w:szCs w:val="16"/>
                <w:color w:val="auto"/>
              </w:rPr>
              <w:t>6,136</w:t>
            </w:r>
          </w:p>
        </w:tc>
        <w:tc>
          <w:tcPr>
            <w:tcW w:w="26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41,896</w:t>
            </w:r>
          </w:p>
        </w:tc>
        <w:tc>
          <w:tcPr>
            <w:tcW w:w="280" w:type="dxa"/>
            <w:vAlign w:val="bottom"/>
            <w:gridSpan w:val="2"/>
          </w:tcPr>
          <w:p>
            <w:pPr>
              <w:ind w:left="120"/>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2"/>
              <w:spacing w:after="0"/>
              <w:rPr>
                <w:sz w:val="20"/>
                <w:szCs w:val="20"/>
                <w:color w:val="auto"/>
              </w:rPr>
            </w:pPr>
            <w:r>
              <w:rPr>
                <w:rFonts w:ascii="Arial" w:cs="Arial" w:eastAsia="Arial" w:hAnsi="Arial"/>
                <w:sz w:val="16"/>
                <w:szCs w:val="16"/>
                <w:color w:val="auto"/>
              </w:rPr>
              <w:t>14,530</w:t>
            </w:r>
          </w:p>
        </w:tc>
        <w:tc>
          <w:tcPr>
            <w:tcW w:w="60" w:type="dxa"/>
            <w:vAlign w:val="bottom"/>
          </w:tcPr>
          <w:p>
            <w:pPr>
              <w:spacing w:after="0"/>
              <w:rPr>
                <w:sz w:val="17"/>
                <w:szCs w:val="17"/>
                <w:color w:val="auto"/>
              </w:rPr>
            </w:pPr>
          </w:p>
        </w:tc>
        <w:tc>
          <w:tcPr>
            <w:tcW w:w="24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780" w:type="dxa"/>
            <w:vAlign w:val="bottom"/>
          </w:tcPr>
          <w:p>
            <w:pPr>
              <w:ind w:left="560"/>
              <w:spacing w:after="0"/>
              <w:rPr>
                <w:sz w:val="20"/>
                <w:szCs w:val="20"/>
                <w:color w:val="auto"/>
              </w:rPr>
            </w:pPr>
            <w:r>
              <w:rPr>
                <w:rFonts w:ascii="Arial" w:cs="Arial" w:eastAsia="Arial" w:hAnsi="Arial"/>
                <w:sz w:val="16"/>
                <w:szCs w:val="16"/>
                <w:color w:val="auto"/>
              </w:rPr>
              <w:t>35</w:t>
            </w:r>
          </w:p>
        </w:tc>
        <w:tc>
          <w:tcPr>
            <w:tcW w:w="340" w:type="dxa"/>
            <w:vAlign w:val="bottom"/>
            <w:gridSpan w:val="2"/>
          </w:tcPr>
          <w:p>
            <w:pPr>
              <w:jc w:val="right"/>
              <w:ind w:right="62"/>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62,597</w:t>
            </w:r>
          </w:p>
        </w:tc>
        <w:tc>
          <w:tcPr>
            <w:tcW w:w="0" w:type="dxa"/>
            <w:vAlign w:val="bottom"/>
          </w:tcPr>
          <w:p>
            <w:pPr>
              <w:spacing w:after="0"/>
              <w:rPr>
                <w:sz w:val="1"/>
                <w:szCs w:val="1"/>
                <w:color w:val="auto"/>
              </w:rPr>
            </w:pPr>
          </w:p>
        </w:tc>
      </w:tr>
      <w:tr>
        <w:trPr>
          <w:trHeight w:val="20"/>
        </w:trPr>
        <w:tc>
          <w:tcPr>
            <w:tcW w:w="4640" w:type="dxa"/>
            <w:vAlign w:val="bottom"/>
            <w:vMerge w:val="restart"/>
          </w:tcPr>
          <w:p>
            <w:pPr>
              <w:spacing w:after="0"/>
              <w:rPr>
                <w:sz w:val="20"/>
                <w:szCs w:val="20"/>
                <w:color w:val="auto"/>
              </w:rPr>
            </w:pPr>
            <w:r>
              <w:rPr>
                <w:rFonts w:ascii="Arial" w:cs="Arial" w:eastAsia="Arial" w:hAnsi="Arial"/>
                <w:sz w:val="16"/>
                <w:szCs w:val="16"/>
                <w:b w:val="1"/>
                <w:bCs w:val="1"/>
                <w:color w:val="auto"/>
              </w:rPr>
              <w:t>Liabilities</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464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4640" w:type="dxa"/>
            <w:vAlign w:val="bottom"/>
          </w:tcPr>
          <w:p>
            <w:pPr>
              <w:spacing w:after="0"/>
              <w:rPr>
                <w:sz w:val="20"/>
                <w:szCs w:val="20"/>
                <w:color w:val="auto"/>
              </w:rPr>
            </w:pPr>
            <w:r>
              <w:rPr>
                <w:rFonts w:ascii="Arial" w:cs="Arial" w:eastAsia="Arial" w:hAnsi="Arial"/>
                <w:sz w:val="16"/>
                <w:szCs w:val="16"/>
                <w:color w:val="auto"/>
              </w:rPr>
              <w:t>Derivatives:</w:t>
            </w: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4640" w:type="dxa"/>
            <w:vAlign w:val="bottom"/>
          </w:tcPr>
          <w:p>
            <w:pPr>
              <w:ind w:left="220"/>
              <w:spacing w:after="0"/>
              <w:rPr>
                <w:sz w:val="20"/>
                <w:szCs w:val="20"/>
                <w:color w:val="auto"/>
              </w:rPr>
            </w:pPr>
            <w:r>
              <w:rPr>
                <w:rFonts w:ascii="Arial" w:cs="Arial" w:eastAsia="Arial" w:hAnsi="Arial"/>
                <w:sz w:val="16"/>
                <w:szCs w:val="16"/>
                <w:color w:val="auto"/>
              </w:rPr>
              <w:t>Indexed annuities/indexed universal life insurance ("IUL")</w:t>
            </w:r>
          </w:p>
        </w:tc>
        <w:tc>
          <w:tcPr>
            <w:tcW w:w="2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820" w:type="dxa"/>
            <w:vAlign w:val="bottom"/>
            <w:vMerge w:val="restart"/>
          </w:tcPr>
          <w:p>
            <w:pPr>
              <w:jc w:val="right"/>
              <w:ind w:right="2"/>
              <w:spacing w:after="0"/>
              <w:rPr>
                <w:sz w:val="20"/>
                <w:szCs w:val="20"/>
                <w:color w:val="auto"/>
              </w:rPr>
            </w:pPr>
            <w:r>
              <w:rPr>
                <w:rFonts w:ascii="Arial" w:cs="Arial" w:eastAsia="Arial" w:hAnsi="Arial"/>
                <w:sz w:val="16"/>
                <w:szCs w:val="16"/>
                <w:color w:val="auto"/>
              </w:rPr>
              <w:t>—</w:t>
            </w:r>
          </w:p>
        </w:tc>
        <w:tc>
          <w:tcPr>
            <w:tcW w:w="260" w:type="dxa"/>
            <w:vAlign w:val="bottom"/>
            <w:gridSpan w:val="2"/>
            <w:vMerge w:val="restart"/>
          </w:tcPr>
          <w:p>
            <w:pPr>
              <w:jc w:val="right"/>
              <w:ind w:right="60"/>
              <w:spacing w:after="0"/>
              <w:rPr>
                <w:sz w:val="20"/>
                <w:szCs w:val="20"/>
                <w:color w:val="auto"/>
              </w:rPr>
            </w:pPr>
            <w:r>
              <w:rPr>
                <w:rFonts w:ascii="Arial" w:cs="Arial" w:eastAsia="Arial" w:hAnsi="Arial"/>
                <w:sz w:val="16"/>
                <w:szCs w:val="16"/>
                <w:color w:val="auto"/>
              </w:rPr>
              <w:t>$</w:t>
            </w: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280" w:type="dxa"/>
            <w:vAlign w:val="bottom"/>
            <w:gridSpan w:val="2"/>
            <w:vMerge w:val="restart"/>
          </w:tcPr>
          <w:p>
            <w:pPr>
              <w:ind w:left="120"/>
              <w:spacing w:after="0"/>
              <w:rPr>
                <w:sz w:val="20"/>
                <w:szCs w:val="20"/>
                <w:color w:val="auto"/>
              </w:rPr>
            </w:pPr>
            <w:r>
              <w:rPr>
                <w:rFonts w:ascii="Arial" w:cs="Arial" w:eastAsia="Arial" w:hAnsi="Arial"/>
                <w:sz w:val="16"/>
                <w:szCs w:val="16"/>
                <w:color w:val="auto"/>
              </w:rPr>
              <w:t>$</w:t>
            </w:r>
          </w:p>
        </w:tc>
        <w:tc>
          <w:tcPr>
            <w:tcW w:w="820" w:type="dxa"/>
            <w:vAlign w:val="bottom"/>
            <w:vMerge w:val="restart"/>
          </w:tcPr>
          <w:p>
            <w:pPr>
              <w:jc w:val="right"/>
              <w:ind w:right="2"/>
              <w:spacing w:after="0"/>
              <w:rPr>
                <w:sz w:val="20"/>
                <w:szCs w:val="20"/>
                <w:color w:val="auto"/>
              </w:rPr>
            </w:pPr>
            <w:r>
              <w:rPr>
                <w:rFonts w:ascii="Arial" w:cs="Arial" w:eastAsia="Arial" w:hAnsi="Arial"/>
                <w:sz w:val="16"/>
                <w:szCs w:val="16"/>
                <w:color w:val="auto"/>
              </w:rPr>
              <w:t>6,542</w:t>
            </w:r>
          </w:p>
        </w:tc>
        <w:tc>
          <w:tcPr>
            <w:tcW w:w="60" w:type="dxa"/>
            <w:vAlign w:val="bottom"/>
          </w:tcPr>
          <w:p>
            <w:pPr>
              <w:spacing w:after="0"/>
              <w:rPr>
                <w:sz w:val="16"/>
                <w:szCs w:val="16"/>
                <w:color w:val="auto"/>
              </w:rPr>
            </w:pPr>
          </w:p>
        </w:tc>
        <w:tc>
          <w:tcPr>
            <w:tcW w:w="240" w:type="dxa"/>
            <w:vAlign w:val="bottom"/>
            <w:vMerge w:val="restart"/>
          </w:tcPr>
          <w:p>
            <w:pPr>
              <w:jc w:val="right"/>
              <w:ind w:right="22"/>
              <w:spacing w:after="0"/>
              <w:rPr>
                <w:sz w:val="20"/>
                <w:szCs w:val="20"/>
                <w:color w:val="auto"/>
              </w:rPr>
            </w:pPr>
            <w:r>
              <w:rPr>
                <w:rFonts w:ascii="Arial" w:cs="Arial" w:eastAsia="Arial" w:hAnsi="Arial"/>
                <w:sz w:val="16"/>
                <w:szCs w:val="16"/>
                <w:color w:val="auto"/>
              </w:rPr>
              <w:t>$</w:t>
            </w:r>
          </w:p>
        </w:tc>
        <w:tc>
          <w:tcPr>
            <w:tcW w:w="780" w:type="dxa"/>
            <w:vAlign w:val="bottom"/>
            <w:vMerge w:val="restart"/>
          </w:tcPr>
          <w:p>
            <w:pPr>
              <w:ind w:left="560"/>
              <w:spacing w:after="0"/>
              <w:rPr>
                <w:sz w:val="20"/>
                <w:szCs w:val="20"/>
                <w:color w:val="auto"/>
              </w:rPr>
            </w:pPr>
            <w:r>
              <w:rPr>
                <w:rFonts w:ascii="Arial" w:cs="Arial" w:eastAsia="Arial" w:hAnsi="Arial"/>
                <w:sz w:val="16"/>
                <w:szCs w:val="16"/>
                <w:color w:val="auto"/>
              </w:rPr>
              <w:t>—</w:t>
            </w:r>
          </w:p>
        </w:tc>
        <w:tc>
          <w:tcPr>
            <w:tcW w:w="340" w:type="dxa"/>
            <w:vAlign w:val="bottom"/>
            <w:gridSpan w:val="2"/>
            <w:vMerge w:val="restart"/>
          </w:tcPr>
          <w:p>
            <w:pPr>
              <w:jc w:val="right"/>
              <w:ind w:right="62"/>
              <w:spacing w:after="0"/>
              <w:rPr>
                <w:sz w:val="20"/>
                <w:szCs w:val="20"/>
                <w:color w:val="auto"/>
              </w:rPr>
            </w:pPr>
            <w:r>
              <w:rPr>
                <w:rFonts w:ascii="Arial" w:cs="Arial" w:eastAsia="Arial" w:hAnsi="Arial"/>
                <w:sz w:val="16"/>
                <w:szCs w:val="16"/>
                <w:color w:val="auto"/>
              </w:rPr>
              <w:t>$</w:t>
            </w:r>
          </w:p>
        </w:tc>
        <w:tc>
          <w:tcPr>
            <w:tcW w:w="620" w:type="dxa"/>
            <w:vAlign w:val="bottom"/>
            <w:vMerge w:val="restart"/>
          </w:tcPr>
          <w:p>
            <w:pPr>
              <w:jc w:val="right"/>
              <w:spacing w:after="0"/>
              <w:rPr>
                <w:sz w:val="20"/>
                <w:szCs w:val="20"/>
                <w:color w:val="auto"/>
              </w:rPr>
            </w:pPr>
            <w:r>
              <w:rPr>
                <w:rFonts w:ascii="Arial" w:cs="Arial" w:eastAsia="Arial" w:hAnsi="Arial"/>
                <w:sz w:val="16"/>
                <w:szCs w:val="16"/>
                <w:color w:val="auto"/>
              </w:rPr>
              <w:t>6,542</w:t>
            </w:r>
          </w:p>
        </w:tc>
        <w:tc>
          <w:tcPr>
            <w:tcW w:w="0" w:type="dxa"/>
            <w:vAlign w:val="bottom"/>
          </w:tcPr>
          <w:p>
            <w:pPr>
              <w:spacing w:after="0"/>
              <w:rPr>
                <w:sz w:val="1"/>
                <w:szCs w:val="1"/>
                <w:color w:val="auto"/>
              </w:rPr>
            </w:pPr>
          </w:p>
        </w:tc>
      </w:tr>
      <w:tr>
        <w:trPr>
          <w:trHeight w:val="204"/>
        </w:trPr>
        <w:tc>
          <w:tcPr>
            <w:tcW w:w="4640" w:type="dxa"/>
            <w:vAlign w:val="bottom"/>
          </w:tcPr>
          <w:p>
            <w:pPr>
              <w:ind w:left="220"/>
              <w:spacing w:after="0"/>
              <w:rPr>
                <w:sz w:val="20"/>
                <w:szCs w:val="20"/>
                <w:color w:val="auto"/>
              </w:rPr>
            </w:pPr>
            <w:r>
              <w:rPr>
                <w:rFonts w:ascii="Arial" w:cs="Arial" w:eastAsia="Arial" w:hAnsi="Arial"/>
                <w:sz w:val="16"/>
                <w:szCs w:val="16"/>
                <w:color w:val="auto"/>
              </w:rPr>
              <w:t>embedded derivatives, included in Contractholder funds</w:t>
            </w:r>
          </w:p>
        </w:tc>
        <w:tc>
          <w:tcPr>
            <w:tcW w:w="200" w:type="dxa"/>
            <w:vAlign w:val="bottom"/>
            <w:vMerge w:val="continue"/>
          </w:tcPr>
          <w:p>
            <w:pPr>
              <w:spacing w:after="0"/>
              <w:rPr>
                <w:sz w:val="17"/>
                <w:szCs w:val="17"/>
                <w:color w:val="auto"/>
              </w:rPr>
            </w:pPr>
          </w:p>
        </w:tc>
        <w:tc>
          <w:tcPr>
            <w:tcW w:w="820" w:type="dxa"/>
            <w:vAlign w:val="bottom"/>
            <w:vMerge w:val="continue"/>
          </w:tcPr>
          <w:p>
            <w:pPr>
              <w:spacing w:after="0"/>
              <w:rPr>
                <w:sz w:val="17"/>
                <w:szCs w:val="17"/>
                <w:color w:val="auto"/>
              </w:rPr>
            </w:pPr>
          </w:p>
        </w:tc>
        <w:tc>
          <w:tcPr>
            <w:tcW w:w="260" w:type="dxa"/>
            <w:vAlign w:val="bottom"/>
            <w:gridSpan w:val="2"/>
            <w:vMerge w:val="continue"/>
          </w:tcPr>
          <w:p>
            <w:pPr>
              <w:spacing w:after="0"/>
              <w:rPr>
                <w:sz w:val="17"/>
                <w:szCs w:val="17"/>
                <w:color w:val="auto"/>
              </w:rPr>
            </w:pPr>
          </w:p>
        </w:tc>
        <w:tc>
          <w:tcPr>
            <w:tcW w:w="820" w:type="dxa"/>
            <w:vAlign w:val="bottom"/>
            <w:vMerge w:val="continue"/>
          </w:tcPr>
          <w:p>
            <w:pPr>
              <w:spacing w:after="0"/>
              <w:rPr>
                <w:sz w:val="17"/>
                <w:szCs w:val="17"/>
                <w:color w:val="auto"/>
              </w:rPr>
            </w:pPr>
          </w:p>
        </w:tc>
        <w:tc>
          <w:tcPr>
            <w:tcW w:w="280" w:type="dxa"/>
            <w:vAlign w:val="bottom"/>
            <w:gridSpan w:val="2"/>
            <w:vMerge w:val="continue"/>
          </w:tcPr>
          <w:p>
            <w:pPr>
              <w:spacing w:after="0"/>
              <w:rPr>
                <w:sz w:val="17"/>
                <w:szCs w:val="17"/>
                <w:color w:val="auto"/>
              </w:rPr>
            </w:pPr>
          </w:p>
        </w:tc>
        <w:tc>
          <w:tcPr>
            <w:tcW w:w="82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vMerge w:val="continue"/>
          </w:tcPr>
          <w:p>
            <w:pPr>
              <w:spacing w:after="0"/>
              <w:rPr>
                <w:sz w:val="17"/>
                <w:szCs w:val="17"/>
                <w:color w:val="auto"/>
              </w:rPr>
            </w:pPr>
          </w:p>
        </w:tc>
        <w:tc>
          <w:tcPr>
            <w:tcW w:w="780" w:type="dxa"/>
            <w:vAlign w:val="bottom"/>
            <w:vMerge w:val="continue"/>
          </w:tcPr>
          <w:p>
            <w:pPr>
              <w:spacing w:after="0"/>
              <w:rPr>
                <w:sz w:val="17"/>
                <w:szCs w:val="17"/>
                <w:color w:val="auto"/>
              </w:rPr>
            </w:pPr>
          </w:p>
        </w:tc>
        <w:tc>
          <w:tcPr>
            <w:tcW w:w="340" w:type="dxa"/>
            <w:vAlign w:val="bottom"/>
            <w:gridSpan w:val="2"/>
            <w:vMerge w:val="continue"/>
          </w:tcPr>
          <w:p>
            <w:pPr>
              <w:spacing w:after="0"/>
              <w:rPr>
                <w:sz w:val="17"/>
                <w:szCs w:val="17"/>
                <w:color w:val="auto"/>
              </w:rPr>
            </w:pPr>
          </w:p>
        </w:tc>
        <w:tc>
          <w:tcPr>
            <w:tcW w:w="6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4640" w:type="dxa"/>
            <w:vAlign w:val="bottom"/>
          </w:tcPr>
          <w:p>
            <w:pPr>
              <w:ind w:left="220"/>
              <w:spacing w:after="0"/>
              <w:rPr>
                <w:sz w:val="20"/>
                <w:szCs w:val="20"/>
                <w:color w:val="auto"/>
              </w:rPr>
            </w:pPr>
            <w:r>
              <w:rPr>
                <w:rFonts w:ascii="Arial" w:cs="Arial" w:eastAsia="Arial" w:hAnsi="Arial"/>
                <w:sz w:val="16"/>
                <w:szCs w:val="16"/>
                <w:color w:val="auto"/>
                <w:w w:val="99"/>
              </w:rPr>
              <w:t>Interest rate and foreign currency swaps, included in Accounts</w:t>
            </w:r>
          </w:p>
        </w:tc>
        <w:tc>
          <w:tcPr>
            <w:tcW w:w="200" w:type="dxa"/>
            <w:vAlign w:val="bottom"/>
          </w:tcPr>
          <w:p>
            <w:pPr>
              <w:spacing w:after="0"/>
              <w:rPr>
                <w:sz w:val="16"/>
                <w:szCs w:val="16"/>
                <w:color w:val="auto"/>
              </w:rPr>
            </w:pPr>
          </w:p>
        </w:tc>
        <w:tc>
          <w:tcPr>
            <w:tcW w:w="820" w:type="dxa"/>
            <w:vAlign w:val="bottom"/>
            <w:vMerge w:val="restart"/>
          </w:tcPr>
          <w:p>
            <w:pPr>
              <w:jc w:val="right"/>
              <w:ind w:right="2"/>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3</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vMerge w:val="restart"/>
          </w:tcPr>
          <w:p>
            <w:pPr>
              <w:jc w:val="right"/>
              <w:ind w:right="2"/>
              <w:spacing w:after="0"/>
              <w:rPr>
                <w:sz w:val="20"/>
                <w:szCs w:val="20"/>
                <w:color w:val="auto"/>
              </w:rPr>
            </w:pPr>
            <w:r>
              <w:rPr>
                <w:rFonts w:ascii="Arial" w:cs="Arial" w:eastAsia="Arial" w:hAnsi="Arial"/>
                <w:sz w:val="16"/>
                <w:szCs w:val="16"/>
                <w:color w:val="auto"/>
              </w:rPr>
              <w:t>9</w:t>
            </w: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vMerge w:val="restart"/>
          </w:tcPr>
          <w:p>
            <w:pPr>
              <w:ind w:left="5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20" w:type="dxa"/>
            <w:vAlign w:val="bottom"/>
            <w:vMerge w:val="restart"/>
          </w:tcPr>
          <w:p>
            <w:pPr>
              <w:jc w:val="right"/>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04"/>
        </w:trPr>
        <w:tc>
          <w:tcPr>
            <w:tcW w:w="4640" w:type="dxa"/>
            <w:vAlign w:val="bottom"/>
          </w:tcPr>
          <w:p>
            <w:pPr>
              <w:ind w:left="220"/>
              <w:spacing w:after="0"/>
              <w:rPr>
                <w:sz w:val="20"/>
                <w:szCs w:val="20"/>
                <w:color w:val="auto"/>
              </w:rPr>
            </w:pPr>
            <w:r>
              <w:rPr>
                <w:rFonts w:ascii="Arial" w:cs="Arial" w:eastAsia="Arial" w:hAnsi="Arial"/>
                <w:sz w:val="16"/>
                <w:szCs w:val="16"/>
                <w:color w:val="auto"/>
              </w:rPr>
              <w:t>payable and accrued liabilities</w:t>
            </w:r>
          </w:p>
        </w:tc>
        <w:tc>
          <w:tcPr>
            <w:tcW w:w="200" w:type="dxa"/>
            <w:vAlign w:val="bottom"/>
          </w:tcPr>
          <w:p>
            <w:pPr>
              <w:spacing w:after="0"/>
              <w:rPr>
                <w:sz w:val="17"/>
                <w:szCs w:val="17"/>
                <w:color w:val="auto"/>
              </w:rPr>
            </w:pPr>
          </w:p>
        </w:tc>
        <w:tc>
          <w:tcPr>
            <w:tcW w:w="82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4640" w:type="dxa"/>
            <w:vAlign w:val="bottom"/>
          </w:tcPr>
          <w:p>
            <w:pPr>
              <w:ind w:left="220"/>
              <w:spacing w:after="0"/>
              <w:rPr>
                <w:sz w:val="20"/>
                <w:szCs w:val="20"/>
                <w:color w:val="auto"/>
              </w:rPr>
            </w:pPr>
            <w:r>
              <w:rPr>
                <w:rFonts w:ascii="Arial" w:cs="Arial" w:eastAsia="Arial" w:hAnsi="Arial"/>
                <w:sz w:val="16"/>
                <w:szCs w:val="16"/>
                <w:color w:val="auto"/>
              </w:rPr>
              <w:t>Reinsurance related embedded derivatives, included in Funds</w:t>
            </w:r>
          </w:p>
        </w:tc>
        <w:tc>
          <w:tcPr>
            <w:tcW w:w="200" w:type="dxa"/>
            <w:vAlign w:val="bottom"/>
          </w:tcPr>
          <w:p>
            <w:pPr>
              <w:spacing w:after="0"/>
              <w:rPr>
                <w:sz w:val="16"/>
                <w:szCs w:val="16"/>
                <w:color w:val="auto"/>
              </w:rPr>
            </w:pPr>
          </w:p>
        </w:tc>
        <w:tc>
          <w:tcPr>
            <w:tcW w:w="820" w:type="dxa"/>
            <w:vAlign w:val="bottom"/>
            <w:vMerge w:val="restart"/>
          </w:tcPr>
          <w:p>
            <w:pPr>
              <w:jc w:val="right"/>
              <w:ind w:right="2"/>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75</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6"/>
                <w:szCs w:val="16"/>
                <w:color w:val="auto"/>
              </w:rPr>
            </w:pPr>
          </w:p>
        </w:tc>
        <w:tc>
          <w:tcPr>
            <w:tcW w:w="780" w:type="dxa"/>
            <w:vAlign w:val="bottom"/>
            <w:vMerge w:val="restart"/>
          </w:tcPr>
          <w:p>
            <w:pPr>
              <w:ind w:left="5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20" w:type="dxa"/>
            <w:vAlign w:val="bottom"/>
            <w:vMerge w:val="restart"/>
          </w:tcPr>
          <w:p>
            <w:pPr>
              <w:jc w:val="right"/>
              <w:spacing w:after="0"/>
              <w:rPr>
                <w:sz w:val="20"/>
                <w:szCs w:val="20"/>
                <w:color w:val="auto"/>
              </w:rPr>
            </w:pPr>
            <w:r>
              <w:rPr>
                <w:rFonts w:ascii="Arial" w:cs="Arial" w:eastAsia="Arial" w:hAnsi="Arial"/>
                <w:sz w:val="16"/>
                <w:szCs w:val="16"/>
                <w:color w:val="auto"/>
              </w:rPr>
              <w:t>75</w:t>
            </w:r>
          </w:p>
        </w:tc>
        <w:tc>
          <w:tcPr>
            <w:tcW w:w="0" w:type="dxa"/>
            <w:vAlign w:val="bottom"/>
          </w:tcPr>
          <w:p>
            <w:pPr>
              <w:spacing w:after="0"/>
              <w:rPr>
                <w:sz w:val="1"/>
                <w:szCs w:val="1"/>
                <w:color w:val="auto"/>
              </w:rPr>
            </w:pPr>
          </w:p>
        </w:tc>
      </w:tr>
      <w:tr>
        <w:trPr>
          <w:trHeight w:val="204"/>
        </w:trPr>
        <w:tc>
          <w:tcPr>
            <w:tcW w:w="4640" w:type="dxa"/>
            <w:vAlign w:val="bottom"/>
          </w:tcPr>
          <w:p>
            <w:pPr>
              <w:ind w:left="220"/>
              <w:spacing w:after="0"/>
              <w:rPr>
                <w:sz w:val="20"/>
                <w:szCs w:val="20"/>
                <w:color w:val="auto"/>
              </w:rPr>
            </w:pPr>
            <w:r>
              <w:rPr>
                <w:rFonts w:ascii="Arial" w:cs="Arial" w:eastAsia="Arial" w:hAnsi="Arial"/>
                <w:sz w:val="16"/>
                <w:szCs w:val="16"/>
                <w:color w:val="auto"/>
              </w:rPr>
              <w:t>withheld for reinsurance liabilities</w:t>
            </w:r>
          </w:p>
        </w:tc>
        <w:tc>
          <w:tcPr>
            <w:tcW w:w="200" w:type="dxa"/>
            <w:vAlign w:val="bottom"/>
          </w:tcPr>
          <w:p>
            <w:pPr>
              <w:spacing w:after="0"/>
              <w:rPr>
                <w:sz w:val="17"/>
                <w:szCs w:val="17"/>
                <w:color w:val="auto"/>
              </w:rPr>
            </w:pPr>
          </w:p>
        </w:tc>
        <w:tc>
          <w:tcPr>
            <w:tcW w:w="82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640" w:type="dxa"/>
            <w:vAlign w:val="bottom"/>
          </w:tcPr>
          <w:p>
            <w:pPr>
              <w:ind w:left="220"/>
              <w:spacing w:after="0"/>
              <w:rPr>
                <w:sz w:val="20"/>
                <w:szCs w:val="20"/>
                <w:color w:val="auto"/>
              </w:rPr>
            </w:pPr>
            <w:r>
              <w:rPr>
                <w:rFonts w:ascii="Arial" w:cs="Arial" w:eastAsia="Arial" w:hAnsi="Arial"/>
                <w:sz w:val="16"/>
                <w:szCs w:val="16"/>
                <w:color w:val="auto"/>
              </w:rPr>
              <w:t>Equity options</w:t>
            </w:r>
          </w:p>
        </w:tc>
        <w:tc>
          <w:tcPr>
            <w:tcW w:w="200" w:type="dxa"/>
            <w:vAlign w:val="bottom"/>
          </w:tcPr>
          <w:p>
            <w:pPr>
              <w:spacing w:after="0"/>
              <w:rPr>
                <w:sz w:val="20"/>
                <w:szCs w:val="20"/>
                <w:color w:val="auto"/>
              </w:rPr>
            </w:pPr>
          </w:p>
        </w:tc>
        <w:tc>
          <w:tcPr>
            <w:tcW w:w="820" w:type="dxa"/>
            <w:vAlign w:val="bottom"/>
          </w:tcPr>
          <w:p>
            <w:pPr>
              <w:jc w:val="right"/>
              <w:ind w:right="2"/>
              <w:spacing w:after="0"/>
              <w:rPr>
                <w:sz w:val="20"/>
                <w:szCs w:val="20"/>
                <w:color w:val="auto"/>
              </w:rPr>
            </w:pPr>
            <w:r>
              <w:rPr>
                <w:rFonts w:ascii="Arial" w:cs="Arial" w:eastAsia="Arial" w:hAnsi="Arial"/>
                <w:sz w:val="16"/>
                <w:szCs w:val="16"/>
                <w:color w:val="auto"/>
              </w:rPr>
              <w:t>1</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780" w:type="dxa"/>
            <w:vAlign w:val="bottom"/>
          </w:tcPr>
          <w:p>
            <w:pPr>
              <w:ind w:left="5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194"/>
        </w:trPr>
        <w:tc>
          <w:tcPr>
            <w:tcW w:w="4640" w:type="dxa"/>
            <w:vAlign w:val="bottom"/>
          </w:tcPr>
          <w:p>
            <w:pPr>
              <w:spacing w:after="0"/>
              <w:rPr>
                <w:sz w:val="20"/>
                <w:szCs w:val="20"/>
                <w:color w:val="auto"/>
              </w:rPr>
            </w:pPr>
            <w:r>
              <w:rPr>
                <w:rFonts w:ascii="Arial" w:cs="Arial" w:eastAsia="Arial" w:hAnsi="Arial"/>
                <w:sz w:val="16"/>
                <w:szCs w:val="16"/>
                <w:color w:val="auto"/>
                <w:w w:val="95"/>
              </w:rPr>
              <w:t>Contingent consideration, included in Accounts payable and accrued</w:t>
            </w:r>
          </w:p>
        </w:tc>
        <w:tc>
          <w:tcPr>
            <w:tcW w:w="200" w:type="dxa"/>
            <w:vAlign w:val="bottom"/>
          </w:tcPr>
          <w:p>
            <w:pPr>
              <w:spacing w:after="0"/>
              <w:rPr>
                <w:sz w:val="16"/>
                <w:szCs w:val="16"/>
                <w:color w:val="auto"/>
              </w:rPr>
            </w:pPr>
          </w:p>
        </w:tc>
        <w:tc>
          <w:tcPr>
            <w:tcW w:w="820" w:type="dxa"/>
            <w:vAlign w:val="bottom"/>
            <w:vMerge w:val="restart"/>
          </w:tcPr>
          <w:p>
            <w:pPr>
              <w:jc w:val="right"/>
              <w:ind w:right="2"/>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vMerge w:val="restart"/>
          </w:tcPr>
          <w:p>
            <w:pPr>
              <w:jc w:val="right"/>
              <w:ind w:right="2"/>
              <w:spacing w:after="0"/>
              <w:rPr>
                <w:sz w:val="20"/>
                <w:szCs w:val="20"/>
                <w:color w:val="auto"/>
              </w:rPr>
            </w:pPr>
            <w:r>
              <w:rPr>
                <w:rFonts w:ascii="Arial" w:cs="Arial" w:eastAsia="Arial" w:hAnsi="Arial"/>
                <w:sz w:val="16"/>
                <w:szCs w:val="16"/>
                <w:color w:val="auto"/>
              </w:rPr>
              <w:t>72</w:t>
            </w: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vMerge w:val="restart"/>
          </w:tcPr>
          <w:p>
            <w:pPr>
              <w:ind w:left="5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20" w:type="dxa"/>
            <w:vAlign w:val="bottom"/>
            <w:vMerge w:val="restart"/>
          </w:tcPr>
          <w:p>
            <w:pPr>
              <w:jc w:val="right"/>
              <w:spacing w:after="0"/>
              <w:rPr>
                <w:sz w:val="20"/>
                <w:szCs w:val="20"/>
                <w:color w:val="auto"/>
              </w:rPr>
            </w:pPr>
            <w:r>
              <w:rPr>
                <w:rFonts w:ascii="Arial" w:cs="Arial" w:eastAsia="Arial" w:hAnsi="Arial"/>
                <w:sz w:val="16"/>
                <w:szCs w:val="16"/>
                <w:color w:val="auto"/>
              </w:rPr>
              <w:t>72</w:t>
            </w:r>
          </w:p>
        </w:tc>
        <w:tc>
          <w:tcPr>
            <w:tcW w:w="0" w:type="dxa"/>
            <w:vAlign w:val="bottom"/>
          </w:tcPr>
          <w:p>
            <w:pPr>
              <w:spacing w:after="0"/>
              <w:rPr>
                <w:sz w:val="1"/>
                <w:szCs w:val="1"/>
                <w:color w:val="auto"/>
              </w:rPr>
            </w:pPr>
          </w:p>
        </w:tc>
      </w:tr>
      <w:tr>
        <w:trPr>
          <w:trHeight w:val="204"/>
        </w:trPr>
        <w:tc>
          <w:tcPr>
            <w:tcW w:w="4640" w:type="dxa"/>
            <w:vAlign w:val="bottom"/>
          </w:tcPr>
          <w:p>
            <w:pPr>
              <w:spacing w:after="0"/>
              <w:rPr>
                <w:sz w:val="20"/>
                <w:szCs w:val="20"/>
                <w:color w:val="auto"/>
              </w:rPr>
            </w:pPr>
            <w:r>
              <w:rPr>
                <w:rFonts w:ascii="Arial" w:cs="Arial" w:eastAsia="Arial" w:hAnsi="Arial"/>
                <w:sz w:val="16"/>
                <w:szCs w:val="16"/>
                <w:color w:val="auto"/>
                <w:w w:val="89"/>
              </w:rPr>
              <w:t>liabilities</w:t>
            </w:r>
            <w:r>
              <w:rPr>
                <w:rFonts w:ascii="Arial" w:cs="Arial" w:eastAsia="Arial" w:hAnsi="Arial"/>
                <w:sz w:val="16"/>
                <w:szCs w:val="16"/>
                <w:color w:val="989898"/>
                <w:w w:val="89"/>
              </w:rPr>
              <w:t>......................................................................................................</w:t>
            </w:r>
          </w:p>
        </w:tc>
        <w:tc>
          <w:tcPr>
            <w:tcW w:w="200" w:type="dxa"/>
            <w:vAlign w:val="bottom"/>
          </w:tcPr>
          <w:p>
            <w:pPr>
              <w:spacing w:after="0"/>
              <w:rPr>
                <w:sz w:val="17"/>
                <w:szCs w:val="17"/>
                <w:color w:val="auto"/>
              </w:rPr>
            </w:pPr>
          </w:p>
        </w:tc>
        <w:tc>
          <w:tcPr>
            <w:tcW w:w="82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4640" w:type="dxa"/>
            <w:vAlign w:val="bottom"/>
          </w:tcPr>
          <w:p>
            <w:pPr>
              <w:spacing w:after="0"/>
              <w:rPr>
                <w:sz w:val="20"/>
                <w:szCs w:val="20"/>
                <w:color w:val="auto"/>
              </w:rPr>
            </w:pPr>
            <w:r>
              <w:rPr>
                <w:rFonts w:ascii="Arial" w:cs="Arial" w:eastAsia="Arial" w:hAnsi="Arial"/>
                <w:sz w:val="16"/>
                <w:szCs w:val="16"/>
                <w:color w:val="auto"/>
              </w:rPr>
              <w:t>Market risk benefits liability</w:t>
            </w:r>
          </w:p>
        </w:tc>
        <w:tc>
          <w:tcPr>
            <w:tcW w:w="2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903</w:t>
            </w:r>
          </w:p>
        </w:tc>
        <w:tc>
          <w:tcPr>
            <w:tcW w:w="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ind w:left="5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903</w:t>
            </w:r>
          </w:p>
        </w:tc>
        <w:tc>
          <w:tcPr>
            <w:tcW w:w="0" w:type="dxa"/>
            <w:vAlign w:val="bottom"/>
          </w:tcPr>
          <w:p>
            <w:pPr>
              <w:spacing w:after="0"/>
              <w:rPr>
                <w:sz w:val="1"/>
                <w:szCs w:val="1"/>
                <w:color w:val="auto"/>
              </w:rPr>
            </w:pPr>
          </w:p>
        </w:tc>
      </w:tr>
      <w:tr>
        <w:trPr>
          <w:trHeight w:val="196"/>
        </w:trPr>
        <w:tc>
          <w:tcPr>
            <w:tcW w:w="4640" w:type="dxa"/>
            <w:vAlign w:val="bottom"/>
          </w:tcPr>
          <w:p>
            <w:pPr>
              <w:ind w:left="480"/>
              <w:spacing w:after="0"/>
              <w:rPr>
                <w:sz w:val="20"/>
                <w:szCs w:val="20"/>
                <w:color w:val="auto"/>
              </w:rPr>
            </w:pPr>
            <w:r>
              <w:rPr>
                <w:rFonts w:ascii="Arial" w:cs="Arial" w:eastAsia="Arial" w:hAnsi="Arial"/>
                <w:sz w:val="16"/>
                <w:szCs w:val="16"/>
                <w:b w:val="1"/>
                <w:bCs w:val="1"/>
                <w:color w:val="auto"/>
              </w:rPr>
              <w:t>Total financial liabilities at fair value</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2"/>
              <w:spacing w:after="0"/>
              <w:rPr>
                <w:sz w:val="20"/>
                <w:szCs w:val="20"/>
                <w:color w:val="auto"/>
              </w:rPr>
            </w:pPr>
            <w:r>
              <w:rPr>
                <w:rFonts w:ascii="Arial" w:cs="Arial" w:eastAsia="Arial" w:hAnsi="Arial"/>
                <w:sz w:val="16"/>
                <w:szCs w:val="16"/>
                <w:color w:val="auto"/>
              </w:rPr>
              <w:t>1</w:t>
            </w:r>
          </w:p>
        </w:tc>
        <w:tc>
          <w:tcPr>
            <w:tcW w:w="26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78</w:t>
            </w:r>
          </w:p>
        </w:tc>
        <w:tc>
          <w:tcPr>
            <w:tcW w:w="280" w:type="dxa"/>
            <w:vAlign w:val="bottom"/>
            <w:gridSpan w:val="2"/>
          </w:tcPr>
          <w:p>
            <w:pPr>
              <w:ind w:left="120"/>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2"/>
              <w:spacing w:after="0"/>
              <w:rPr>
                <w:sz w:val="20"/>
                <w:szCs w:val="20"/>
                <w:color w:val="auto"/>
              </w:rPr>
            </w:pPr>
            <w:r>
              <w:rPr>
                <w:rFonts w:ascii="Arial" w:cs="Arial" w:eastAsia="Arial" w:hAnsi="Arial"/>
                <w:sz w:val="16"/>
                <w:szCs w:val="16"/>
                <w:color w:val="auto"/>
              </w:rPr>
              <w:t>7,526</w:t>
            </w:r>
          </w:p>
        </w:tc>
        <w:tc>
          <w:tcPr>
            <w:tcW w:w="60" w:type="dxa"/>
            <w:vAlign w:val="bottom"/>
          </w:tcPr>
          <w:p>
            <w:pPr>
              <w:spacing w:after="0"/>
              <w:rPr>
                <w:sz w:val="17"/>
                <w:szCs w:val="17"/>
                <w:color w:val="auto"/>
              </w:rPr>
            </w:pPr>
          </w:p>
        </w:tc>
        <w:tc>
          <w:tcPr>
            <w:tcW w:w="24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780" w:type="dxa"/>
            <w:vAlign w:val="bottom"/>
          </w:tcPr>
          <w:p>
            <w:pPr>
              <w:ind w:left="560"/>
              <w:spacing w:after="0"/>
              <w:rPr>
                <w:sz w:val="20"/>
                <w:szCs w:val="20"/>
                <w:color w:val="auto"/>
              </w:rPr>
            </w:pPr>
            <w:r>
              <w:rPr>
                <w:rFonts w:ascii="Arial" w:cs="Arial" w:eastAsia="Arial" w:hAnsi="Arial"/>
                <w:sz w:val="16"/>
                <w:szCs w:val="16"/>
                <w:color w:val="auto"/>
              </w:rPr>
              <w:t>—</w:t>
            </w:r>
          </w:p>
        </w:tc>
        <w:tc>
          <w:tcPr>
            <w:tcW w:w="340" w:type="dxa"/>
            <w:vAlign w:val="bottom"/>
            <w:gridSpan w:val="2"/>
          </w:tcPr>
          <w:p>
            <w:pPr>
              <w:jc w:val="right"/>
              <w:ind w:right="62"/>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7,605</w:t>
            </w:r>
          </w:p>
        </w:tc>
        <w:tc>
          <w:tcPr>
            <w:tcW w:w="0" w:type="dxa"/>
            <w:vAlign w:val="bottom"/>
          </w:tcPr>
          <w:p>
            <w:pPr>
              <w:spacing w:after="0"/>
              <w:rPr>
                <w:sz w:val="1"/>
                <w:szCs w:val="1"/>
                <w:color w:val="auto"/>
              </w:rPr>
            </w:pPr>
          </w:p>
        </w:tc>
      </w:tr>
      <w:tr>
        <w:trPr>
          <w:trHeight w:val="20"/>
        </w:trPr>
        <w:tc>
          <w:tcPr>
            <w:tcW w:w="46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-5342255</wp:posOffset>
            </wp:positionV>
            <wp:extent cx="6335395" cy="534924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77">
                      <a:extLst>
                        <a:ext uri="{28A0092B-C50C-407E-A947-70E740481C1C}"/>
                      </a:extLst>
                    </a:blip>
                    <a:srcRect/>
                    <a:stretch>
                      <a:fillRect/>
                    </a:stretch>
                  </pic:blipFill>
                  <pic:spPr bwMode="auto">
                    <a:xfrm>
                      <a:off x="0" y="0"/>
                      <a:ext cx="6335395" cy="5349240"/>
                    </a:xfrm>
                    <a:prstGeom prst="rect">
                      <a:avLst/>
                    </a:prstGeom>
                    <a:noFill/>
                  </pic:spPr>
                </pic:pic>
              </a:graphicData>
            </a:graphic>
          </wp:anchor>
        </w:drawing>
      </w:r>
    </w:p>
    <w:p>
      <w:pPr>
        <w:spacing w:after="0" w:line="123" w:lineRule="exact"/>
        <w:rPr>
          <w:sz w:val="20"/>
          <w:szCs w:val="20"/>
          <w:color w:val="auto"/>
        </w:rPr>
      </w:pPr>
    </w:p>
    <w:p>
      <w:pPr>
        <w:spacing w:after="0"/>
        <w:tabs>
          <w:tab w:leader="none" w:pos="340" w:val="left"/>
        </w:tabs>
        <w:rPr>
          <w:sz w:val="20"/>
          <w:szCs w:val="20"/>
          <w:color w:val="auto"/>
        </w:rPr>
      </w:pPr>
      <w:r>
        <w:rPr>
          <w:rFonts w:ascii="Arial" w:cs="Arial" w:eastAsia="Arial" w:hAnsi="Arial"/>
          <w:sz w:val="16"/>
          <w:szCs w:val="16"/>
          <w:color w:val="auto"/>
        </w:rPr>
        <w:t>(a)</w:t>
        <w:tab/>
        <w:t xml:space="preserve">Includes certain interests in VIEs for which the fair value option has been elected. Refer to Note D - </w:t>
      </w:r>
      <w:r>
        <w:rPr>
          <w:rFonts w:ascii="Arial" w:cs="Arial" w:eastAsia="Arial" w:hAnsi="Arial"/>
          <w:sz w:val="16"/>
          <w:szCs w:val="16"/>
          <w:b w:val="1"/>
          <w:bCs w:val="1"/>
          <w:i w:val="1"/>
          <w:iCs w:val="1"/>
          <w:color w:val="auto"/>
        </w:rPr>
        <w:t>Investments</w:t>
      </w:r>
      <w:r>
        <w:rPr>
          <w:rFonts w:ascii="Arial" w:cs="Arial" w:eastAsia="Arial" w:hAnsi="Arial"/>
          <w:sz w:val="16"/>
          <w:szCs w:val="16"/>
          <w:color w:val="auto"/>
        </w:rPr>
        <w:t xml:space="preserve"> for further details.</w:t>
      </w:r>
    </w:p>
    <w:p>
      <w:pPr>
        <w:sectPr>
          <w:pgSz w:w="11880" w:h="15480" w:orient="portrait"/>
          <w:cols w:equalWidth="0" w:num="1">
            <w:col w:w="10040"/>
          </w:cols>
          <w:pgMar w:left="920" w:top="772"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122</w:t>
      </w:r>
    </w:p>
    <w:p>
      <w:pPr>
        <w:sectPr>
          <w:pgSz w:w="11880" w:h="15480" w:orient="portrait"/>
          <w:cols w:equalWidth="0" w:num="1">
            <w:col w:w="10040"/>
          </w:cols>
          <w:pgMar w:left="920" w:top="772" w:right="920" w:bottom="0" w:gutter="0" w:footer="0" w:header="0"/>
          <w:type w:val="continuous"/>
        </w:sectPr>
      </w:pPr>
    </w:p>
    <w:bookmarkStart w:id="134" w:name="page135"/>
    <w:bookmarkEnd w:id="134"/>
    <w:tbl>
      <w:tblPr>
        <w:tblLayout w:type="fixed"/>
        <w:tblInd w:w="40" w:type="dxa"/>
        <w:tblCellMar>
          <w:top w:w="0" w:type="dxa"/>
          <w:left w:w="0" w:type="dxa"/>
          <w:bottom w:w="0" w:type="dxa"/>
          <w:right w:w="0" w:type="dxa"/>
        </w:tblCellMar>
      </w:tblPr>
      <w:tr>
        <w:trPr>
          <w:trHeight w:val="213"/>
        </w:trPr>
        <w:tc>
          <w:tcPr>
            <w:tcW w:w="43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120" w:type="dxa"/>
            <w:vAlign w:val="bottom"/>
            <w:tcBorders>
              <w:bottom w:val="single" w:sz="8" w:color="auto"/>
            </w:tcBorders>
            <w:gridSpan w:val="6"/>
          </w:tcPr>
          <w:p>
            <w:pPr>
              <w:jc w:val="center"/>
              <w:ind w:left="742"/>
              <w:spacing w:after="0"/>
              <w:rPr>
                <w:sz w:val="20"/>
                <w:szCs w:val="20"/>
                <w:color w:val="auto"/>
              </w:rPr>
            </w:pPr>
            <w:r>
              <w:rPr>
                <w:rFonts w:ascii="Arial" w:cs="Arial" w:eastAsia="Arial" w:hAnsi="Arial"/>
                <w:sz w:val="16"/>
                <w:szCs w:val="16"/>
                <w:b w:val="1"/>
                <w:bCs w:val="1"/>
                <w:color w:val="auto"/>
                <w:w w:val="87"/>
              </w:rPr>
              <w:t>December 31, 2024</w:t>
            </w: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3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22"/>
              <w:spacing w:after="0"/>
              <w:rPr>
                <w:sz w:val="20"/>
                <w:szCs w:val="20"/>
                <w:color w:val="auto"/>
              </w:rPr>
            </w:pPr>
            <w:r>
              <w:rPr>
                <w:rFonts w:ascii="Arial" w:cs="Arial" w:eastAsia="Arial" w:hAnsi="Arial"/>
                <w:sz w:val="16"/>
                <w:szCs w:val="16"/>
                <w:b w:val="1"/>
                <w:bCs w:val="1"/>
                <w:color w:val="auto"/>
                <w:w w:val="99"/>
              </w:rPr>
              <w:t>Level 1</w:t>
            </w:r>
          </w:p>
        </w:tc>
        <w:tc>
          <w:tcPr>
            <w:tcW w:w="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02"/>
              <w:spacing w:after="0"/>
              <w:rPr>
                <w:sz w:val="20"/>
                <w:szCs w:val="20"/>
                <w:color w:val="auto"/>
              </w:rPr>
            </w:pPr>
            <w:r>
              <w:rPr>
                <w:rFonts w:ascii="Arial" w:cs="Arial" w:eastAsia="Arial" w:hAnsi="Arial"/>
                <w:sz w:val="16"/>
                <w:szCs w:val="16"/>
                <w:b w:val="1"/>
                <w:bCs w:val="1"/>
                <w:color w:val="auto"/>
              </w:rPr>
              <w:t>Level 2</w:t>
            </w: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center"/>
              <w:ind w:right="142"/>
              <w:spacing w:after="0"/>
              <w:rPr>
                <w:sz w:val="20"/>
                <w:szCs w:val="20"/>
                <w:color w:val="auto"/>
              </w:rPr>
            </w:pPr>
            <w:r>
              <w:rPr>
                <w:rFonts w:ascii="Arial" w:cs="Arial" w:eastAsia="Arial" w:hAnsi="Arial"/>
                <w:sz w:val="16"/>
                <w:szCs w:val="16"/>
                <w:b w:val="1"/>
                <w:bCs w:val="1"/>
                <w:color w:val="auto"/>
                <w:w w:val="88"/>
              </w:rPr>
              <w:t>Level 3</w:t>
            </w:r>
          </w:p>
        </w:tc>
        <w:tc>
          <w:tcPr>
            <w:tcW w:w="60" w:type="dxa"/>
            <w:vAlign w:val="bottom"/>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ind w:left="120"/>
              <w:spacing w:after="0"/>
              <w:rPr>
                <w:sz w:val="20"/>
                <w:szCs w:val="20"/>
                <w:color w:val="auto"/>
              </w:rPr>
            </w:pPr>
            <w:r>
              <w:rPr>
                <w:rFonts w:ascii="Arial" w:cs="Arial" w:eastAsia="Arial" w:hAnsi="Arial"/>
                <w:sz w:val="16"/>
                <w:szCs w:val="16"/>
                <w:b w:val="1"/>
                <w:bCs w:val="1"/>
                <w:color w:val="auto"/>
              </w:rPr>
              <w:t>NAV</w:t>
            </w:r>
          </w:p>
        </w:tc>
        <w:tc>
          <w:tcPr>
            <w:tcW w:w="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02"/>
              <w:spacing w:after="0"/>
              <w:rPr>
                <w:sz w:val="20"/>
                <w:szCs w:val="20"/>
                <w:color w:val="auto"/>
              </w:rPr>
            </w:pPr>
            <w:r>
              <w:rPr>
                <w:rFonts w:ascii="Arial" w:cs="Arial" w:eastAsia="Arial" w:hAnsi="Arial"/>
                <w:sz w:val="16"/>
                <w:szCs w:val="16"/>
                <w:b w:val="1"/>
                <w:bCs w:val="1"/>
                <w:color w:val="auto"/>
                <w:w w:val="94"/>
              </w:rPr>
              <w:t>Fair Value</w:t>
            </w:r>
          </w:p>
        </w:tc>
        <w:tc>
          <w:tcPr>
            <w:tcW w:w="0" w:type="dxa"/>
            <w:vAlign w:val="bottom"/>
          </w:tcPr>
          <w:p>
            <w:pPr>
              <w:spacing w:after="0"/>
              <w:rPr>
                <w:sz w:val="1"/>
                <w:szCs w:val="1"/>
                <w:color w:val="auto"/>
              </w:rPr>
            </w:pPr>
          </w:p>
        </w:tc>
      </w:tr>
      <w:tr>
        <w:trPr>
          <w:trHeight w:val="208"/>
        </w:trPr>
        <w:tc>
          <w:tcPr>
            <w:tcW w:w="4340" w:type="dxa"/>
            <w:vAlign w:val="bottom"/>
          </w:tcPr>
          <w:p>
            <w:pPr>
              <w:spacing w:after="0"/>
              <w:rPr>
                <w:sz w:val="20"/>
                <w:szCs w:val="20"/>
                <w:color w:val="auto"/>
              </w:rPr>
            </w:pPr>
            <w:r>
              <w:rPr>
                <w:rFonts w:ascii="Arial" w:cs="Arial" w:eastAsia="Arial" w:hAnsi="Arial"/>
                <w:sz w:val="16"/>
                <w:szCs w:val="16"/>
                <w:b w:val="1"/>
                <w:bCs w:val="1"/>
                <w:color w:val="auto"/>
              </w:rPr>
              <w:t>Assets</w:t>
            </w: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4"/>
          </w:tcPr>
          <w:p>
            <w:pPr>
              <w:jc w:val="center"/>
              <w:ind w:right="120"/>
              <w:spacing w:after="0"/>
              <w:rPr>
                <w:sz w:val="20"/>
                <w:szCs w:val="20"/>
                <w:color w:val="auto"/>
              </w:rPr>
            </w:pPr>
            <w:r>
              <w:rPr>
                <w:rFonts w:ascii="Arial" w:cs="Arial" w:eastAsia="Arial" w:hAnsi="Arial"/>
                <w:sz w:val="16"/>
                <w:szCs w:val="16"/>
                <w:b w:val="1"/>
                <w:bCs w:val="1"/>
                <w:color w:val="auto"/>
                <w:w w:val="91"/>
              </w:rPr>
              <w:t>(In millions)</w:t>
            </w: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4340" w:type="dxa"/>
            <w:vAlign w:val="bottom"/>
          </w:tcPr>
          <w:p>
            <w:pPr>
              <w:spacing w:after="0"/>
              <w:rPr>
                <w:sz w:val="20"/>
                <w:szCs w:val="20"/>
                <w:color w:val="auto"/>
              </w:rPr>
            </w:pPr>
            <w:r>
              <w:rPr>
                <w:rFonts w:ascii="Arial" w:cs="Arial" w:eastAsia="Arial" w:hAnsi="Arial"/>
                <w:sz w:val="16"/>
                <w:szCs w:val="16"/>
                <w:color w:val="auto"/>
              </w:rPr>
              <w:t>Cash and cash equivalents</w:t>
            </w:r>
          </w:p>
        </w:tc>
        <w:tc>
          <w:tcPr>
            <w:tcW w:w="22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3,479</w:t>
            </w:r>
          </w:p>
        </w:tc>
        <w:tc>
          <w:tcPr>
            <w:tcW w:w="28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300" w:type="dxa"/>
            <w:vAlign w:val="bottom"/>
            <w:gridSpan w:val="2"/>
          </w:tcPr>
          <w:p>
            <w:pPr>
              <w:jc w:val="right"/>
              <w:ind w:right="2"/>
              <w:spacing w:after="0"/>
              <w:rPr>
                <w:sz w:val="20"/>
                <w:szCs w:val="20"/>
                <w:color w:val="auto"/>
              </w:rPr>
            </w:pPr>
            <w:r>
              <w:rPr>
                <w:rFonts w:ascii="Arial" w:cs="Arial" w:eastAsia="Arial" w:hAnsi="Arial"/>
                <w:sz w:val="16"/>
                <w:szCs w:val="16"/>
                <w:color w:val="auto"/>
              </w:rPr>
              <w:t>$</w:t>
            </w:r>
          </w:p>
        </w:tc>
        <w:tc>
          <w:tcPr>
            <w:tcW w:w="960" w:type="dxa"/>
            <w:vAlign w:val="bottom"/>
            <w:gridSpan w:val="3"/>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jc w:val="right"/>
              <w:ind w:right="42"/>
              <w:spacing w:after="0"/>
              <w:rPr>
                <w:sz w:val="20"/>
                <w:szCs w:val="20"/>
                <w:color w:val="auto"/>
              </w:rPr>
            </w:pPr>
            <w:r>
              <w:rPr>
                <w:rFonts w:ascii="Arial" w:cs="Arial" w:eastAsia="Arial" w:hAnsi="Arial"/>
                <w:sz w:val="16"/>
                <w:szCs w:val="16"/>
                <w:color w:val="auto"/>
                <w:w w:val="89"/>
              </w:rPr>
              <w:t>$</w:t>
            </w:r>
          </w:p>
        </w:tc>
        <w:tc>
          <w:tcPr>
            <w:tcW w:w="820" w:type="dxa"/>
            <w:vAlign w:val="bottom"/>
          </w:tcPr>
          <w:p>
            <w:pPr>
              <w:ind w:left="600"/>
              <w:spacing w:after="0"/>
              <w:rPr>
                <w:sz w:val="20"/>
                <w:szCs w:val="20"/>
                <w:color w:val="auto"/>
              </w:rPr>
            </w:pPr>
            <w:r>
              <w:rPr>
                <w:rFonts w:ascii="Arial" w:cs="Arial" w:eastAsia="Arial" w:hAnsi="Arial"/>
                <w:sz w:val="16"/>
                <w:szCs w:val="16"/>
                <w:color w:val="auto"/>
              </w:rPr>
              <w:t>—</w:t>
            </w:r>
          </w:p>
        </w:tc>
        <w:tc>
          <w:tcPr>
            <w:tcW w:w="22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2"/>
              <w:spacing w:after="0"/>
              <w:rPr>
                <w:sz w:val="20"/>
                <w:szCs w:val="20"/>
                <w:color w:val="auto"/>
              </w:rPr>
            </w:pPr>
            <w:r>
              <w:rPr>
                <w:rFonts w:ascii="Arial" w:cs="Arial" w:eastAsia="Arial" w:hAnsi="Arial"/>
                <w:sz w:val="16"/>
                <w:szCs w:val="16"/>
                <w:color w:val="auto"/>
              </w:rPr>
              <w:t>3,479</w:t>
            </w:r>
          </w:p>
        </w:tc>
        <w:tc>
          <w:tcPr>
            <w:tcW w:w="0" w:type="dxa"/>
            <w:vAlign w:val="bottom"/>
          </w:tcPr>
          <w:p>
            <w:pPr>
              <w:spacing w:after="0"/>
              <w:rPr>
                <w:sz w:val="1"/>
                <w:szCs w:val="1"/>
                <w:color w:val="auto"/>
              </w:rPr>
            </w:pPr>
          </w:p>
        </w:tc>
      </w:tr>
      <w:tr>
        <w:trPr>
          <w:trHeight w:val="235"/>
        </w:trPr>
        <w:tc>
          <w:tcPr>
            <w:tcW w:w="4340" w:type="dxa"/>
            <w:vAlign w:val="bottom"/>
          </w:tcPr>
          <w:p>
            <w:pPr>
              <w:spacing w:after="0"/>
              <w:rPr>
                <w:sz w:val="20"/>
                <w:szCs w:val="20"/>
                <w:color w:val="auto"/>
              </w:rPr>
            </w:pPr>
            <w:r>
              <w:rPr>
                <w:rFonts w:ascii="Arial" w:cs="Arial" w:eastAsia="Arial" w:hAnsi="Arial"/>
                <w:sz w:val="16"/>
                <w:szCs w:val="16"/>
                <w:color w:val="auto"/>
              </w:rPr>
              <w:t>Fixed maturity securities, available-for-sale:</w:t>
            </w: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4340" w:type="dxa"/>
            <w:vAlign w:val="bottom"/>
          </w:tcPr>
          <w:p>
            <w:pPr>
              <w:ind w:left="220"/>
              <w:spacing w:after="0"/>
              <w:rPr>
                <w:sz w:val="20"/>
                <w:szCs w:val="20"/>
                <w:color w:val="auto"/>
              </w:rPr>
            </w:pPr>
            <w:r>
              <w:rPr>
                <w:rFonts w:ascii="Arial" w:cs="Arial" w:eastAsia="Arial" w:hAnsi="Arial"/>
                <w:sz w:val="16"/>
                <w:szCs w:val="16"/>
                <w:color w:val="auto"/>
              </w:rPr>
              <w:t>Asset-backed securities</w:t>
            </w:r>
          </w:p>
        </w:tc>
        <w:tc>
          <w:tcPr>
            <w:tcW w:w="2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7,513</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jc w:val="right"/>
              <w:ind w:right="2"/>
              <w:spacing w:after="0"/>
              <w:rPr>
                <w:sz w:val="20"/>
                <w:szCs w:val="20"/>
                <w:color w:val="auto"/>
              </w:rPr>
            </w:pPr>
            <w:r>
              <w:rPr>
                <w:rFonts w:ascii="Arial" w:cs="Arial" w:eastAsia="Arial" w:hAnsi="Arial"/>
                <w:sz w:val="16"/>
                <w:szCs w:val="16"/>
                <w:color w:val="auto"/>
              </w:rPr>
              <w:t>8,143</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ind w:left="60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jc w:val="right"/>
              <w:ind w:right="2"/>
              <w:spacing w:after="0"/>
              <w:rPr>
                <w:sz w:val="20"/>
                <w:szCs w:val="20"/>
                <w:color w:val="auto"/>
              </w:rPr>
            </w:pPr>
            <w:r>
              <w:rPr>
                <w:rFonts w:ascii="Arial" w:cs="Arial" w:eastAsia="Arial" w:hAnsi="Arial"/>
                <w:sz w:val="16"/>
                <w:szCs w:val="16"/>
                <w:color w:val="auto"/>
              </w:rPr>
              <w:t>15,656</w:t>
            </w:r>
          </w:p>
        </w:tc>
        <w:tc>
          <w:tcPr>
            <w:tcW w:w="0" w:type="dxa"/>
            <w:vAlign w:val="bottom"/>
          </w:tcPr>
          <w:p>
            <w:pPr>
              <w:spacing w:after="0"/>
              <w:rPr>
                <w:sz w:val="1"/>
                <w:szCs w:val="1"/>
                <w:color w:val="auto"/>
              </w:rPr>
            </w:pPr>
          </w:p>
        </w:tc>
      </w:tr>
      <w:tr>
        <w:trPr>
          <w:trHeight w:val="235"/>
        </w:trPr>
        <w:tc>
          <w:tcPr>
            <w:tcW w:w="4340" w:type="dxa"/>
            <w:vAlign w:val="bottom"/>
          </w:tcPr>
          <w:p>
            <w:pPr>
              <w:ind w:left="220"/>
              <w:spacing w:after="0"/>
              <w:rPr>
                <w:sz w:val="20"/>
                <w:szCs w:val="20"/>
                <w:color w:val="auto"/>
              </w:rPr>
            </w:pPr>
            <w:r>
              <w:rPr>
                <w:rFonts w:ascii="Arial" w:cs="Arial" w:eastAsia="Arial" w:hAnsi="Arial"/>
                <w:sz w:val="16"/>
                <w:szCs w:val="16"/>
                <w:color w:val="auto"/>
              </w:rPr>
              <w:t>Commercial mortgage-backed securities</w:t>
            </w:r>
          </w:p>
        </w:tc>
        <w:tc>
          <w:tcPr>
            <w:tcW w:w="2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5,182</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gridSpan w:val="3"/>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820" w:type="dxa"/>
            <w:vAlign w:val="bottom"/>
          </w:tcPr>
          <w:p>
            <w:pPr>
              <w:ind w:left="60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jc w:val="right"/>
              <w:ind w:right="2"/>
              <w:spacing w:after="0"/>
              <w:rPr>
                <w:sz w:val="20"/>
                <w:szCs w:val="20"/>
                <w:color w:val="auto"/>
              </w:rPr>
            </w:pPr>
            <w:r>
              <w:rPr>
                <w:rFonts w:ascii="Arial" w:cs="Arial" w:eastAsia="Arial" w:hAnsi="Arial"/>
                <w:sz w:val="16"/>
                <w:szCs w:val="16"/>
                <w:color w:val="auto"/>
              </w:rPr>
              <w:t>5,182</w:t>
            </w:r>
          </w:p>
        </w:tc>
        <w:tc>
          <w:tcPr>
            <w:tcW w:w="0" w:type="dxa"/>
            <w:vAlign w:val="bottom"/>
          </w:tcPr>
          <w:p>
            <w:pPr>
              <w:spacing w:after="0"/>
              <w:rPr>
                <w:sz w:val="1"/>
                <w:szCs w:val="1"/>
                <w:color w:val="auto"/>
              </w:rPr>
            </w:pPr>
          </w:p>
        </w:tc>
      </w:tr>
      <w:tr>
        <w:trPr>
          <w:trHeight w:val="235"/>
        </w:trPr>
        <w:tc>
          <w:tcPr>
            <w:tcW w:w="4340" w:type="dxa"/>
            <w:vAlign w:val="bottom"/>
          </w:tcPr>
          <w:p>
            <w:pPr>
              <w:ind w:left="220"/>
              <w:spacing w:after="0"/>
              <w:rPr>
                <w:sz w:val="20"/>
                <w:szCs w:val="20"/>
                <w:color w:val="auto"/>
              </w:rPr>
            </w:pPr>
            <w:r>
              <w:rPr>
                <w:rFonts w:ascii="Arial" w:cs="Arial" w:eastAsia="Arial" w:hAnsi="Arial"/>
                <w:sz w:val="16"/>
                <w:szCs w:val="16"/>
                <w:color w:val="auto"/>
              </w:rPr>
              <w:t>Corporates</w:t>
            </w:r>
          </w:p>
        </w:tc>
        <w:tc>
          <w:tcPr>
            <w:tcW w:w="2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41</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18,698</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jc w:val="right"/>
              <w:ind w:right="2"/>
              <w:spacing w:after="0"/>
              <w:rPr>
                <w:sz w:val="20"/>
                <w:szCs w:val="20"/>
                <w:color w:val="auto"/>
              </w:rPr>
            </w:pPr>
            <w:r>
              <w:rPr>
                <w:rFonts w:ascii="Arial" w:cs="Arial" w:eastAsia="Arial" w:hAnsi="Arial"/>
                <w:sz w:val="16"/>
                <w:szCs w:val="16"/>
                <w:color w:val="auto"/>
              </w:rPr>
              <w:t>2,957</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ind w:left="60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jc w:val="right"/>
              <w:ind w:right="2"/>
              <w:spacing w:after="0"/>
              <w:rPr>
                <w:sz w:val="20"/>
                <w:szCs w:val="20"/>
                <w:color w:val="auto"/>
              </w:rPr>
            </w:pPr>
            <w:r>
              <w:rPr>
                <w:rFonts w:ascii="Arial" w:cs="Arial" w:eastAsia="Arial" w:hAnsi="Arial"/>
                <w:sz w:val="16"/>
                <w:szCs w:val="16"/>
                <w:color w:val="auto"/>
              </w:rPr>
              <w:t>21,696</w:t>
            </w:r>
          </w:p>
        </w:tc>
        <w:tc>
          <w:tcPr>
            <w:tcW w:w="0" w:type="dxa"/>
            <w:vAlign w:val="bottom"/>
          </w:tcPr>
          <w:p>
            <w:pPr>
              <w:spacing w:after="0"/>
              <w:rPr>
                <w:sz w:val="1"/>
                <w:szCs w:val="1"/>
                <w:color w:val="auto"/>
              </w:rPr>
            </w:pPr>
          </w:p>
        </w:tc>
      </w:tr>
      <w:tr>
        <w:trPr>
          <w:trHeight w:val="235"/>
        </w:trPr>
        <w:tc>
          <w:tcPr>
            <w:tcW w:w="4340" w:type="dxa"/>
            <w:vAlign w:val="bottom"/>
          </w:tcPr>
          <w:p>
            <w:pPr>
              <w:ind w:left="220"/>
              <w:spacing w:after="0"/>
              <w:rPr>
                <w:sz w:val="20"/>
                <w:szCs w:val="20"/>
                <w:color w:val="auto"/>
              </w:rPr>
            </w:pPr>
            <w:r>
              <w:rPr>
                <w:rFonts w:ascii="Arial" w:cs="Arial" w:eastAsia="Arial" w:hAnsi="Arial"/>
                <w:sz w:val="16"/>
                <w:szCs w:val="16"/>
                <w:color w:val="auto"/>
              </w:rPr>
              <w:t>Hybrids</w:t>
            </w:r>
          </w:p>
        </w:tc>
        <w:tc>
          <w:tcPr>
            <w:tcW w:w="2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35</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546</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gridSpan w:val="3"/>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820" w:type="dxa"/>
            <w:vAlign w:val="bottom"/>
          </w:tcPr>
          <w:p>
            <w:pPr>
              <w:ind w:left="60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jc w:val="right"/>
              <w:ind w:right="2"/>
              <w:spacing w:after="0"/>
              <w:rPr>
                <w:sz w:val="20"/>
                <w:szCs w:val="20"/>
                <w:color w:val="auto"/>
              </w:rPr>
            </w:pPr>
            <w:r>
              <w:rPr>
                <w:rFonts w:ascii="Arial" w:cs="Arial" w:eastAsia="Arial" w:hAnsi="Arial"/>
                <w:sz w:val="16"/>
                <w:szCs w:val="16"/>
                <w:color w:val="auto"/>
              </w:rPr>
              <w:t>581</w:t>
            </w:r>
          </w:p>
        </w:tc>
        <w:tc>
          <w:tcPr>
            <w:tcW w:w="0" w:type="dxa"/>
            <w:vAlign w:val="bottom"/>
          </w:tcPr>
          <w:p>
            <w:pPr>
              <w:spacing w:after="0"/>
              <w:rPr>
                <w:sz w:val="1"/>
                <w:szCs w:val="1"/>
                <w:color w:val="auto"/>
              </w:rPr>
            </w:pPr>
          </w:p>
        </w:tc>
      </w:tr>
      <w:tr>
        <w:trPr>
          <w:trHeight w:val="235"/>
        </w:trPr>
        <w:tc>
          <w:tcPr>
            <w:tcW w:w="4340" w:type="dxa"/>
            <w:vAlign w:val="bottom"/>
          </w:tcPr>
          <w:p>
            <w:pPr>
              <w:ind w:left="220"/>
              <w:spacing w:after="0"/>
              <w:rPr>
                <w:sz w:val="20"/>
                <w:szCs w:val="20"/>
                <w:color w:val="auto"/>
              </w:rPr>
            </w:pPr>
            <w:r>
              <w:rPr>
                <w:rFonts w:ascii="Arial" w:cs="Arial" w:eastAsia="Arial" w:hAnsi="Arial"/>
                <w:sz w:val="16"/>
                <w:szCs w:val="16"/>
                <w:color w:val="auto"/>
              </w:rPr>
              <w:t>Municipals</w:t>
            </w:r>
          </w:p>
        </w:tc>
        <w:tc>
          <w:tcPr>
            <w:tcW w:w="2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1,386</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gridSpan w:val="3"/>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820" w:type="dxa"/>
            <w:vAlign w:val="bottom"/>
          </w:tcPr>
          <w:p>
            <w:pPr>
              <w:ind w:left="60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jc w:val="right"/>
              <w:ind w:right="2"/>
              <w:spacing w:after="0"/>
              <w:rPr>
                <w:sz w:val="20"/>
                <w:szCs w:val="20"/>
                <w:color w:val="auto"/>
              </w:rPr>
            </w:pPr>
            <w:r>
              <w:rPr>
                <w:rFonts w:ascii="Arial" w:cs="Arial" w:eastAsia="Arial" w:hAnsi="Arial"/>
                <w:sz w:val="16"/>
                <w:szCs w:val="16"/>
                <w:color w:val="auto"/>
              </w:rPr>
              <w:t>1,386</w:t>
            </w:r>
          </w:p>
        </w:tc>
        <w:tc>
          <w:tcPr>
            <w:tcW w:w="0" w:type="dxa"/>
            <w:vAlign w:val="bottom"/>
          </w:tcPr>
          <w:p>
            <w:pPr>
              <w:spacing w:after="0"/>
              <w:rPr>
                <w:sz w:val="1"/>
                <w:szCs w:val="1"/>
                <w:color w:val="auto"/>
              </w:rPr>
            </w:pPr>
          </w:p>
        </w:tc>
      </w:tr>
      <w:tr>
        <w:trPr>
          <w:trHeight w:val="235"/>
        </w:trPr>
        <w:tc>
          <w:tcPr>
            <w:tcW w:w="4340" w:type="dxa"/>
            <w:vAlign w:val="bottom"/>
          </w:tcPr>
          <w:p>
            <w:pPr>
              <w:ind w:left="220"/>
              <w:spacing w:after="0"/>
              <w:rPr>
                <w:sz w:val="20"/>
                <w:szCs w:val="20"/>
                <w:color w:val="auto"/>
              </w:rPr>
            </w:pPr>
            <w:r>
              <w:rPr>
                <w:rFonts w:ascii="Arial" w:cs="Arial" w:eastAsia="Arial" w:hAnsi="Arial"/>
                <w:sz w:val="16"/>
                <w:szCs w:val="16"/>
                <w:color w:val="auto"/>
              </w:rPr>
              <w:t>Residential mortgage-backed securities</w:t>
            </w:r>
          </w:p>
        </w:tc>
        <w:tc>
          <w:tcPr>
            <w:tcW w:w="2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2,793</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jc w:val="right"/>
              <w:ind w:right="2"/>
              <w:spacing w:after="0"/>
              <w:rPr>
                <w:sz w:val="20"/>
                <w:szCs w:val="20"/>
                <w:color w:val="auto"/>
              </w:rPr>
            </w:pPr>
            <w:r>
              <w:rPr>
                <w:rFonts w:ascii="Arial" w:cs="Arial" w:eastAsia="Arial" w:hAnsi="Arial"/>
                <w:sz w:val="16"/>
                <w:szCs w:val="16"/>
                <w:color w:val="auto"/>
              </w:rPr>
              <w:t>3</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ind w:left="60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jc w:val="right"/>
              <w:ind w:right="2"/>
              <w:spacing w:after="0"/>
              <w:rPr>
                <w:sz w:val="20"/>
                <w:szCs w:val="20"/>
                <w:color w:val="auto"/>
              </w:rPr>
            </w:pPr>
            <w:r>
              <w:rPr>
                <w:rFonts w:ascii="Arial" w:cs="Arial" w:eastAsia="Arial" w:hAnsi="Arial"/>
                <w:sz w:val="16"/>
                <w:szCs w:val="16"/>
                <w:color w:val="auto"/>
              </w:rPr>
              <w:t>2,796</w:t>
            </w:r>
          </w:p>
        </w:tc>
        <w:tc>
          <w:tcPr>
            <w:tcW w:w="0" w:type="dxa"/>
            <w:vAlign w:val="bottom"/>
          </w:tcPr>
          <w:p>
            <w:pPr>
              <w:spacing w:after="0"/>
              <w:rPr>
                <w:sz w:val="1"/>
                <w:szCs w:val="1"/>
                <w:color w:val="auto"/>
              </w:rPr>
            </w:pPr>
          </w:p>
        </w:tc>
      </w:tr>
      <w:tr>
        <w:trPr>
          <w:trHeight w:val="235"/>
        </w:trPr>
        <w:tc>
          <w:tcPr>
            <w:tcW w:w="4340" w:type="dxa"/>
            <w:vAlign w:val="bottom"/>
          </w:tcPr>
          <w:p>
            <w:pPr>
              <w:ind w:left="220"/>
              <w:spacing w:after="0"/>
              <w:rPr>
                <w:sz w:val="20"/>
                <w:szCs w:val="20"/>
                <w:color w:val="auto"/>
              </w:rPr>
            </w:pPr>
            <w:r>
              <w:rPr>
                <w:rFonts w:ascii="Arial" w:cs="Arial" w:eastAsia="Arial" w:hAnsi="Arial"/>
                <w:sz w:val="16"/>
                <w:szCs w:val="16"/>
                <w:color w:val="auto"/>
              </w:rPr>
              <w:t>U.S. Government</w:t>
            </w:r>
          </w:p>
        </w:tc>
        <w:tc>
          <w:tcPr>
            <w:tcW w:w="2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631</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6</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gridSpan w:val="3"/>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820" w:type="dxa"/>
            <w:vAlign w:val="bottom"/>
          </w:tcPr>
          <w:p>
            <w:pPr>
              <w:ind w:left="60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jc w:val="right"/>
              <w:ind w:right="2"/>
              <w:spacing w:after="0"/>
              <w:rPr>
                <w:sz w:val="20"/>
                <w:szCs w:val="20"/>
                <w:color w:val="auto"/>
              </w:rPr>
            </w:pPr>
            <w:r>
              <w:rPr>
                <w:rFonts w:ascii="Arial" w:cs="Arial" w:eastAsia="Arial" w:hAnsi="Arial"/>
                <w:sz w:val="16"/>
                <w:szCs w:val="16"/>
                <w:color w:val="auto"/>
              </w:rPr>
              <w:t>637</w:t>
            </w:r>
          </w:p>
        </w:tc>
        <w:tc>
          <w:tcPr>
            <w:tcW w:w="0" w:type="dxa"/>
            <w:vAlign w:val="bottom"/>
          </w:tcPr>
          <w:p>
            <w:pPr>
              <w:spacing w:after="0"/>
              <w:rPr>
                <w:sz w:val="1"/>
                <w:szCs w:val="1"/>
                <w:color w:val="auto"/>
              </w:rPr>
            </w:pPr>
          </w:p>
        </w:tc>
      </w:tr>
      <w:tr>
        <w:trPr>
          <w:trHeight w:val="235"/>
        </w:trPr>
        <w:tc>
          <w:tcPr>
            <w:tcW w:w="4340" w:type="dxa"/>
            <w:vAlign w:val="bottom"/>
          </w:tcPr>
          <w:p>
            <w:pPr>
              <w:ind w:left="220"/>
              <w:spacing w:after="0"/>
              <w:rPr>
                <w:sz w:val="20"/>
                <w:szCs w:val="20"/>
                <w:color w:val="auto"/>
              </w:rPr>
            </w:pPr>
            <w:r>
              <w:rPr>
                <w:rFonts w:ascii="Arial" w:cs="Arial" w:eastAsia="Arial" w:hAnsi="Arial"/>
                <w:sz w:val="16"/>
                <w:szCs w:val="16"/>
                <w:color w:val="auto"/>
              </w:rPr>
              <w:t>Foreign Governments</w:t>
            </w:r>
          </w:p>
        </w:tc>
        <w:tc>
          <w:tcPr>
            <w:tcW w:w="2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280</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jc w:val="right"/>
              <w:ind w:right="2"/>
              <w:spacing w:after="0"/>
              <w:rPr>
                <w:sz w:val="20"/>
                <w:szCs w:val="20"/>
                <w:color w:val="auto"/>
              </w:rPr>
            </w:pPr>
            <w:r>
              <w:rPr>
                <w:rFonts w:ascii="Arial" w:cs="Arial" w:eastAsia="Arial" w:hAnsi="Arial"/>
                <w:sz w:val="16"/>
                <w:szCs w:val="16"/>
                <w:color w:val="auto"/>
              </w:rPr>
              <w:t>4</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ind w:left="60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jc w:val="right"/>
              <w:ind w:right="2"/>
              <w:spacing w:after="0"/>
              <w:rPr>
                <w:sz w:val="20"/>
                <w:szCs w:val="20"/>
                <w:color w:val="auto"/>
              </w:rPr>
            </w:pPr>
            <w:r>
              <w:rPr>
                <w:rFonts w:ascii="Arial" w:cs="Arial" w:eastAsia="Arial" w:hAnsi="Arial"/>
                <w:sz w:val="16"/>
                <w:szCs w:val="16"/>
                <w:color w:val="auto"/>
              </w:rPr>
              <w:t>284</w:t>
            </w:r>
          </w:p>
        </w:tc>
        <w:tc>
          <w:tcPr>
            <w:tcW w:w="0" w:type="dxa"/>
            <w:vAlign w:val="bottom"/>
          </w:tcPr>
          <w:p>
            <w:pPr>
              <w:spacing w:after="0"/>
              <w:rPr>
                <w:sz w:val="1"/>
                <w:szCs w:val="1"/>
                <w:color w:val="auto"/>
              </w:rPr>
            </w:pPr>
          </w:p>
        </w:tc>
      </w:tr>
      <w:tr>
        <w:trPr>
          <w:trHeight w:val="235"/>
        </w:trPr>
        <w:tc>
          <w:tcPr>
            <w:tcW w:w="4340" w:type="dxa"/>
            <w:vAlign w:val="bottom"/>
          </w:tcPr>
          <w:p>
            <w:pPr>
              <w:spacing w:after="0"/>
              <w:rPr>
                <w:sz w:val="20"/>
                <w:szCs w:val="20"/>
                <w:color w:val="auto"/>
              </w:rPr>
            </w:pPr>
            <w:r>
              <w:rPr>
                <w:rFonts w:ascii="Arial" w:cs="Arial" w:eastAsia="Arial" w:hAnsi="Arial"/>
                <w:sz w:val="16"/>
                <w:szCs w:val="16"/>
                <w:color w:val="auto"/>
              </w:rPr>
              <w:t>Equity securities:</w:t>
            </w: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4340" w:type="dxa"/>
            <w:vAlign w:val="bottom"/>
          </w:tcPr>
          <w:p>
            <w:pPr>
              <w:ind w:left="220"/>
              <w:spacing w:after="0"/>
              <w:rPr>
                <w:sz w:val="20"/>
                <w:szCs w:val="20"/>
                <w:color w:val="auto"/>
              </w:rPr>
            </w:pPr>
            <w:r>
              <w:rPr>
                <w:rFonts w:ascii="Arial" w:cs="Arial" w:eastAsia="Arial" w:hAnsi="Arial"/>
                <w:sz w:val="16"/>
                <w:szCs w:val="16"/>
                <w:color w:val="auto"/>
              </w:rPr>
              <w:t>Preferred equity securities</w:t>
            </w:r>
          </w:p>
        </w:tc>
        <w:tc>
          <w:tcPr>
            <w:tcW w:w="2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189</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246</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jc w:val="right"/>
              <w:ind w:right="2"/>
              <w:spacing w:after="0"/>
              <w:rPr>
                <w:sz w:val="20"/>
                <w:szCs w:val="20"/>
                <w:color w:val="auto"/>
              </w:rPr>
            </w:pPr>
            <w:r>
              <w:rPr>
                <w:rFonts w:ascii="Arial" w:cs="Arial" w:eastAsia="Arial" w:hAnsi="Arial"/>
                <w:sz w:val="16"/>
                <w:szCs w:val="16"/>
                <w:color w:val="auto"/>
              </w:rPr>
              <w:t>8</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ind w:left="60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jc w:val="right"/>
              <w:ind w:right="2"/>
              <w:spacing w:after="0"/>
              <w:rPr>
                <w:sz w:val="20"/>
                <w:szCs w:val="20"/>
                <w:color w:val="auto"/>
              </w:rPr>
            </w:pPr>
            <w:r>
              <w:rPr>
                <w:rFonts w:ascii="Arial" w:cs="Arial" w:eastAsia="Arial" w:hAnsi="Arial"/>
                <w:sz w:val="16"/>
                <w:szCs w:val="16"/>
                <w:color w:val="auto"/>
              </w:rPr>
              <w:t>443</w:t>
            </w:r>
          </w:p>
        </w:tc>
        <w:tc>
          <w:tcPr>
            <w:tcW w:w="0" w:type="dxa"/>
            <w:vAlign w:val="bottom"/>
          </w:tcPr>
          <w:p>
            <w:pPr>
              <w:spacing w:after="0"/>
              <w:rPr>
                <w:sz w:val="1"/>
                <w:szCs w:val="1"/>
                <w:color w:val="auto"/>
              </w:rPr>
            </w:pPr>
          </w:p>
        </w:tc>
      </w:tr>
      <w:tr>
        <w:trPr>
          <w:trHeight w:val="235"/>
        </w:trPr>
        <w:tc>
          <w:tcPr>
            <w:tcW w:w="4340" w:type="dxa"/>
            <w:vAlign w:val="bottom"/>
          </w:tcPr>
          <w:p>
            <w:pPr>
              <w:ind w:left="220"/>
              <w:spacing w:after="0"/>
              <w:rPr>
                <w:sz w:val="20"/>
                <w:szCs w:val="20"/>
                <w:color w:val="auto"/>
              </w:rPr>
            </w:pPr>
            <w:r>
              <w:rPr>
                <w:rFonts w:ascii="Arial" w:cs="Arial" w:eastAsia="Arial" w:hAnsi="Arial"/>
                <w:sz w:val="16"/>
                <w:szCs w:val="16"/>
                <w:color w:val="auto"/>
              </w:rPr>
              <w:t>Common equity securities</w:t>
            </w:r>
          </w:p>
        </w:tc>
        <w:tc>
          <w:tcPr>
            <w:tcW w:w="2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575</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jc w:val="right"/>
              <w:ind w:right="2"/>
              <w:spacing w:after="0"/>
              <w:rPr>
                <w:sz w:val="20"/>
                <w:szCs w:val="20"/>
                <w:color w:val="auto"/>
              </w:rPr>
            </w:pPr>
            <w:r>
              <w:rPr>
                <w:rFonts w:ascii="Arial" w:cs="Arial" w:eastAsia="Arial" w:hAnsi="Arial"/>
                <w:sz w:val="16"/>
                <w:szCs w:val="16"/>
                <w:color w:val="auto"/>
              </w:rPr>
              <w:t>10</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ind w:left="600"/>
              <w:spacing w:after="0"/>
              <w:rPr>
                <w:sz w:val="20"/>
                <w:szCs w:val="20"/>
                <w:color w:val="auto"/>
              </w:rPr>
            </w:pPr>
            <w:r>
              <w:rPr>
                <w:rFonts w:ascii="Arial" w:cs="Arial" w:eastAsia="Arial" w:hAnsi="Arial"/>
                <w:sz w:val="16"/>
                <w:szCs w:val="16"/>
                <w:color w:val="auto"/>
              </w:rPr>
              <w:t>57</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jc w:val="right"/>
              <w:ind w:right="2"/>
              <w:spacing w:after="0"/>
              <w:rPr>
                <w:sz w:val="20"/>
                <w:szCs w:val="20"/>
                <w:color w:val="auto"/>
              </w:rPr>
            </w:pPr>
            <w:r>
              <w:rPr>
                <w:rFonts w:ascii="Arial" w:cs="Arial" w:eastAsia="Arial" w:hAnsi="Arial"/>
                <w:sz w:val="16"/>
                <w:szCs w:val="16"/>
                <w:color w:val="auto"/>
              </w:rPr>
              <w:t>642</w:t>
            </w:r>
          </w:p>
        </w:tc>
        <w:tc>
          <w:tcPr>
            <w:tcW w:w="0" w:type="dxa"/>
            <w:vAlign w:val="bottom"/>
          </w:tcPr>
          <w:p>
            <w:pPr>
              <w:spacing w:after="0"/>
              <w:rPr>
                <w:sz w:val="1"/>
                <w:szCs w:val="1"/>
                <w:color w:val="auto"/>
              </w:rPr>
            </w:pPr>
          </w:p>
        </w:tc>
      </w:tr>
      <w:tr>
        <w:trPr>
          <w:trHeight w:val="235"/>
        </w:trPr>
        <w:tc>
          <w:tcPr>
            <w:tcW w:w="4340" w:type="dxa"/>
            <w:vAlign w:val="bottom"/>
          </w:tcPr>
          <w:p>
            <w:pPr>
              <w:spacing w:after="0"/>
              <w:rPr>
                <w:sz w:val="20"/>
                <w:szCs w:val="20"/>
                <w:color w:val="auto"/>
              </w:rPr>
            </w:pPr>
            <w:r>
              <w:rPr>
                <w:rFonts w:ascii="Arial" w:cs="Arial" w:eastAsia="Arial" w:hAnsi="Arial"/>
                <w:sz w:val="16"/>
                <w:szCs w:val="16"/>
                <w:color w:val="auto"/>
              </w:rPr>
              <w:t>Derivative investments</w:t>
            </w:r>
          </w:p>
        </w:tc>
        <w:tc>
          <w:tcPr>
            <w:tcW w:w="2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791</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jc w:val="right"/>
              <w:ind w:right="2"/>
              <w:spacing w:after="0"/>
              <w:rPr>
                <w:sz w:val="20"/>
                <w:szCs w:val="20"/>
                <w:color w:val="auto"/>
              </w:rPr>
            </w:pPr>
            <w:r>
              <w:rPr>
                <w:rFonts w:ascii="Arial" w:cs="Arial" w:eastAsia="Arial" w:hAnsi="Arial"/>
                <w:sz w:val="16"/>
                <w:szCs w:val="16"/>
                <w:color w:val="auto"/>
              </w:rPr>
              <w:t>3</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ind w:left="60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jc w:val="right"/>
              <w:ind w:right="2"/>
              <w:spacing w:after="0"/>
              <w:rPr>
                <w:sz w:val="20"/>
                <w:szCs w:val="20"/>
                <w:color w:val="auto"/>
              </w:rPr>
            </w:pPr>
            <w:r>
              <w:rPr>
                <w:rFonts w:ascii="Arial" w:cs="Arial" w:eastAsia="Arial" w:hAnsi="Arial"/>
                <w:sz w:val="16"/>
                <w:szCs w:val="16"/>
                <w:color w:val="auto"/>
              </w:rPr>
              <w:t>794</w:t>
            </w:r>
          </w:p>
        </w:tc>
        <w:tc>
          <w:tcPr>
            <w:tcW w:w="0" w:type="dxa"/>
            <w:vAlign w:val="bottom"/>
          </w:tcPr>
          <w:p>
            <w:pPr>
              <w:spacing w:after="0"/>
              <w:rPr>
                <w:sz w:val="1"/>
                <w:szCs w:val="1"/>
                <w:color w:val="auto"/>
              </w:rPr>
            </w:pPr>
          </w:p>
        </w:tc>
      </w:tr>
      <w:tr>
        <w:trPr>
          <w:trHeight w:val="235"/>
        </w:trPr>
        <w:tc>
          <w:tcPr>
            <w:tcW w:w="4340" w:type="dxa"/>
            <w:vAlign w:val="bottom"/>
          </w:tcPr>
          <w:p>
            <w:pPr>
              <w:spacing w:after="0"/>
              <w:rPr>
                <w:sz w:val="20"/>
                <w:szCs w:val="20"/>
                <w:color w:val="auto"/>
              </w:rPr>
            </w:pPr>
            <w:r>
              <w:rPr>
                <w:rFonts w:ascii="Arial" w:cs="Arial" w:eastAsia="Arial" w:hAnsi="Arial"/>
                <w:sz w:val="16"/>
                <w:szCs w:val="16"/>
                <w:color w:val="auto"/>
              </w:rPr>
              <w:t>Investments in unconsolidated affiliates</w:t>
            </w:r>
          </w:p>
        </w:tc>
        <w:tc>
          <w:tcPr>
            <w:tcW w:w="2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jc w:val="right"/>
              <w:ind w:right="2"/>
              <w:spacing w:after="0"/>
              <w:rPr>
                <w:sz w:val="20"/>
                <w:szCs w:val="20"/>
                <w:color w:val="auto"/>
              </w:rPr>
            </w:pPr>
            <w:r>
              <w:rPr>
                <w:rFonts w:ascii="Arial" w:cs="Arial" w:eastAsia="Arial" w:hAnsi="Arial"/>
                <w:sz w:val="16"/>
                <w:szCs w:val="16"/>
                <w:color w:val="auto"/>
              </w:rPr>
              <w:t>272</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ind w:left="60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jc w:val="right"/>
              <w:ind w:right="2"/>
              <w:spacing w:after="0"/>
              <w:rPr>
                <w:sz w:val="20"/>
                <w:szCs w:val="20"/>
                <w:color w:val="auto"/>
              </w:rPr>
            </w:pPr>
            <w:r>
              <w:rPr>
                <w:rFonts w:ascii="Arial" w:cs="Arial" w:eastAsia="Arial" w:hAnsi="Arial"/>
                <w:sz w:val="16"/>
                <w:szCs w:val="16"/>
                <w:color w:val="auto"/>
              </w:rPr>
              <w:t>272</w:t>
            </w:r>
          </w:p>
        </w:tc>
        <w:tc>
          <w:tcPr>
            <w:tcW w:w="0" w:type="dxa"/>
            <w:vAlign w:val="bottom"/>
          </w:tcPr>
          <w:p>
            <w:pPr>
              <w:spacing w:after="0"/>
              <w:rPr>
                <w:sz w:val="1"/>
                <w:szCs w:val="1"/>
                <w:color w:val="auto"/>
              </w:rPr>
            </w:pPr>
          </w:p>
        </w:tc>
      </w:tr>
      <w:tr>
        <w:trPr>
          <w:trHeight w:val="235"/>
        </w:trPr>
        <w:tc>
          <w:tcPr>
            <w:tcW w:w="4340" w:type="dxa"/>
            <w:vAlign w:val="bottom"/>
          </w:tcPr>
          <w:p>
            <w:pPr>
              <w:spacing w:after="0"/>
              <w:rPr>
                <w:sz w:val="20"/>
                <w:szCs w:val="20"/>
                <w:color w:val="auto"/>
              </w:rPr>
            </w:pPr>
            <w:r>
              <w:rPr>
                <w:rFonts w:ascii="Arial" w:cs="Arial" w:eastAsia="Arial" w:hAnsi="Arial"/>
                <w:sz w:val="16"/>
                <w:szCs w:val="16"/>
                <w:color w:val="auto"/>
              </w:rPr>
              <w:t>Other long-term investments</w:t>
            </w:r>
          </w:p>
        </w:tc>
        <w:tc>
          <w:tcPr>
            <w:tcW w:w="2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jc w:val="right"/>
              <w:ind w:right="2"/>
              <w:spacing w:after="0"/>
              <w:rPr>
                <w:sz w:val="20"/>
                <w:szCs w:val="20"/>
                <w:color w:val="auto"/>
              </w:rPr>
            </w:pPr>
            <w:r>
              <w:rPr>
                <w:rFonts w:ascii="Arial" w:cs="Arial" w:eastAsia="Arial" w:hAnsi="Arial"/>
                <w:sz w:val="16"/>
                <w:szCs w:val="16"/>
                <w:color w:val="auto"/>
              </w:rPr>
              <w:t>32</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ind w:left="60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jc w:val="right"/>
              <w:ind w:right="2"/>
              <w:spacing w:after="0"/>
              <w:rPr>
                <w:sz w:val="20"/>
                <w:szCs w:val="20"/>
                <w:color w:val="auto"/>
              </w:rPr>
            </w:pPr>
            <w:r>
              <w:rPr>
                <w:rFonts w:ascii="Arial" w:cs="Arial" w:eastAsia="Arial" w:hAnsi="Arial"/>
                <w:sz w:val="16"/>
                <w:szCs w:val="16"/>
                <w:color w:val="auto"/>
              </w:rPr>
              <w:t>32</w:t>
            </w:r>
          </w:p>
        </w:tc>
        <w:tc>
          <w:tcPr>
            <w:tcW w:w="0" w:type="dxa"/>
            <w:vAlign w:val="bottom"/>
          </w:tcPr>
          <w:p>
            <w:pPr>
              <w:spacing w:after="0"/>
              <w:rPr>
                <w:sz w:val="1"/>
                <w:szCs w:val="1"/>
                <w:color w:val="auto"/>
              </w:rPr>
            </w:pPr>
          </w:p>
        </w:tc>
      </w:tr>
      <w:tr>
        <w:trPr>
          <w:trHeight w:val="235"/>
        </w:trPr>
        <w:tc>
          <w:tcPr>
            <w:tcW w:w="4340" w:type="dxa"/>
            <w:vAlign w:val="bottom"/>
          </w:tcPr>
          <w:p>
            <w:pPr>
              <w:spacing w:after="0"/>
              <w:rPr>
                <w:sz w:val="20"/>
                <w:szCs w:val="20"/>
                <w:color w:val="auto"/>
              </w:rPr>
            </w:pPr>
            <w:r>
              <w:rPr>
                <w:rFonts w:ascii="Arial" w:cs="Arial" w:eastAsia="Arial" w:hAnsi="Arial"/>
                <w:sz w:val="16"/>
                <w:szCs w:val="16"/>
                <w:color w:val="auto"/>
              </w:rPr>
              <w:t>Short term investments</w:t>
            </w:r>
          </w:p>
        </w:tc>
        <w:tc>
          <w:tcPr>
            <w:tcW w:w="2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2,995</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18</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jc w:val="right"/>
              <w:ind w:right="2"/>
              <w:spacing w:after="0"/>
              <w:rPr>
                <w:sz w:val="20"/>
                <w:szCs w:val="20"/>
                <w:color w:val="auto"/>
              </w:rPr>
            </w:pPr>
            <w:r>
              <w:rPr>
                <w:rFonts w:ascii="Arial" w:cs="Arial" w:eastAsia="Arial" w:hAnsi="Arial"/>
                <w:sz w:val="16"/>
                <w:szCs w:val="16"/>
                <w:color w:val="auto"/>
              </w:rPr>
              <w:t>37</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ind w:left="60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jc w:val="right"/>
              <w:ind w:right="2"/>
              <w:spacing w:after="0"/>
              <w:rPr>
                <w:sz w:val="20"/>
                <w:szCs w:val="20"/>
                <w:color w:val="auto"/>
              </w:rPr>
            </w:pPr>
            <w:r>
              <w:rPr>
                <w:rFonts w:ascii="Arial" w:cs="Arial" w:eastAsia="Arial" w:hAnsi="Arial"/>
                <w:sz w:val="16"/>
                <w:szCs w:val="16"/>
                <w:color w:val="auto"/>
              </w:rPr>
              <w:t>3,050</w:t>
            </w:r>
          </w:p>
        </w:tc>
        <w:tc>
          <w:tcPr>
            <w:tcW w:w="0" w:type="dxa"/>
            <w:vAlign w:val="bottom"/>
          </w:tcPr>
          <w:p>
            <w:pPr>
              <w:spacing w:after="0"/>
              <w:rPr>
                <w:sz w:val="1"/>
                <w:szCs w:val="1"/>
                <w:color w:val="auto"/>
              </w:rPr>
            </w:pPr>
          </w:p>
        </w:tc>
      </w:tr>
      <w:tr>
        <w:trPr>
          <w:trHeight w:val="209"/>
        </w:trPr>
        <w:tc>
          <w:tcPr>
            <w:tcW w:w="4340" w:type="dxa"/>
            <w:vAlign w:val="bottom"/>
          </w:tcPr>
          <w:p>
            <w:pPr>
              <w:spacing w:after="0"/>
              <w:rPr>
                <w:sz w:val="20"/>
                <w:szCs w:val="20"/>
                <w:color w:val="auto"/>
              </w:rPr>
            </w:pPr>
            <w:r>
              <w:rPr>
                <w:rFonts w:ascii="Arial" w:cs="Arial" w:eastAsia="Arial" w:hAnsi="Arial"/>
                <w:sz w:val="16"/>
                <w:szCs w:val="16"/>
                <w:color w:val="auto"/>
                <w:w w:val="96"/>
              </w:rPr>
              <w:t>Indexed annuities/IUL ceded embedded derivatives, included in</w:t>
            </w:r>
          </w:p>
        </w:tc>
        <w:tc>
          <w:tcPr>
            <w:tcW w:w="220" w:type="dxa"/>
            <w:vAlign w:val="bottom"/>
          </w:tcPr>
          <w:p>
            <w:pPr>
              <w:spacing w:after="0"/>
              <w:rPr>
                <w:sz w:val="18"/>
                <w:szCs w:val="18"/>
                <w:color w:val="auto"/>
              </w:rPr>
            </w:pP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vMerge w:val="restart"/>
          </w:tcPr>
          <w:p>
            <w:pPr>
              <w:jc w:val="right"/>
              <w:ind w:right="2"/>
              <w:spacing w:after="0"/>
              <w:rPr>
                <w:sz w:val="20"/>
                <w:szCs w:val="20"/>
                <w:color w:val="auto"/>
              </w:rPr>
            </w:pPr>
            <w:r>
              <w:rPr>
                <w:rFonts w:ascii="Arial" w:cs="Arial" w:eastAsia="Arial" w:hAnsi="Arial"/>
                <w:sz w:val="16"/>
                <w:szCs w:val="16"/>
                <w:color w:val="auto"/>
              </w:rPr>
              <w:t>98</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vMerge w:val="restart"/>
          </w:tcPr>
          <w:p>
            <w:pPr>
              <w:ind w:left="60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vMerge w:val="restart"/>
          </w:tcPr>
          <w:p>
            <w:pPr>
              <w:jc w:val="right"/>
              <w:ind w:right="2"/>
              <w:spacing w:after="0"/>
              <w:rPr>
                <w:sz w:val="20"/>
                <w:szCs w:val="20"/>
                <w:color w:val="auto"/>
              </w:rPr>
            </w:pPr>
            <w:r>
              <w:rPr>
                <w:rFonts w:ascii="Arial" w:cs="Arial" w:eastAsia="Arial" w:hAnsi="Arial"/>
                <w:sz w:val="16"/>
                <w:szCs w:val="16"/>
                <w:color w:val="auto"/>
              </w:rPr>
              <w:t>98</w:t>
            </w:r>
          </w:p>
        </w:tc>
        <w:tc>
          <w:tcPr>
            <w:tcW w:w="0" w:type="dxa"/>
            <w:vAlign w:val="bottom"/>
          </w:tcPr>
          <w:p>
            <w:pPr>
              <w:spacing w:after="0"/>
              <w:rPr>
                <w:sz w:val="1"/>
                <w:szCs w:val="1"/>
                <w:color w:val="auto"/>
              </w:rPr>
            </w:pPr>
          </w:p>
        </w:tc>
      </w:tr>
      <w:tr>
        <w:trPr>
          <w:trHeight w:val="204"/>
        </w:trPr>
        <w:tc>
          <w:tcPr>
            <w:tcW w:w="4340" w:type="dxa"/>
            <w:vAlign w:val="bottom"/>
          </w:tcPr>
          <w:p>
            <w:pPr>
              <w:spacing w:after="0"/>
              <w:rPr>
                <w:sz w:val="20"/>
                <w:szCs w:val="20"/>
                <w:color w:val="auto"/>
              </w:rPr>
            </w:pPr>
            <w:r>
              <w:rPr>
                <w:rFonts w:ascii="Arial" w:cs="Arial" w:eastAsia="Arial" w:hAnsi="Arial"/>
                <w:sz w:val="16"/>
                <w:szCs w:val="16"/>
                <w:color w:val="auto"/>
              </w:rPr>
              <w:t>Reinsurance recoverable</w:t>
            </w:r>
          </w:p>
        </w:tc>
        <w:tc>
          <w:tcPr>
            <w:tcW w:w="220" w:type="dxa"/>
            <w:vAlign w:val="bottom"/>
          </w:tcPr>
          <w:p>
            <w:pPr>
              <w:spacing w:after="0"/>
              <w:rPr>
                <w:sz w:val="17"/>
                <w:szCs w:val="17"/>
                <w:color w:val="auto"/>
              </w:rPr>
            </w:pPr>
          </w:p>
        </w:tc>
        <w:tc>
          <w:tcPr>
            <w:tcW w:w="86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340" w:type="dxa"/>
            <w:vAlign w:val="bottom"/>
          </w:tcPr>
          <w:p>
            <w:pPr>
              <w:spacing w:after="0"/>
              <w:rPr>
                <w:sz w:val="20"/>
                <w:szCs w:val="20"/>
                <w:color w:val="auto"/>
              </w:rPr>
            </w:pPr>
            <w:r>
              <w:rPr>
                <w:rFonts w:ascii="Arial" w:cs="Arial" w:eastAsia="Arial" w:hAnsi="Arial"/>
                <w:sz w:val="16"/>
                <w:szCs w:val="16"/>
                <w:color w:val="auto"/>
                <w:w w:val="96"/>
              </w:rPr>
              <w:t>Loan receivable, included in Prepaid expenses and other asset</w:t>
            </w:r>
          </w:p>
        </w:tc>
        <w:tc>
          <w:tcPr>
            <w:tcW w:w="2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jc w:val="right"/>
              <w:ind w:right="2"/>
              <w:spacing w:after="0"/>
              <w:rPr>
                <w:sz w:val="20"/>
                <w:szCs w:val="20"/>
                <w:color w:val="auto"/>
              </w:rPr>
            </w:pPr>
            <w:r>
              <w:rPr>
                <w:rFonts w:ascii="Arial" w:cs="Arial" w:eastAsia="Arial" w:hAnsi="Arial"/>
                <w:sz w:val="16"/>
                <w:szCs w:val="16"/>
                <w:color w:val="auto"/>
              </w:rPr>
              <w:t>11</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ind w:left="60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jc w:val="right"/>
              <w:ind w:right="2"/>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35"/>
        </w:trPr>
        <w:tc>
          <w:tcPr>
            <w:tcW w:w="4340" w:type="dxa"/>
            <w:vAlign w:val="bottom"/>
          </w:tcPr>
          <w:p>
            <w:pPr>
              <w:spacing w:after="0"/>
              <w:rPr>
                <w:sz w:val="20"/>
                <w:szCs w:val="20"/>
                <w:color w:val="auto"/>
              </w:rPr>
            </w:pPr>
            <w:r>
              <w:rPr>
                <w:rFonts w:ascii="Arial" w:cs="Arial" w:eastAsia="Arial" w:hAnsi="Arial"/>
                <w:sz w:val="16"/>
                <w:szCs w:val="16"/>
                <w:color w:val="auto"/>
              </w:rPr>
              <w:t>Market risk benefits asset</w:t>
            </w:r>
          </w:p>
        </w:tc>
        <w:tc>
          <w:tcPr>
            <w:tcW w:w="2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jc w:val="right"/>
              <w:ind w:right="2"/>
              <w:spacing w:after="0"/>
              <w:rPr>
                <w:sz w:val="20"/>
                <w:szCs w:val="20"/>
                <w:color w:val="auto"/>
              </w:rPr>
            </w:pPr>
            <w:r>
              <w:rPr>
                <w:rFonts w:ascii="Arial" w:cs="Arial" w:eastAsia="Arial" w:hAnsi="Arial"/>
                <w:sz w:val="16"/>
                <w:szCs w:val="16"/>
                <w:color w:val="auto"/>
              </w:rPr>
              <w:t>189</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ind w:left="60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jc w:val="right"/>
              <w:ind w:right="2"/>
              <w:spacing w:after="0"/>
              <w:rPr>
                <w:sz w:val="20"/>
                <w:szCs w:val="20"/>
                <w:color w:val="auto"/>
              </w:rPr>
            </w:pPr>
            <w:r>
              <w:rPr>
                <w:rFonts w:ascii="Arial" w:cs="Arial" w:eastAsia="Arial" w:hAnsi="Arial"/>
                <w:sz w:val="16"/>
                <w:szCs w:val="16"/>
                <w:color w:val="auto"/>
              </w:rPr>
              <w:t>189</w:t>
            </w:r>
          </w:p>
        </w:tc>
        <w:tc>
          <w:tcPr>
            <w:tcW w:w="0" w:type="dxa"/>
            <w:vAlign w:val="bottom"/>
          </w:tcPr>
          <w:p>
            <w:pPr>
              <w:spacing w:after="0"/>
              <w:rPr>
                <w:sz w:val="1"/>
                <w:szCs w:val="1"/>
                <w:color w:val="auto"/>
              </w:rPr>
            </w:pPr>
          </w:p>
        </w:tc>
      </w:tr>
      <w:tr>
        <w:trPr>
          <w:trHeight w:val="242"/>
        </w:trPr>
        <w:tc>
          <w:tcPr>
            <w:tcW w:w="4340" w:type="dxa"/>
            <w:vAlign w:val="bottom"/>
          </w:tcPr>
          <w:p>
            <w:pPr>
              <w:spacing w:after="0"/>
              <w:rPr>
                <w:sz w:val="20"/>
                <w:szCs w:val="20"/>
                <w:color w:val="auto"/>
              </w:rPr>
            </w:pPr>
            <w:r>
              <w:rPr>
                <w:rFonts w:ascii="Arial" w:cs="Arial" w:eastAsia="Arial" w:hAnsi="Arial"/>
                <w:sz w:val="16"/>
                <w:szCs w:val="16"/>
                <w:color w:val="auto"/>
              </w:rPr>
              <w:t>Other assets</w:t>
            </w:r>
          </w:p>
        </w:tc>
        <w:tc>
          <w:tcPr>
            <w:tcW w:w="22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65</w:t>
            </w:r>
          </w:p>
        </w:tc>
        <w:tc>
          <w:tcPr>
            <w:tcW w:w="60" w:type="dxa"/>
            <w:vAlign w:val="bottom"/>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ind w:left="60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65</w:t>
            </w:r>
          </w:p>
        </w:tc>
        <w:tc>
          <w:tcPr>
            <w:tcW w:w="0" w:type="dxa"/>
            <w:vAlign w:val="bottom"/>
          </w:tcPr>
          <w:p>
            <w:pPr>
              <w:spacing w:after="0"/>
              <w:rPr>
                <w:sz w:val="1"/>
                <w:szCs w:val="1"/>
                <w:color w:val="auto"/>
              </w:rPr>
            </w:pPr>
          </w:p>
        </w:tc>
      </w:tr>
      <w:tr>
        <w:trPr>
          <w:trHeight w:val="196"/>
        </w:trPr>
        <w:tc>
          <w:tcPr>
            <w:tcW w:w="4340" w:type="dxa"/>
            <w:vAlign w:val="bottom"/>
          </w:tcPr>
          <w:p>
            <w:pPr>
              <w:ind w:left="480"/>
              <w:spacing w:after="0"/>
              <w:rPr>
                <w:sz w:val="20"/>
                <w:szCs w:val="20"/>
                <w:color w:val="auto"/>
              </w:rPr>
            </w:pPr>
            <w:r>
              <w:rPr>
                <w:rFonts w:ascii="Arial" w:cs="Arial" w:eastAsia="Arial" w:hAnsi="Arial"/>
                <w:sz w:val="16"/>
                <w:szCs w:val="16"/>
                <w:b w:val="1"/>
                <w:bCs w:val="1"/>
                <w:color w:val="auto"/>
              </w:rPr>
              <w:t>Total financial assets at fair value</w:t>
            </w:r>
          </w:p>
        </w:tc>
        <w:tc>
          <w:tcPr>
            <w:tcW w:w="22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7,945</w:t>
            </w:r>
          </w:p>
        </w:tc>
        <w:tc>
          <w:tcPr>
            <w:tcW w:w="28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37,459</w:t>
            </w:r>
          </w:p>
        </w:tc>
        <w:tc>
          <w:tcPr>
            <w:tcW w:w="300" w:type="dxa"/>
            <w:vAlign w:val="bottom"/>
            <w:gridSpan w:val="2"/>
          </w:tcPr>
          <w:p>
            <w:pPr>
              <w:jc w:val="right"/>
              <w:ind w:right="2"/>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2"/>
              <w:spacing w:after="0"/>
              <w:rPr>
                <w:sz w:val="20"/>
                <w:szCs w:val="20"/>
                <w:color w:val="auto"/>
              </w:rPr>
            </w:pPr>
            <w:r>
              <w:rPr>
                <w:rFonts w:ascii="Arial" w:cs="Arial" w:eastAsia="Arial" w:hAnsi="Arial"/>
                <w:sz w:val="16"/>
                <w:szCs w:val="16"/>
                <w:color w:val="auto"/>
              </w:rPr>
              <w:t>11,832</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jc w:val="right"/>
              <w:ind w:right="42"/>
              <w:spacing w:after="0"/>
              <w:rPr>
                <w:sz w:val="20"/>
                <w:szCs w:val="20"/>
                <w:color w:val="auto"/>
              </w:rPr>
            </w:pPr>
            <w:r>
              <w:rPr>
                <w:rFonts w:ascii="Arial" w:cs="Arial" w:eastAsia="Arial" w:hAnsi="Arial"/>
                <w:sz w:val="16"/>
                <w:szCs w:val="16"/>
                <w:color w:val="auto"/>
                <w:w w:val="89"/>
              </w:rPr>
              <w:t>$</w:t>
            </w:r>
          </w:p>
        </w:tc>
        <w:tc>
          <w:tcPr>
            <w:tcW w:w="820" w:type="dxa"/>
            <w:vAlign w:val="bottom"/>
          </w:tcPr>
          <w:p>
            <w:pPr>
              <w:ind w:left="600"/>
              <w:spacing w:after="0"/>
              <w:rPr>
                <w:sz w:val="20"/>
                <w:szCs w:val="20"/>
                <w:color w:val="auto"/>
              </w:rPr>
            </w:pPr>
            <w:r>
              <w:rPr>
                <w:rFonts w:ascii="Arial" w:cs="Arial" w:eastAsia="Arial" w:hAnsi="Arial"/>
                <w:sz w:val="16"/>
                <w:szCs w:val="16"/>
                <w:color w:val="auto"/>
              </w:rPr>
              <w:t>57</w:t>
            </w:r>
          </w:p>
        </w:tc>
        <w:tc>
          <w:tcPr>
            <w:tcW w:w="22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2"/>
              <w:spacing w:after="0"/>
              <w:rPr>
                <w:sz w:val="20"/>
                <w:szCs w:val="20"/>
                <w:color w:val="auto"/>
              </w:rPr>
            </w:pPr>
            <w:r>
              <w:rPr>
                <w:rFonts w:ascii="Arial" w:cs="Arial" w:eastAsia="Arial" w:hAnsi="Arial"/>
                <w:sz w:val="16"/>
                <w:szCs w:val="16"/>
                <w:color w:val="auto"/>
              </w:rPr>
              <w:t>57,293</w:t>
            </w:r>
          </w:p>
        </w:tc>
        <w:tc>
          <w:tcPr>
            <w:tcW w:w="0" w:type="dxa"/>
            <w:vAlign w:val="bottom"/>
          </w:tcPr>
          <w:p>
            <w:pPr>
              <w:spacing w:after="0"/>
              <w:rPr>
                <w:sz w:val="1"/>
                <w:szCs w:val="1"/>
                <w:color w:val="auto"/>
              </w:rPr>
            </w:pPr>
          </w:p>
        </w:tc>
      </w:tr>
      <w:tr>
        <w:trPr>
          <w:trHeight w:val="20"/>
        </w:trPr>
        <w:tc>
          <w:tcPr>
            <w:tcW w:w="4340" w:type="dxa"/>
            <w:vAlign w:val="bottom"/>
            <w:vMerge w:val="restart"/>
          </w:tcPr>
          <w:p>
            <w:pPr>
              <w:spacing w:after="0"/>
              <w:rPr>
                <w:sz w:val="20"/>
                <w:szCs w:val="20"/>
                <w:color w:val="auto"/>
              </w:rPr>
            </w:pPr>
            <w:r>
              <w:rPr>
                <w:rFonts w:ascii="Arial" w:cs="Arial" w:eastAsia="Arial" w:hAnsi="Arial"/>
                <w:sz w:val="16"/>
                <w:szCs w:val="16"/>
                <w:b w:val="1"/>
                <w:bCs w:val="1"/>
                <w:color w:val="auto"/>
              </w:rPr>
              <w:t>Liabilities</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434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5"/>
        </w:trPr>
        <w:tc>
          <w:tcPr>
            <w:tcW w:w="4340" w:type="dxa"/>
            <w:vAlign w:val="bottom"/>
          </w:tcPr>
          <w:p>
            <w:pPr>
              <w:spacing w:after="0"/>
              <w:rPr>
                <w:sz w:val="20"/>
                <w:szCs w:val="20"/>
                <w:color w:val="auto"/>
              </w:rPr>
            </w:pPr>
            <w:r>
              <w:rPr>
                <w:rFonts w:ascii="Arial" w:cs="Arial" w:eastAsia="Arial" w:hAnsi="Arial"/>
                <w:sz w:val="16"/>
                <w:szCs w:val="16"/>
                <w:color w:val="auto"/>
              </w:rPr>
              <w:t>Derivatives:</w:t>
            </w: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4340" w:type="dxa"/>
            <w:vAlign w:val="bottom"/>
          </w:tcPr>
          <w:p>
            <w:pPr>
              <w:ind w:left="220"/>
              <w:spacing w:after="0"/>
              <w:rPr>
                <w:sz w:val="20"/>
                <w:szCs w:val="20"/>
                <w:color w:val="auto"/>
              </w:rPr>
            </w:pPr>
            <w:r>
              <w:rPr>
                <w:rFonts w:ascii="Arial" w:cs="Arial" w:eastAsia="Arial" w:hAnsi="Arial"/>
                <w:sz w:val="16"/>
                <w:szCs w:val="16"/>
                <w:color w:val="auto"/>
              </w:rPr>
              <w:t>Indexed annuities/IUL embedded derivatives, included in</w:t>
            </w:r>
          </w:p>
        </w:tc>
        <w:tc>
          <w:tcPr>
            <w:tcW w:w="220" w:type="dxa"/>
            <w:vAlign w:val="bottom"/>
            <w:vMerge w:val="restart"/>
          </w:tcPr>
          <w:p>
            <w:pPr>
              <w:jc w:val="right"/>
              <w:ind w:right="2"/>
              <w:spacing w:after="0"/>
              <w:rPr>
                <w:sz w:val="20"/>
                <w:szCs w:val="20"/>
                <w:color w:val="auto"/>
              </w:rPr>
            </w:pPr>
            <w:r>
              <w:rPr>
                <w:rFonts w:ascii="Arial" w:cs="Arial" w:eastAsia="Arial" w:hAnsi="Arial"/>
                <w:sz w:val="16"/>
                <w:szCs w:val="16"/>
                <w:color w:val="auto"/>
              </w:rPr>
              <w:t>$</w:t>
            </w: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280" w:type="dxa"/>
            <w:vAlign w:val="bottom"/>
            <w:gridSpan w:val="2"/>
            <w:vMerge w:val="restart"/>
          </w:tcPr>
          <w:p>
            <w:pPr>
              <w:jc w:val="right"/>
              <w:ind w:right="80"/>
              <w:spacing w:after="0"/>
              <w:rPr>
                <w:sz w:val="20"/>
                <w:szCs w:val="20"/>
                <w:color w:val="auto"/>
              </w:rPr>
            </w:pPr>
            <w:r>
              <w:rPr>
                <w:rFonts w:ascii="Arial" w:cs="Arial" w:eastAsia="Arial" w:hAnsi="Arial"/>
                <w:sz w:val="16"/>
                <w:szCs w:val="16"/>
                <w:color w:val="auto"/>
              </w:rPr>
              <w:t>$</w:t>
            </w: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300" w:type="dxa"/>
            <w:vAlign w:val="bottom"/>
            <w:gridSpan w:val="2"/>
            <w:vMerge w:val="restart"/>
          </w:tcPr>
          <w:p>
            <w:pPr>
              <w:jc w:val="right"/>
              <w:ind w:right="2"/>
              <w:spacing w:after="0"/>
              <w:rPr>
                <w:sz w:val="20"/>
                <w:szCs w:val="20"/>
                <w:color w:val="auto"/>
              </w:rPr>
            </w:pPr>
            <w:r>
              <w:rPr>
                <w:rFonts w:ascii="Arial" w:cs="Arial" w:eastAsia="Arial" w:hAnsi="Arial"/>
                <w:sz w:val="16"/>
                <w:szCs w:val="16"/>
                <w:color w:val="auto"/>
              </w:rPr>
              <w:t>$</w:t>
            </w:r>
          </w:p>
        </w:tc>
        <w:tc>
          <w:tcPr>
            <w:tcW w:w="860" w:type="dxa"/>
            <w:vAlign w:val="bottom"/>
            <w:vMerge w:val="restart"/>
          </w:tcPr>
          <w:p>
            <w:pPr>
              <w:jc w:val="right"/>
              <w:ind w:right="2"/>
              <w:spacing w:after="0"/>
              <w:rPr>
                <w:sz w:val="20"/>
                <w:szCs w:val="20"/>
                <w:color w:val="auto"/>
              </w:rPr>
            </w:pPr>
            <w:r>
              <w:rPr>
                <w:rFonts w:ascii="Arial" w:cs="Arial" w:eastAsia="Arial" w:hAnsi="Arial"/>
                <w:sz w:val="16"/>
                <w:szCs w:val="16"/>
                <w:color w:val="auto"/>
              </w:rPr>
              <w:t>5,220</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vMerge w:val="restart"/>
          </w:tcPr>
          <w:p>
            <w:pPr>
              <w:jc w:val="right"/>
              <w:ind w:right="42"/>
              <w:spacing w:after="0"/>
              <w:rPr>
                <w:sz w:val="20"/>
                <w:szCs w:val="20"/>
                <w:color w:val="auto"/>
              </w:rPr>
            </w:pPr>
            <w:r>
              <w:rPr>
                <w:rFonts w:ascii="Arial" w:cs="Arial" w:eastAsia="Arial" w:hAnsi="Arial"/>
                <w:sz w:val="16"/>
                <w:szCs w:val="16"/>
                <w:color w:val="auto"/>
                <w:w w:val="89"/>
              </w:rPr>
              <w:t>$</w:t>
            </w:r>
          </w:p>
        </w:tc>
        <w:tc>
          <w:tcPr>
            <w:tcW w:w="820" w:type="dxa"/>
            <w:vAlign w:val="bottom"/>
            <w:vMerge w:val="restart"/>
          </w:tcPr>
          <w:p>
            <w:pPr>
              <w:ind w:left="600"/>
              <w:spacing w:after="0"/>
              <w:rPr>
                <w:sz w:val="20"/>
                <w:szCs w:val="20"/>
                <w:color w:val="auto"/>
              </w:rPr>
            </w:pPr>
            <w:r>
              <w:rPr>
                <w:rFonts w:ascii="Arial" w:cs="Arial" w:eastAsia="Arial" w:hAnsi="Arial"/>
                <w:sz w:val="16"/>
                <w:szCs w:val="16"/>
                <w:color w:val="auto"/>
              </w:rPr>
              <w:t>—</w:t>
            </w:r>
          </w:p>
        </w:tc>
        <w:tc>
          <w:tcPr>
            <w:tcW w:w="220" w:type="dxa"/>
            <w:vAlign w:val="bottom"/>
            <w:gridSpan w:val="2"/>
            <w:vMerge w:val="restart"/>
          </w:tcPr>
          <w:p>
            <w:pPr>
              <w:jc w:val="right"/>
              <w:ind w:right="40"/>
              <w:spacing w:after="0"/>
              <w:rPr>
                <w:sz w:val="20"/>
                <w:szCs w:val="20"/>
                <w:color w:val="auto"/>
              </w:rPr>
            </w:pPr>
            <w:r>
              <w:rPr>
                <w:rFonts w:ascii="Arial" w:cs="Arial" w:eastAsia="Arial" w:hAnsi="Arial"/>
                <w:sz w:val="16"/>
                <w:szCs w:val="16"/>
                <w:color w:val="auto"/>
              </w:rPr>
              <w:t>$</w:t>
            </w:r>
          </w:p>
        </w:tc>
        <w:tc>
          <w:tcPr>
            <w:tcW w:w="920" w:type="dxa"/>
            <w:vAlign w:val="bottom"/>
            <w:vMerge w:val="restart"/>
          </w:tcPr>
          <w:p>
            <w:pPr>
              <w:jc w:val="right"/>
              <w:ind w:right="2"/>
              <w:spacing w:after="0"/>
              <w:rPr>
                <w:sz w:val="20"/>
                <w:szCs w:val="20"/>
                <w:color w:val="auto"/>
              </w:rPr>
            </w:pPr>
            <w:r>
              <w:rPr>
                <w:rFonts w:ascii="Arial" w:cs="Arial" w:eastAsia="Arial" w:hAnsi="Arial"/>
                <w:sz w:val="16"/>
                <w:szCs w:val="16"/>
                <w:color w:val="auto"/>
              </w:rPr>
              <w:t>5,220</w:t>
            </w:r>
          </w:p>
        </w:tc>
        <w:tc>
          <w:tcPr>
            <w:tcW w:w="0" w:type="dxa"/>
            <w:vAlign w:val="bottom"/>
          </w:tcPr>
          <w:p>
            <w:pPr>
              <w:spacing w:after="0"/>
              <w:rPr>
                <w:sz w:val="1"/>
                <w:szCs w:val="1"/>
                <w:color w:val="auto"/>
              </w:rPr>
            </w:pPr>
          </w:p>
        </w:tc>
      </w:tr>
      <w:tr>
        <w:trPr>
          <w:trHeight w:val="204"/>
        </w:trPr>
        <w:tc>
          <w:tcPr>
            <w:tcW w:w="4340" w:type="dxa"/>
            <w:vAlign w:val="bottom"/>
          </w:tcPr>
          <w:p>
            <w:pPr>
              <w:ind w:left="220"/>
              <w:spacing w:after="0"/>
              <w:rPr>
                <w:sz w:val="20"/>
                <w:szCs w:val="20"/>
                <w:color w:val="auto"/>
              </w:rPr>
            </w:pPr>
            <w:r>
              <w:rPr>
                <w:rFonts w:ascii="Arial" w:cs="Arial" w:eastAsia="Arial" w:hAnsi="Arial"/>
                <w:sz w:val="16"/>
                <w:szCs w:val="16"/>
                <w:color w:val="auto"/>
              </w:rPr>
              <w:t>Contractholder funds</w:t>
            </w:r>
          </w:p>
        </w:tc>
        <w:tc>
          <w:tcPr>
            <w:tcW w:w="220" w:type="dxa"/>
            <w:vAlign w:val="bottom"/>
            <w:vMerge w:val="continue"/>
          </w:tcPr>
          <w:p>
            <w:pPr>
              <w:spacing w:after="0"/>
              <w:rPr>
                <w:sz w:val="17"/>
                <w:szCs w:val="17"/>
                <w:color w:val="auto"/>
              </w:rPr>
            </w:pPr>
          </w:p>
        </w:tc>
        <w:tc>
          <w:tcPr>
            <w:tcW w:w="860" w:type="dxa"/>
            <w:vAlign w:val="bottom"/>
            <w:vMerge w:val="continue"/>
          </w:tcPr>
          <w:p>
            <w:pPr>
              <w:spacing w:after="0"/>
              <w:rPr>
                <w:sz w:val="17"/>
                <w:szCs w:val="17"/>
                <w:color w:val="auto"/>
              </w:rPr>
            </w:pPr>
          </w:p>
        </w:tc>
        <w:tc>
          <w:tcPr>
            <w:tcW w:w="280" w:type="dxa"/>
            <w:vAlign w:val="bottom"/>
            <w:gridSpan w:val="2"/>
            <w:vMerge w:val="continue"/>
          </w:tcPr>
          <w:p>
            <w:pPr>
              <w:spacing w:after="0"/>
              <w:rPr>
                <w:sz w:val="17"/>
                <w:szCs w:val="17"/>
                <w:color w:val="auto"/>
              </w:rPr>
            </w:pPr>
          </w:p>
        </w:tc>
        <w:tc>
          <w:tcPr>
            <w:tcW w:w="860" w:type="dxa"/>
            <w:vAlign w:val="bottom"/>
            <w:vMerge w:val="continue"/>
          </w:tcPr>
          <w:p>
            <w:pPr>
              <w:spacing w:after="0"/>
              <w:rPr>
                <w:sz w:val="17"/>
                <w:szCs w:val="17"/>
                <w:color w:val="auto"/>
              </w:rPr>
            </w:pPr>
          </w:p>
        </w:tc>
        <w:tc>
          <w:tcPr>
            <w:tcW w:w="300" w:type="dxa"/>
            <w:vAlign w:val="bottom"/>
            <w:gridSpan w:val="2"/>
            <w:vMerge w:val="continue"/>
          </w:tcPr>
          <w:p>
            <w:pPr>
              <w:spacing w:after="0"/>
              <w:rPr>
                <w:sz w:val="17"/>
                <w:szCs w:val="17"/>
                <w:color w:val="auto"/>
              </w:rPr>
            </w:pPr>
          </w:p>
        </w:tc>
        <w:tc>
          <w:tcPr>
            <w:tcW w:w="86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vMerge w:val="continue"/>
          </w:tcPr>
          <w:p>
            <w:pPr>
              <w:spacing w:after="0"/>
              <w:rPr>
                <w:sz w:val="17"/>
                <w:szCs w:val="17"/>
                <w:color w:val="auto"/>
              </w:rPr>
            </w:pPr>
          </w:p>
        </w:tc>
        <w:tc>
          <w:tcPr>
            <w:tcW w:w="820" w:type="dxa"/>
            <w:vAlign w:val="bottom"/>
            <w:vMerge w:val="continue"/>
          </w:tcPr>
          <w:p>
            <w:pPr>
              <w:spacing w:after="0"/>
              <w:rPr>
                <w:sz w:val="17"/>
                <w:szCs w:val="17"/>
                <w:color w:val="auto"/>
              </w:rPr>
            </w:pPr>
          </w:p>
        </w:tc>
        <w:tc>
          <w:tcPr>
            <w:tcW w:w="220" w:type="dxa"/>
            <w:vAlign w:val="bottom"/>
            <w:gridSpan w:val="2"/>
            <w:vMerge w:val="continue"/>
          </w:tcPr>
          <w:p>
            <w:pPr>
              <w:spacing w:after="0"/>
              <w:rPr>
                <w:sz w:val="17"/>
                <w:szCs w:val="17"/>
                <w:color w:val="auto"/>
              </w:rPr>
            </w:pPr>
          </w:p>
        </w:tc>
        <w:tc>
          <w:tcPr>
            <w:tcW w:w="9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4340" w:type="dxa"/>
            <w:vAlign w:val="bottom"/>
          </w:tcPr>
          <w:p>
            <w:pPr>
              <w:ind w:left="220"/>
              <w:spacing w:after="0"/>
              <w:rPr>
                <w:sz w:val="20"/>
                <w:szCs w:val="20"/>
                <w:color w:val="auto"/>
              </w:rPr>
            </w:pPr>
            <w:r>
              <w:rPr>
                <w:rFonts w:ascii="Arial" w:cs="Arial" w:eastAsia="Arial" w:hAnsi="Arial"/>
                <w:sz w:val="16"/>
                <w:szCs w:val="16"/>
                <w:color w:val="auto"/>
                <w:w w:val="92"/>
              </w:rPr>
              <w:t>Interest rate swaps, included in Accounts payable and accrued</w:t>
            </w:r>
          </w:p>
        </w:tc>
        <w:tc>
          <w:tcPr>
            <w:tcW w:w="220" w:type="dxa"/>
            <w:vAlign w:val="bottom"/>
          </w:tcPr>
          <w:p>
            <w:pPr>
              <w:spacing w:after="0"/>
              <w:rPr>
                <w:sz w:val="18"/>
                <w:szCs w:val="18"/>
                <w:color w:val="auto"/>
              </w:rPr>
            </w:pP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10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3"/>
            <w:vMerge w:val="restart"/>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820" w:type="dxa"/>
            <w:vAlign w:val="bottom"/>
            <w:vMerge w:val="restart"/>
          </w:tcPr>
          <w:p>
            <w:pPr>
              <w:ind w:left="60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vMerge w:val="restart"/>
          </w:tcPr>
          <w:p>
            <w:pPr>
              <w:jc w:val="right"/>
              <w:ind w:right="2"/>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04"/>
        </w:trPr>
        <w:tc>
          <w:tcPr>
            <w:tcW w:w="4340" w:type="dxa"/>
            <w:vAlign w:val="bottom"/>
          </w:tcPr>
          <w:p>
            <w:pPr>
              <w:ind w:left="220"/>
              <w:spacing w:after="0"/>
              <w:rPr>
                <w:sz w:val="20"/>
                <w:szCs w:val="20"/>
                <w:color w:val="auto"/>
              </w:rPr>
            </w:pPr>
            <w:r>
              <w:rPr>
                <w:rFonts w:ascii="Arial" w:cs="Arial" w:eastAsia="Arial" w:hAnsi="Arial"/>
                <w:sz w:val="16"/>
                <w:szCs w:val="16"/>
                <w:color w:val="auto"/>
              </w:rPr>
              <w:t>liabilities</w:t>
            </w:r>
          </w:p>
        </w:tc>
        <w:tc>
          <w:tcPr>
            <w:tcW w:w="220" w:type="dxa"/>
            <w:vAlign w:val="bottom"/>
          </w:tcPr>
          <w:p>
            <w:pPr>
              <w:spacing w:after="0"/>
              <w:rPr>
                <w:sz w:val="17"/>
                <w:szCs w:val="17"/>
                <w:color w:val="auto"/>
              </w:rPr>
            </w:pPr>
          </w:p>
        </w:tc>
        <w:tc>
          <w:tcPr>
            <w:tcW w:w="86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gridSpan w:val="3"/>
            <w:vMerge w:val="continue"/>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4340" w:type="dxa"/>
            <w:vAlign w:val="bottom"/>
          </w:tcPr>
          <w:p>
            <w:pPr>
              <w:ind w:left="220"/>
              <w:spacing w:after="0"/>
              <w:rPr>
                <w:sz w:val="20"/>
                <w:szCs w:val="20"/>
                <w:color w:val="auto"/>
              </w:rPr>
            </w:pPr>
            <w:r>
              <w:rPr>
                <w:rFonts w:ascii="Arial" w:cs="Arial" w:eastAsia="Arial" w:hAnsi="Arial"/>
                <w:sz w:val="16"/>
                <w:szCs w:val="16"/>
                <w:color w:val="auto"/>
              </w:rPr>
              <w:t>Equity options</w:t>
            </w: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gridSpan w:val="3"/>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820" w:type="dxa"/>
            <w:vAlign w:val="bottom"/>
          </w:tcPr>
          <w:p>
            <w:pPr>
              <w:ind w:left="60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ind w:right="2"/>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09"/>
        </w:trPr>
        <w:tc>
          <w:tcPr>
            <w:tcW w:w="4340" w:type="dxa"/>
            <w:vAlign w:val="bottom"/>
          </w:tcPr>
          <w:p>
            <w:pPr>
              <w:ind w:left="220"/>
              <w:spacing w:after="0"/>
              <w:rPr>
                <w:sz w:val="20"/>
                <w:szCs w:val="20"/>
                <w:color w:val="auto"/>
              </w:rPr>
            </w:pPr>
            <w:r>
              <w:rPr>
                <w:rFonts w:ascii="Arial" w:cs="Arial" w:eastAsia="Arial" w:hAnsi="Arial"/>
                <w:sz w:val="16"/>
                <w:szCs w:val="16"/>
                <w:color w:val="auto"/>
                <w:w w:val="93"/>
              </w:rPr>
              <w:t>Reinsurance related embedded derivatives, included in Funds</w:t>
            </w:r>
          </w:p>
        </w:tc>
        <w:tc>
          <w:tcPr>
            <w:tcW w:w="220" w:type="dxa"/>
            <w:vAlign w:val="bottom"/>
          </w:tcPr>
          <w:p>
            <w:pPr>
              <w:spacing w:after="0"/>
              <w:rPr>
                <w:sz w:val="18"/>
                <w:szCs w:val="18"/>
                <w:color w:val="auto"/>
              </w:rPr>
            </w:pP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(109)</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3"/>
            <w:vMerge w:val="restart"/>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820" w:type="dxa"/>
            <w:vAlign w:val="bottom"/>
            <w:vMerge w:val="restart"/>
          </w:tcPr>
          <w:p>
            <w:pPr>
              <w:ind w:left="60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(109)</w:t>
            </w:r>
          </w:p>
        </w:tc>
        <w:tc>
          <w:tcPr>
            <w:tcW w:w="0" w:type="dxa"/>
            <w:vAlign w:val="bottom"/>
          </w:tcPr>
          <w:p>
            <w:pPr>
              <w:spacing w:after="0"/>
              <w:rPr>
                <w:sz w:val="1"/>
                <w:szCs w:val="1"/>
                <w:color w:val="auto"/>
              </w:rPr>
            </w:pPr>
          </w:p>
        </w:tc>
      </w:tr>
      <w:tr>
        <w:trPr>
          <w:trHeight w:val="204"/>
        </w:trPr>
        <w:tc>
          <w:tcPr>
            <w:tcW w:w="4340" w:type="dxa"/>
            <w:vAlign w:val="bottom"/>
          </w:tcPr>
          <w:p>
            <w:pPr>
              <w:ind w:left="220"/>
              <w:spacing w:after="0"/>
              <w:rPr>
                <w:sz w:val="20"/>
                <w:szCs w:val="20"/>
                <w:color w:val="auto"/>
              </w:rPr>
            </w:pPr>
            <w:r>
              <w:rPr>
                <w:rFonts w:ascii="Arial" w:cs="Arial" w:eastAsia="Arial" w:hAnsi="Arial"/>
                <w:sz w:val="16"/>
                <w:szCs w:val="16"/>
                <w:color w:val="auto"/>
              </w:rPr>
              <w:t>withheld for reinsurance liabilities</w:t>
            </w:r>
          </w:p>
        </w:tc>
        <w:tc>
          <w:tcPr>
            <w:tcW w:w="220" w:type="dxa"/>
            <w:vAlign w:val="bottom"/>
          </w:tcPr>
          <w:p>
            <w:pPr>
              <w:spacing w:after="0"/>
              <w:rPr>
                <w:sz w:val="17"/>
                <w:szCs w:val="17"/>
                <w:color w:val="auto"/>
              </w:rPr>
            </w:pPr>
          </w:p>
        </w:tc>
        <w:tc>
          <w:tcPr>
            <w:tcW w:w="86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gridSpan w:val="3"/>
            <w:vMerge w:val="continue"/>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4340" w:type="dxa"/>
            <w:vAlign w:val="bottom"/>
          </w:tcPr>
          <w:p>
            <w:pPr>
              <w:spacing w:after="0"/>
              <w:rPr>
                <w:sz w:val="20"/>
                <w:szCs w:val="20"/>
                <w:color w:val="auto"/>
              </w:rPr>
            </w:pPr>
            <w:r>
              <w:rPr>
                <w:rFonts w:ascii="Arial" w:cs="Arial" w:eastAsia="Arial" w:hAnsi="Arial"/>
                <w:sz w:val="16"/>
                <w:szCs w:val="16"/>
                <w:color w:val="auto"/>
              </w:rPr>
              <w:t>Contingent consideration, included in Accounts payable and</w:t>
            </w:r>
          </w:p>
        </w:tc>
        <w:tc>
          <w:tcPr>
            <w:tcW w:w="220" w:type="dxa"/>
            <w:vAlign w:val="bottom"/>
          </w:tcPr>
          <w:p>
            <w:pPr>
              <w:spacing w:after="0"/>
              <w:rPr>
                <w:sz w:val="16"/>
                <w:szCs w:val="16"/>
                <w:color w:val="auto"/>
              </w:rPr>
            </w:pP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vMerge w:val="restart"/>
          </w:tcPr>
          <w:p>
            <w:pPr>
              <w:jc w:val="right"/>
              <w:ind w:right="2"/>
              <w:spacing w:after="0"/>
              <w:rPr>
                <w:sz w:val="20"/>
                <w:szCs w:val="20"/>
                <w:color w:val="auto"/>
              </w:rPr>
            </w:pPr>
            <w:r>
              <w:rPr>
                <w:rFonts w:ascii="Arial" w:cs="Arial" w:eastAsia="Arial" w:hAnsi="Arial"/>
                <w:sz w:val="16"/>
                <w:szCs w:val="16"/>
                <w:color w:val="auto"/>
              </w:rPr>
              <w:t>74</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vMerge w:val="restart"/>
          </w:tcPr>
          <w:p>
            <w:pPr>
              <w:ind w:left="60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vMerge w:val="restart"/>
          </w:tcPr>
          <w:p>
            <w:pPr>
              <w:jc w:val="right"/>
              <w:ind w:right="2"/>
              <w:spacing w:after="0"/>
              <w:rPr>
                <w:sz w:val="20"/>
                <w:szCs w:val="20"/>
                <w:color w:val="auto"/>
              </w:rPr>
            </w:pPr>
            <w:r>
              <w:rPr>
                <w:rFonts w:ascii="Arial" w:cs="Arial" w:eastAsia="Arial" w:hAnsi="Arial"/>
                <w:sz w:val="16"/>
                <w:szCs w:val="16"/>
                <w:color w:val="auto"/>
              </w:rPr>
              <w:t>74</w:t>
            </w:r>
          </w:p>
        </w:tc>
        <w:tc>
          <w:tcPr>
            <w:tcW w:w="0" w:type="dxa"/>
            <w:vAlign w:val="bottom"/>
          </w:tcPr>
          <w:p>
            <w:pPr>
              <w:spacing w:after="0"/>
              <w:rPr>
                <w:sz w:val="1"/>
                <w:szCs w:val="1"/>
                <w:color w:val="auto"/>
              </w:rPr>
            </w:pPr>
          </w:p>
        </w:tc>
      </w:tr>
      <w:tr>
        <w:trPr>
          <w:trHeight w:val="204"/>
        </w:trPr>
        <w:tc>
          <w:tcPr>
            <w:tcW w:w="4340" w:type="dxa"/>
            <w:vAlign w:val="bottom"/>
          </w:tcPr>
          <w:p>
            <w:pPr>
              <w:spacing w:after="0"/>
              <w:rPr>
                <w:sz w:val="20"/>
                <w:szCs w:val="20"/>
                <w:color w:val="auto"/>
              </w:rPr>
            </w:pPr>
            <w:r>
              <w:rPr>
                <w:rFonts w:ascii="Arial" w:cs="Arial" w:eastAsia="Arial" w:hAnsi="Arial"/>
                <w:sz w:val="16"/>
                <w:szCs w:val="16"/>
                <w:color w:val="auto"/>
                <w:w w:val="88"/>
              </w:rPr>
              <w:t xml:space="preserve">accrued liabilities </w:t>
            </w:r>
            <w:r>
              <w:rPr>
                <w:rFonts w:ascii="Arial" w:cs="Arial" w:eastAsia="Arial" w:hAnsi="Arial"/>
                <w:sz w:val="16"/>
                <w:szCs w:val="16"/>
                <w:color w:val="989898"/>
                <w:w w:val="88"/>
              </w:rPr>
              <w:t>.................................................................................</w:t>
            </w:r>
          </w:p>
        </w:tc>
        <w:tc>
          <w:tcPr>
            <w:tcW w:w="220" w:type="dxa"/>
            <w:vAlign w:val="bottom"/>
          </w:tcPr>
          <w:p>
            <w:pPr>
              <w:spacing w:after="0"/>
              <w:rPr>
                <w:sz w:val="17"/>
                <w:szCs w:val="17"/>
                <w:color w:val="auto"/>
              </w:rPr>
            </w:pPr>
          </w:p>
        </w:tc>
        <w:tc>
          <w:tcPr>
            <w:tcW w:w="86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4340" w:type="dxa"/>
            <w:vAlign w:val="bottom"/>
          </w:tcPr>
          <w:p>
            <w:pPr>
              <w:spacing w:after="0"/>
              <w:rPr>
                <w:sz w:val="20"/>
                <w:szCs w:val="20"/>
                <w:color w:val="auto"/>
              </w:rPr>
            </w:pPr>
            <w:r>
              <w:rPr>
                <w:rFonts w:ascii="Arial" w:cs="Arial" w:eastAsia="Arial" w:hAnsi="Arial"/>
                <w:sz w:val="16"/>
                <w:szCs w:val="16"/>
                <w:color w:val="auto"/>
              </w:rPr>
              <w:t>Market risk benefits liability</w:t>
            </w: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549</w:t>
            </w:r>
          </w:p>
        </w:tc>
        <w:tc>
          <w:tcPr>
            <w:tcW w:w="60" w:type="dxa"/>
            <w:vAlign w:val="bottom"/>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ind w:left="60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549</w:t>
            </w:r>
          </w:p>
        </w:tc>
        <w:tc>
          <w:tcPr>
            <w:tcW w:w="0" w:type="dxa"/>
            <w:vAlign w:val="bottom"/>
          </w:tcPr>
          <w:p>
            <w:pPr>
              <w:spacing w:after="0"/>
              <w:rPr>
                <w:sz w:val="1"/>
                <w:szCs w:val="1"/>
                <w:color w:val="auto"/>
              </w:rPr>
            </w:pPr>
          </w:p>
        </w:tc>
      </w:tr>
      <w:tr>
        <w:trPr>
          <w:trHeight w:val="196"/>
        </w:trPr>
        <w:tc>
          <w:tcPr>
            <w:tcW w:w="4340" w:type="dxa"/>
            <w:vAlign w:val="bottom"/>
          </w:tcPr>
          <w:p>
            <w:pPr>
              <w:ind w:left="480"/>
              <w:spacing w:after="0"/>
              <w:rPr>
                <w:sz w:val="20"/>
                <w:szCs w:val="20"/>
                <w:color w:val="auto"/>
              </w:rPr>
            </w:pPr>
            <w:r>
              <w:rPr>
                <w:rFonts w:ascii="Arial" w:cs="Arial" w:eastAsia="Arial" w:hAnsi="Arial"/>
                <w:sz w:val="16"/>
                <w:szCs w:val="16"/>
                <w:b w:val="1"/>
                <w:bCs w:val="1"/>
                <w:color w:val="auto"/>
              </w:rPr>
              <w:t>Total financial liabilities at fair value</w:t>
            </w:r>
          </w:p>
        </w:tc>
        <w:tc>
          <w:tcPr>
            <w:tcW w:w="22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w:t>
            </w:r>
          </w:p>
        </w:tc>
        <w:tc>
          <w:tcPr>
            <w:tcW w:w="28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(99)</w:t>
            </w:r>
          </w:p>
        </w:tc>
        <w:tc>
          <w:tcPr>
            <w:tcW w:w="300" w:type="dxa"/>
            <w:vAlign w:val="bottom"/>
            <w:gridSpan w:val="2"/>
          </w:tcPr>
          <w:p>
            <w:pPr>
              <w:jc w:val="right"/>
              <w:ind w:right="2"/>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2"/>
              <w:spacing w:after="0"/>
              <w:rPr>
                <w:sz w:val="20"/>
                <w:szCs w:val="20"/>
                <w:color w:val="auto"/>
              </w:rPr>
            </w:pPr>
            <w:r>
              <w:rPr>
                <w:rFonts w:ascii="Arial" w:cs="Arial" w:eastAsia="Arial" w:hAnsi="Arial"/>
                <w:sz w:val="16"/>
                <w:szCs w:val="16"/>
                <w:color w:val="auto"/>
              </w:rPr>
              <w:t>5,843</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jc w:val="right"/>
              <w:ind w:right="42"/>
              <w:spacing w:after="0"/>
              <w:rPr>
                <w:sz w:val="20"/>
                <w:szCs w:val="20"/>
                <w:color w:val="auto"/>
              </w:rPr>
            </w:pPr>
            <w:r>
              <w:rPr>
                <w:rFonts w:ascii="Arial" w:cs="Arial" w:eastAsia="Arial" w:hAnsi="Arial"/>
                <w:sz w:val="16"/>
                <w:szCs w:val="16"/>
                <w:color w:val="auto"/>
                <w:w w:val="89"/>
              </w:rPr>
              <w:t>$</w:t>
            </w:r>
          </w:p>
        </w:tc>
        <w:tc>
          <w:tcPr>
            <w:tcW w:w="820" w:type="dxa"/>
            <w:vAlign w:val="bottom"/>
          </w:tcPr>
          <w:p>
            <w:pPr>
              <w:ind w:left="600"/>
              <w:spacing w:after="0"/>
              <w:rPr>
                <w:sz w:val="20"/>
                <w:szCs w:val="20"/>
                <w:color w:val="auto"/>
              </w:rPr>
            </w:pPr>
            <w:r>
              <w:rPr>
                <w:rFonts w:ascii="Arial" w:cs="Arial" w:eastAsia="Arial" w:hAnsi="Arial"/>
                <w:sz w:val="16"/>
                <w:szCs w:val="16"/>
                <w:color w:val="auto"/>
              </w:rPr>
              <w:t>—</w:t>
            </w:r>
          </w:p>
        </w:tc>
        <w:tc>
          <w:tcPr>
            <w:tcW w:w="22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2"/>
              <w:spacing w:after="0"/>
              <w:rPr>
                <w:sz w:val="20"/>
                <w:szCs w:val="20"/>
                <w:color w:val="auto"/>
              </w:rPr>
            </w:pPr>
            <w:r>
              <w:rPr>
                <w:rFonts w:ascii="Arial" w:cs="Arial" w:eastAsia="Arial" w:hAnsi="Arial"/>
                <w:sz w:val="16"/>
                <w:szCs w:val="16"/>
                <w:color w:val="auto"/>
              </w:rPr>
              <w:t>5,745</w:t>
            </w:r>
          </w:p>
        </w:tc>
        <w:tc>
          <w:tcPr>
            <w:tcW w:w="0" w:type="dxa"/>
            <w:vAlign w:val="bottom"/>
          </w:tcPr>
          <w:p>
            <w:pPr>
              <w:spacing w:after="0"/>
              <w:rPr>
                <w:sz w:val="1"/>
                <w:szCs w:val="1"/>
                <w:color w:val="auto"/>
              </w:rPr>
            </w:pPr>
          </w:p>
        </w:tc>
      </w:tr>
      <w:tr>
        <w:trPr>
          <w:trHeight w:val="20"/>
        </w:trPr>
        <w:tc>
          <w:tcPr>
            <w:tcW w:w="43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-5351780</wp:posOffset>
            </wp:positionV>
            <wp:extent cx="6400800" cy="535876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78">
                      <a:extLst>
                        <a:ext uri="{28A0092B-C50C-407E-A947-70E740481C1C}"/>
                      </a:extLst>
                    </a:blip>
                    <a:srcRect/>
                    <a:stretch>
                      <a:fillRect/>
                    </a:stretch>
                  </pic:blipFill>
                  <pic:spPr bwMode="auto">
                    <a:xfrm>
                      <a:off x="0" y="0"/>
                      <a:ext cx="6400800" cy="5358765"/>
                    </a:xfrm>
                    <a:prstGeom prst="rect">
                      <a:avLst/>
                    </a:prstGeom>
                    <a:noFill/>
                  </pic:spPr>
                </pic:pic>
              </a:graphicData>
            </a:graphic>
          </wp:anchor>
        </w:drawing>
      </w:r>
    </w:p>
    <w:p>
      <w:pPr>
        <w:spacing w:after="0" w:line="7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Valuation Methodologies</w:t>
      </w:r>
    </w:p>
    <w:p>
      <w:pPr>
        <w:spacing w:after="0" w:line="10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Cash and Cash Equivalents</w:t>
      </w:r>
    </w:p>
    <w:p>
      <w:pPr>
        <w:spacing w:after="0" w:line="105" w:lineRule="exact"/>
        <w:rPr>
          <w:sz w:val="20"/>
          <w:szCs w:val="20"/>
          <w:color w:val="auto"/>
        </w:rPr>
      </w:pPr>
    </w:p>
    <w:p>
      <w:pPr>
        <w:ind w:left="340"/>
        <w:spacing w:after="0"/>
        <w:rPr>
          <w:sz w:val="20"/>
          <w:szCs w:val="20"/>
          <w:color w:val="auto"/>
        </w:rPr>
      </w:pPr>
      <w:r>
        <w:rPr>
          <w:rFonts w:ascii="Arial" w:cs="Arial" w:eastAsia="Arial" w:hAnsi="Arial"/>
          <w:sz w:val="19"/>
          <w:szCs w:val="19"/>
          <w:color w:val="auto"/>
        </w:rPr>
        <w:t>The carrying amounts reported in the Consolidated Balance Sheets for these instruments approximate fair value.</w:t>
      </w:r>
    </w:p>
    <w:p>
      <w:pPr>
        <w:spacing w:after="0" w:line="11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Fixed Maturity, Preferred and Equity Securities</w:t>
      </w:r>
    </w:p>
    <w:p>
      <w:pPr>
        <w:spacing w:after="0" w:line="105" w:lineRule="exact"/>
        <w:rPr>
          <w:sz w:val="20"/>
          <w:szCs w:val="20"/>
          <w:color w:val="auto"/>
        </w:rPr>
      </w:pPr>
    </w:p>
    <w:p>
      <w:pPr>
        <w:jc w:val="both"/>
        <w:ind w:firstLine="353"/>
        <w:spacing w:after="0" w:line="262" w:lineRule="auto"/>
        <w:rPr>
          <w:sz w:val="20"/>
          <w:szCs w:val="20"/>
          <w:color w:val="auto"/>
        </w:rPr>
      </w:pPr>
      <w:r>
        <w:rPr>
          <w:rFonts w:ascii="Arial" w:cs="Arial" w:eastAsia="Arial" w:hAnsi="Arial"/>
          <w:sz w:val="19"/>
          <w:szCs w:val="19"/>
          <w:color w:val="auto"/>
        </w:rPr>
        <w:t>We measure the fair value of our securities based on assumptions used by market participants in pricing the security. The most appropriate valuation methodology is selected based on the specific characteristics of the fixed maturity, preferred or equity security, and we will then consistently apply the valuation methodology to measure the security’s fair value. Our fair value measurement is based on a market approach, which utilizes prices and other relevant information generated by market transactions involving identical or comparable securities. Sources of inputs to the market approach include third-party pricing services, independent broker quotations, or pricing matrices. We use observable and unobservable inputs in our valuation methodologies. Observable inputs include benchmark yields, reported trades, broker-dealer quotes, issuer spreads, two-sided markets, benchmark securities, bids, offers, and reference data including market research publications. In addition, market indicators and industry and economic events are monitored and further market data will be acquired when certain thresholds are met.</w:t>
      </w:r>
    </w:p>
    <w:p>
      <w:pPr>
        <w:spacing w:after="0" w:line="65" w:lineRule="exact"/>
        <w:rPr>
          <w:sz w:val="20"/>
          <w:szCs w:val="20"/>
          <w:color w:val="auto"/>
        </w:rPr>
      </w:pPr>
    </w:p>
    <w:p>
      <w:pPr>
        <w:jc w:val="both"/>
        <w:ind w:firstLine="353"/>
        <w:spacing w:after="0" w:line="325" w:lineRule="auto"/>
        <w:rPr>
          <w:sz w:val="20"/>
          <w:szCs w:val="20"/>
          <w:color w:val="auto"/>
        </w:rPr>
      </w:pPr>
      <w:r>
        <w:rPr>
          <w:rFonts w:ascii="Arial" w:cs="Arial" w:eastAsia="Arial" w:hAnsi="Arial"/>
          <w:sz w:val="17"/>
          <w:szCs w:val="17"/>
          <w:color w:val="auto"/>
        </w:rPr>
        <w:t>For certain security types, additional inputs may be used, or some of the inputs described above may not be applicable. The significant input used in the fair value measurement of equity securities for which the market approach valuation technique is employed is yield for comparable securities. Increases or decreases in the yields would result in lower or higher, respectively,</w:t>
      </w:r>
    </w:p>
    <w:p>
      <w:pPr>
        <w:sectPr>
          <w:pgSz w:w="11880" w:h="15480" w:orient="portrait"/>
          <w:cols w:equalWidth="0" w:num="1">
            <w:col w:w="10040"/>
          </w:cols>
          <w:pgMar w:left="920" w:top="889" w:right="920" w:bottom="0" w:gutter="0" w:footer="0" w:header="0"/>
        </w:sect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123</w:t>
      </w:r>
    </w:p>
    <w:p>
      <w:pPr>
        <w:sectPr>
          <w:pgSz w:w="11880" w:h="15480" w:orient="portrait"/>
          <w:cols w:equalWidth="0" w:num="1">
            <w:col w:w="10040"/>
          </w:cols>
          <w:pgMar w:left="920" w:top="889" w:right="920" w:bottom="0" w:gutter="0" w:footer="0" w:header="0"/>
          <w:type w:val="continuous"/>
        </w:sectPr>
      </w:pPr>
    </w:p>
    <w:bookmarkStart w:id="135" w:name="page136"/>
    <w:bookmarkEnd w:id="135"/>
    <w:p>
      <w:pPr>
        <w:jc w:val="both"/>
        <w:spacing w:after="0" w:line="258" w:lineRule="auto"/>
        <w:rPr>
          <w:sz w:val="20"/>
          <w:szCs w:val="20"/>
          <w:color w:val="auto"/>
        </w:rPr>
      </w:pPr>
      <w:r>
        <w:rPr>
          <w:rFonts w:ascii="Arial" w:cs="Arial" w:eastAsia="Arial" w:hAnsi="Arial"/>
          <w:sz w:val="20"/>
          <w:szCs w:val="20"/>
          <w:color w:val="auto"/>
        </w:rPr>
        <w:t>fair value measurements. For broker-quoted only securities, quotes from market makers or broker-dealers are obtained from sources recognized to be market participants. We believe the broker quotes are prices at which trades could be executed based on historical trades executed at broker-quoted or slightly higher prices.</w:t>
      </w:r>
    </w:p>
    <w:p>
      <w:pPr>
        <w:spacing w:after="0" w:line="62" w:lineRule="exact"/>
        <w:rPr>
          <w:sz w:val="20"/>
          <w:szCs w:val="20"/>
          <w:color w:val="auto"/>
        </w:rPr>
      </w:pPr>
    </w:p>
    <w:p>
      <w:pPr>
        <w:jc w:val="both"/>
        <w:ind w:firstLine="353"/>
        <w:spacing w:after="0" w:line="258" w:lineRule="auto"/>
        <w:rPr>
          <w:sz w:val="20"/>
          <w:szCs w:val="20"/>
          <w:color w:val="auto"/>
        </w:rPr>
      </w:pPr>
      <w:r>
        <w:rPr>
          <w:rFonts w:ascii="Arial" w:cs="Arial" w:eastAsia="Arial" w:hAnsi="Arial"/>
          <w:sz w:val="20"/>
          <w:szCs w:val="20"/>
          <w:color w:val="auto"/>
        </w:rPr>
        <w:t>We analyze the third-party valuation methodologies and related inputs to perform assessments to determine the appropriate level within the fair value hierarchy. However, we did not adjust prices received from third parties as of December 31, 2025 or 2024.</w:t>
      </w:r>
    </w:p>
    <w:p>
      <w:pPr>
        <w:spacing w:after="0" w:line="62" w:lineRule="exact"/>
        <w:rPr>
          <w:sz w:val="20"/>
          <w:szCs w:val="20"/>
          <w:color w:val="auto"/>
        </w:rPr>
      </w:pPr>
    </w:p>
    <w:p>
      <w:pPr>
        <w:ind w:right="1560" w:firstLine="441"/>
        <w:spacing w:after="0" w:line="347" w:lineRule="auto"/>
        <w:rPr>
          <w:sz w:val="20"/>
          <w:szCs w:val="20"/>
          <w:color w:val="auto"/>
        </w:rPr>
      </w:pPr>
      <w:r>
        <w:rPr>
          <w:rFonts w:ascii="Arial" w:cs="Arial" w:eastAsia="Arial" w:hAnsi="Arial"/>
          <w:sz w:val="20"/>
          <w:szCs w:val="20"/>
          <w:color w:val="auto"/>
        </w:rPr>
        <w:t xml:space="preserve">Certain equity investments are measured using NAV as a practical expedient in determining fair value. </w:t>
      </w:r>
      <w:r>
        <w:rPr>
          <w:rFonts w:ascii="Arial" w:cs="Arial" w:eastAsia="Arial" w:hAnsi="Arial"/>
          <w:sz w:val="20"/>
          <w:szCs w:val="20"/>
          <w:b w:val="1"/>
          <w:bCs w:val="1"/>
          <w:i w:val="1"/>
          <w:iCs w:val="1"/>
          <w:color w:val="auto"/>
        </w:rPr>
        <w:t>Derivative Financial Instruments</w:t>
      </w:r>
    </w:p>
    <w:p>
      <w:pPr>
        <w:spacing w:after="0" w:line="1" w:lineRule="exact"/>
        <w:rPr>
          <w:sz w:val="20"/>
          <w:szCs w:val="20"/>
          <w:color w:val="auto"/>
        </w:rPr>
      </w:pPr>
    </w:p>
    <w:p>
      <w:pPr>
        <w:jc w:val="both"/>
        <w:ind w:firstLine="353"/>
        <w:spacing w:after="0" w:line="296" w:lineRule="auto"/>
        <w:rPr>
          <w:sz w:val="20"/>
          <w:szCs w:val="20"/>
          <w:color w:val="auto"/>
        </w:rPr>
      </w:pPr>
      <w:r>
        <w:rPr>
          <w:rFonts w:ascii="Arial" w:cs="Arial" w:eastAsia="Arial" w:hAnsi="Arial"/>
          <w:sz w:val="17"/>
          <w:szCs w:val="17"/>
          <w:color w:val="auto"/>
        </w:rPr>
        <w:t>Derivative contracts can either be exchange traded or traded over the counter. Exchange traded derivatives typically fall within Level 1 of the fair value hierarchy if there is active trading activity. Two methods are used to value over-the-counter derivatives. When required inputs are available, certain derivatives are valued using valuation pricing models, which represent what we would expect to receive or pay at the balance sheet date if we cancelled or exercised the derivative or entered into offsetting positions. Valuation models require a variety of inputs, which include the use of market-observable inputs, including interest rate, yield curve volatilities, foreign currency exchange rates and other factors. These over-the-counter derivatives are typically classified within Level 2 of the fair value hierarchy as the majority trade in liquid markets, we can verify model inputs and model selection does not involve significant management judgment. When inputs are not available for valuation models, certain over-the-counter derivatives are valued using independent broker quotes, which are based on unobservable market data and classified within Level 3. Effective September 30, 2024, pricing for certain derivatives was obtained from internal models using substantially all market observable inputs, and those derivatives were transferred out of Level 3 to Level 2.</w:t>
      </w:r>
    </w:p>
    <w:p>
      <w:pPr>
        <w:spacing w:after="0" w:line="53" w:lineRule="exact"/>
        <w:rPr>
          <w:sz w:val="20"/>
          <w:szCs w:val="20"/>
          <w:color w:val="auto"/>
        </w:rPr>
      </w:pPr>
    </w:p>
    <w:p>
      <w:pPr>
        <w:jc w:val="both"/>
        <w:ind w:firstLine="353"/>
        <w:spacing w:after="0" w:line="306" w:lineRule="auto"/>
        <w:rPr>
          <w:sz w:val="20"/>
          <w:szCs w:val="20"/>
          <w:color w:val="auto"/>
        </w:rPr>
      </w:pPr>
      <w:r>
        <w:rPr>
          <w:rFonts w:ascii="Arial" w:cs="Arial" w:eastAsia="Arial" w:hAnsi="Arial"/>
          <w:sz w:val="17"/>
          <w:szCs w:val="17"/>
          <w:color w:val="auto"/>
        </w:rPr>
        <w:t>The fair value of the reinsurance-related embedded derivatives in our funds withheld reinsurance agreements are estimated based upon the change in fair value (for total return swaps), or the fair value (for the index credit obligation due the reinsurer), of the assets supporting the funds withheld from reinsurance liabilities. The fair value of the assets is based on a quoted market price of similar assets or is obtained from models using substantially all market observable inputs (Level 2), and therefore the fair value of the embedded derivatives are based on market-observable inputs and are classified as Level 2.</w:t>
      </w:r>
    </w:p>
    <w:p>
      <w:pPr>
        <w:spacing w:after="0" w:line="165" w:lineRule="exact"/>
        <w:rPr>
          <w:sz w:val="20"/>
          <w:szCs w:val="20"/>
          <w:color w:val="auto"/>
        </w:rPr>
      </w:pPr>
    </w:p>
    <w:p>
      <w:pPr>
        <w:jc w:val="both"/>
        <w:ind w:firstLine="353"/>
        <w:spacing w:after="0" w:line="295" w:lineRule="auto"/>
        <w:rPr>
          <w:sz w:val="20"/>
          <w:szCs w:val="20"/>
          <w:color w:val="auto"/>
        </w:rPr>
      </w:pPr>
      <w:r>
        <w:rPr>
          <w:rFonts w:ascii="Arial" w:cs="Arial" w:eastAsia="Arial" w:hAnsi="Arial"/>
          <w:sz w:val="17"/>
          <w:szCs w:val="17"/>
          <w:color w:val="auto"/>
        </w:rPr>
        <w:t xml:space="preserve">The fair value measurement of the indexed annuities/IUL embedded derivatives, representing the indexed crediting feature of the policies included in Contractholder funds, and the ceded portion, the reinsured indexed crediting feature embedded derivatives recorded as a component of the Reinsurance recoverable, is determined through a combination of market observable information and significant unobservable inputs using the option budget method. The market observable inputs are the market value of option and treasury rates. The significant unobservable inputs are the budgeted option cost (i.e., the expected cost to purchase equity options in future periods to fund the equity indexed linked feature), surrender rates, mortality multiplier and non-performance spread. The mortality multiplier at December 31, 2025 and 2024 was applied to the 2012 Individual Annuity mortality tables. Increases or decreases in the market value of an option in isolation would result in a higher or lower, respectively, fair value measurement. Increases or decreases in treasury rates, mortality multiplier, surrender rates, or non-performance spread in isolation would result in a lower or higher fair value measurement, respectively. Generally, a change in any one unobservable input would not directly result in a change in any other unobservable input. Also refer to Management's Estimates in Note A </w:t>
      </w:r>
      <w:r>
        <w:rPr>
          <w:rFonts w:ascii="Arial" w:cs="Arial" w:eastAsia="Arial" w:hAnsi="Arial"/>
          <w:sz w:val="17"/>
          <w:szCs w:val="17"/>
          <w:b w:val="1"/>
          <w:bCs w:val="1"/>
          <w:i w:val="1"/>
          <w:iCs w:val="1"/>
          <w:color w:val="auto"/>
        </w:rPr>
        <w:t>Business and Summary of Significant Accounting Policies</w:t>
      </w:r>
      <w:r>
        <w:rPr>
          <w:rFonts w:ascii="Arial" w:cs="Arial" w:eastAsia="Arial" w:hAnsi="Arial"/>
          <w:sz w:val="17"/>
          <w:szCs w:val="17"/>
          <w:color w:val="auto"/>
        </w:rPr>
        <w:t xml:space="preserve"> regarding certain assumption updates.</w:t>
      </w:r>
    </w:p>
    <w:p>
      <w:pPr>
        <w:spacing w:after="0" w:line="5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Investments in Unconsolidated affiliates</w:t>
      </w:r>
    </w:p>
    <w:p>
      <w:pPr>
        <w:spacing w:after="0" w:line="125" w:lineRule="exact"/>
        <w:rPr>
          <w:sz w:val="20"/>
          <w:szCs w:val="20"/>
          <w:color w:val="auto"/>
        </w:rPr>
      </w:pPr>
    </w:p>
    <w:p>
      <w:pPr>
        <w:jc w:val="both"/>
        <w:ind w:firstLine="353"/>
        <w:spacing w:after="0" w:line="249" w:lineRule="auto"/>
        <w:rPr>
          <w:sz w:val="20"/>
          <w:szCs w:val="20"/>
          <w:color w:val="auto"/>
        </w:rPr>
      </w:pPr>
      <w:r>
        <w:rPr>
          <w:rFonts w:ascii="Arial" w:cs="Arial" w:eastAsia="Arial" w:hAnsi="Arial"/>
          <w:sz w:val="20"/>
          <w:szCs w:val="20"/>
          <w:color w:val="auto"/>
        </w:rPr>
        <w:t>We have elected the fair value option (“FVO”) for certain investments in unconsolidated affiliates as we believe this better aligns them with other investments in unconsolidated affiliates that are measured using NAV as a practical expedient in determining fair value. Investments measured using the FVO are included in Level 3 and the fair values of these investments are determined using a multiple of the affiliates’ earnings before interest, taxes, depreciation and amortization (“EBITDA”). The EBITDA is based on the affiliates’ financial information. The multiple is derived from market analysis of transactions involving comparable companies. The inputs are considered unobservable, as not all market participants have access to this data.</w:t>
      </w:r>
    </w:p>
    <w:p>
      <w:pPr>
        <w:spacing w:after="0" w:line="9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Short-term Investments</w:t>
      </w:r>
    </w:p>
    <w:p>
      <w:pPr>
        <w:spacing w:after="0" w:line="125" w:lineRule="exact"/>
        <w:rPr>
          <w:sz w:val="20"/>
          <w:szCs w:val="20"/>
          <w:color w:val="auto"/>
        </w:rPr>
      </w:pPr>
    </w:p>
    <w:p>
      <w:pPr>
        <w:jc w:val="both"/>
        <w:ind w:firstLine="353"/>
        <w:spacing w:after="0" w:line="359" w:lineRule="auto"/>
        <w:rPr>
          <w:sz w:val="20"/>
          <w:szCs w:val="20"/>
          <w:color w:val="auto"/>
        </w:rPr>
      </w:pPr>
      <w:r>
        <w:rPr>
          <w:rFonts w:ascii="Arial" w:cs="Arial" w:eastAsia="Arial" w:hAnsi="Arial"/>
          <w:sz w:val="17"/>
          <w:szCs w:val="17"/>
          <w:color w:val="auto"/>
        </w:rPr>
        <w:t>The carrying amounts reported in the Consolidated Balance Sheets for these instruments approximate fair value. Certain short-term investments are valued based on third-party pricing services or broker quotes and are classified as Level 2 or 3.</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Loan receivable</w:t>
      </w:r>
    </w:p>
    <w:p>
      <w:pPr>
        <w:spacing w:after="0" w:line="125" w:lineRule="exact"/>
        <w:rPr>
          <w:sz w:val="20"/>
          <w:szCs w:val="20"/>
          <w:color w:val="auto"/>
        </w:rPr>
      </w:pPr>
    </w:p>
    <w:p>
      <w:pPr>
        <w:jc w:val="both"/>
        <w:ind w:firstLine="353"/>
        <w:spacing w:after="0" w:line="325" w:lineRule="auto"/>
        <w:rPr>
          <w:sz w:val="20"/>
          <w:szCs w:val="20"/>
          <w:color w:val="auto"/>
        </w:rPr>
      </w:pPr>
      <w:r>
        <w:rPr>
          <w:rFonts w:ascii="Arial" w:cs="Arial" w:eastAsia="Arial" w:hAnsi="Arial"/>
          <w:sz w:val="17"/>
          <w:szCs w:val="17"/>
          <w:color w:val="auto"/>
        </w:rPr>
        <w:t>Concurrent with the Roar purchase agreement, F&amp;G executed a separate loan agreement with the sellers of Roar. The loan is collateralized by the sellers’ minority equity stake in Roar. The loan receivable is measured at fair value using a discounted cash flow model applied using a Monte Carlo simulation of estimated cash flows at each measurement period and for each</w:t>
      </w:r>
    </w:p>
    <w:p>
      <w:pPr>
        <w:sectPr>
          <w:pgSz w:w="11880" w:h="15480" w:orient="portrait"/>
          <w:cols w:equalWidth="0" w:num="1">
            <w:col w:w="10040"/>
          </w:cols>
          <w:pgMar w:left="920" w:top="772" w:right="920" w:bottom="0" w:gutter="0" w:footer="0" w:header="0"/>
        </w:sect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124</w:t>
      </w:r>
    </w:p>
    <w:p>
      <w:pPr>
        <w:sectPr>
          <w:pgSz w:w="11880" w:h="15480" w:orient="portrait"/>
          <w:cols w:equalWidth="0" w:num="1">
            <w:col w:w="10040"/>
          </w:cols>
          <w:pgMar w:left="920" w:top="772" w:right="920" w:bottom="0" w:gutter="0" w:footer="0" w:header="0"/>
          <w:type w:val="continuous"/>
        </w:sectPr>
      </w:pPr>
    </w:p>
    <w:bookmarkStart w:id="136" w:name="page137"/>
    <w:bookmarkEnd w:id="136"/>
    <w:p>
      <w:pPr>
        <w:jc w:val="both"/>
        <w:spacing w:after="0" w:line="250" w:lineRule="auto"/>
        <w:rPr>
          <w:sz w:val="20"/>
          <w:szCs w:val="20"/>
          <w:color w:val="auto"/>
        </w:rPr>
      </w:pPr>
      <w:r>
        <w:rPr>
          <w:rFonts w:ascii="Arial" w:cs="Arial" w:eastAsia="Arial" w:hAnsi="Arial"/>
          <w:sz w:val="20"/>
          <w:szCs w:val="20"/>
          <w:color w:val="auto"/>
        </w:rPr>
        <w:t>simulated path relative to the estimated collateral value. The Monte Carlo simulation utilizes the outstanding principal balance, a risk-adjusted discount rate, and risk-free rates to discount the expected cash flows and compare to the estimated collateral value for each payment period and simulated path. The discounted cash flow approach applies a company-specific discount rate to future expected interest and payoff payments to calculate the estimated fair value based on the average outcome from the simulation. This loan receivable is included in Level 3 and the inputs are considered unobservable, as not all market participants have access to this data.</w:t>
      </w:r>
    </w:p>
    <w:p>
      <w:pPr>
        <w:spacing w:after="0" w:line="9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Other long-term Investments</w:t>
      </w:r>
    </w:p>
    <w:p>
      <w:pPr>
        <w:spacing w:after="0" w:line="144" w:lineRule="exact"/>
        <w:rPr>
          <w:sz w:val="20"/>
          <w:szCs w:val="20"/>
          <w:color w:val="auto"/>
        </w:rPr>
      </w:pPr>
    </w:p>
    <w:p>
      <w:pPr>
        <w:jc w:val="both"/>
        <w:ind w:firstLine="353"/>
        <w:spacing w:after="0" w:line="299" w:lineRule="auto"/>
        <w:rPr>
          <w:sz w:val="20"/>
          <w:szCs w:val="20"/>
          <w:color w:val="auto"/>
        </w:rPr>
      </w:pPr>
      <w:r>
        <w:rPr>
          <w:rFonts w:ascii="Arial" w:cs="Arial" w:eastAsia="Arial" w:hAnsi="Arial"/>
          <w:sz w:val="17"/>
          <w:szCs w:val="17"/>
          <w:color w:val="auto"/>
        </w:rPr>
        <w:t>We have elected the fair value option (“FVO”) for certain loans held by consolidated VIEs to better align measurement with the economic characteristics of the underlying structures and to reduce accounting mismatches that would otherwise result from measuring the assets and liabilities using different attributes. We have also elected to apply the collateralized financing entity guidance in ASC 810 to measure both the financial assets and the financial liabilities of the VIE using the more observable of the fair value of the financial assets and the fair value of the financial liabilities. We believe that the value of the debt securities, that trade in the secondary market, are more observable than the pricing of the individual loans and will use the fair value of the debt securities issued by the VIE as a practical expedient in determining the fair value of the loans. Based on the market-observable inputs of the debt securities, the fair value of the loans are included in Level 2.</w:t>
      </w:r>
    </w:p>
    <w:p>
      <w:pPr>
        <w:spacing w:after="0" w:line="71" w:lineRule="exact"/>
        <w:rPr>
          <w:sz w:val="20"/>
          <w:szCs w:val="20"/>
          <w:color w:val="auto"/>
        </w:rPr>
      </w:pPr>
    </w:p>
    <w:p>
      <w:pPr>
        <w:jc w:val="both"/>
        <w:ind w:firstLine="353"/>
        <w:spacing w:after="0" w:line="262" w:lineRule="auto"/>
        <w:rPr>
          <w:sz w:val="20"/>
          <w:szCs w:val="20"/>
          <w:color w:val="auto"/>
        </w:rPr>
      </w:pPr>
      <w:r>
        <w:rPr>
          <w:rFonts w:ascii="Arial" w:cs="Arial" w:eastAsia="Arial" w:hAnsi="Arial"/>
          <w:sz w:val="19"/>
          <w:szCs w:val="19"/>
          <w:color w:val="auto"/>
        </w:rPr>
        <w:t xml:space="preserve">We hold a fund-linked note, which provides for an additional payment at maturity based on the value of an embedded derivative based on the actual return of a dedicated return fund. Fair value of the embedded derivative is based on an unobservable input, the NAV of the fund at the balance sheet date. The embedded derivative is similar to an equity option on the NAV of the fund with a strike price of zero since F&amp;G will not be required to make any additional payments at maturity of the fund-linked note in order to receive the NAV of the fund on the maturity date. A Black-Scholes model determines the NAV of the fund as the fair value of the equity option regardless of the values used for the other inputs to the option pricing model. The NAV of the fund is provided by the fund manager at the end of each calendar month and represents the value an investor would receive if it withdrew its investment on the balance sheet date. Therefore, the key unobservable input used in the Black-Scholes model is the value of the fund. As the value of the fund increases or decreases, the fair value of the embedded derivative will increase or decrease. See further discussion on the available-for-sale embedded derivative in Note E </w:t>
      </w:r>
      <w:r>
        <w:rPr>
          <w:rFonts w:ascii="Arial" w:cs="Arial" w:eastAsia="Arial" w:hAnsi="Arial"/>
          <w:sz w:val="19"/>
          <w:szCs w:val="19"/>
          <w:b w:val="1"/>
          <w:bCs w:val="1"/>
          <w:i w:val="1"/>
          <w:iCs w:val="1"/>
          <w:color w:val="auto"/>
        </w:rPr>
        <w:t>Derivative</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Financial Instruments</w:t>
      </w:r>
      <w:r>
        <w:rPr>
          <w:rFonts w:ascii="Arial" w:cs="Arial" w:eastAsia="Arial" w:hAnsi="Arial"/>
          <w:sz w:val="19"/>
          <w:szCs w:val="19"/>
          <w:color w:val="auto"/>
        </w:rPr>
        <w:t>.</w:t>
      </w:r>
    </w:p>
    <w:p>
      <w:pPr>
        <w:spacing w:after="0" w:line="13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Other Assets</w:t>
      </w:r>
    </w:p>
    <w:p>
      <w:pPr>
        <w:spacing w:after="0" w:line="125" w:lineRule="exact"/>
        <w:rPr>
          <w:sz w:val="20"/>
          <w:szCs w:val="20"/>
          <w:color w:val="auto"/>
        </w:rPr>
      </w:pPr>
    </w:p>
    <w:p>
      <w:pPr>
        <w:jc w:val="both"/>
        <w:ind w:firstLine="353"/>
        <w:spacing w:after="0" w:line="254" w:lineRule="auto"/>
        <w:rPr>
          <w:sz w:val="20"/>
          <w:szCs w:val="20"/>
          <w:color w:val="auto"/>
        </w:rPr>
      </w:pPr>
      <w:r>
        <w:rPr>
          <w:rFonts w:ascii="Arial" w:cs="Arial" w:eastAsia="Arial" w:hAnsi="Arial"/>
          <w:sz w:val="20"/>
          <w:szCs w:val="20"/>
          <w:color w:val="auto"/>
        </w:rPr>
        <w:t>Mortgage servicing rights are measured at fair value using a discounted cash flow model, which incorporates assumptions that market participants use in estimating future net servicing income cash flows. These assumptions include estimates of prepayment rates, discount rates, cost to service (including delinquency and foreclosure costs), escrow account earnings, contractual servicing fee income, and ancillary income.</w:t>
      </w:r>
    </w:p>
    <w:p>
      <w:pPr>
        <w:spacing w:after="0" w:line="8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Contingent Consideration</w:t>
      </w:r>
    </w:p>
    <w:p>
      <w:pPr>
        <w:spacing w:after="0" w:line="125" w:lineRule="exact"/>
        <w:rPr>
          <w:sz w:val="20"/>
          <w:szCs w:val="20"/>
          <w:color w:val="auto"/>
        </w:rPr>
      </w:pPr>
    </w:p>
    <w:p>
      <w:pPr>
        <w:jc w:val="both"/>
        <w:ind w:firstLine="353"/>
        <w:spacing w:after="0" w:line="297" w:lineRule="auto"/>
        <w:rPr>
          <w:sz w:val="20"/>
          <w:szCs w:val="20"/>
          <w:color w:val="auto"/>
        </w:rPr>
      </w:pPr>
      <w:r>
        <w:rPr>
          <w:rFonts w:ascii="Arial" w:cs="Arial" w:eastAsia="Arial" w:hAnsi="Arial"/>
          <w:sz w:val="17"/>
          <w:szCs w:val="17"/>
          <w:color w:val="auto"/>
        </w:rPr>
        <w:t xml:space="preserve">We have recorded contingent consideration pursuant to the terms of the purchase agreement for the acquisition of Roar. The contingent consideration is measured at fair value using a discounted cash flow model applied using a Monte Carlo simulation of estimated EBITDA at each measurement period and for each simulated path relative to contractual EBITDA milestones. The Monte Carlo simulation utilizes a risk-adjusted discount rate, volatility assumption, and risk-free rates to assess the probability Roar's EBITDA trajectory reaches required milestones for the earn out payments to be made. The discounted cash flow approach applies a company-specific discount rate based on F&amp;G credit profile to future expected earn out payments to calculate the estimated fair value based on the average outcome from the simulation. This contingent consideration is included in Level 3 and the inputs are considered unobservable, as not all market participants have access to this data. See further discussion on the contingent consideration in Note G </w:t>
      </w:r>
      <w:r>
        <w:rPr>
          <w:rFonts w:ascii="Arial" w:cs="Arial" w:eastAsia="Arial" w:hAnsi="Arial"/>
          <w:sz w:val="17"/>
          <w:szCs w:val="17"/>
          <w:b w:val="1"/>
          <w:bCs w:val="1"/>
          <w:i w:val="1"/>
          <w:iCs w:val="1"/>
          <w:color w:val="auto"/>
        </w:rPr>
        <w:t>Commitments and Contingencies.</w:t>
      </w:r>
    </w:p>
    <w:p>
      <w:pPr>
        <w:spacing w:after="0" w:line="5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Market Risk Benefits ("MRBs")</w:t>
      </w:r>
    </w:p>
    <w:p>
      <w:pPr>
        <w:spacing w:after="0" w:line="125" w:lineRule="exact"/>
        <w:rPr>
          <w:sz w:val="20"/>
          <w:szCs w:val="20"/>
          <w:color w:val="auto"/>
        </w:rPr>
      </w:pPr>
    </w:p>
    <w:p>
      <w:pPr>
        <w:jc w:val="both"/>
        <w:ind w:firstLine="353"/>
        <w:spacing w:after="0" w:line="263" w:lineRule="auto"/>
        <w:rPr>
          <w:sz w:val="20"/>
          <w:szCs w:val="20"/>
          <w:color w:val="auto"/>
        </w:rPr>
      </w:pPr>
      <w:r>
        <w:rPr>
          <w:rFonts w:ascii="Arial" w:cs="Arial" w:eastAsia="Arial" w:hAnsi="Arial"/>
          <w:sz w:val="19"/>
          <w:szCs w:val="19"/>
          <w:color w:val="auto"/>
        </w:rPr>
        <w:t xml:space="preserve">MRBs (inclusive of reinsured MRBs) are measured at fair value using an attributed fee measurement approach where attributed fees are explicit rider charges collectible from the policyholder (or paid to the reinsurer) used to cover the excess benefits. The fair value is calculated using a risk neutral valuation method and is based on current net amounts at risk, market data, internal and industry experience, and other factors. The balances are computed using assumptions including mortality, full and partial surrender, rider benefit utilization, risk-free rates including non-performance spread and risk margin, market value of options, and economic scenarios. Policyholder behavior assumptions are reviewed at least annually, typically in the third quarter, for any revisions. Reinsured MRBs are valued using a methodology consistent with direct MRBs, with the exception of the non-performance spread which reflects the credit of the reinsurer. See further discussion on MRBs in Note W </w:t>
      </w:r>
      <w:r>
        <w:rPr>
          <w:rFonts w:ascii="Arial" w:cs="Arial" w:eastAsia="Arial" w:hAnsi="Arial"/>
          <w:sz w:val="19"/>
          <w:szCs w:val="19"/>
          <w:b w:val="1"/>
          <w:bCs w:val="1"/>
          <w:i w:val="1"/>
          <w:iCs w:val="1"/>
          <w:color w:val="auto"/>
        </w:rPr>
        <w:t>Market Risk</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Benefits</w:t>
      </w:r>
      <w:r>
        <w:rPr>
          <w:rFonts w:ascii="Arial" w:cs="Arial" w:eastAsia="Arial" w:hAnsi="Arial"/>
          <w:sz w:val="19"/>
          <w:szCs w:val="19"/>
          <w:color w:val="auto"/>
        </w:rPr>
        <w:t>.</w:t>
      </w:r>
    </w:p>
    <w:p>
      <w:pPr>
        <w:sectPr>
          <w:pgSz w:w="11880" w:h="15480" w:orient="portrait"/>
          <w:cols w:equalWidth="0" w:num="1">
            <w:col w:w="10040"/>
          </w:cols>
          <w:pgMar w:left="920" w:top="772"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125</w:t>
      </w:r>
    </w:p>
    <w:p>
      <w:pPr>
        <w:sectPr>
          <w:pgSz w:w="11880" w:h="15480" w:orient="portrait"/>
          <w:cols w:equalWidth="0" w:num="1">
            <w:col w:w="10040"/>
          </w:cols>
          <w:pgMar w:left="920" w:top="772" w:right="920" w:bottom="0" w:gutter="0" w:footer="0" w:header="0"/>
          <w:type w:val="continuous"/>
        </w:sectPr>
      </w:pPr>
    </w:p>
    <w:bookmarkStart w:id="137" w:name="page138"/>
    <w:bookmarkEnd w:id="137"/>
    <w:p>
      <w:pPr>
        <w:jc w:val="both"/>
        <w:ind w:firstLine="353"/>
        <w:spacing w:after="0" w:line="254" w:lineRule="auto"/>
        <w:rPr>
          <w:sz w:val="20"/>
          <w:szCs w:val="20"/>
          <w:color w:val="auto"/>
        </w:rPr>
      </w:pPr>
      <w:r>
        <w:rPr>
          <w:rFonts w:ascii="Arial" w:cs="Arial" w:eastAsia="Arial" w:hAnsi="Arial"/>
          <w:sz w:val="19"/>
          <w:szCs w:val="19"/>
          <w:color w:val="auto"/>
        </w:rPr>
        <w:t>Quantitative information regarding significant unobservable inputs used for recurring Level 3 fair value measurements of financial instruments carried at fair value as of December 31, 2025 and 2024, excluding assets and liabilities for which significant quantitative unobservable inputs are not developed internally and not readily available to the Company (primarily those valued using broker quotes and certain third-party pricing services),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135255</wp:posOffset>
            </wp:positionV>
            <wp:extent cx="6410325" cy="788479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79">
                      <a:extLst>
                        <a:ext uri="{28A0092B-C50C-407E-A947-70E740481C1C}"/>
                      </a:extLst>
                    </a:blip>
                    <a:srcRect/>
                    <a:stretch>
                      <a:fillRect/>
                    </a:stretch>
                  </pic:blipFill>
                  <pic:spPr bwMode="auto">
                    <a:xfrm>
                      <a:off x="0" y="0"/>
                      <a:ext cx="6410325" cy="7884795"/>
                    </a:xfrm>
                    <a:prstGeom prst="rect">
                      <a:avLst/>
                    </a:prstGeom>
                    <a:noFill/>
                  </pic:spPr>
                </pic:pic>
              </a:graphicData>
            </a:graphic>
          </wp:anchor>
        </w:drawing>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tcPr>
          <w:p>
            <w:pPr>
              <w:jc w:val="right"/>
              <w:ind w:right="182"/>
              <w:spacing w:after="0"/>
              <w:rPr>
                <w:sz w:val="20"/>
                <w:szCs w:val="20"/>
                <w:color w:val="auto"/>
              </w:rPr>
            </w:pPr>
            <w:r>
              <w:rPr>
                <w:rFonts w:ascii="Arial" w:cs="Arial" w:eastAsia="Arial" w:hAnsi="Arial"/>
                <w:sz w:val="16"/>
                <w:szCs w:val="16"/>
                <w:b w:val="1"/>
                <w:bCs w:val="1"/>
                <w:color w:val="auto"/>
                <w:w w:val="96"/>
              </w:rPr>
              <w:t>Fair Value at</w:t>
            </w:r>
          </w:p>
        </w:tc>
        <w:tc>
          <w:tcPr>
            <w:tcW w:w="8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4"/>
        </w:trPr>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1400" w:type="dxa"/>
            <w:vAlign w:val="bottom"/>
            <w:gridSpan w:val="2"/>
          </w:tcPr>
          <w:p>
            <w:pPr>
              <w:ind w:left="60"/>
              <w:spacing w:after="0"/>
              <w:rPr>
                <w:sz w:val="20"/>
                <w:szCs w:val="20"/>
                <w:color w:val="auto"/>
              </w:rPr>
            </w:pPr>
            <w:r>
              <w:rPr>
                <w:rFonts w:ascii="Arial" w:cs="Arial" w:eastAsia="Arial" w:hAnsi="Arial"/>
                <w:sz w:val="16"/>
                <w:szCs w:val="16"/>
                <w:b w:val="1"/>
                <w:bCs w:val="1"/>
                <w:color w:val="auto"/>
                <w:w w:val="91"/>
              </w:rPr>
              <w:t>December 31, 2025</w:t>
            </w:r>
          </w:p>
        </w:tc>
        <w:tc>
          <w:tcPr>
            <w:tcW w:w="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80" w:type="dxa"/>
            <w:vAlign w:val="bottom"/>
            <w:vMerge w:val="restart"/>
          </w:tcPr>
          <w:p>
            <w:pPr>
              <w:ind w:left="280"/>
              <w:spacing w:after="0"/>
              <w:rPr>
                <w:sz w:val="20"/>
                <w:szCs w:val="20"/>
                <w:color w:val="auto"/>
              </w:rPr>
            </w:pPr>
            <w:r>
              <w:rPr>
                <w:rFonts w:ascii="Arial" w:cs="Arial" w:eastAsia="Arial" w:hAnsi="Arial"/>
                <w:sz w:val="16"/>
                <w:szCs w:val="16"/>
                <w:b w:val="1"/>
                <w:bCs w:val="1"/>
                <w:color w:val="auto"/>
              </w:rPr>
              <w:t>Unobservable</w:t>
            </w:r>
          </w:p>
        </w:tc>
        <w:tc>
          <w:tcPr>
            <w:tcW w:w="80" w:type="dxa"/>
            <w:vAlign w:val="bottom"/>
          </w:tcPr>
          <w:p>
            <w:pPr>
              <w:spacing w:after="0"/>
              <w:rPr>
                <w:sz w:val="24"/>
                <w:szCs w:val="24"/>
                <w:color w:val="auto"/>
              </w:rPr>
            </w:pPr>
          </w:p>
        </w:tc>
        <w:tc>
          <w:tcPr>
            <w:tcW w:w="2100" w:type="dxa"/>
            <w:vAlign w:val="bottom"/>
            <w:gridSpan w:val="2"/>
          </w:tcPr>
          <w:p>
            <w:pPr>
              <w:jc w:val="center"/>
              <w:spacing w:after="0"/>
              <w:rPr>
                <w:sz w:val="20"/>
                <w:szCs w:val="20"/>
                <w:color w:val="auto"/>
              </w:rPr>
            </w:pPr>
            <w:r>
              <w:rPr>
                <w:rFonts w:ascii="Arial" w:cs="Arial" w:eastAsia="Arial" w:hAnsi="Arial"/>
                <w:sz w:val="16"/>
                <w:szCs w:val="16"/>
                <w:b w:val="1"/>
                <w:bCs w:val="1"/>
                <w:color w:val="auto"/>
                <w:w w:val="88"/>
              </w:rPr>
              <w:t>Range (Weighted average)</w:t>
            </w:r>
          </w:p>
        </w:tc>
        <w:tc>
          <w:tcPr>
            <w:tcW w:w="0" w:type="dxa"/>
            <w:vAlign w:val="bottom"/>
          </w:tcPr>
          <w:p>
            <w:pPr>
              <w:spacing w:after="0"/>
              <w:rPr>
                <w:sz w:val="1"/>
                <w:szCs w:val="1"/>
                <w:color w:val="auto"/>
              </w:rPr>
            </w:pPr>
          </w:p>
        </w:tc>
      </w:tr>
      <w:tr>
        <w:trPr>
          <w:trHeight w:val="32"/>
        </w:trPr>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vMerge w:val="restart"/>
          </w:tcPr>
          <w:p>
            <w:pPr>
              <w:jc w:val="right"/>
              <w:ind w:right="222"/>
              <w:spacing w:after="0"/>
              <w:rPr>
                <w:sz w:val="20"/>
                <w:szCs w:val="20"/>
                <w:color w:val="auto"/>
              </w:rPr>
            </w:pPr>
            <w:r>
              <w:rPr>
                <w:rFonts w:ascii="Arial" w:cs="Arial" w:eastAsia="Arial" w:hAnsi="Arial"/>
                <w:sz w:val="16"/>
                <w:szCs w:val="16"/>
                <w:b w:val="1"/>
                <w:bCs w:val="1"/>
                <w:color w:val="auto"/>
                <w:w w:val="97"/>
              </w:rPr>
              <w:t>(in millions)</w:t>
            </w:r>
          </w:p>
        </w:tc>
        <w:tc>
          <w:tcPr>
            <w:tcW w:w="80" w:type="dxa"/>
            <w:vAlign w:val="bottom"/>
          </w:tcPr>
          <w:p>
            <w:pPr>
              <w:spacing w:after="0"/>
              <w:rPr>
                <w:sz w:val="2"/>
                <w:szCs w:val="2"/>
                <w:color w:val="auto"/>
              </w:rPr>
            </w:pPr>
          </w:p>
        </w:tc>
        <w:tc>
          <w:tcPr>
            <w:tcW w:w="1660" w:type="dxa"/>
            <w:vAlign w:val="bottom"/>
            <w:vMerge w:val="restart"/>
          </w:tcPr>
          <w:p>
            <w:pPr>
              <w:ind w:left="120"/>
              <w:spacing w:after="0"/>
              <w:rPr>
                <w:sz w:val="20"/>
                <w:szCs w:val="20"/>
                <w:color w:val="auto"/>
              </w:rPr>
            </w:pPr>
            <w:r>
              <w:rPr>
                <w:rFonts w:ascii="Arial" w:cs="Arial" w:eastAsia="Arial" w:hAnsi="Arial"/>
                <w:sz w:val="16"/>
                <w:szCs w:val="16"/>
                <w:b w:val="1"/>
                <w:bCs w:val="1"/>
                <w:color w:val="auto"/>
                <w:w w:val="97"/>
              </w:rPr>
              <w:t>Valuation Technique</w:t>
            </w:r>
          </w:p>
        </w:tc>
        <w:tc>
          <w:tcPr>
            <w:tcW w:w="60" w:type="dxa"/>
            <w:vAlign w:val="bottom"/>
          </w:tcPr>
          <w:p>
            <w:pPr>
              <w:spacing w:after="0"/>
              <w:rPr>
                <w:sz w:val="2"/>
                <w:szCs w:val="2"/>
                <w:color w:val="auto"/>
              </w:rPr>
            </w:pPr>
          </w:p>
        </w:tc>
        <w:tc>
          <w:tcPr>
            <w:tcW w:w="1480" w:type="dxa"/>
            <w:vAlign w:val="bottom"/>
            <w:vMerge w:val="continue"/>
          </w:tcPr>
          <w:p>
            <w:pPr>
              <w:spacing w:after="0"/>
              <w:rPr>
                <w:sz w:val="2"/>
                <w:szCs w:val="2"/>
                <w:color w:val="auto"/>
              </w:rPr>
            </w:pPr>
          </w:p>
        </w:tc>
        <w:tc>
          <w:tcPr>
            <w:tcW w:w="80" w:type="dxa"/>
            <w:vAlign w:val="bottom"/>
          </w:tcPr>
          <w:p>
            <w:pPr>
              <w:spacing w:after="0"/>
              <w:rPr>
                <w:sz w:val="2"/>
                <w:szCs w:val="2"/>
                <w:color w:val="auto"/>
              </w:rPr>
            </w:pPr>
          </w:p>
        </w:tc>
        <w:tc>
          <w:tcPr>
            <w:tcW w:w="2100" w:type="dxa"/>
            <w:vAlign w:val="bottom"/>
            <w:gridSpan w:val="2"/>
            <w:vMerge w:val="restart"/>
          </w:tcPr>
          <w:p>
            <w:pPr>
              <w:jc w:val="center"/>
              <w:spacing w:after="0"/>
              <w:rPr>
                <w:sz w:val="20"/>
                <w:szCs w:val="20"/>
                <w:color w:val="auto"/>
              </w:rPr>
            </w:pPr>
            <w:r>
              <w:rPr>
                <w:rFonts w:ascii="Arial" w:cs="Arial" w:eastAsia="Arial" w:hAnsi="Arial"/>
                <w:sz w:val="16"/>
                <w:szCs w:val="16"/>
                <w:b w:val="1"/>
                <w:bCs w:val="1"/>
                <w:color w:val="auto"/>
                <w:w w:val="87"/>
              </w:rPr>
              <w:t>December 31, 2025</w:t>
            </w:r>
          </w:p>
        </w:tc>
        <w:tc>
          <w:tcPr>
            <w:tcW w:w="0" w:type="dxa"/>
            <w:vAlign w:val="bottom"/>
          </w:tcPr>
          <w:p>
            <w:pPr>
              <w:spacing w:after="0" w:line="20" w:lineRule="exact"/>
              <w:rPr>
                <w:sz w:val="1"/>
                <w:szCs w:val="1"/>
                <w:color w:val="auto"/>
              </w:rPr>
            </w:pPr>
          </w:p>
        </w:tc>
      </w:tr>
      <w:tr>
        <w:trPr>
          <w:trHeight w:val="210"/>
        </w:trPr>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1660" w:type="dxa"/>
            <w:vAlign w:val="bottom"/>
            <w:tcBorders>
              <w:bottom w:val="single" w:sz="8" w:color="auto"/>
            </w:tcBorders>
            <w:vMerge w:val="continue"/>
          </w:tcPr>
          <w:p>
            <w:pPr>
              <w:spacing w:after="0"/>
              <w:rPr>
                <w:sz w:val="18"/>
                <w:szCs w:val="18"/>
                <w:color w:val="auto"/>
              </w:rPr>
            </w:pPr>
          </w:p>
        </w:tc>
        <w:tc>
          <w:tcPr>
            <w:tcW w:w="60" w:type="dxa"/>
            <w:vAlign w:val="bottom"/>
          </w:tcPr>
          <w:p>
            <w:pPr>
              <w:spacing w:after="0"/>
              <w:rPr>
                <w:sz w:val="18"/>
                <w:szCs w:val="18"/>
                <w:color w:val="auto"/>
              </w:rPr>
            </w:pPr>
          </w:p>
        </w:tc>
        <w:tc>
          <w:tcPr>
            <w:tcW w:w="1480" w:type="dxa"/>
            <w:vAlign w:val="bottom"/>
            <w:tcBorders>
              <w:bottom w:val="single" w:sz="8" w:color="auto"/>
            </w:tcBorders>
          </w:tcPr>
          <w:p>
            <w:pPr>
              <w:ind w:left="480"/>
              <w:spacing w:after="0"/>
              <w:rPr>
                <w:sz w:val="20"/>
                <w:szCs w:val="20"/>
                <w:color w:val="auto"/>
              </w:rPr>
            </w:pPr>
            <w:r>
              <w:rPr>
                <w:rFonts w:ascii="Arial" w:cs="Arial" w:eastAsia="Arial" w:hAnsi="Arial"/>
                <w:sz w:val="16"/>
                <w:szCs w:val="16"/>
                <w:b w:val="1"/>
                <w:bCs w:val="1"/>
                <w:color w:val="auto"/>
              </w:rPr>
              <w:t>Input(s)</w:t>
            </w:r>
          </w:p>
        </w:tc>
        <w:tc>
          <w:tcPr>
            <w:tcW w:w="80" w:type="dxa"/>
            <w:vAlign w:val="bottom"/>
          </w:tcPr>
          <w:p>
            <w:pPr>
              <w:spacing w:after="0"/>
              <w:rPr>
                <w:sz w:val="18"/>
                <w:szCs w:val="18"/>
                <w:color w:val="auto"/>
              </w:rPr>
            </w:pPr>
          </w:p>
        </w:tc>
        <w:tc>
          <w:tcPr>
            <w:tcW w:w="2100" w:type="dxa"/>
            <w:vAlign w:val="bottom"/>
            <w:tcBorders>
              <w:bottom w:val="single" w:sz="8" w:color="auto"/>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0"/>
        </w:trPr>
        <w:tc>
          <w:tcPr>
            <w:tcW w:w="40" w:type="dxa"/>
            <w:vAlign w:val="bottom"/>
          </w:tcPr>
          <w:p>
            <w:pPr>
              <w:spacing w:after="0"/>
              <w:rPr>
                <w:sz w:val="13"/>
                <w:szCs w:val="13"/>
                <w:color w:val="auto"/>
              </w:rPr>
            </w:pPr>
          </w:p>
        </w:tc>
        <w:tc>
          <w:tcPr>
            <w:tcW w:w="3140" w:type="dxa"/>
            <w:vAlign w:val="bottom"/>
            <w:gridSpan w:val="3"/>
          </w:tcPr>
          <w:p>
            <w:pPr>
              <w:spacing w:after="0" w:line="161" w:lineRule="exact"/>
              <w:rPr>
                <w:sz w:val="20"/>
                <w:szCs w:val="20"/>
                <w:color w:val="auto"/>
              </w:rPr>
            </w:pPr>
            <w:r>
              <w:rPr>
                <w:rFonts w:ascii="Arial" w:cs="Arial" w:eastAsia="Arial" w:hAnsi="Arial"/>
                <w:sz w:val="16"/>
                <w:szCs w:val="16"/>
                <w:b w:val="1"/>
                <w:bCs w:val="1"/>
                <w:color w:val="auto"/>
              </w:rPr>
              <w:t>Assets</w:t>
            </w:r>
          </w:p>
        </w:tc>
        <w:tc>
          <w:tcPr>
            <w:tcW w:w="2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40" w:type="dxa"/>
            <w:vAlign w:val="bottom"/>
          </w:tcPr>
          <w:p>
            <w:pPr>
              <w:spacing w:after="0"/>
              <w:rPr>
                <w:sz w:val="22"/>
                <w:szCs w:val="22"/>
                <w:color w:val="auto"/>
              </w:rPr>
            </w:pPr>
          </w:p>
        </w:tc>
        <w:tc>
          <w:tcPr>
            <w:tcW w:w="3140" w:type="dxa"/>
            <w:vAlign w:val="bottom"/>
            <w:gridSpan w:val="3"/>
          </w:tcPr>
          <w:p>
            <w:pPr>
              <w:spacing w:after="0"/>
              <w:rPr>
                <w:sz w:val="20"/>
                <w:szCs w:val="20"/>
                <w:color w:val="auto"/>
              </w:rPr>
            </w:pPr>
            <w:r>
              <w:rPr>
                <w:rFonts w:ascii="Arial" w:cs="Arial" w:eastAsia="Arial" w:hAnsi="Arial"/>
                <w:sz w:val="16"/>
                <w:szCs w:val="16"/>
                <w:color w:val="auto"/>
              </w:rPr>
              <w:t>Asset-backed securities</w:t>
            </w:r>
          </w:p>
        </w:tc>
        <w:tc>
          <w:tcPr>
            <w:tcW w:w="200" w:type="dxa"/>
            <w:vAlign w:val="bottom"/>
          </w:tcPr>
          <w:p>
            <w:pPr>
              <w:ind w:left="60"/>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92</w:t>
            </w:r>
          </w:p>
        </w:tc>
        <w:tc>
          <w:tcPr>
            <w:tcW w:w="80" w:type="dxa"/>
            <w:vAlign w:val="bottom"/>
          </w:tcPr>
          <w:p>
            <w:pPr>
              <w:spacing w:after="0"/>
              <w:rPr>
                <w:sz w:val="22"/>
                <w:szCs w:val="22"/>
                <w:color w:val="auto"/>
              </w:rPr>
            </w:pPr>
          </w:p>
        </w:tc>
        <w:tc>
          <w:tcPr>
            <w:tcW w:w="1660" w:type="dxa"/>
            <w:vAlign w:val="bottom"/>
          </w:tcPr>
          <w:p>
            <w:pPr>
              <w:ind w:left="40"/>
              <w:spacing w:after="0"/>
              <w:rPr>
                <w:sz w:val="20"/>
                <w:szCs w:val="20"/>
                <w:color w:val="auto"/>
              </w:rPr>
            </w:pPr>
            <w:r>
              <w:rPr>
                <w:rFonts w:ascii="Arial" w:cs="Arial" w:eastAsia="Arial" w:hAnsi="Arial"/>
                <w:sz w:val="16"/>
                <w:szCs w:val="16"/>
                <w:color w:val="auto"/>
              </w:rPr>
              <w:t>Third-Party Valuation</w:t>
            </w:r>
          </w:p>
        </w:tc>
        <w:tc>
          <w:tcPr>
            <w:tcW w:w="60" w:type="dxa"/>
            <w:vAlign w:val="bottom"/>
          </w:tcPr>
          <w:p>
            <w:pPr>
              <w:spacing w:after="0"/>
              <w:rPr>
                <w:sz w:val="22"/>
                <w:szCs w:val="22"/>
                <w:color w:val="auto"/>
              </w:rPr>
            </w:pPr>
          </w:p>
        </w:tc>
        <w:tc>
          <w:tcPr>
            <w:tcW w:w="1480" w:type="dxa"/>
            <w:vAlign w:val="bottom"/>
          </w:tcPr>
          <w:p>
            <w:pPr>
              <w:ind w:left="60"/>
              <w:spacing w:after="0"/>
              <w:rPr>
                <w:sz w:val="20"/>
                <w:szCs w:val="20"/>
                <w:color w:val="auto"/>
              </w:rPr>
            </w:pPr>
            <w:r>
              <w:rPr>
                <w:rFonts w:ascii="Arial" w:cs="Arial" w:eastAsia="Arial" w:hAnsi="Arial"/>
                <w:sz w:val="16"/>
                <w:szCs w:val="16"/>
                <w:color w:val="auto"/>
              </w:rPr>
              <w:t>Discount Rate</w:t>
            </w:r>
          </w:p>
        </w:tc>
        <w:tc>
          <w:tcPr>
            <w:tcW w:w="540" w:type="dxa"/>
            <w:vAlign w:val="bottom"/>
            <w:gridSpan w:val="2"/>
          </w:tcPr>
          <w:p>
            <w:pPr>
              <w:ind w:left="120"/>
              <w:spacing w:after="0"/>
              <w:rPr>
                <w:sz w:val="20"/>
                <w:szCs w:val="20"/>
                <w:color w:val="auto"/>
              </w:rPr>
            </w:pPr>
            <w:r>
              <w:rPr>
                <w:rFonts w:ascii="Arial" w:cs="Arial" w:eastAsia="Arial" w:hAnsi="Arial"/>
                <w:sz w:val="16"/>
                <w:szCs w:val="16"/>
                <w:color w:val="auto"/>
                <w:w w:val="88"/>
              </w:rPr>
              <w:t>4.36%</w:t>
            </w:r>
          </w:p>
        </w:tc>
        <w:tc>
          <w:tcPr>
            <w:tcW w:w="1640" w:type="dxa"/>
            <w:vAlign w:val="bottom"/>
          </w:tcPr>
          <w:p>
            <w:pPr>
              <w:ind w:left="20"/>
              <w:spacing w:after="0"/>
              <w:rPr>
                <w:sz w:val="20"/>
                <w:szCs w:val="20"/>
                <w:color w:val="auto"/>
              </w:rPr>
            </w:pPr>
            <w:r>
              <w:rPr>
                <w:rFonts w:ascii="Arial" w:cs="Arial" w:eastAsia="Arial" w:hAnsi="Arial"/>
                <w:sz w:val="16"/>
                <w:szCs w:val="16"/>
                <w:color w:val="auto"/>
              </w:rPr>
              <w:t>- 7.15% (5.80%)</w:t>
            </w: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3140" w:type="dxa"/>
            <w:vAlign w:val="bottom"/>
            <w:gridSpan w:val="3"/>
          </w:tcPr>
          <w:p>
            <w:pPr>
              <w:spacing w:after="0"/>
              <w:rPr>
                <w:sz w:val="20"/>
                <w:szCs w:val="20"/>
                <w:color w:val="auto"/>
              </w:rPr>
            </w:pPr>
            <w:r>
              <w:rPr>
                <w:rFonts w:ascii="Arial" w:cs="Arial" w:eastAsia="Arial" w:hAnsi="Arial"/>
                <w:sz w:val="16"/>
                <w:szCs w:val="16"/>
                <w:color w:val="auto"/>
              </w:rPr>
              <w:t>Corporates</w:t>
            </w:r>
          </w:p>
        </w:tc>
        <w:tc>
          <w:tcPr>
            <w:tcW w:w="2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8</w:t>
            </w:r>
          </w:p>
        </w:tc>
        <w:tc>
          <w:tcPr>
            <w:tcW w:w="80" w:type="dxa"/>
            <w:vAlign w:val="bottom"/>
          </w:tcPr>
          <w:p>
            <w:pPr>
              <w:spacing w:after="0"/>
              <w:rPr>
                <w:sz w:val="21"/>
                <w:szCs w:val="21"/>
                <w:color w:val="auto"/>
              </w:rPr>
            </w:pPr>
          </w:p>
        </w:tc>
        <w:tc>
          <w:tcPr>
            <w:tcW w:w="1660" w:type="dxa"/>
            <w:vAlign w:val="bottom"/>
          </w:tcPr>
          <w:p>
            <w:pPr>
              <w:ind w:left="40"/>
              <w:spacing w:after="0"/>
              <w:rPr>
                <w:sz w:val="20"/>
                <w:szCs w:val="20"/>
                <w:color w:val="auto"/>
              </w:rPr>
            </w:pPr>
            <w:r>
              <w:rPr>
                <w:rFonts w:ascii="Arial" w:cs="Arial" w:eastAsia="Arial" w:hAnsi="Arial"/>
                <w:sz w:val="16"/>
                <w:szCs w:val="16"/>
                <w:color w:val="auto"/>
                <w:w w:val="99"/>
              </w:rPr>
              <w:t>Discounted Cash Flow</w:t>
            </w:r>
          </w:p>
        </w:tc>
        <w:tc>
          <w:tcPr>
            <w:tcW w:w="60" w:type="dxa"/>
            <w:vAlign w:val="bottom"/>
          </w:tcPr>
          <w:p>
            <w:pPr>
              <w:spacing w:after="0"/>
              <w:rPr>
                <w:sz w:val="21"/>
                <w:szCs w:val="21"/>
                <w:color w:val="auto"/>
              </w:rPr>
            </w:pPr>
          </w:p>
        </w:tc>
        <w:tc>
          <w:tcPr>
            <w:tcW w:w="1480" w:type="dxa"/>
            <w:vAlign w:val="bottom"/>
          </w:tcPr>
          <w:p>
            <w:pPr>
              <w:ind w:left="60"/>
              <w:spacing w:after="0"/>
              <w:rPr>
                <w:sz w:val="20"/>
                <w:szCs w:val="20"/>
                <w:color w:val="auto"/>
              </w:rPr>
            </w:pPr>
            <w:r>
              <w:rPr>
                <w:rFonts w:ascii="Arial" w:cs="Arial" w:eastAsia="Arial" w:hAnsi="Arial"/>
                <w:sz w:val="16"/>
                <w:szCs w:val="16"/>
                <w:color w:val="auto"/>
              </w:rPr>
              <w:t>Discount Rate</w:t>
            </w:r>
          </w:p>
        </w:tc>
        <w:tc>
          <w:tcPr>
            <w:tcW w:w="540" w:type="dxa"/>
            <w:vAlign w:val="bottom"/>
            <w:gridSpan w:val="2"/>
          </w:tcPr>
          <w:p>
            <w:pPr>
              <w:ind w:left="120"/>
              <w:spacing w:after="0"/>
              <w:rPr>
                <w:sz w:val="20"/>
                <w:szCs w:val="20"/>
                <w:color w:val="auto"/>
              </w:rPr>
            </w:pPr>
            <w:r>
              <w:rPr>
                <w:rFonts w:ascii="Arial" w:cs="Arial" w:eastAsia="Arial" w:hAnsi="Arial"/>
                <w:sz w:val="16"/>
                <w:szCs w:val="16"/>
                <w:color w:val="auto"/>
                <w:w w:val="88"/>
              </w:rPr>
              <w:t>5.50%</w:t>
            </w:r>
          </w:p>
        </w:tc>
        <w:tc>
          <w:tcPr>
            <w:tcW w:w="1640" w:type="dxa"/>
            <w:vAlign w:val="bottom"/>
          </w:tcPr>
          <w:p>
            <w:pPr>
              <w:ind w:left="20"/>
              <w:spacing w:after="0"/>
              <w:rPr>
                <w:sz w:val="20"/>
                <w:szCs w:val="20"/>
                <w:color w:val="auto"/>
              </w:rPr>
            </w:pPr>
            <w:r>
              <w:rPr>
                <w:rFonts w:ascii="Arial" w:cs="Arial" w:eastAsia="Arial" w:hAnsi="Arial"/>
                <w:sz w:val="16"/>
                <w:szCs w:val="16"/>
                <w:color w:val="auto"/>
              </w:rPr>
              <w:t>- 100.00% (98.73%)</w:t>
            </w: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3140" w:type="dxa"/>
            <w:vAlign w:val="bottom"/>
            <w:gridSpan w:val="3"/>
          </w:tcPr>
          <w:p>
            <w:pPr>
              <w:spacing w:after="0"/>
              <w:rPr>
                <w:sz w:val="20"/>
                <w:szCs w:val="20"/>
                <w:color w:val="auto"/>
              </w:rPr>
            </w:pPr>
            <w:r>
              <w:rPr>
                <w:rFonts w:ascii="Arial" w:cs="Arial" w:eastAsia="Arial" w:hAnsi="Arial"/>
                <w:sz w:val="16"/>
                <w:szCs w:val="16"/>
                <w:color w:val="auto"/>
              </w:rPr>
              <w:t>Corporates</w:t>
            </w:r>
          </w:p>
        </w:tc>
        <w:tc>
          <w:tcPr>
            <w:tcW w:w="2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661</w:t>
            </w:r>
          </w:p>
        </w:tc>
        <w:tc>
          <w:tcPr>
            <w:tcW w:w="80" w:type="dxa"/>
            <w:vAlign w:val="bottom"/>
          </w:tcPr>
          <w:p>
            <w:pPr>
              <w:spacing w:after="0"/>
              <w:rPr>
                <w:sz w:val="21"/>
                <w:szCs w:val="21"/>
                <w:color w:val="auto"/>
              </w:rPr>
            </w:pPr>
          </w:p>
        </w:tc>
        <w:tc>
          <w:tcPr>
            <w:tcW w:w="1660" w:type="dxa"/>
            <w:vAlign w:val="bottom"/>
          </w:tcPr>
          <w:p>
            <w:pPr>
              <w:ind w:left="40"/>
              <w:spacing w:after="0"/>
              <w:rPr>
                <w:sz w:val="20"/>
                <w:szCs w:val="20"/>
                <w:color w:val="auto"/>
              </w:rPr>
            </w:pPr>
            <w:r>
              <w:rPr>
                <w:rFonts w:ascii="Arial" w:cs="Arial" w:eastAsia="Arial" w:hAnsi="Arial"/>
                <w:sz w:val="16"/>
                <w:szCs w:val="16"/>
                <w:color w:val="auto"/>
              </w:rPr>
              <w:t>Third-Party Valuation</w:t>
            </w:r>
          </w:p>
        </w:tc>
        <w:tc>
          <w:tcPr>
            <w:tcW w:w="60" w:type="dxa"/>
            <w:vAlign w:val="bottom"/>
          </w:tcPr>
          <w:p>
            <w:pPr>
              <w:spacing w:after="0"/>
              <w:rPr>
                <w:sz w:val="21"/>
                <w:szCs w:val="21"/>
                <w:color w:val="auto"/>
              </w:rPr>
            </w:pPr>
          </w:p>
        </w:tc>
        <w:tc>
          <w:tcPr>
            <w:tcW w:w="1480" w:type="dxa"/>
            <w:vAlign w:val="bottom"/>
          </w:tcPr>
          <w:p>
            <w:pPr>
              <w:ind w:left="60"/>
              <w:spacing w:after="0"/>
              <w:rPr>
                <w:sz w:val="20"/>
                <w:szCs w:val="20"/>
                <w:color w:val="auto"/>
              </w:rPr>
            </w:pPr>
            <w:r>
              <w:rPr>
                <w:rFonts w:ascii="Arial" w:cs="Arial" w:eastAsia="Arial" w:hAnsi="Arial"/>
                <w:sz w:val="16"/>
                <w:szCs w:val="16"/>
                <w:color w:val="auto"/>
              </w:rPr>
              <w:t>Discount Rate</w:t>
            </w:r>
          </w:p>
        </w:tc>
        <w:tc>
          <w:tcPr>
            <w:tcW w:w="540" w:type="dxa"/>
            <w:vAlign w:val="bottom"/>
            <w:gridSpan w:val="2"/>
          </w:tcPr>
          <w:p>
            <w:pPr>
              <w:ind w:left="120"/>
              <w:spacing w:after="0"/>
              <w:rPr>
                <w:sz w:val="20"/>
                <w:szCs w:val="20"/>
                <w:color w:val="auto"/>
              </w:rPr>
            </w:pPr>
            <w:r>
              <w:rPr>
                <w:rFonts w:ascii="Arial" w:cs="Arial" w:eastAsia="Arial" w:hAnsi="Arial"/>
                <w:sz w:val="16"/>
                <w:szCs w:val="16"/>
                <w:color w:val="auto"/>
                <w:w w:val="88"/>
              </w:rPr>
              <w:t>3.45%</w:t>
            </w:r>
          </w:p>
        </w:tc>
        <w:tc>
          <w:tcPr>
            <w:tcW w:w="1640" w:type="dxa"/>
            <w:vAlign w:val="bottom"/>
          </w:tcPr>
          <w:p>
            <w:pPr>
              <w:ind w:left="20"/>
              <w:spacing w:after="0"/>
              <w:rPr>
                <w:sz w:val="20"/>
                <w:szCs w:val="20"/>
                <w:color w:val="auto"/>
              </w:rPr>
            </w:pPr>
            <w:r>
              <w:rPr>
                <w:rFonts w:ascii="Arial" w:cs="Arial" w:eastAsia="Arial" w:hAnsi="Arial"/>
                <w:sz w:val="16"/>
                <w:szCs w:val="16"/>
                <w:color w:val="auto"/>
              </w:rPr>
              <w:t>- 8.68% (5.84%)</w:t>
            </w: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3140" w:type="dxa"/>
            <w:vAlign w:val="bottom"/>
            <w:gridSpan w:val="3"/>
          </w:tcPr>
          <w:p>
            <w:pPr>
              <w:spacing w:after="0"/>
              <w:rPr>
                <w:sz w:val="20"/>
                <w:szCs w:val="20"/>
                <w:color w:val="auto"/>
              </w:rPr>
            </w:pPr>
            <w:r>
              <w:rPr>
                <w:rFonts w:ascii="Arial" w:cs="Arial" w:eastAsia="Arial" w:hAnsi="Arial"/>
                <w:sz w:val="16"/>
                <w:szCs w:val="16"/>
                <w:color w:val="auto"/>
              </w:rPr>
              <w:t>Residential mortgage-backed securities</w:t>
            </w:r>
          </w:p>
        </w:tc>
        <w:tc>
          <w:tcPr>
            <w:tcW w:w="2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w:t>
            </w:r>
          </w:p>
        </w:tc>
        <w:tc>
          <w:tcPr>
            <w:tcW w:w="80" w:type="dxa"/>
            <w:vAlign w:val="bottom"/>
          </w:tcPr>
          <w:p>
            <w:pPr>
              <w:spacing w:after="0"/>
              <w:rPr>
                <w:sz w:val="21"/>
                <w:szCs w:val="21"/>
                <w:color w:val="auto"/>
              </w:rPr>
            </w:pPr>
          </w:p>
        </w:tc>
        <w:tc>
          <w:tcPr>
            <w:tcW w:w="1660" w:type="dxa"/>
            <w:vAlign w:val="bottom"/>
          </w:tcPr>
          <w:p>
            <w:pPr>
              <w:ind w:left="40"/>
              <w:spacing w:after="0"/>
              <w:rPr>
                <w:sz w:val="20"/>
                <w:szCs w:val="20"/>
                <w:color w:val="auto"/>
              </w:rPr>
            </w:pPr>
            <w:r>
              <w:rPr>
                <w:rFonts w:ascii="Arial" w:cs="Arial" w:eastAsia="Arial" w:hAnsi="Arial"/>
                <w:sz w:val="16"/>
                <w:szCs w:val="16"/>
                <w:color w:val="auto"/>
              </w:rPr>
              <w:t>Third-Party Valuation</w:t>
            </w:r>
          </w:p>
        </w:tc>
        <w:tc>
          <w:tcPr>
            <w:tcW w:w="60" w:type="dxa"/>
            <w:vAlign w:val="bottom"/>
          </w:tcPr>
          <w:p>
            <w:pPr>
              <w:spacing w:after="0"/>
              <w:rPr>
                <w:sz w:val="21"/>
                <w:szCs w:val="21"/>
                <w:color w:val="auto"/>
              </w:rPr>
            </w:pPr>
          </w:p>
        </w:tc>
        <w:tc>
          <w:tcPr>
            <w:tcW w:w="1480" w:type="dxa"/>
            <w:vAlign w:val="bottom"/>
          </w:tcPr>
          <w:p>
            <w:pPr>
              <w:ind w:left="60"/>
              <w:spacing w:after="0"/>
              <w:rPr>
                <w:sz w:val="20"/>
                <w:szCs w:val="20"/>
                <w:color w:val="auto"/>
              </w:rPr>
            </w:pPr>
            <w:r>
              <w:rPr>
                <w:rFonts w:ascii="Arial" w:cs="Arial" w:eastAsia="Arial" w:hAnsi="Arial"/>
                <w:sz w:val="16"/>
                <w:szCs w:val="16"/>
                <w:color w:val="auto"/>
              </w:rPr>
              <w:t>Discount Rate</w:t>
            </w:r>
          </w:p>
        </w:tc>
        <w:tc>
          <w:tcPr>
            <w:tcW w:w="2180" w:type="dxa"/>
            <w:vAlign w:val="bottom"/>
            <w:gridSpan w:val="3"/>
          </w:tcPr>
          <w:p>
            <w:pPr>
              <w:ind w:left="120"/>
              <w:spacing w:after="0"/>
              <w:rPr>
                <w:sz w:val="20"/>
                <w:szCs w:val="20"/>
                <w:color w:val="auto"/>
              </w:rPr>
            </w:pPr>
            <w:r>
              <w:rPr>
                <w:rFonts w:ascii="Arial" w:cs="Arial" w:eastAsia="Arial" w:hAnsi="Arial"/>
                <w:sz w:val="16"/>
                <w:szCs w:val="16"/>
                <w:color w:val="auto"/>
              </w:rPr>
              <w:t>5.41%-5.41% (5.41%)</w:t>
            </w: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3140" w:type="dxa"/>
            <w:vAlign w:val="bottom"/>
            <w:gridSpan w:val="3"/>
          </w:tcPr>
          <w:p>
            <w:pPr>
              <w:spacing w:after="0"/>
              <w:rPr>
                <w:sz w:val="20"/>
                <w:szCs w:val="20"/>
                <w:color w:val="auto"/>
              </w:rPr>
            </w:pPr>
            <w:r>
              <w:rPr>
                <w:rFonts w:ascii="Arial" w:cs="Arial" w:eastAsia="Arial" w:hAnsi="Arial"/>
                <w:sz w:val="16"/>
                <w:szCs w:val="16"/>
                <w:color w:val="auto"/>
              </w:rPr>
              <w:t>Foreign Governments</w:t>
            </w:r>
          </w:p>
        </w:tc>
        <w:tc>
          <w:tcPr>
            <w:tcW w:w="2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w:t>
            </w:r>
          </w:p>
        </w:tc>
        <w:tc>
          <w:tcPr>
            <w:tcW w:w="80" w:type="dxa"/>
            <w:vAlign w:val="bottom"/>
          </w:tcPr>
          <w:p>
            <w:pPr>
              <w:spacing w:after="0"/>
              <w:rPr>
                <w:sz w:val="21"/>
                <w:szCs w:val="21"/>
                <w:color w:val="auto"/>
              </w:rPr>
            </w:pPr>
          </w:p>
        </w:tc>
        <w:tc>
          <w:tcPr>
            <w:tcW w:w="1660" w:type="dxa"/>
            <w:vAlign w:val="bottom"/>
          </w:tcPr>
          <w:p>
            <w:pPr>
              <w:ind w:left="40"/>
              <w:spacing w:after="0"/>
              <w:rPr>
                <w:sz w:val="20"/>
                <w:szCs w:val="20"/>
                <w:color w:val="auto"/>
              </w:rPr>
            </w:pPr>
            <w:r>
              <w:rPr>
                <w:rFonts w:ascii="Arial" w:cs="Arial" w:eastAsia="Arial" w:hAnsi="Arial"/>
                <w:sz w:val="16"/>
                <w:szCs w:val="16"/>
                <w:color w:val="auto"/>
              </w:rPr>
              <w:t>Third-Party Valuation</w:t>
            </w:r>
          </w:p>
        </w:tc>
        <w:tc>
          <w:tcPr>
            <w:tcW w:w="60" w:type="dxa"/>
            <w:vAlign w:val="bottom"/>
          </w:tcPr>
          <w:p>
            <w:pPr>
              <w:spacing w:after="0"/>
              <w:rPr>
                <w:sz w:val="21"/>
                <w:szCs w:val="21"/>
                <w:color w:val="auto"/>
              </w:rPr>
            </w:pPr>
          </w:p>
        </w:tc>
        <w:tc>
          <w:tcPr>
            <w:tcW w:w="1480" w:type="dxa"/>
            <w:vAlign w:val="bottom"/>
          </w:tcPr>
          <w:p>
            <w:pPr>
              <w:ind w:left="60"/>
              <w:spacing w:after="0"/>
              <w:rPr>
                <w:sz w:val="20"/>
                <w:szCs w:val="20"/>
                <w:color w:val="auto"/>
              </w:rPr>
            </w:pPr>
            <w:r>
              <w:rPr>
                <w:rFonts w:ascii="Arial" w:cs="Arial" w:eastAsia="Arial" w:hAnsi="Arial"/>
                <w:sz w:val="16"/>
                <w:szCs w:val="16"/>
                <w:color w:val="auto"/>
              </w:rPr>
              <w:t>Discount Rate</w:t>
            </w:r>
          </w:p>
        </w:tc>
        <w:tc>
          <w:tcPr>
            <w:tcW w:w="540" w:type="dxa"/>
            <w:vAlign w:val="bottom"/>
            <w:gridSpan w:val="2"/>
          </w:tcPr>
          <w:p>
            <w:pPr>
              <w:ind w:left="120"/>
              <w:spacing w:after="0"/>
              <w:rPr>
                <w:sz w:val="20"/>
                <w:szCs w:val="20"/>
                <w:color w:val="auto"/>
              </w:rPr>
            </w:pPr>
            <w:r>
              <w:rPr>
                <w:rFonts w:ascii="Arial" w:cs="Arial" w:eastAsia="Arial" w:hAnsi="Arial"/>
                <w:sz w:val="16"/>
                <w:szCs w:val="16"/>
                <w:color w:val="auto"/>
                <w:w w:val="88"/>
              </w:rPr>
              <w:t>5.73%</w:t>
            </w:r>
          </w:p>
        </w:tc>
        <w:tc>
          <w:tcPr>
            <w:tcW w:w="1640" w:type="dxa"/>
            <w:vAlign w:val="bottom"/>
          </w:tcPr>
          <w:p>
            <w:pPr>
              <w:ind w:left="20"/>
              <w:spacing w:after="0"/>
              <w:rPr>
                <w:sz w:val="20"/>
                <w:szCs w:val="20"/>
                <w:color w:val="auto"/>
              </w:rPr>
            </w:pPr>
            <w:r>
              <w:rPr>
                <w:rFonts w:ascii="Arial" w:cs="Arial" w:eastAsia="Arial" w:hAnsi="Arial"/>
                <w:sz w:val="16"/>
                <w:szCs w:val="16"/>
                <w:color w:val="auto"/>
              </w:rPr>
              <w:t>- 5.73% (5.73%)</w:t>
            </w: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3140" w:type="dxa"/>
            <w:vAlign w:val="bottom"/>
            <w:gridSpan w:val="3"/>
          </w:tcPr>
          <w:p>
            <w:pPr>
              <w:spacing w:after="0"/>
              <w:rPr>
                <w:sz w:val="20"/>
                <w:szCs w:val="20"/>
                <w:color w:val="auto"/>
              </w:rPr>
            </w:pPr>
            <w:r>
              <w:rPr>
                <w:rFonts w:ascii="Arial" w:cs="Arial" w:eastAsia="Arial" w:hAnsi="Arial"/>
                <w:sz w:val="16"/>
                <w:szCs w:val="16"/>
                <w:color w:val="auto"/>
              </w:rPr>
              <w:t>Municipals</w:t>
            </w:r>
          </w:p>
        </w:tc>
        <w:tc>
          <w:tcPr>
            <w:tcW w:w="2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w:t>
            </w:r>
          </w:p>
        </w:tc>
        <w:tc>
          <w:tcPr>
            <w:tcW w:w="80" w:type="dxa"/>
            <w:vAlign w:val="bottom"/>
          </w:tcPr>
          <w:p>
            <w:pPr>
              <w:spacing w:after="0"/>
              <w:rPr>
                <w:sz w:val="21"/>
                <w:szCs w:val="21"/>
                <w:color w:val="auto"/>
              </w:rPr>
            </w:pPr>
          </w:p>
        </w:tc>
        <w:tc>
          <w:tcPr>
            <w:tcW w:w="1660" w:type="dxa"/>
            <w:vAlign w:val="bottom"/>
          </w:tcPr>
          <w:p>
            <w:pPr>
              <w:ind w:left="40"/>
              <w:spacing w:after="0"/>
              <w:rPr>
                <w:sz w:val="20"/>
                <w:szCs w:val="20"/>
                <w:color w:val="auto"/>
              </w:rPr>
            </w:pPr>
            <w:r>
              <w:rPr>
                <w:rFonts w:ascii="Arial" w:cs="Arial" w:eastAsia="Arial" w:hAnsi="Arial"/>
                <w:sz w:val="16"/>
                <w:szCs w:val="16"/>
                <w:color w:val="auto"/>
              </w:rPr>
              <w:t>Third-Party Valuation</w:t>
            </w:r>
          </w:p>
        </w:tc>
        <w:tc>
          <w:tcPr>
            <w:tcW w:w="60" w:type="dxa"/>
            <w:vAlign w:val="bottom"/>
          </w:tcPr>
          <w:p>
            <w:pPr>
              <w:spacing w:after="0"/>
              <w:rPr>
                <w:sz w:val="21"/>
                <w:szCs w:val="21"/>
                <w:color w:val="auto"/>
              </w:rPr>
            </w:pPr>
          </w:p>
        </w:tc>
        <w:tc>
          <w:tcPr>
            <w:tcW w:w="1480" w:type="dxa"/>
            <w:vAlign w:val="bottom"/>
          </w:tcPr>
          <w:p>
            <w:pPr>
              <w:ind w:left="60"/>
              <w:spacing w:after="0"/>
              <w:rPr>
                <w:sz w:val="20"/>
                <w:szCs w:val="20"/>
                <w:color w:val="auto"/>
              </w:rPr>
            </w:pPr>
            <w:r>
              <w:rPr>
                <w:rFonts w:ascii="Arial" w:cs="Arial" w:eastAsia="Arial" w:hAnsi="Arial"/>
                <w:sz w:val="16"/>
                <w:szCs w:val="16"/>
                <w:color w:val="auto"/>
              </w:rPr>
              <w:t>Discount Rate</w:t>
            </w:r>
          </w:p>
        </w:tc>
        <w:tc>
          <w:tcPr>
            <w:tcW w:w="540" w:type="dxa"/>
            <w:vAlign w:val="bottom"/>
            <w:gridSpan w:val="2"/>
          </w:tcPr>
          <w:p>
            <w:pPr>
              <w:ind w:left="120"/>
              <w:spacing w:after="0"/>
              <w:rPr>
                <w:sz w:val="20"/>
                <w:szCs w:val="20"/>
                <w:color w:val="auto"/>
              </w:rPr>
            </w:pPr>
            <w:r>
              <w:rPr>
                <w:rFonts w:ascii="Arial" w:cs="Arial" w:eastAsia="Arial" w:hAnsi="Arial"/>
                <w:sz w:val="16"/>
                <w:szCs w:val="16"/>
                <w:color w:val="auto"/>
                <w:w w:val="88"/>
              </w:rPr>
              <w:t>4.94%</w:t>
            </w:r>
          </w:p>
        </w:tc>
        <w:tc>
          <w:tcPr>
            <w:tcW w:w="1640" w:type="dxa"/>
            <w:vAlign w:val="bottom"/>
          </w:tcPr>
          <w:p>
            <w:pPr>
              <w:ind w:left="20"/>
              <w:spacing w:after="0"/>
              <w:rPr>
                <w:sz w:val="20"/>
                <w:szCs w:val="20"/>
                <w:color w:val="auto"/>
              </w:rPr>
            </w:pPr>
            <w:r>
              <w:rPr>
                <w:rFonts w:ascii="Arial" w:cs="Arial" w:eastAsia="Arial" w:hAnsi="Arial"/>
                <w:sz w:val="16"/>
                <w:szCs w:val="16"/>
                <w:color w:val="auto"/>
              </w:rPr>
              <w:t>- 4.94% (4.94%)</w:t>
            </w: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3140" w:type="dxa"/>
            <w:vAlign w:val="bottom"/>
            <w:gridSpan w:val="3"/>
            <w:vMerge w:val="restart"/>
          </w:tcPr>
          <w:p>
            <w:pPr>
              <w:spacing w:after="0"/>
              <w:rPr>
                <w:sz w:val="20"/>
                <w:szCs w:val="20"/>
                <w:color w:val="auto"/>
              </w:rPr>
            </w:pPr>
            <w:r>
              <w:rPr>
                <w:rFonts w:ascii="Arial" w:cs="Arial" w:eastAsia="Arial" w:hAnsi="Arial"/>
                <w:sz w:val="16"/>
                <w:szCs w:val="16"/>
                <w:color w:val="auto"/>
              </w:rPr>
              <w:t>Investments in unconsolidated affiliates</w:t>
            </w:r>
          </w:p>
        </w:tc>
        <w:tc>
          <w:tcPr>
            <w:tcW w:w="200" w:type="dxa"/>
            <w:vAlign w:val="bottom"/>
          </w:tcPr>
          <w:p>
            <w:pPr>
              <w:spacing w:after="0"/>
              <w:rPr>
                <w:sz w:val="18"/>
                <w:szCs w:val="18"/>
                <w:color w:val="auto"/>
              </w:rPr>
            </w:pPr>
          </w:p>
        </w:tc>
        <w:tc>
          <w:tcPr>
            <w:tcW w:w="1200" w:type="dxa"/>
            <w:vAlign w:val="bottom"/>
            <w:vMerge w:val="restart"/>
          </w:tcPr>
          <w:p>
            <w:pPr>
              <w:jc w:val="right"/>
              <w:spacing w:after="0"/>
              <w:rPr>
                <w:sz w:val="20"/>
                <w:szCs w:val="20"/>
                <w:color w:val="auto"/>
              </w:rPr>
            </w:pPr>
            <w:r>
              <w:rPr>
                <w:rFonts w:ascii="Arial" w:cs="Arial" w:eastAsia="Arial" w:hAnsi="Arial"/>
                <w:sz w:val="16"/>
                <w:szCs w:val="16"/>
                <w:color w:val="auto"/>
              </w:rPr>
              <w:t>270</w:t>
            </w:r>
          </w:p>
        </w:tc>
        <w:tc>
          <w:tcPr>
            <w:tcW w:w="80" w:type="dxa"/>
            <w:vAlign w:val="bottom"/>
          </w:tcPr>
          <w:p>
            <w:pPr>
              <w:spacing w:after="0"/>
              <w:rPr>
                <w:sz w:val="18"/>
                <w:szCs w:val="18"/>
                <w:color w:val="auto"/>
              </w:rPr>
            </w:pPr>
          </w:p>
        </w:tc>
        <w:tc>
          <w:tcPr>
            <w:tcW w:w="1660" w:type="dxa"/>
            <w:vAlign w:val="bottom"/>
          </w:tcPr>
          <w:p>
            <w:pPr>
              <w:ind w:left="40"/>
              <w:spacing w:after="0"/>
              <w:rPr>
                <w:sz w:val="20"/>
                <w:szCs w:val="20"/>
                <w:color w:val="auto"/>
              </w:rPr>
            </w:pPr>
            <w:r>
              <w:rPr>
                <w:rFonts w:ascii="Arial" w:cs="Arial" w:eastAsia="Arial" w:hAnsi="Arial"/>
                <w:sz w:val="16"/>
                <w:szCs w:val="16"/>
                <w:color w:val="auto"/>
              </w:rPr>
              <w:t>Market Comparable</w:t>
            </w:r>
          </w:p>
        </w:tc>
        <w:tc>
          <w:tcPr>
            <w:tcW w:w="60" w:type="dxa"/>
            <w:vAlign w:val="bottom"/>
          </w:tcPr>
          <w:p>
            <w:pPr>
              <w:spacing w:after="0"/>
              <w:rPr>
                <w:sz w:val="18"/>
                <w:szCs w:val="18"/>
                <w:color w:val="auto"/>
              </w:rPr>
            </w:pPr>
          </w:p>
        </w:tc>
        <w:tc>
          <w:tcPr>
            <w:tcW w:w="1480" w:type="dxa"/>
            <w:vAlign w:val="bottom"/>
            <w:vMerge w:val="restart"/>
          </w:tcPr>
          <w:p>
            <w:pPr>
              <w:ind w:left="60"/>
              <w:spacing w:after="0"/>
              <w:rPr>
                <w:sz w:val="20"/>
                <w:szCs w:val="20"/>
                <w:color w:val="auto"/>
              </w:rPr>
            </w:pPr>
            <w:r>
              <w:rPr>
                <w:rFonts w:ascii="Arial" w:cs="Arial" w:eastAsia="Arial" w:hAnsi="Arial"/>
                <w:sz w:val="16"/>
                <w:szCs w:val="16"/>
                <w:color w:val="auto"/>
              </w:rPr>
              <w:t>EBITDA Multiple</w:t>
            </w:r>
          </w:p>
        </w:tc>
        <w:tc>
          <w:tcPr>
            <w:tcW w:w="80" w:type="dxa"/>
            <w:vAlign w:val="bottom"/>
          </w:tcPr>
          <w:p>
            <w:pPr>
              <w:spacing w:after="0"/>
              <w:rPr>
                <w:sz w:val="18"/>
                <w:szCs w:val="18"/>
                <w:color w:val="auto"/>
              </w:rPr>
            </w:pPr>
          </w:p>
        </w:tc>
        <w:tc>
          <w:tcPr>
            <w:tcW w:w="2100" w:type="dxa"/>
            <w:vAlign w:val="bottom"/>
            <w:gridSpan w:val="2"/>
            <w:vMerge w:val="restart"/>
          </w:tcPr>
          <w:p>
            <w:pPr>
              <w:ind w:left="40"/>
              <w:spacing w:after="0"/>
              <w:rPr>
                <w:sz w:val="20"/>
                <w:szCs w:val="20"/>
                <w:color w:val="auto"/>
              </w:rPr>
            </w:pPr>
            <w:r>
              <w:rPr>
                <w:rFonts w:ascii="Arial" w:cs="Arial" w:eastAsia="Arial" w:hAnsi="Arial"/>
                <w:sz w:val="16"/>
                <w:szCs w:val="16"/>
                <w:color w:val="auto"/>
              </w:rPr>
              <w:t>7.4x - 15.5x (12.10x)</w:t>
            </w:r>
          </w:p>
        </w:tc>
        <w:tc>
          <w:tcPr>
            <w:tcW w:w="0" w:type="dxa"/>
            <w:vAlign w:val="bottom"/>
          </w:tcPr>
          <w:p>
            <w:pPr>
              <w:spacing w:after="0"/>
              <w:rPr>
                <w:sz w:val="1"/>
                <w:szCs w:val="1"/>
                <w:color w:val="auto"/>
              </w:rPr>
            </w:pPr>
          </w:p>
        </w:tc>
      </w:tr>
      <w:tr>
        <w:trPr>
          <w:trHeight w:val="204"/>
        </w:trPr>
        <w:tc>
          <w:tcPr>
            <w:tcW w:w="40" w:type="dxa"/>
            <w:vAlign w:val="bottom"/>
          </w:tcPr>
          <w:p>
            <w:pPr>
              <w:spacing w:after="0"/>
              <w:rPr>
                <w:sz w:val="17"/>
                <w:szCs w:val="17"/>
                <w:color w:val="auto"/>
              </w:rPr>
            </w:pPr>
          </w:p>
        </w:tc>
        <w:tc>
          <w:tcPr>
            <w:tcW w:w="3140" w:type="dxa"/>
            <w:vAlign w:val="bottom"/>
            <w:gridSpan w:val="3"/>
            <w:vMerge w:val="continue"/>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660" w:type="dxa"/>
            <w:vAlign w:val="bottom"/>
          </w:tcPr>
          <w:p>
            <w:pPr>
              <w:ind w:left="40"/>
              <w:spacing w:after="0"/>
              <w:rPr>
                <w:sz w:val="20"/>
                <w:szCs w:val="20"/>
                <w:color w:val="auto"/>
              </w:rPr>
            </w:pPr>
            <w:r>
              <w:rPr>
                <w:rFonts w:ascii="Arial" w:cs="Arial" w:eastAsia="Arial" w:hAnsi="Arial"/>
                <w:sz w:val="16"/>
                <w:szCs w:val="16"/>
                <w:color w:val="auto"/>
              </w:rPr>
              <w:t>Company Analysis</w:t>
            </w:r>
          </w:p>
        </w:tc>
        <w:tc>
          <w:tcPr>
            <w:tcW w:w="60" w:type="dxa"/>
            <w:vAlign w:val="bottom"/>
          </w:tcPr>
          <w:p>
            <w:pPr>
              <w:spacing w:after="0"/>
              <w:rPr>
                <w:sz w:val="17"/>
                <w:szCs w:val="17"/>
                <w:color w:val="auto"/>
              </w:rPr>
            </w:pPr>
          </w:p>
        </w:tc>
        <w:tc>
          <w:tcPr>
            <w:tcW w:w="148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210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78"/>
        </w:trPr>
        <w:tc>
          <w:tcPr>
            <w:tcW w:w="40" w:type="dxa"/>
            <w:vAlign w:val="bottom"/>
          </w:tcPr>
          <w:p>
            <w:pPr>
              <w:spacing w:after="0"/>
              <w:rPr>
                <w:sz w:val="24"/>
                <w:szCs w:val="24"/>
                <w:color w:val="auto"/>
              </w:rPr>
            </w:pPr>
          </w:p>
        </w:tc>
        <w:tc>
          <w:tcPr>
            <w:tcW w:w="3140" w:type="dxa"/>
            <w:vAlign w:val="bottom"/>
            <w:gridSpan w:val="3"/>
          </w:tcPr>
          <w:p>
            <w:pPr>
              <w:spacing w:after="0"/>
              <w:rPr>
                <w:sz w:val="20"/>
                <w:szCs w:val="20"/>
                <w:color w:val="auto"/>
              </w:rPr>
            </w:pPr>
            <w:r>
              <w:rPr>
                <w:rFonts w:ascii="Arial" w:cs="Arial" w:eastAsia="Arial" w:hAnsi="Arial"/>
                <w:sz w:val="16"/>
                <w:szCs w:val="16"/>
                <w:color w:val="auto"/>
              </w:rPr>
              <w:t>Equity securities:</w:t>
            </w: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40" w:type="dxa"/>
            <w:vAlign w:val="bottom"/>
          </w:tcPr>
          <w:p>
            <w:pPr>
              <w:spacing w:after="0"/>
              <w:rPr>
                <w:sz w:val="24"/>
                <w:szCs w:val="24"/>
                <w:color w:val="auto"/>
              </w:rPr>
            </w:pPr>
          </w:p>
        </w:tc>
        <w:tc>
          <w:tcPr>
            <w:tcW w:w="3140" w:type="dxa"/>
            <w:vAlign w:val="bottom"/>
            <w:gridSpan w:val="3"/>
          </w:tcPr>
          <w:p>
            <w:pPr>
              <w:spacing w:after="0"/>
              <w:rPr>
                <w:sz w:val="20"/>
                <w:szCs w:val="20"/>
                <w:color w:val="auto"/>
              </w:rPr>
            </w:pPr>
            <w:r>
              <w:rPr>
                <w:rFonts w:ascii="Arial" w:cs="Arial" w:eastAsia="Arial" w:hAnsi="Arial"/>
                <w:sz w:val="16"/>
                <w:szCs w:val="16"/>
                <w:color w:val="auto"/>
              </w:rPr>
              <w:t>Preferred equity securities</w:t>
            </w:r>
          </w:p>
        </w:tc>
        <w:tc>
          <w:tcPr>
            <w:tcW w:w="20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w:t>
            </w:r>
          </w:p>
        </w:tc>
        <w:tc>
          <w:tcPr>
            <w:tcW w:w="80" w:type="dxa"/>
            <w:vAlign w:val="bottom"/>
          </w:tcPr>
          <w:p>
            <w:pPr>
              <w:spacing w:after="0"/>
              <w:rPr>
                <w:sz w:val="24"/>
                <w:szCs w:val="24"/>
                <w:color w:val="auto"/>
              </w:rPr>
            </w:pPr>
          </w:p>
        </w:tc>
        <w:tc>
          <w:tcPr>
            <w:tcW w:w="1660" w:type="dxa"/>
            <w:vAlign w:val="bottom"/>
          </w:tcPr>
          <w:p>
            <w:pPr>
              <w:ind w:left="40"/>
              <w:spacing w:after="0"/>
              <w:rPr>
                <w:sz w:val="20"/>
                <w:szCs w:val="20"/>
                <w:color w:val="auto"/>
              </w:rPr>
            </w:pPr>
            <w:r>
              <w:rPr>
                <w:rFonts w:ascii="Arial" w:cs="Arial" w:eastAsia="Arial" w:hAnsi="Arial"/>
                <w:sz w:val="16"/>
                <w:szCs w:val="16"/>
                <w:color w:val="auto"/>
                <w:w w:val="99"/>
              </w:rPr>
              <w:t>Discounted Cash Flow</w:t>
            </w:r>
          </w:p>
        </w:tc>
        <w:tc>
          <w:tcPr>
            <w:tcW w:w="60" w:type="dxa"/>
            <w:vAlign w:val="bottom"/>
          </w:tcPr>
          <w:p>
            <w:pPr>
              <w:spacing w:after="0"/>
              <w:rPr>
                <w:sz w:val="24"/>
                <w:szCs w:val="24"/>
                <w:color w:val="auto"/>
              </w:rPr>
            </w:pPr>
          </w:p>
        </w:tc>
        <w:tc>
          <w:tcPr>
            <w:tcW w:w="1480" w:type="dxa"/>
            <w:vAlign w:val="bottom"/>
          </w:tcPr>
          <w:p>
            <w:pPr>
              <w:ind w:left="60"/>
              <w:spacing w:after="0"/>
              <w:rPr>
                <w:sz w:val="20"/>
                <w:szCs w:val="20"/>
                <w:color w:val="auto"/>
              </w:rPr>
            </w:pPr>
            <w:r>
              <w:rPr>
                <w:rFonts w:ascii="Arial" w:cs="Arial" w:eastAsia="Arial" w:hAnsi="Arial"/>
                <w:sz w:val="16"/>
                <w:szCs w:val="16"/>
                <w:color w:val="auto"/>
              </w:rPr>
              <w:t>Discount rate</w:t>
            </w:r>
          </w:p>
        </w:tc>
        <w:tc>
          <w:tcPr>
            <w:tcW w:w="2180" w:type="dxa"/>
            <w:vAlign w:val="bottom"/>
            <w:gridSpan w:val="3"/>
          </w:tcPr>
          <w:p>
            <w:pPr>
              <w:ind w:left="120"/>
              <w:spacing w:after="0"/>
              <w:rPr>
                <w:sz w:val="20"/>
                <w:szCs w:val="20"/>
                <w:color w:val="auto"/>
              </w:rPr>
            </w:pPr>
            <w:r>
              <w:rPr>
                <w:rFonts w:ascii="Arial" w:cs="Arial" w:eastAsia="Arial" w:hAnsi="Arial"/>
                <w:sz w:val="16"/>
                <w:szCs w:val="16"/>
                <w:color w:val="auto"/>
                <w:w w:val="93"/>
              </w:rPr>
              <w:t>100.00% - 100.00% (100.00%)</w:t>
            </w: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3140" w:type="dxa"/>
            <w:vAlign w:val="bottom"/>
            <w:gridSpan w:val="3"/>
          </w:tcPr>
          <w:p>
            <w:pPr>
              <w:spacing w:after="0"/>
              <w:rPr>
                <w:sz w:val="20"/>
                <w:szCs w:val="20"/>
                <w:color w:val="auto"/>
              </w:rPr>
            </w:pPr>
            <w:r>
              <w:rPr>
                <w:rFonts w:ascii="Arial" w:cs="Arial" w:eastAsia="Arial" w:hAnsi="Arial"/>
                <w:sz w:val="16"/>
                <w:szCs w:val="16"/>
                <w:color w:val="auto"/>
              </w:rPr>
              <w:t>Common equity securities</w:t>
            </w:r>
          </w:p>
        </w:tc>
        <w:tc>
          <w:tcPr>
            <w:tcW w:w="2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12</w:t>
            </w:r>
          </w:p>
        </w:tc>
        <w:tc>
          <w:tcPr>
            <w:tcW w:w="80" w:type="dxa"/>
            <w:vAlign w:val="bottom"/>
          </w:tcPr>
          <w:p>
            <w:pPr>
              <w:spacing w:after="0"/>
              <w:rPr>
                <w:sz w:val="21"/>
                <w:szCs w:val="21"/>
                <w:color w:val="auto"/>
              </w:rPr>
            </w:pPr>
          </w:p>
        </w:tc>
        <w:tc>
          <w:tcPr>
            <w:tcW w:w="1660" w:type="dxa"/>
            <w:vAlign w:val="bottom"/>
          </w:tcPr>
          <w:p>
            <w:pPr>
              <w:ind w:left="40"/>
              <w:spacing w:after="0"/>
              <w:rPr>
                <w:sz w:val="20"/>
                <w:szCs w:val="20"/>
                <w:color w:val="auto"/>
              </w:rPr>
            </w:pPr>
            <w:r>
              <w:rPr>
                <w:rFonts w:ascii="Arial" w:cs="Arial" w:eastAsia="Arial" w:hAnsi="Arial"/>
                <w:sz w:val="16"/>
                <w:szCs w:val="16"/>
                <w:color w:val="auto"/>
                <w:w w:val="99"/>
              </w:rPr>
              <w:t>Discounted Cash Flow</w:t>
            </w:r>
          </w:p>
        </w:tc>
        <w:tc>
          <w:tcPr>
            <w:tcW w:w="60" w:type="dxa"/>
            <w:vAlign w:val="bottom"/>
          </w:tcPr>
          <w:p>
            <w:pPr>
              <w:spacing w:after="0"/>
              <w:rPr>
                <w:sz w:val="21"/>
                <w:szCs w:val="21"/>
                <w:color w:val="auto"/>
              </w:rPr>
            </w:pPr>
          </w:p>
        </w:tc>
        <w:tc>
          <w:tcPr>
            <w:tcW w:w="1480" w:type="dxa"/>
            <w:vAlign w:val="bottom"/>
          </w:tcPr>
          <w:p>
            <w:pPr>
              <w:ind w:left="60"/>
              <w:spacing w:after="0"/>
              <w:rPr>
                <w:sz w:val="20"/>
                <w:szCs w:val="20"/>
                <w:color w:val="auto"/>
              </w:rPr>
            </w:pPr>
            <w:r>
              <w:rPr>
                <w:rFonts w:ascii="Arial" w:cs="Arial" w:eastAsia="Arial" w:hAnsi="Arial"/>
                <w:sz w:val="16"/>
                <w:szCs w:val="16"/>
                <w:color w:val="auto"/>
              </w:rPr>
              <w:t>Discount rate</w:t>
            </w:r>
          </w:p>
        </w:tc>
        <w:tc>
          <w:tcPr>
            <w:tcW w:w="540" w:type="dxa"/>
            <w:vAlign w:val="bottom"/>
            <w:gridSpan w:val="2"/>
          </w:tcPr>
          <w:p>
            <w:pPr>
              <w:ind w:left="120"/>
              <w:spacing w:after="0"/>
              <w:rPr>
                <w:sz w:val="20"/>
                <w:szCs w:val="20"/>
                <w:color w:val="auto"/>
              </w:rPr>
            </w:pPr>
            <w:r>
              <w:rPr>
                <w:rFonts w:ascii="Arial" w:cs="Arial" w:eastAsia="Arial" w:hAnsi="Arial"/>
                <w:sz w:val="16"/>
                <w:szCs w:val="16"/>
                <w:color w:val="auto"/>
                <w:w w:val="88"/>
              </w:rPr>
              <w:t>8.10%</w:t>
            </w:r>
          </w:p>
        </w:tc>
        <w:tc>
          <w:tcPr>
            <w:tcW w:w="1640" w:type="dxa"/>
            <w:vAlign w:val="bottom"/>
          </w:tcPr>
          <w:p>
            <w:pPr>
              <w:ind w:left="20"/>
              <w:spacing w:after="0"/>
              <w:rPr>
                <w:sz w:val="20"/>
                <w:szCs w:val="20"/>
                <w:color w:val="auto"/>
              </w:rPr>
            </w:pPr>
            <w:r>
              <w:rPr>
                <w:rFonts w:ascii="Arial" w:cs="Arial" w:eastAsia="Arial" w:hAnsi="Arial"/>
                <w:sz w:val="16"/>
                <w:szCs w:val="16"/>
                <w:color w:val="auto"/>
              </w:rPr>
              <w:t>- 14.00% (14.29%)</w:t>
            </w:r>
          </w:p>
        </w:tc>
        <w:tc>
          <w:tcPr>
            <w:tcW w:w="0" w:type="dxa"/>
            <w:vAlign w:val="bottom"/>
          </w:tcPr>
          <w:p>
            <w:pPr>
              <w:spacing w:after="0"/>
              <w:rPr>
                <w:sz w:val="1"/>
                <w:szCs w:val="1"/>
                <w:color w:val="auto"/>
              </w:rPr>
            </w:pPr>
          </w:p>
        </w:tc>
      </w:tr>
      <w:tr>
        <w:trPr>
          <w:trHeight w:val="253"/>
        </w:trPr>
        <w:tc>
          <w:tcPr>
            <w:tcW w:w="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4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60" w:type="dxa"/>
            <w:vAlign w:val="bottom"/>
          </w:tcPr>
          <w:p>
            <w:pPr>
              <w:ind w:left="40"/>
              <w:spacing w:after="0"/>
              <w:rPr>
                <w:sz w:val="20"/>
                <w:szCs w:val="20"/>
                <w:color w:val="auto"/>
              </w:rPr>
            </w:pPr>
            <w:r>
              <w:rPr>
                <w:rFonts w:ascii="Arial" w:cs="Arial" w:eastAsia="Arial" w:hAnsi="Arial"/>
                <w:sz w:val="16"/>
                <w:szCs w:val="16"/>
                <w:color w:val="auto"/>
              </w:rPr>
              <w:t>Market Comparable</w:t>
            </w:r>
          </w:p>
        </w:tc>
        <w:tc>
          <w:tcPr>
            <w:tcW w:w="60" w:type="dxa"/>
            <w:vAlign w:val="bottom"/>
          </w:tcPr>
          <w:p>
            <w:pPr>
              <w:spacing w:after="0"/>
              <w:rPr>
                <w:sz w:val="21"/>
                <w:szCs w:val="21"/>
                <w:color w:val="auto"/>
              </w:rPr>
            </w:pPr>
          </w:p>
        </w:tc>
        <w:tc>
          <w:tcPr>
            <w:tcW w:w="1480" w:type="dxa"/>
            <w:vAlign w:val="bottom"/>
            <w:vMerge w:val="restart"/>
          </w:tcPr>
          <w:p>
            <w:pPr>
              <w:ind w:left="60"/>
              <w:spacing w:after="0"/>
              <w:rPr>
                <w:sz w:val="20"/>
                <w:szCs w:val="20"/>
                <w:color w:val="auto"/>
              </w:rPr>
            </w:pPr>
            <w:r>
              <w:rPr>
                <w:rFonts w:ascii="Arial" w:cs="Arial" w:eastAsia="Arial" w:hAnsi="Arial"/>
                <w:sz w:val="16"/>
                <w:szCs w:val="16"/>
                <w:color w:val="auto"/>
              </w:rPr>
              <w:t>EBITDA multiple</w:t>
            </w:r>
          </w:p>
        </w:tc>
        <w:tc>
          <w:tcPr>
            <w:tcW w:w="80" w:type="dxa"/>
            <w:vAlign w:val="bottom"/>
          </w:tcPr>
          <w:p>
            <w:pPr>
              <w:spacing w:after="0"/>
              <w:rPr>
                <w:sz w:val="21"/>
                <w:szCs w:val="21"/>
                <w:color w:val="auto"/>
              </w:rPr>
            </w:pPr>
          </w:p>
        </w:tc>
        <w:tc>
          <w:tcPr>
            <w:tcW w:w="2100" w:type="dxa"/>
            <w:vAlign w:val="bottom"/>
            <w:gridSpan w:val="2"/>
            <w:vMerge w:val="restart"/>
          </w:tcPr>
          <w:p>
            <w:pPr>
              <w:ind w:left="40"/>
              <w:spacing w:after="0"/>
              <w:rPr>
                <w:sz w:val="20"/>
                <w:szCs w:val="20"/>
                <w:color w:val="auto"/>
              </w:rPr>
            </w:pPr>
            <w:r>
              <w:rPr>
                <w:rFonts w:ascii="Arial" w:cs="Arial" w:eastAsia="Arial" w:hAnsi="Arial"/>
                <w:sz w:val="16"/>
                <w:szCs w:val="16"/>
                <w:color w:val="auto"/>
              </w:rPr>
              <w:t>4.8x - 6.7x (5.5x)</w:t>
            </w:r>
          </w:p>
        </w:tc>
        <w:tc>
          <w:tcPr>
            <w:tcW w:w="0" w:type="dxa"/>
            <w:vAlign w:val="bottom"/>
          </w:tcPr>
          <w:p>
            <w:pPr>
              <w:spacing w:after="0"/>
              <w:rPr>
                <w:sz w:val="1"/>
                <w:szCs w:val="1"/>
                <w:color w:val="auto"/>
              </w:rPr>
            </w:pPr>
          </w:p>
        </w:tc>
      </w:tr>
      <w:tr>
        <w:trPr>
          <w:trHeight w:val="204"/>
        </w:trPr>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60" w:type="dxa"/>
            <w:vAlign w:val="bottom"/>
          </w:tcPr>
          <w:p>
            <w:pPr>
              <w:ind w:left="40"/>
              <w:spacing w:after="0"/>
              <w:rPr>
                <w:sz w:val="20"/>
                <w:szCs w:val="20"/>
                <w:color w:val="auto"/>
              </w:rPr>
            </w:pPr>
            <w:r>
              <w:rPr>
                <w:rFonts w:ascii="Arial" w:cs="Arial" w:eastAsia="Arial" w:hAnsi="Arial"/>
                <w:sz w:val="16"/>
                <w:szCs w:val="16"/>
                <w:color w:val="auto"/>
              </w:rPr>
              <w:t>Company Analysis</w:t>
            </w:r>
          </w:p>
        </w:tc>
        <w:tc>
          <w:tcPr>
            <w:tcW w:w="60" w:type="dxa"/>
            <w:vAlign w:val="bottom"/>
          </w:tcPr>
          <w:p>
            <w:pPr>
              <w:spacing w:after="0"/>
              <w:rPr>
                <w:sz w:val="17"/>
                <w:szCs w:val="17"/>
                <w:color w:val="auto"/>
              </w:rPr>
            </w:pPr>
          </w:p>
        </w:tc>
        <w:tc>
          <w:tcPr>
            <w:tcW w:w="148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210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49"/>
        </w:trPr>
        <w:tc>
          <w:tcPr>
            <w:tcW w:w="40" w:type="dxa"/>
            <w:vAlign w:val="bottom"/>
          </w:tcPr>
          <w:p>
            <w:pPr>
              <w:spacing w:after="0"/>
              <w:rPr>
                <w:sz w:val="21"/>
                <w:szCs w:val="21"/>
                <w:color w:val="auto"/>
              </w:rPr>
            </w:pPr>
          </w:p>
        </w:tc>
        <w:tc>
          <w:tcPr>
            <w:tcW w:w="3140" w:type="dxa"/>
            <w:vAlign w:val="bottom"/>
            <w:gridSpan w:val="3"/>
          </w:tcPr>
          <w:p>
            <w:pPr>
              <w:spacing w:after="0"/>
              <w:rPr>
                <w:sz w:val="20"/>
                <w:szCs w:val="20"/>
                <w:color w:val="auto"/>
              </w:rPr>
            </w:pPr>
            <w:r>
              <w:rPr>
                <w:rFonts w:ascii="Arial" w:cs="Arial" w:eastAsia="Arial" w:hAnsi="Arial"/>
                <w:sz w:val="16"/>
                <w:szCs w:val="16"/>
                <w:color w:val="auto"/>
              </w:rPr>
              <w:t>MSRs</w:t>
            </w:r>
          </w:p>
        </w:tc>
        <w:tc>
          <w:tcPr>
            <w:tcW w:w="2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129</w:t>
            </w:r>
          </w:p>
        </w:tc>
        <w:tc>
          <w:tcPr>
            <w:tcW w:w="80" w:type="dxa"/>
            <w:vAlign w:val="bottom"/>
          </w:tcPr>
          <w:p>
            <w:pPr>
              <w:spacing w:after="0"/>
              <w:rPr>
                <w:sz w:val="21"/>
                <w:szCs w:val="21"/>
                <w:color w:val="auto"/>
              </w:rPr>
            </w:pPr>
          </w:p>
        </w:tc>
        <w:tc>
          <w:tcPr>
            <w:tcW w:w="1660" w:type="dxa"/>
            <w:vAlign w:val="bottom"/>
          </w:tcPr>
          <w:p>
            <w:pPr>
              <w:ind w:left="40"/>
              <w:spacing w:after="0"/>
              <w:rPr>
                <w:sz w:val="20"/>
                <w:szCs w:val="20"/>
                <w:color w:val="auto"/>
              </w:rPr>
            </w:pPr>
            <w:r>
              <w:rPr>
                <w:rFonts w:ascii="Arial" w:cs="Arial" w:eastAsia="Arial" w:hAnsi="Arial"/>
                <w:sz w:val="16"/>
                <w:szCs w:val="16"/>
                <w:color w:val="auto"/>
                <w:w w:val="99"/>
              </w:rPr>
              <w:t>Discounted Cash Flow</w:t>
            </w:r>
          </w:p>
        </w:tc>
        <w:tc>
          <w:tcPr>
            <w:tcW w:w="60" w:type="dxa"/>
            <w:vAlign w:val="bottom"/>
          </w:tcPr>
          <w:p>
            <w:pPr>
              <w:spacing w:after="0"/>
              <w:rPr>
                <w:sz w:val="21"/>
                <w:szCs w:val="21"/>
                <w:color w:val="auto"/>
              </w:rPr>
            </w:pPr>
          </w:p>
        </w:tc>
        <w:tc>
          <w:tcPr>
            <w:tcW w:w="1480" w:type="dxa"/>
            <w:vAlign w:val="bottom"/>
          </w:tcPr>
          <w:p>
            <w:pPr>
              <w:ind w:left="60"/>
              <w:spacing w:after="0"/>
              <w:rPr>
                <w:sz w:val="20"/>
                <w:szCs w:val="20"/>
                <w:color w:val="auto"/>
              </w:rPr>
            </w:pPr>
            <w:r>
              <w:rPr>
                <w:rFonts w:ascii="Arial" w:cs="Arial" w:eastAsia="Arial" w:hAnsi="Arial"/>
                <w:sz w:val="16"/>
                <w:szCs w:val="16"/>
                <w:color w:val="auto"/>
              </w:rPr>
              <w:t>Discount Rate</w:t>
            </w:r>
          </w:p>
        </w:tc>
        <w:tc>
          <w:tcPr>
            <w:tcW w:w="540" w:type="dxa"/>
            <w:vAlign w:val="bottom"/>
            <w:gridSpan w:val="2"/>
          </w:tcPr>
          <w:p>
            <w:pPr>
              <w:ind w:left="120"/>
              <w:spacing w:after="0"/>
              <w:rPr>
                <w:sz w:val="20"/>
                <w:szCs w:val="20"/>
                <w:color w:val="auto"/>
              </w:rPr>
            </w:pPr>
            <w:r>
              <w:rPr>
                <w:rFonts w:ascii="Arial" w:cs="Arial" w:eastAsia="Arial" w:hAnsi="Arial"/>
                <w:sz w:val="16"/>
                <w:szCs w:val="16"/>
                <w:color w:val="auto"/>
                <w:w w:val="88"/>
              </w:rPr>
              <w:t>6.38%</w:t>
            </w:r>
          </w:p>
        </w:tc>
        <w:tc>
          <w:tcPr>
            <w:tcW w:w="1640" w:type="dxa"/>
            <w:vAlign w:val="bottom"/>
          </w:tcPr>
          <w:p>
            <w:pPr>
              <w:ind w:left="20"/>
              <w:spacing w:after="0"/>
              <w:rPr>
                <w:sz w:val="20"/>
                <w:szCs w:val="20"/>
                <w:color w:val="auto"/>
              </w:rPr>
            </w:pPr>
            <w:r>
              <w:rPr>
                <w:rFonts w:ascii="Arial" w:cs="Arial" w:eastAsia="Arial" w:hAnsi="Arial"/>
                <w:sz w:val="16"/>
                <w:szCs w:val="16"/>
                <w:color w:val="auto"/>
              </w:rPr>
              <w:t>- 10.69% (8.00%)</w:t>
            </w: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80" w:type="dxa"/>
            <w:vAlign w:val="bottom"/>
          </w:tcPr>
          <w:p>
            <w:pPr>
              <w:ind w:left="60"/>
              <w:spacing w:after="0"/>
              <w:rPr>
                <w:sz w:val="20"/>
                <w:szCs w:val="20"/>
                <w:color w:val="auto"/>
              </w:rPr>
            </w:pPr>
            <w:r>
              <w:rPr>
                <w:rFonts w:ascii="Arial" w:cs="Arial" w:eastAsia="Arial" w:hAnsi="Arial"/>
                <w:sz w:val="16"/>
                <w:szCs w:val="16"/>
                <w:color w:val="auto"/>
              </w:rPr>
              <w:t>Conditional</w:t>
            </w:r>
          </w:p>
        </w:tc>
        <w:tc>
          <w:tcPr>
            <w:tcW w:w="540" w:type="dxa"/>
            <w:vAlign w:val="bottom"/>
            <w:gridSpan w:val="2"/>
            <w:vMerge w:val="restart"/>
          </w:tcPr>
          <w:p>
            <w:pPr>
              <w:ind w:left="120"/>
              <w:spacing w:after="0"/>
              <w:rPr>
                <w:sz w:val="20"/>
                <w:szCs w:val="20"/>
                <w:color w:val="auto"/>
              </w:rPr>
            </w:pPr>
            <w:r>
              <w:rPr>
                <w:rFonts w:ascii="Arial" w:cs="Arial" w:eastAsia="Arial" w:hAnsi="Arial"/>
                <w:sz w:val="16"/>
                <w:szCs w:val="16"/>
                <w:color w:val="auto"/>
                <w:w w:val="88"/>
              </w:rPr>
              <w:t>5.85%</w:t>
            </w:r>
          </w:p>
        </w:tc>
        <w:tc>
          <w:tcPr>
            <w:tcW w:w="1640" w:type="dxa"/>
            <w:vAlign w:val="bottom"/>
            <w:vMerge w:val="restart"/>
          </w:tcPr>
          <w:p>
            <w:pPr>
              <w:ind w:left="20"/>
              <w:spacing w:after="0"/>
              <w:rPr>
                <w:sz w:val="20"/>
                <w:szCs w:val="20"/>
                <w:color w:val="auto"/>
              </w:rPr>
            </w:pPr>
            <w:r>
              <w:rPr>
                <w:rFonts w:ascii="Arial" w:cs="Arial" w:eastAsia="Arial" w:hAnsi="Arial"/>
                <w:sz w:val="16"/>
                <w:szCs w:val="16"/>
                <w:color w:val="auto"/>
              </w:rPr>
              <w:t>-13.65% (7.77%)</w:t>
            </w:r>
          </w:p>
        </w:tc>
        <w:tc>
          <w:tcPr>
            <w:tcW w:w="0" w:type="dxa"/>
            <w:vAlign w:val="bottom"/>
          </w:tcPr>
          <w:p>
            <w:pPr>
              <w:spacing w:after="0"/>
              <w:rPr>
                <w:sz w:val="1"/>
                <w:szCs w:val="1"/>
                <w:color w:val="auto"/>
              </w:rPr>
            </w:pPr>
          </w:p>
        </w:tc>
      </w:tr>
      <w:tr>
        <w:trPr>
          <w:trHeight w:val="204"/>
        </w:trPr>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80" w:type="dxa"/>
            <w:vAlign w:val="bottom"/>
          </w:tcPr>
          <w:p>
            <w:pPr>
              <w:ind w:left="60"/>
              <w:spacing w:after="0"/>
              <w:rPr>
                <w:sz w:val="20"/>
                <w:szCs w:val="20"/>
                <w:color w:val="auto"/>
              </w:rPr>
            </w:pPr>
            <w:r>
              <w:rPr>
                <w:rFonts w:ascii="Arial" w:cs="Arial" w:eastAsia="Arial" w:hAnsi="Arial"/>
                <w:sz w:val="16"/>
                <w:szCs w:val="16"/>
                <w:color w:val="auto"/>
              </w:rPr>
              <w:t>Prepayment Rate</w:t>
            </w:r>
          </w:p>
        </w:tc>
        <w:tc>
          <w:tcPr>
            <w:tcW w:w="540" w:type="dxa"/>
            <w:vAlign w:val="bottom"/>
            <w:gridSpan w:val="2"/>
            <w:vMerge w:val="continue"/>
          </w:tcPr>
          <w:p>
            <w:pPr>
              <w:spacing w:after="0"/>
              <w:rPr>
                <w:sz w:val="17"/>
                <w:szCs w:val="17"/>
                <w:color w:val="auto"/>
              </w:rPr>
            </w:pPr>
          </w:p>
        </w:tc>
        <w:tc>
          <w:tcPr>
            <w:tcW w:w="16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49"/>
        </w:trPr>
        <w:tc>
          <w:tcPr>
            <w:tcW w:w="40" w:type="dxa"/>
            <w:vAlign w:val="bottom"/>
          </w:tcPr>
          <w:p>
            <w:pPr>
              <w:spacing w:after="0"/>
              <w:rPr>
                <w:sz w:val="21"/>
                <w:szCs w:val="21"/>
                <w:color w:val="auto"/>
              </w:rPr>
            </w:pPr>
          </w:p>
        </w:tc>
        <w:tc>
          <w:tcPr>
            <w:tcW w:w="3140" w:type="dxa"/>
            <w:vAlign w:val="bottom"/>
            <w:gridSpan w:val="3"/>
          </w:tcPr>
          <w:p>
            <w:pPr>
              <w:spacing w:after="0"/>
              <w:rPr>
                <w:sz w:val="20"/>
                <w:szCs w:val="20"/>
                <w:color w:val="auto"/>
              </w:rPr>
            </w:pPr>
            <w:r>
              <w:rPr>
                <w:rFonts w:ascii="Arial" w:cs="Arial" w:eastAsia="Arial" w:hAnsi="Arial"/>
                <w:sz w:val="16"/>
                <w:szCs w:val="16"/>
                <w:color w:val="auto"/>
              </w:rPr>
              <w:t>Other long-term investments:</w:t>
            </w:r>
          </w:p>
        </w:tc>
        <w:tc>
          <w:tcPr>
            <w:tcW w:w="2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40" w:type="dxa"/>
            <w:vAlign w:val="bottom"/>
          </w:tcPr>
          <w:p>
            <w:pPr>
              <w:spacing w:after="0"/>
              <w:rPr>
                <w:sz w:val="16"/>
                <w:szCs w:val="16"/>
                <w:color w:val="auto"/>
              </w:rPr>
            </w:pPr>
          </w:p>
        </w:tc>
        <w:tc>
          <w:tcPr>
            <w:tcW w:w="3140" w:type="dxa"/>
            <w:vAlign w:val="bottom"/>
            <w:gridSpan w:val="3"/>
            <w:vMerge w:val="restart"/>
          </w:tcPr>
          <w:p>
            <w:pPr>
              <w:ind w:left="220"/>
              <w:spacing w:after="0"/>
              <w:rPr>
                <w:sz w:val="20"/>
                <w:szCs w:val="20"/>
                <w:color w:val="auto"/>
              </w:rPr>
            </w:pPr>
            <w:r>
              <w:rPr>
                <w:rFonts w:ascii="Arial" w:cs="Arial" w:eastAsia="Arial" w:hAnsi="Arial"/>
                <w:sz w:val="16"/>
                <w:szCs w:val="16"/>
                <w:color w:val="auto"/>
              </w:rPr>
              <w:t>Available-for-sale embedded derivative</w:t>
            </w:r>
          </w:p>
        </w:tc>
        <w:tc>
          <w:tcPr>
            <w:tcW w:w="200" w:type="dxa"/>
            <w:vAlign w:val="bottom"/>
          </w:tcPr>
          <w:p>
            <w:pPr>
              <w:spacing w:after="0"/>
              <w:rPr>
                <w:sz w:val="16"/>
                <w:szCs w:val="16"/>
                <w:color w:val="auto"/>
              </w:rPr>
            </w:pPr>
          </w:p>
        </w:tc>
        <w:tc>
          <w:tcPr>
            <w:tcW w:w="1200" w:type="dxa"/>
            <w:vAlign w:val="bottom"/>
            <w:vMerge w:val="restart"/>
          </w:tcPr>
          <w:p>
            <w:pPr>
              <w:jc w:val="right"/>
              <w:spacing w:after="0"/>
              <w:rPr>
                <w:sz w:val="20"/>
                <w:szCs w:val="20"/>
                <w:color w:val="auto"/>
              </w:rPr>
            </w:pPr>
            <w:r>
              <w:rPr>
                <w:rFonts w:ascii="Arial" w:cs="Arial" w:eastAsia="Arial" w:hAnsi="Arial"/>
                <w:sz w:val="16"/>
                <w:szCs w:val="16"/>
                <w:color w:val="auto"/>
              </w:rPr>
              <w:t>41</w:t>
            </w:r>
          </w:p>
        </w:tc>
        <w:tc>
          <w:tcPr>
            <w:tcW w:w="80" w:type="dxa"/>
            <w:vAlign w:val="bottom"/>
          </w:tcPr>
          <w:p>
            <w:pPr>
              <w:spacing w:after="0"/>
              <w:rPr>
                <w:sz w:val="16"/>
                <w:szCs w:val="16"/>
                <w:color w:val="auto"/>
              </w:rPr>
            </w:pPr>
          </w:p>
        </w:tc>
        <w:tc>
          <w:tcPr>
            <w:tcW w:w="1660" w:type="dxa"/>
            <w:vAlign w:val="bottom"/>
            <w:vMerge w:val="restart"/>
          </w:tcPr>
          <w:p>
            <w:pPr>
              <w:ind w:left="40"/>
              <w:spacing w:after="0"/>
              <w:rPr>
                <w:sz w:val="20"/>
                <w:szCs w:val="20"/>
                <w:color w:val="auto"/>
              </w:rPr>
            </w:pPr>
            <w:r>
              <w:rPr>
                <w:rFonts w:ascii="Arial" w:cs="Arial" w:eastAsia="Arial" w:hAnsi="Arial"/>
                <w:sz w:val="16"/>
                <w:szCs w:val="16"/>
                <w:color w:val="auto"/>
              </w:rPr>
              <w:t>Black Scholes Model</w:t>
            </w:r>
          </w:p>
        </w:tc>
        <w:tc>
          <w:tcPr>
            <w:tcW w:w="60" w:type="dxa"/>
            <w:vAlign w:val="bottom"/>
          </w:tcPr>
          <w:p>
            <w:pPr>
              <w:spacing w:after="0"/>
              <w:rPr>
                <w:sz w:val="16"/>
                <w:szCs w:val="16"/>
                <w:color w:val="auto"/>
              </w:rPr>
            </w:pPr>
          </w:p>
        </w:tc>
        <w:tc>
          <w:tcPr>
            <w:tcW w:w="1480" w:type="dxa"/>
            <w:vAlign w:val="bottom"/>
          </w:tcPr>
          <w:p>
            <w:pPr>
              <w:ind w:left="60"/>
              <w:spacing w:after="0"/>
              <w:rPr>
                <w:sz w:val="20"/>
                <w:szCs w:val="20"/>
                <w:color w:val="auto"/>
              </w:rPr>
            </w:pPr>
            <w:r>
              <w:rPr>
                <w:rFonts w:ascii="Arial" w:cs="Arial" w:eastAsia="Arial" w:hAnsi="Arial"/>
                <w:sz w:val="16"/>
                <w:szCs w:val="16"/>
                <w:color w:val="auto"/>
              </w:rPr>
              <w:t>Market Value of</w:t>
            </w:r>
          </w:p>
        </w:tc>
        <w:tc>
          <w:tcPr>
            <w:tcW w:w="2180" w:type="dxa"/>
            <w:vAlign w:val="bottom"/>
            <w:gridSpan w:val="3"/>
            <w:vMerge w:val="restart"/>
          </w:tcPr>
          <w:p>
            <w:pPr>
              <w:ind w:left="120"/>
              <w:spacing w:after="0"/>
              <w:rPr>
                <w:sz w:val="20"/>
                <w:szCs w:val="20"/>
                <w:color w:val="auto"/>
              </w:rPr>
            </w:pPr>
            <w:r>
              <w:rPr>
                <w:rFonts w:ascii="Arial" w:cs="Arial" w:eastAsia="Arial" w:hAnsi="Arial"/>
                <w:sz w:val="16"/>
                <w:szCs w:val="16"/>
                <w:color w:val="auto"/>
              </w:rPr>
              <w:t>100.00%</w:t>
            </w:r>
          </w:p>
        </w:tc>
        <w:tc>
          <w:tcPr>
            <w:tcW w:w="0" w:type="dxa"/>
            <w:vAlign w:val="bottom"/>
          </w:tcPr>
          <w:p>
            <w:pPr>
              <w:spacing w:after="0"/>
              <w:rPr>
                <w:sz w:val="1"/>
                <w:szCs w:val="1"/>
                <w:color w:val="auto"/>
              </w:rPr>
            </w:pPr>
          </w:p>
        </w:tc>
      </w:tr>
      <w:tr>
        <w:trPr>
          <w:trHeight w:val="204"/>
        </w:trPr>
        <w:tc>
          <w:tcPr>
            <w:tcW w:w="40" w:type="dxa"/>
            <w:vAlign w:val="bottom"/>
          </w:tcPr>
          <w:p>
            <w:pPr>
              <w:spacing w:after="0"/>
              <w:rPr>
                <w:sz w:val="17"/>
                <w:szCs w:val="17"/>
                <w:color w:val="auto"/>
              </w:rPr>
            </w:pPr>
          </w:p>
        </w:tc>
        <w:tc>
          <w:tcPr>
            <w:tcW w:w="3140" w:type="dxa"/>
            <w:vAlign w:val="bottom"/>
            <w:gridSpan w:val="3"/>
            <w:vMerge w:val="continue"/>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66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1480" w:type="dxa"/>
            <w:vAlign w:val="bottom"/>
          </w:tcPr>
          <w:p>
            <w:pPr>
              <w:ind w:left="60"/>
              <w:spacing w:after="0"/>
              <w:rPr>
                <w:sz w:val="20"/>
                <w:szCs w:val="20"/>
                <w:color w:val="auto"/>
              </w:rPr>
            </w:pPr>
            <w:r>
              <w:rPr>
                <w:rFonts w:ascii="Arial" w:cs="Arial" w:eastAsia="Arial" w:hAnsi="Arial"/>
                <w:sz w:val="16"/>
                <w:szCs w:val="16"/>
                <w:color w:val="auto"/>
              </w:rPr>
              <w:t>AnchorPath Fund</w:t>
            </w:r>
          </w:p>
        </w:tc>
        <w:tc>
          <w:tcPr>
            <w:tcW w:w="2180" w:type="dxa"/>
            <w:vAlign w:val="bottom"/>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49"/>
        </w:trPr>
        <w:tc>
          <w:tcPr>
            <w:tcW w:w="40" w:type="dxa"/>
            <w:vAlign w:val="bottom"/>
          </w:tcPr>
          <w:p>
            <w:pPr>
              <w:spacing w:after="0"/>
              <w:rPr>
                <w:sz w:val="21"/>
                <w:szCs w:val="21"/>
                <w:color w:val="auto"/>
              </w:rPr>
            </w:pPr>
          </w:p>
        </w:tc>
        <w:tc>
          <w:tcPr>
            <w:tcW w:w="3140" w:type="dxa"/>
            <w:vAlign w:val="bottom"/>
            <w:gridSpan w:val="3"/>
          </w:tcPr>
          <w:p>
            <w:pPr>
              <w:spacing w:after="0"/>
              <w:rPr>
                <w:sz w:val="20"/>
                <w:szCs w:val="20"/>
                <w:color w:val="auto"/>
              </w:rPr>
            </w:pPr>
            <w:r>
              <w:rPr>
                <w:rFonts w:ascii="Arial" w:cs="Arial" w:eastAsia="Arial" w:hAnsi="Arial"/>
                <w:sz w:val="16"/>
                <w:szCs w:val="16"/>
                <w:color w:val="auto"/>
              </w:rPr>
              <w:t>Reinsurance recoverable:</w:t>
            </w:r>
          </w:p>
        </w:tc>
        <w:tc>
          <w:tcPr>
            <w:tcW w:w="2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3140" w:type="dxa"/>
            <w:vAlign w:val="bottom"/>
            <w:gridSpan w:val="3"/>
          </w:tcPr>
          <w:p>
            <w:pPr>
              <w:ind w:left="220"/>
              <w:spacing w:after="0"/>
              <w:rPr>
                <w:sz w:val="20"/>
                <w:szCs w:val="20"/>
                <w:color w:val="auto"/>
              </w:rPr>
            </w:pPr>
            <w:r>
              <w:rPr>
                <w:rFonts w:ascii="Arial" w:cs="Arial" w:eastAsia="Arial" w:hAnsi="Arial"/>
                <w:sz w:val="16"/>
                <w:szCs w:val="16"/>
                <w:color w:val="auto"/>
              </w:rPr>
              <w:t>Indexed annuities/IUL ceded embedded</w:t>
            </w:r>
          </w:p>
        </w:tc>
        <w:tc>
          <w:tcPr>
            <w:tcW w:w="200" w:type="dxa"/>
            <w:vAlign w:val="bottom"/>
          </w:tcPr>
          <w:p>
            <w:pPr>
              <w:spacing w:after="0"/>
              <w:rPr>
                <w:sz w:val="18"/>
                <w:szCs w:val="18"/>
                <w:color w:val="auto"/>
              </w:rPr>
            </w:pPr>
          </w:p>
        </w:tc>
        <w:tc>
          <w:tcPr>
            <w:tcW w:w="1200" w:type="dxa"/>
            <w:vAlign w:val="bottom"/>
            <w:vMerge w:val="restart"/>
          </w:tcPr>
          <w:p>
            <w:pPr>
              <w:jc w:val="right"/>
              <w:spacing w:after="0"/>
              <w:rPr>
                <w:sz w:val="20"/>
                <w:szCs w:val="20"/>
                <w:color w:val="auto"/>
              </w:rPr>
            </w:pPr>
            <w:r>
              <w:rPr>
                <w:rFonts w:ascii="Arial" w:cs="Arial" w:eastAsia="Arial" w:hAnsi="Arial"/>
                <w:sz w:val="16"/>
                <w:szCs w:val="16"/>
                <w:color w:val="auto"/>
              </w:rPr>
              <w:t>399</w:t>
            </w:r>
          </w:p>
        </w:tc>
        <w:tc>
          <w:tcPr>
            <w:tcW w:w="80" w:type="dxa"/>
            <w:vAlign w:val="bottom"/>
          </w:tcPr>
          <w:p>
            <w:pPr>
              <w:spacing w:after="0"/>
              <w:rPr>
                <w:sz w:val="18"/>
                <w:szCs w:val="18"/>
                <w:color w:val="auto"/>
              </w:rPr>
            </w:pPr>
          </w:p>
        </w:tc>
        <w:tc>
          <w:tcPr>
            <w:tcW w:w="1660" w:type="dxa"/>
            <w:vAlign w:val="bottom"/>
            <w:vMerge w:val="restart"/>
          </w:tcPr>
          <w:p>
            <w:pPr>
              <w:ind w:left="40"/>
              <w:spacing w:after="0"/>
              <w:rPr>
                <w:sz w:val="20"/>
                <w:szCs w:val="20"/>
                <w:color w:val="auto"/>
              </w:rPr>
            </w:pPr>
            <w:r>
              <w:rPr>
                <w:rFonts w:ascii="Arial" w:cs="Arial" w:eastAsia="Arial" w:hAnsi="Arial"/>
                <w:sz w:val="16"/>
                <w:szCs w:val="16"/>
                <w:color w:val="auto"/>
                <w:w w:val="99"/>
              </w:rPr>
              <w:t>Discounted Cash Flow</w:t>
            </w:r>
          </w:p>
        </w:tc>
        <w:tc>
          <w:tcPr>
            <w:tcW w:w="60" w:type="dxa"/>
            <w:vAlign w:val="bottom"/>
          </w:tcPr>
          <w:p>
            <w:pPr>
              <w:spacing w:after="0"/>
              <w:rPr>
                <w:sz w:val="18"/>
                <w:szCs w:val="18"/>
                <w:color w:val="auto"/>
              </w:rPr>
            </w:pPr>
          </w:p>
        </w:tc>
        <w:tc>
          <w:tcPr>
            <w:tcW w:w="1480" w:type="dxa"/>
            <w:vAlign w:val="bottom"/>
          </w:tcPr>
          <w:p>
            <w:pPr>
              <w:ind w:left="60"/>
              <w:spacing w:after="0"/>
              <w:rPr>
                <w:sz w:val="20"/>
                <w:szCs w:val="20"/>
                <w:color w:val="auto"/>
              </w:rPr>
            </w:pPr>
            <w:r>
              <w:rPr>
                <w:rFonts w:ascii="Arial" w:cs="Arial" w:eastAsia="Arial" w:hAnsi="Arial"/>
                <w:sz w:val="16"/>
                <w:szCs w:val="16"/>
                <w:color w:val="auto"/>
              </w:rPr>
              <w:t>Market Value of</w:t>
            </w:r>
          </w:p>
        </w:tc>
        <w:tc>
          <w:tcPr>
            <w:tcW w:w="540" w:type="dxa"/>
            <w:vAlign w:val="bottom"/>
            <w:gridSpan w:val="2"/>
            <w:vMerge w:val="restart"/>
          </w:tcPr>
          <w:p>
            <w:pPr>
              <w:ind w:left="120"/>
              <w:spacing w:after="0"/>
              <w:rPr>
                <w:sz w:val="20"/>
                <w:szCs w:val="20"/>
                <w:color w:val="auto"/>
              </w:rPr>
            </w:pPr>
            <w:r>
              <w:rPr>
                <w:rFonts w:ascii="Arial" w:cs="Arial" w:eastAsia="Arial" w:hAnsi="Arial"/>
                <w:sz w:val="16"/>
                <w:szCs w:val="16"/>
                <w:color w:val="auto"/>
                <w:w w:val="88"/>
              </w:rPr>
              <w:t>0.00%</w:t>
            </w:r>
          </w:p>
        </w:tc>
        <w:tc>
          <w:tcPr>
            <w:tcW w:w="1640" w:type="dxa"/>
            <w:vAlign w:val="bottom"/>
            <w:vMerge w:val="restart"/>
          </w:tcPr>
          <w:p>
            <w:pPr>
              <w:ind w:left="20"/>
              <w:spacing w:after="0"/>
              <w:rPr>
                <w:sz w:val="20"/>
                <w:szCs w:val="20"/>
                <w:color w:val="auto"/>
              </w:rPr>
            </w:pPr>
            <w:r>
              <w:rPr>
                <w:rFonts w:ascii="Arial" w:cs="Arial" w:eastAsia="Arial" w:hAnsi="Arial"/>
                <w:sz w:val="16"/>
                <w:szCs w:val="16"/>
                <w:color w:val="auto"/>
              </w:rPr>
              <w:t>- 31.77% (2.74%)</w:t>
            </w:r>
          </w:p>
        </w:tc>
        <w:tc>
          <w:tcPr>
            <w:tcW w:w="0" w:type="dxa"/>
            <w:vAlign w:val="bottom"/>
          </w:tcPr>
          <w:p>
            <w:pPr>
              <w:spacing w:after="0"/>
              <w:rPr>
                <w:sz w:val="1"/>
                <w:szCs w:val="1"/>
                <w:color w:val="auto"/>
              </w:rPr>
            </w:pPr>
          </w:p>
        </w:tc>
      </w:tr>
      <w:tr>
        <w:trPr>
          <w:trHeight w:val="204"/>
        </w:trPr>
        <w:tc>
          <w:tcPr>
            <w:tcW w:w="40" w:type="dxa"/>
            <w:vAlign w:val="bottom"/>
          </w:tcPr>
          <w:p>
            <w:pPr>
              <w:spacing w:after="0"/>
              <w:rPr>
                <w:sz w:val="17"/>
                <w:szCs w:val="17"/>
                <w:color w:val="auto"/>
              </w:rPr>
            </w:pPr>
          </w:p>
        </w:tc>
        <w:tc>
          <w:tcPr>
            <w:tcW w:w="3140" w:type="dxa"/>
            <w:vAlign w:val="bottom"/>
            <w:gridSpan w:val="3"/>
          </w:tcPr>
          <w:p>
            <w:pPr>
              <w:ind w:left="220"/>
              <w:spacing w:after="0"/>
              <w:rPr>
                <w:sz w:val="20"/>
                <w:szCs w:val="20"/>
                <w:color w:val="auto"/>
              </w:rPr>
            </w:pPr>
            <w:r>
              <w:rPr>
                <w:rFonts w:ascii="Arial" w:cs="Arial" w:eastAsia="Arial" w:hAnsi="Arial"/>
                <w:sz w:val="16"/>
                <w:szCs w:val="16"/>
                <w:color w:val="auto"/>
              </w:rPr>
              <w:t>derivatives</w:t>
            </w:r>
          </w:p>
        </w:tc>
        <w:tc>
          <w:tcPr>
            <w:tcW w:w="200" w:type="dxa"/>
            <w:vAlign w:val="bottom"/>
          </w:tcPr>
          <w:p>
            <w:pPr>
              <w:spacing w:after="0"/>
              <w:rPr>
                <w:sz w:val="17"/>
                <w:szCs w:val="17"/>
                <w:color w:val="auto"/>
              </w:rPr>
            </w:pPr>
          </w:p>
        </w:tc>
        <w:tc>
          <w:tcPr>
            <w:tcW w:w="120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66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1480" w:type="dxa"/>
            <w:vAlign w:val="bottom"/>
          </w:tcPr>
          <w:p>
            <w:pPr>
              <w:ind w:left="60"/>
              <w:spacing w:after="0"/>
              <w:rPr>
                <w:sz w:val="20"/>
                <w:szCs w:val="20"/>
                <w:color w:val="auto"/>
              </w:rPr>
            </w:pPr>
            <w:r>
              <w:rPr>
                <w:rFonts w:ascii="Arial" w:cs="Arial" w:eastAsia="Arial" w:hAnsi="Arial"/>
                <w:sz w:val="16"/>
                <w:szCs w:val="16"/>
                <w:color w:val="auto"/>
              </w:rPr>
              <w:t>Option</w:t>
            </w:r>
          </w:p>
        </w:tc>
        <w:tc>
          <w:tcPr>
            <w:tcW w:w="540" w:type="dxa"/>
            <w:vAlign w:val="bottom"/>
            <w:gridSpan w:val="2"/>
            <w:vMerge w:val="continue"/>
          </w:tcPr>
          <w:p>
            <w:pPr>
              <w:spacing w:after="0"/>
              <w:rPr>
                <w:sz w:val="17"/>
                <w:szCs w:val="17"/>
                <w:color w:val="auto"/>
              </w:rPr>
            </w:pPr>
          </w:p>
        </w:tc>
        <w:tc>
          <w:tcPr>
            <w:tcW w:w="16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49"/>
        </w:trPr>
        <w:tc>
          <w:tcPr>
            <w:tcW w:w="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4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80" w:type="dxa"/>
            <w:vAlign w:val="bottom"/>
          </w:tcPr>
          <w:p>
            <w:pPr>
              <w:ind w:left="60"/>
              <w:spacing w:after="0"/>
              <w:rPr>
                <w:sz w:val="20"/>
                <w:szCs w:val="20"/>
                <w:color w:val="auto"/>
              </w:rPr>
            </w:pPr>
            <w:r>
              <w:rPr>
                <w:rFonts w:ascii="Arial" w:cs="Arial" w:eastAsia="Arial" w:hAnsi="Arial"/>
                <w:sz w:val="16"/>
                <w:szCs w:val="16"/>
                <w:color w:val="auto"/>
              </w:rPr>
              <w:t>Mortality Multiplier</w:t>
            </w:r>
          </w:p>
        </w:tc>
        <w:tc>
          <w:tcPr>
            <w:tcW w:w="2180" w:type="dxa"/>
            <w:vAlign w:val="bottom"/>
            <w:gridSpan w:val="3"/>
          </w:tcPr>
          <w:p>
            <w:pPr>
              <w:ind w:left="120"/>
              <w:spacing w:after="0"/>
              <w:rPr>
                <w:sz w:val="20"/>
                <w:szCs w:val="20"/>
                <w:color w:val="auto"/>
              </w:rPr>
            </w:pPr>
            <w:r>
              <w:rPr>
                <w:rFonts w:ascii="Arial" w:cs="Arial" w:eastAsia="Arial" w:hAnsi="Arial"/>
                <w:sz w:val="16"/>
                <w:szCs w:val="16"/>
                <w:color w:val="auto"/>
                <w:w w:val="97"/>
              </w:rPr>
              <w:t>80.00% - 115.00% (100.00%)</w:t>
            </w: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4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80" w:type="dxa"/>
            <w:vAlign w:val="bottom"/>
          </w:tcPr>
          <w:p>
            <w:pPr>
              <w:ind w:left="60"/>
              <w:spacing w:after="0"/>
              <w:rPr>
                <w:sz w:val="20"/>
                <w:szCs w:val="20"/>
                <w:color w:val="auto"/>
              </w:rPr>
            </w:pPr>
            <w:r>
              <w:rPr>
                <w:rFonts w:ascii="Arial" w:cs="Arial" w:eastAsia="Arial" w:hAnsi="Arial"/>
                <w:sz w:val="16"/>
                <w:szCs w:val="16"/>
                <w:color w:val="auto"/>
              </w:rPr>
              <w:t>Surrender Rates</w:t>
            </w:r>
          </w:p>
        </w:tc>
        <w:tc>
          <w:tcPr>
            <w:tcW w:w="540" w:type="dxa"/>
            <w:vAlign w:val="bottom"/>
            <w:gridSpan w:val="2"/>
          </w:tcPr>
          <w:p>
            <w:pPr>
              <w:ind w:left="120"/>
              <w:spacing w:after="0"/>
              <w:rPr>
                <w:sz w:val="20"/>
                <w:szCs w:val="20"/>
                <w:color w:val="auto"/>
              </w:rPr>
            </w:pPr>
            <w:r>
              <w:rPr>
                <w:rFonts w:ascii="Arial" w:cs="Arial" w:eastAsia="Arial" w:hAnsi="Arial"/>
                <w:sz w:val="16"/>
                <w:szCs w:val="16"/>
                <w:color w:val="auto"/>
                <w:w w:val="88"/>
              </w:rPr>
              <w:t>0.25%</w:t>
            </w:r>
          </w:p>
        </w:tc>
        <w:tc>
          <w:tcPr>
            <w:tcW w:w="1640" w:type="dxa"/>
            <w:vAlign w:val="bottom"/>
          </w:tcPr>
          <w:p>
            <w:pPr>
              <w:ind w:left="20"/>
              <w:spacing w:after="0"/>
              <w:rPr>
                <w:sz w:val="20"/>
                <w:szCs w:val="20"/>
                <w:color w:val="auto"/>
              </w:rPr>
            </w:pPr>
            <w:r>
              <w:rPr>
                <w:rFonts w:ascii="Arial" w:cs="Arial" w:eastAsia="Arial" w:hAnsi="Arial"/>
                <w:sz w:val="16"/>
                <w:szCs w:val="16"/>
                <w:color w:val="auto"/>
              </w:rPr>
              <w:t>- 50.00% (3.33%)</w:t>
            </w: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4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80" w:type="dxa"/>
            <w:vAlign w:val="bottom"/>
          </w:tcPr>
          <w:p>
            <w:pPr>
              <w:ind w:left="60"/>
              <w:spacing w:after="0"/>
              <w:rPr>
                <w:sz w:val="20"/>
                <w:szCs w:val="20"/>
                <w:color w:val="auto"/>
              </w:rPr>
            </w:pPr>
            <w:r>
              <w:rPr>
                <w:rFonts w:ascii="Arial" w:cs="Arial" w:eastAsia="Arial" w:hAnsi="Arial"/>
                <w:sz w:val="16"/>
                <w:szCs w:val="16"/>
                <w:color w:val="auto"/>
              </w:rPr>
              <w:t>Partial Withdrawals</w:t>
            </w:r>
          </w:p>
        </w:tc>
        <w:tc>
          <w:tcPr>
            <w:tcW w:w="540" w:type="dxa"/>
            <w:vAlign w:val="bottom"/>
            <w:gridSpan w:val="2"/>
          </w:tcPr>
          <w:p>
            <w:pPr>
              <w:ind w:left="120"/>
              <w:spacing w:after="0"/>
              <w:rPr>
                <w:sz w:val="20"/>
                <w:szCs w:val="20"/>
                <w:color w:val="auto"/>
              </w:rPr>
            </w:pPr>
            <w:r>
              <w:rPr>
                <w:rFonts w:ascii="Arial" w:cs="Arial" w:eastAsia="Arial" w:hAnsi="Arial"/>
                <w:sz w:val="16"/>
                <w:szCs w:val="16"/>
                <w:color w:val="auto"/>
                <w:w w:val="88"/>
              </w:rPr>
              <w:t>2.00%</w:t>
            </w:r>
          </w:p>
        </w:tc>
        <w:tc>
          <w:tcPr>
            <w:tcW w:w="1640" w:type="dxa"/>
            <w:vAlign w:val="bottom"/>
          </w:tcPr>
          <w:p>
            <w:pPr>
              <w:ind w:left="20"/>
              <w:spacing w:after="0"/>
              <w:rPr>
                <w:sz w:val="20"/>
                <w:szCs w:val="20"/>
                <w:color w:val="auto"/>
              </w:rPr>
            </w:pPr>
            <w:r>
              <w:rPr>
                <w:rFonts w:ascii="Arial" w:cs="Arial" w:eastAsia="Arial" w:hAnsi="Arial"/>
                <w:sz w:val="16"/>
                <w:szCs w:val="16"/>
                <w:color w:val="auto"/>
              </w:rPr>
              <w:t>- 6.50% (2.22%)</w:t>
            </w: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80" w:type="dxa"/>
            <w:vAlign w:val="bottom"/>
          </w:tcPr>
          <w:p>
            <w:pPr>
              <w:ind w:left="60"/>
              <w:spacing w:after="0"/>
              <w:rPr>
                <w:sz w:val="20"/>
                <w:szCs w:val="20"/>
                <w:color w:val="auto"/>
              </w:rPr>
            </w:pPr>
            <w:r>
              <w:rPr>
                <w:rFonts w:ascii="Arial" w:cs="Arial" w:eastAsia="Arial" w:hAnsi="Arial"/>
                <w:sz w:val="16"/>
                <w:szCs w:val="16"/>
                <w:color w:val="auto"/>
              </w:rPr>
              <w:t>Non-Performance</w:t>
            </w:r>
          </w:p>
        </w:tc>
        <w:tc>
          <w:tcPr>
            <w:tcW w:w="540" w:type="dxa"/>
            <w:vAlign w:val="bottom"/>
            <w:gridSpan w:val="2"/>
            <w:vMerge w:val="restart"/>
          </w:tcPr>
          <w:p>
            <w:pPr>
              <w:ind w:left="120"/>
              <w:spacing w:after="0"/>
              <w:rPr>
                <w:sz w:val="20"/>
                <w:szCs w:val="20"/>
                <w:color w:val="auto"/>
              </w:rPr>
            </w:pPr>
            <w:r>
              <w:rPr>
                <w:rFonts w:ascii="Arial" w:cs="Arial" w:eastAsia="Arial" w:hAnsi="Arial"/>
                <w:sz w:val="16"/>
                <w:szCs w:val="16"/>
                <w:color w:val="auto"/>
                <w:w w:val="88"/>
              </w:rPr>
              <w:t>0.53%</w:t>
            </w:r>
          </w:p>
        </w:tc>
        <w:tc>
          <w:tcPr>
            <w:tcW w:w="1640" w:type="dxa"/>
            <w:vAlign w:val="bottom"/>
            <w:vMerge w:val="restart"/>
          </w:tcPr>
          <w:p>
            <w:pPr>
              <w:ind w:left="20"/>
              <w:spacing w:after="0"/>
              <w:rPr>
                <w:sz w:val="20"/>
                <w:szCs w:val="20"/>
                <w:color w:val="auto"/>
              </w:rPr>
            </w:pPr>
            <w:r>
              <w:rPr>
                <w:rFonts w:ascii="Arial" w:cs="Arial" w:eastAsia="Arial" w:hAnsi="Arial"/>
                <w:sz w:val="16"/>
                <w:szCs w:val="16"/>
                <w:color w:val="auto"/>
              </w:rPr>
              <w:t>- 1.15% (0.90%)</w:t>
            </w:r>
          </w:p>
        </w:tc>
        <w:tc>
          <w:tcPr>
            <w:tcW w:w="0" w:type="dxa"/>
            <w:vAlign w:val="bottom"/>
          </w:tcPr>
          <w:p>
            <w:pPr>
              <w:spacing w:after="0"/>
              <w:rPr>
                <w:sz w:val="1"/>
                <w:szCs w:val="1"/>
                <w:color w:val="auto"/>
              </w:rPr>
            </w:pPr>
          </w:p>
        </w:tc>
      </w:tr>
      <w:tr>
        <w:trPr>
          <w:trHeight w:val="204"/>
        </w:trPr>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80" w:type="dxa"/>
            <w:vAlign w:val="bottom"/>
          </w:tcPr>
          <w:p>
            <w:pPr>
              <w:ind w:left="60"/>
              <w:spacing w:after="0"/>
              <w:rPr>
                <w:sz w:val="20"/>
                <w:szCs w:val="20"/>
                <w:color w:val="auto"/>
              </w:rPr>
            </w:pPr>
            <w:r>
              <w:rPr>
                <w:rFonts w:ascii="Arial" w:cs="Arial" w:eastAsia="Arial" w:hAnsi="Arial"/>
                <w:sz w:val="16"/>
                <w:szCs w:val="16"/>
                <w:color w:val="auto"/>
              </w:rPr>
              <w:t>Spread</w:t>
            </w:r>
          </w:p>
        </w:tc>
        <w:tc>
          <w:tcPr>
            <w:tcW w:w="540" w:type="dxa"/>
            <w:vAlign w:val="bottom"/>
            <w:gridSpan w:val="2"/>
            <w:vMerge w:val="continue"/>
          </w:tcPr>
          <w:p>
            <w:pPr>
              <w:spacing w:after="0"/>
              <w:rPr>
                <w:sz w:val="17"/>
                <w:szCs w:val="17"/>
                <w:color w:val="auto"/>
              </w:rPr>
            </w:pPr>
          </w:p>
        </w:tc>
        <w:tc>
          <w:tcPr>
            <w:tcW w:w="16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49"/>
        </w:trPr>
        <w:tc>
          <w:tcPr>
            <w:tcW w:w="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4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80" w:type="dxa"/>
            <w:vAlign w:val="bottom"/>
          </w:tcPr>
          <w:p>
            <w:pPr>
              <w:ind w:left="60"/>
              <w:spacing w:after="0"/>
              <w:rPr>
                <w:sz w:val="20"/>
                <w:szCs w:val="20"/>
                <w:color w:val="auto"/>
              </w:rPr>
            </w:pPr>
            <w:r>
              <w:rPr>
                <w:rFonts w:ascii="Arial" w:cs="Arial" w:eastAsia="Arial" w:hAnsi="Arial"/>
                <w:sz w:val="16"/>
                <w:szCs w:val="16"/>
                <w:color w:val="auto"/>
              </w:rPr>
              <w:t>Option Cost</w:t>
            </w:r>
          </w:p>
        </w:tc>
        <w:tc>
          <w:tcPr>
            <w:tcW w:w="540" w:type="dxa"/>
            <w:vAlign w:val="bottom"/>
            <w:gridSpan w:val="2"/>
          </w:tcPr>
          <w:p>
            <w:pPr>
              <w:ind w:left="120"/>
              <w:spacing w:after="0"/>
              <w:rPr>
                <w:sz w:val="20"/>
                <w:szCs w:val="20"/>
                <w:color w:val="auto"/>
              </w:rPr>
            </w:pPr>
            <w:r>
              <w:rPr>
                <w:rFonts w:ascii="Arial" w:cs="Arial" w:eastAsia="Arial" w:hAnsi="Arial"/>
                <w:sz w:val="16"/>
                <w:szCs w:val="16"/>
                <w:color w:val="auto"/>
                <w:w w:val="88"/>
              </w:rPr>
              <w:t>1.39%</w:t>
            </w:r>
          </w:p>
        </w:tc>
        <w:tc>
          <w:tcPr>
            <w:tcW w:w="1640" w:type="dxa"/>
            <w:vAlign w:val="bottom"/>
          </w:tcPr>
          <w:p>
            <w:pPr>
              <w:ind w:left="20"/>
              <w:spacing w:after="0"/>
              <w:rPr>
                <w:sz w:val="20"/>
                <w:szCs w:val="20"/>
                <w:color w:val="auto"/>
              </w:rPr>
            </w:pPr>
            <w:r>
              <w:rPr>
                <w:rFonts w:ascii="Arial" w:cs="Arial" w:eastAsia="Arial" w:hAnsi="Arial"/>
                <w:sz w:val="16"/>
                <w:szCs w:val="16"/>
                <w:color w:val="auto"/>
              </w:rPr>
              <w:t>- 5.30% (1.98%)</w:t>
            </w: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3140" w:type="dxa"/>
            <w:vAlign w:val="bottom"/>
            <w:gridSpan w:val="3"/>
          </w:tcPr>
          <w:p>
            <w:pPr>
              <w:spacing w:after="0"/>
              <w:rPr>
                <w:sz w:val="20"/>
                <w:szCs w:val="20"/>
                <w:color w:val="auto"/>
              </w:rPr>
            </w:pPr>
            <w:r>
              <w:rPr>
                <w:rFonts w:ascii="Arial" w:cs="Arial" w:eastAsia="Arial" w:hAnsi="Arial"/>
                <w:sz w:val="16"/>
                <w:szCs w:val="16"/>
                <w:color w:val="auto"/>
              </w:rPr>
              <w:t>Prepaid expenses and other assets:</w:t>
            </w:r>
          </w:p>
        </w:tc>
        <w:tc>
          <w:tcPr>
            <w:tcW w:w="2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720" w:type="dxa"/>
            <w:vAlign w:val="bottom"/>
            <w:gridSpan w:val="2"/>
            <w:vMerge w:val="restart"/>
          </w:tcPr>
          <w:p>
            <w:pPr>
              <w:ind w:left="60"/>
              <w:spacing w:after="0"/>
              <w:rPr>
                <w:sz w:val="20"/>
                <w:szCs w:val="20"/>
                <w:color w:val="auto"/>
              </w:rPr>
            </w:pPr>
            <w:r>
              <w:rPr>
                <w:rFonts w:ascii="Arial" w:cs="Arial" w:eastAsia="Arial" w:hAnsi="Arial"/>
                <w:sz w:val="16"/>
                <w:szCs w:val="16"/>
                <w:color w:val="auto"/>
              </w:rPr>
              <w:t>Loan receivable</w:t>
            </w:r>
          </w:p>
        </w:tc>
        <w:tc>
          <w:tcPr>
            <w:tcW w:w="200" w:type="dxa"/>
            <w:vAlign w:val="bottom"/>
          </w:tcPr>
          <w:p>
            <w:pPr>
              <w:spacing w:after="0"/>
              <w:rPr>
                <w:sz w:val="18"/>
                <w:szCs w:val="18"/>
                <w:color w:val="auto"/>
              </w:rPr>
            </w:pPr>
          </w:p>
        </w:tc>
        <w:tc>
          <w:tcPr>
            <w:tcW w:w="1200" w:type="dxa"/>
            <w:vAlign w:val="bottom"/>
            <w:vMerge w:val="restart"/>
          </w:tcPr>
          <w:p>
            <w:pPr>
              <w:jc w:val="right"/>
              <w:spacing w:after="0"/>
              <w:rPr>
                <w:sz w:val="20"/>
                <w:szCs w:val="20"/>
                <w:color w:val="auto"/>
              </w:rPr>
            </w:pPr>
            <w:r>
              <w:rPr>
                <w:rFonts w:ascii="Arial" w:cs="Arial" w:eastAsia="Arial" w:hAnsi="Arial"/>
                <w:sz w:val="16"/>
                <w:szCs w:val="16"/>
                <w:color w:val="auto"/>
              </w:rPr>
              <w:t>24</w:t>
            </w:r>
          </w:p>
        </w:tc>
        <w:tc>
          <w:tcPr>
            <w:tcW w:w="80" w:type="dxa"/>
            <w:vAlign w:val="bottom"/>
          </w:tcPr>
          <w:p>
            <w:pPr>
              <w:spacing w:after="0"/>
              <w:rPr>
                <w:sz w:val="18"/>
                <w:szCs w:val="18"/>
                <w:color w:val="auto"/>
              </w:rPr>
            </w:pPr>
          </w:p>
        </w:tc>
        <w:tc>
          <w:tcPr>
            <w:tcW w:w="1660" w:type="dxa"/>
            <w:vAlign w:val="bottom"/>
            <w:vMerge w:val="restart"/>
          </w:tcPr>
          <w:p>
            <w:pPr>
              <w:ind w:left="40"/>
              <w:spacing w:after="0"/>
              <w:rPr>
                <w:sz w:val="20"/>
                <w:szCs w:val="20"/>
                <w:color w:val="auto"/>
              </w:rPr>
            </w:pPr>
            <w:r>
              <w:rPr>
                <w:rFonts w:ascii="Arial" w:cs="Arial" w:eastAsia="Arial" w:hAnsi="Arial"/>
                <w:sz w:val="16"/>
                <w:szCs w:val="16"/>
                <w:color w:val="auto"/>
                <w:w w:val="99"/>
              </w:rPr>
              <w:t>Discounted Cash Flow</w:t>
            </w:r>
          </w:p>
        </w:tc>
        <w:tc>
          <w:tcPr>
            <w:tcW w:w="60" w:type="dxa"/>
            <w:vAlign w:val="bottom"/>
          </w:tcPr>
          <w:p>
            <w:pPr>
              <w:spacing w:after="0"/>
              <w:rPr>
                <w:sz w:val="18"/>
                <w:szCs w:val="18"/>
                <w:color w:val="auto"/>
              </w:rPr>
            </w:pPr>
          </w:p>
        </w:tc>
        <w:tc>
          <w:tcPr>
            <w:tcW w:w="1480" w:type="dxa"/>
            <w:vAlign w:val="bottom"/>
          </w:tcPr>
          <w:p>
            <w:pPr>
              <w:ind w:left="60"/>
              <w:spacing w:after="0"/>
              <w:rPr>
                <w:sz w:val="20"/>
                <w:szCs w:val="20"/>
                <w:color w:val="auto"/>
              </w:rPr>
            </w:pPr>
            <w:r>
              <w:rPr>
                <w:rFonts w:ascii="Arial" w:cs="Arial" w:eastAsia="Arial" w:hAnsi="Arial"/>
                <w:sz w:val="16"/>
                <w:szCs w:val="16"/>
                <w:color w:val="auto"/>
              </w:rPr>
              <w:t>Risk-Adjusted</w:t>
            </w:r>
          </w:p>
        </w:tc>
        <w:tc>
          <w:tcPr>
            <w:tcW w:w="540" w:type="dxa"/>
            <w:vAlign w:val="bottom"/>
            <w:gridSpan w:val="2"/>
            <w:vMerge w:val="restart"/>
          </w:tcPr>
          <w:p>
            <w:pPr>
              <w:ind w:left="120"/>
              <w:spacing w:after="0"/>
              <w:rPr>
                <w:sz w:val="20"/>
                <w:szCs w:val="20"/>
                <w:color w:val="auto"/>
              </w:rPr>
            </w:pPr>
            <w:r>
              <w:rPr>
                <w:rFonts w:ascii="Arial" w:cs="Arial" w:eastAsia="Arial" w:hAnsi="Arial"/>
                <w:sz w:val="16"/>
                <w:szCs w:val="16"/>
                <w:color w:val="auto"/>
                <w:w w:val="88"/>
              </w:rPr>
              <w:t>6.35%</w:t>
            </w:r>
          </w:p>
        </w:tc>
        <w:tc>
          <w:tcPr>
            <w:tcW w:w="1640" w:type="dxa"/>
            <w:vAlign w:val="bottom"/>
            <w:vMerge w:val="restart"/>
          </w:tcPr>
          <w:p>
            <w:pPr>
              <w:ind w:left="20"/>
              <w:spacing w:after="0"/>
              <w:rPr>
                <w:sz w:val="20"/>
                <w:szCs w:val="20"/>
                <w:color w:val="auto"/>
              </w:rPr>
            </w:pPr>
            <w:r>
              <w:rPr>
                <w:rFonts w:ascii="Arial" w:cs="Arial" w:eastAsia="Arial" w:hAnsi="Arial"/>
                <w:sz w:val="16"/>
                <w:szCs w:val="16"/>
                <w:color w:val="auto"/>
              </w:rPr>
              <w:t>- 6.35% (6.35%)</w:t>
            </w:r>
          </w:p>
        </w:tc>
        <w:tc>
          <w:tcPr>
            <w:tcW w:w="0" w:type="dxa"/>
            <w:vAlign w:val="bottom"/>
          </w:tcPr>
          <w:p>
            <w:pPr>
              <w:spacing w:after="0"/>
              <w:rPr>
                <w:sz w:val="1"/>
                <w:szCs w:val="1"/>
                <w:color w:val="auto"/>
              </w:rPr>
            </w:pPr>
          </w:p>
        </w:tc>
      </w:tr>
      <w:tr>
        <w:trPr>
          <w:trHeight w:val="204"/>
        </w:trPr>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72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66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1480" w:type="dxa"/>
            <w:vAlign w:val="bottom"/>
          </w:tcPr>
          <w:p>
            <w:pPr>
              <w:ind w:left="60"/>
              <w:spacing w:after="0"/>
              <w:rPr>
                <w:sz w:val="20"/>
                <w:szCs w:val="20"/>
                <w:color w:val="auto"/>
              </w:rPr>
            </w:pPr>
            <w:r>
              <w:rPr>
                <w:rFonts w:ascii="Arial" w:cs="Arial" w:eastAsia="Arial" w:hAnsi="Arial"/>
                <w:sz w:val="16"/>
                <w:szCs w:val="16"/>
                <w:color w:val="auto"/>
              </w:rPr>
              <w:t>Discount Rate</w:t>
            </w:r>
          </w:p>
        </w:tc>
        <w:tc>
          <w:tcPr>
            <w:tcW w:w="540" w:type="dxa"/>
            <w:vAlign w:val="bottom"/>
            <w:gridSpan w:val="2"/>
            <w:vMerge w:val="continue"/>
          </w:tcPr>
          <w:p>
            <w:pPr>
              <w:spacing w:after="0"/>
              <w:rPr>
                <w:sz w:val="17"/>
                <w:szCs w:val="17"/>
                <w:color w:val="auto"/>
              </w:rPr>
            </w:pPr>
          </w:p>
        </w:tc>
        <w:tc>
          <w:tcPr>
            <w:tcW w:w="16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49"/>
        </w:trPr>
        <w:tc>
          <w:tcPr>
            <w:tcW w:w="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4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80" w:type="dxa"/>
            <w:vAlign w:val="bottom"/>
          </w:tcPr>
          <w:p>
            <w:pPr>
              <w:ind w:left="60"/>
              <w:spacing w:after="0"/>
              <w:rPr>
                <w:sz w:val="20"/>
                <w:szCs w:val="20"/>
                <w:color w:val="auto"/>
              </w:rPr>
            </w:pPr>
            <w:r>
              <w:rPr>
                <w:rFonts w:ascii="Arial" w:cs="Arial" w:eastAsia="Arial" w:hAnsi="Arial"/>
                <w:sz w:val="16"/>
                <w:szCs w:val="16"/>
                <w:color w:val="auto"/>
              </w:rPr>
              <w:t>Collateral Volatility</w:t>
            </w:r>
          </w:p>
        </w:tc>
        <w:tc>
          <w:tcPr>
            <w:tcW w:w="2180" w:type="dxa"/>
            <w:vAlign w:val="bottom"/>
            <w:gridSpan w:val="3"/>
          </w:tcPr>
          <w:p>
            <w:pPr>
              <w:ind w:left="120"/>
              <w:spacing w:after="0"/>
              <w:rPr>
                <w:sz w:val="20"/>
                <w:szCs w:val="20"/>
                <w:color w:val="auto"/>
              </w:rPr>
            </w:pPr>
            <w:r>
              <w:rPr>
                <w:rFonts w:ascii="Arial" w:cs="Arial" w:eastAsia="Arial" w:hAnsi="Arial"/>
                <w:sz w:val="16"/>
                <w:szCs w:val="16"/>
                <w:color w:val="auto"/>
              </w:rPr>
              <w:t>35.00% - 35.00% (35.00%)</w:t>
            </w:r>
          </w:p>
        </w:tc>
        <w:tc>
          <w:tcPr>
            <w:tcW w:w="0" w:type="dxa"/>
            <w:vAlign w:val="bottom"/>
          </w:tcPr>
          <w:p>
            <w:pPr>
              <w:spacing w:after="0"/>
              <w:rPr>
                <w:sz w:val="1"/>
                <w:szCs w:val="1"/>
                <w:color w:val="auto"/>
              </w:rPr>
            </w:pPr>
          </w:p>
        </w:tc>
      </w:tr>
      <w:tr>
        <w:trPr>
          <w:trHeight w:val="250"/>
        </w:trPr>
        <w:tc>
          <w:tcPr>
            <w:tcW w:w="3180" w:type="dxa"/>
            <w:vAlign w:val="bottom"/>
            <w:gridSpan w:val="4"/>
          </w:tcPr>
          <w:p>
            <w:pPr>
              <w:spacing w:after="0"/>
              <w:rPr>
                <w:sz w:val="20"/>
                <w:szCs w:val="20"/>
                <w:color w:val="auto"/>
              </w:rPr>
            </w:pPr>
            <w:r>
              <w:rPr>
                <w:rFonts w:ascii="Arial" w:cs="Arial" w:eastAsia="Arial" w:hAnsi="Arial"/>
                <w:sz w:val="16"/>
                <w:szCs w:val="16"/>
                <w:color w:val="auto"/>
              </w:rPr>
              <w:t>Market risk benefits asset</w:t>
            </w:r>
          </w:p>
        </w:tc>
        <w:tc>
          <w:tcPr>
            <w:tcW w:w="2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285</w:t>
            </w:r>
          </w:p>
        </w:tc>
        <w:tc>
          <w:tcPr>
            <w:tcW w:w="80" w:type="dxa"/>
            <w:vAlign w:val="bottom"/>
          </w:tcPr>
          <w:p>
            <w:pPr>
              <w:spacing w:after="0"/>
              <w:rPr>
                <w:sz w:val="21"/>
                <w:szCs w:val="21"/>
                <w:color w:val="auto"/>
              </w:rPr>
            </w:pPr>
          </w:p>
        </w:tc>
        <w:tc>
          <w:tcPr>
            <w:tcW w:w="1660" w:type="dxa"/>
            <w:vAlign w:val="bottom"/>
          </w:tcPr>
          <w:p>
            <w:pPr>
              <w:ind w:left="40"/>
              <w:spacing w:after="0"/>
              <w:rPr>
                <w:sz w:val="20"/>
                <w:szCs w:val="20"/>
                <w:color w:val="auto"/>
              </w:rPr>
            </w:pPr>
            <w:r>
              <w:rPr>
                <w:rFonts w:ascii="Arial" w:cs="Arial" w:eastAsia="Arial" w:hAnsi="Arial"/>
                <w:sz w:val="16"/>
                <w:szCs w:val="16"/>
                <w:color w:val="auto"/>
                <w:w w:val="99"/>
              </w:rPr>
              <w:t>Discounted Cash Flow</w:t>
            </w:r>
          </w:p>
        </w:tc>
        <w:tc>
          <w:tcPr>
            <w:tcW w:w="60" w:type="dxa"/>
            <w:vAlign w:val="bottom"/>
          </w:tcPr>
          <w:p>
            <w:pPr>
              <w:spacing w:after="0"/>
              <w:rPr>
                <w:sz w:val="21"/>
                <w:szCs w:val="21"/>
                <w:color w:val="auto"/>
              </w:rPr>
            </w:pPr>
          </w:p>
        </w:tc>
        <w:tc>
          <w:tcPr>
            <w:tcW w:w="1480" w:type="dxa"/>
            <w:vAlign w:val="bottom"/>
          </w:tcPr>
          <w:p>
            <w:pPr>
              <w:ind w:left="60"/>
              <w:spacing w:after="0"/>
              <w:rPr>
                <w:sz w:val="20"/>
                <w:szCs w:val="20"/>
                <w:color w:val="auto"/>
              </w:rPr>
            </w:pPr>
            <w:r>
              <w:rPr>
                <w:rFonts w:ascii="Arial" w:cs="Arial" w:eastAsia="Arial" w:hAnsi="Arial"/>
                <w:sz w:val="16"/>
                <w:szCs w:val="16"/>
                <w:color w:val="auto"/>
              </w:rPr>
              <w:t>Mortality</w:t>
            </w:r>
          </w:p>
        </w:tc>
        <w:tc>
          <w:tcPr>
            <w:tcW w:w="2180" w:type="dxa"/>
            <w:vAlign w:val="bottom"/>
            <w:gridSpan w:val="3"/>
          </w:tcPr>
          <w:p>
            <w:pPr>
              <w:ind w:left="120"/>
              <w:spacing w:after="0"/>
              <w:rPr>
                <w:sz w:val="20"/>
                <w:szCs w:val="20"/>
                <w:color w:val="auto"/>
              </w:rPr>
            </w:pPr>
            <w:r>
              <w:rPr>
                <w:rFonts w:ascii="Arial" w:cs="Arial" w:eastAsia="Arial" w:hAnsi="Arial"/>
                <w:sz w:val="16"/>
                <w:szCs w:val="16"/>
                <w:color w:val="auto"/>
                <w:w w:val="97"/>
              </w:rPr>
              <w:t>80.00% - 115.00% (100.00%)</w:t>
            </w: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4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80" w:type="dxa"/>
            <w:vAlign w:val="bottom"/>
          </w:tcPr>
          <w:p>
            <w:pPr>
              <w:ind w:left="60"/>
              <w:spacing w:after="0"/>
              <w:rPr>
                <w:sz w:val="20"/>
                <w:szCs w:val="20"/>
                <w:color w:val="auto"/>
              </w:rPr>
            </w:pPr>
            <w:r>
              <w:rPr>
                <w:rFonts w:ascii="Arial" w:cs="Arial" w:eastAsia="Arial" w:hAnsi="Arial"/>
                <w:sz w:val="16"/>
                <w:szCs w:val="16"/>
                <w:color w:val="auto"/>
              </w:rPr>
              <w:t>Surrender Rates</w:t>
            </w:r>
          </w:p>
        </w:tc>
        <w:tc>
          <w:tcPr>
            <w:tcW w:w="540" w:type="dxa"/>
            <w:vAlign w:val="bottom"/>
            <w:gridSpan w:val="2"/>
          </w:tcPr>
          <w:p>
            <w:pPr>
              <w:ind w:left="120"/>
              <w:spacing w:after="0"/>
              <w:rPr>
                <w:sz w:val="20"/>
                <w:szCs w:val="20"/>
                <w:color w:val="auto"/>
              </w:rPr>
            </w:pPr>
            <w:r>
              <w:rPr>
                <w:rFonts w:ascii="Arial" w:cs="Arial" w:eastAsia="Arial" w:hAnsi="Arial"/>
                <w:sz w:val="16"/>
                <w:szCs w:val="16"/>
                <w:color w:val="auto"/>
                <w:w w:val="88"/>
              </w:rPr>
              <w:t>0.25%</w:t>
            </w:r>
          </w:p>
        </w:tc>
        <w:tc>
          <w:tcPr>
            <w:tcW w:w="1640" w:type="dxa"/>
            <w:vAlign w:val="bottom"/>
          </w:tcPr>
          <w:p>
            <w:pPr>
              <w:ind w:left="20"/>
              <w:spacing w:after="0"/>
              <w:rPr>
                <w:sz w:val="20"/>
                <w:szCs w:val="20"/>
                <w:color w:val="auto"/>
              </w:rPr>
            </w:pPr>
            <w:r>
              <w:rPr>
                <w:rFonts w:ascii="Arial" w:cs="Arial" w:eastAsia="Arial" w:hAnsi="Arial"/>
                <w:sz w:val="16"/>
                <w:szCs w:val="16"/>
                <w:color w:val="auto"/>
              </w:rPr>
              <w:t>- 30.00% (5.33%)</w:t>
            </w: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80" w:type="dxa"/>
            <w:vAlign w:val="bottom"/>
          </w:tcPr>
          <w:p>
            <w:pPr>
              <w:ind w:left="60"/>
              <w:spacing w:after="0"/>
              <w:rPr>
                <w:sz w:val="20"/>
                <w:szCs w:val="20"/>
                <w:color w:val="auto"/>
              </w:rPr>
            </w:pPr>
            <w:r>
              <w:rPr>
                <w:rFonts w:ascii="Arial" w:cs="Arial" w:eastAsia="Arial" w:hAnsi="Arial"/>
                <w:sz w:val="16"/>
                <w:szCs w:val="16"/>
                <w:color w:val="auto"/>
              </w:rPr>
              <w:t>Partial Withdrawal</w:t>
            </w:r>
          </w:p>
        </w:tc>
        <w:tc>
          <w:tcPr>
            <w:tcW w:w="540" w:type="dxa"/>
            <w:vAlign w:val="bottom"/>
            <w:gridSpan w:val="2"/>
            <w:vMerge w:val="restart"/>
          </w:tcPr>
          <w:p>
            <w:pPr>
              <w:ind w:left="120"/>
              <w:spacing w:after="0"/>
              <w:rPr>
                <w:sz w:val="20"/>
                <w:szCs w:val="20"/>
                <w:color w:val="auto"/>
              </w:rPr>
            </w:pPr>
            <w:r>
              <w:rPr>
                <w:rFonts w:ascii="Arial" w:cs="Arial" w:eastAsia="Arial" w:hAnsi="Arial"/>
                <w:sz w:val="16"/>
                <w:szCs w:val="16"/>
                <w:color w:val="auto"/>
                <w:w w:val="88"/>
              </w:rPr>
              <w:t>0.00%</w:t>
            </w:r>
          </w:p>
        </w:tc>
        <w:tc>
          <w:tcPr>
            <w:tcW w:w="1640" w:type="dxa"/>
            <w:vAlign w:val="bottom"/>
            <w:vMerge w:val="restart"/>
          </w:tcPr>
          <w:p>
            <w:pPr>
              <w:ind w:left="20"/>
              <w:spacing w:after="0"/>
              <w:rPr>
                <w:sz w:val="20"/>
                <w:szCs w:val="20"/>
                <w:color w:val="auto"/>
              </w:rPr>
            </w:pPr>
            <w:r>
              <w:rPr>
                <w:rFonts w:ascii="Arial" w:cs="Arial" w:eastAsia="Arial" w:hAnsi="Arial"/>
                <w:sz w:val="16"/>
                <w:szCs w:val="16"/>
                <w:color w:val="auto"/>
              </w:rPr>
              <w:t>- 25.64% (2.47%)</w:t>
            </w:r>
          </w:p>
        </w:tc>
        <w:tc>
          <w:tcPr>
            <w:tcW w:w="0" w:type="dxa"/>
            <w:vAlign w:val="bottom"/>
          </w:tcPr>
          <w:p>
            <w:pPr>
              <w:spacing w:after="0"/>
              <w:rPr>
                <w:sz w:val="1"/>
                <w:szCs w:val="1"/>
                <w:color w:val="auto"/>
              </w:rPr>
            </w:pPr>
          </w:p>
        </w:tc>
      </w:tr>
      <w:tr>
        <w:trPr>
          <w:trHeight w:val="204"/>
        </w:trPr>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80" w:type="dxa"/>
            <w:vAlign w:val="bottom"/>
          </w:tcPr>
          <w:p>
            <w:pPr>
              <w:ind w:left="60"/>
              <w:spacing w:after="0"/>
              <w:rPr>
                <w:sz w:val="20"/>
                <w:szCs w:val="20"/>
                <w:color w:val="auto"/>
              </w:rPr>
            </w:pPr>
            <w:r>
              <w:rPr>
                <w:rFonts w:ascii="Arial" w:cs="Arial" w:eastAsia="Arial" w:hAnsi="Arial"/>
                <w:sz w:val="16"/>
                <w:szCs w:val="16"/>
                <w:color w:val="auto"/>
              </w:rPr>
              <w:t>Rates</w:t>
            </w:r>
          </w:p>
        </w:tc>
        <w:tc>
          <w:tcPr>
            <w:tcW w:w="540" w:type="dxa"/>
            <w:vAlign w:val="bottom"/>
            <w:gridSpan w:val="2"/>
            <w:vMerge w:val="continue"/>
          </w:tcPr>
          <w:p>
            <w:pPr>
              <w:spacing w:after="0"/>
              <w:rPr>
                <w:sz w:val="17"/>
                <w:szCs w:val="17"/>
                <w:color w:val="auto"/>
              </w:rPr>
            </w:pPr>
          </w:p>
        </w:tc>
        <w:tc>
          <w:tcPr>
            <w:tcW w:w="16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80" w:type="dxa"/>
            <w:vAlign w:val="bottom"/>
          </w:tcPr>
          <w:p>
            <w:pPr>
              <w:ind w:left="60"/>
              <w:spacing w:after="0"/>
              <w:rPr>
                <w:sz w:val="20"/>
                <w:szCs w:val="20"/>
                <w:color w:val="auto"/>
              </w:rPr>
            </w:pPr>
            <w:r>
              <w:rPr>
                <w:rFonts w:ascii="Arial" w:cs="Arial" w:eastAsia="Arial" w:hAnsi="Arial"/>
                <w:sz w:val="16"/>
                <w:szCs w:val="16"/>
                <w:color w:val="auto"/>
              </w:rPr>
              <w:t>Non-Performance</w:t>
            </w:r>
          </w:p>
        </w:tc>
        <w:tc>
          <w:tcPr>
            <w:tcW w:w="540" w:type="dxa"/>
            <w:vAlign w:val="bottom"/>
            <w:gridSpan w:val="2"/>
            <w:vMerge w:val="restart"/>
          </w:tcPr>
          <w:p>
            <w:pPr>
              <w:ind w:left="120"/>
              <w:spacing w:after="0"/>
              <w:rPr>
                <w:sz w:val="20"/>
                <w:szCs w:val="20"/>
                <w:color w:val="auto"/>
              </w:rPr>
            </w:pPr>
            <w:r>
              <w:rPr>
                <w:rFonts w:ascii="Arial" w:cs="Arial" w:eastAsia="Arial" w:hAnsi="Arial"/>
                <w:sz w:val="16"/>
                <w:szCs w:val="16"/>
                <w:color w:val="auto"/>
                <w:w w:val="88"/>
              </w:rPr>
              <w:t>0.43%</w:t>
            </w:r>
          </w:p>
        </w:tc>
        <w:tc>
          <w:tcPr>
            <w:tcW w:w="1640" w:type="dxa"/>
            <w:vAlign w:val="bottom"/>
            <w:vMerge w:val="restart"/>
          </w:tcPr>
          <w:p>
            <w:pPr>
              <w:ind w:left="20"/>
              <w:spacing w:after="0"/>
              <w:rPr>
                <w:sz w:val="20"/>
                <w:szCs w:val="20"/>
                <w:color w:val="auto"/>
              </w:rPr>
            </w:pPr>
            <w:r>
              <w:rPr>
                <w:rFonts w:ascii="Arial" w:cs="Arial" w:eastAsia="Arial" w:hAnsi="Arial"/>
                <w:sz w:val="16"/>
                <w:szCs w:val="16"/>
                <w:color w:val="auto"/>
              </w:rPr>
              <w:t>- 0.85% (0.64%)</w:t>
            </w:r>
          </w:p>
        </w:tc>
        <w:tc>
          <w:tcPr>
            <w:tcW w:w="0" w:type="dxa"/>
            <w:vAlign w:val="bottom"/>
          </w:tcPr>
          <w:p>
            <w:pPr>
              <w:spacing w:after="0"/>
              <w:rPr>
                <w:sz w:val="1"/>
                <w:szCs w:val="1"/>
                <w:color w:val="auto"/>
              </w:rPr>
            </w:pPr>
          </w:p>
        </w:tc>
      </w:tr>
      <w:tr>
        <w:trPr>
          <w:trHeight w:val="204"/>
        </w:trPr>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80" w:type="dxa"/>
            <w:vAlign w:val="bottom"/>
          </w:tcPr>
          <w:p>
            <w:pPr>
              <w:ind w:left="60"/>
              <w:spacing w:after="0"/>
              <w:rPr>
                <w:sz w:val="20"/>
                <w:szCs w:val="20"/>
                <w:color w:val="auto"/>
              </w:rPr>
            </w:pPr>
            <w:r>
              <w:rPr>
                <w:rFonts w:ascii="Arial" w:cs="Arial" w:eastAsia="Arial" w:hAnsi="Arial"/>
                <w:sz w:val="16"/>
                <w:szCs w:val="16"/>
                <w:color w:val="auto"/>
              </w:rPr>
              <w:t>Spread</w:t>
            </w:r>
          </w:p>
        </w:tc>
        <w:tc>
          <w:tcPr>
            <w:tcW w:w="540" w:type="dxa"/>
            <w:vAlign w:val="bottom"/>
            <w:gridSpan w:val="2"/>
            <w:vMerge w:val="continue"/>
          </w:tcPr>
          <w:p>
            <w:pPr>
              <w:spacing w:after="0"/>
              <w:rPr>
                <w:sz w:val="17"/>
                <w:szCs w:val="17"/>
                <w:color w:val="auto"/>
              </w:rPr>
            </w:pPr>
          </w:p>
        </w:tc>
        <w:tc>
          <w:tcPr>
            <w:tcW w:w="16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49"/>
        </w:trPr>
        <w:tc>
          <w:tcPr>
            <w:tcW w:w="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4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80" w:type="dxa"/>
            <w:vAlign w:val="bottom"/>
          </w:tcPr>
          <w:p>
            <w:pPr>
              <w:ind w:left="60"/>
              <w:spacing w:after="0"/>
              <w:rPr>
                <w:sz w:val="20"/>
                <w:szCs w:val="20"/>
                <w:color w:val="auto"/>
              </w:rPr>
            </w:pPr>
            <w:r>
              <w:rPr>
                <w:rFonts w:ascii="Arial" w:cs="Arial" w:eastAsia="Arial" w:hAnsi="Arial"/>
                <w:sz w:val="16"/>
                <w:szCs w:val="16"/>
                <w:color w:val="auto"/>
              </w:rPr>
              <w:t>GMWB Utilization</w:t>
            </w:r>
          </w:p>
        </w:tc>
        <w:tc>
          <w:tcPr>
            <w:tcW w:w="2180" w:type="dxa"/>
            <w:vAlign w:val="bottom"/>
            <w:gridSpan w:val="3"/>
          </w:tcPr>
          <w:p>
            <w:pPr>
              <w:ind w:left="120"/>
              <w:spacing w:after="0"/>
              <w:rPr>
                <w:sz w:val="20"/>
                <w:szCs w:val="20"/>
                <w:color w:val="auto"/>
              </w:rPr>
            </w:pPr>
            <w:r>
              <w:rPr>
                <w:rFonts w:ascii="Arial" w:cs="Arial" w:eastAsia="Arial" w:hAnsi="Arial"/>
                <w:sz w:val="16"/>
                <w:szCs w:val="16"/>
                <w:color w:val="auto"/>
              </w:rPr>
              <w:t>50.00% - 75.00% (63.03%)</w:t>
            </w: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3140" w:type="dxa"/>
            <w:vAlign w:val="bottom"/>
            <w:gridSpan w:val="3"/>
          </w:tcPr>
          <w:p>
            <w:pPr>
              <w:spacing w:after="0"/>
              <w:rPr>
                <w:sz w:val="20"/>
                <w:szCs w:val="20"/>
                <w:color w:val="auto"/>
              </w:rPr>
            </w:pPr>
            <w:r>
              <w:rPr>
                <w:rFonts w:ascii="Arial" w:cs="Arial" w:eastAsia="Arial" w:hAnsi="Arial"/>
                <w:sz w:val="16"/>
                <w:szCs w:val="16"/>
                <w:color w:val="auto"/>
              </w:rPr>
              <w:t>Total financial assets at fair value (a)</w:t>
            </w:r>
          </w:p>
        </w:tc>
        <w:tc>
          <w:tcPr>
            <w:tcW w:w="20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1,933</w:t>
            </w:r>
          </w:p>
        </w:tc>
        <w:tc>
          <w:tcPr>
            <w:tcW w:w="8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680" w:type="dxa"/>
            <w:vAlign w:val="bottom"/>
            <w:gridSpan w:val="2"/>
            <w:vMerge w:val="restart"/>
          </w:tcPr>
          <w:p>
            <w:pPr>
              <w:spacing w:after="0"/>
              <w:rPr>
                <w:sz w:val="20"/>
                <w:szCs w:val="20"/>
                <w:color w:val="auto"/>
              </w:rPr>
            </w:pPr>
            <w:r>
              <w:rPr>
                <w:rFonts w:ascii="Arial" w:cs="Arial" w:eastAsia="Arial" w:hAnsi="Arial"/>
                <w:sz w:val="16"/>
                <w:szCs w:val="16"/>
                <w:b w:val="1"/>
                <w:bCs w:val="1"/>
                <w:color w:val="auto"/>
                <w:w w:val="89"/>
              </w:rPr>
              <w:t>Liabilities</w:t>
            </w:r>
          </w:p>
        </w:tc>
        <w:tc>
          <w:tcPr>
            <w:tcW w:w="2460" w:type="dxa"/>
            <w:vAlign w:val="bottom"/>
            <w:vMerge w:val="restart"/>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40" w:type="dxa"/>
            <w:vAlign w:val="bottom"/>
          </w:tcPr>
          <w:p>
            <w:pPr>
              <w:spacing w:after="0"/>
              <w:rPr>
                <w:sz w:val="18"/>
                <w:szCs w:val="18"/>
                <w:color w:val="auto"/>
              </w:rPr>
            </w:pPr>
          </w:p>
        </w:tc>
        <w:tc>
          <w:tcPr>
            <w:tcW w:w="680" w:type="dxa"/>
            <w:vAlign w:val="bottom"/>
            <w:tcBorders>
              <w:bottom w:val="single" w:sz="8" w:color="auto"/>
            </w:tcBorders>
            <w:gridSpan w:val="2"/>
            <w:vMerge w:val="continue"/>
          </w:tcPr>
          <w:p>
            <w:pPr>
              <w:spacing w:after="0"/>
              <w:rPr>
                <w:sz w:val="18"/>
                <w:szCs w:val="18"/>
                <w:color w:val="auto"/>
              </w:rPr>
            </w:pPr>
          </w:p>
        </w:tc>
        <w:tc>
          <w:tcPr>
            <w:tcW w:w="246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40" w:type="dxa"/>
            <w:vAlign w:val="bottom"/>
          </w:tcPr>
          <w:p>
            <w:pPr>
              <w:spacing w:after="0"/>
              <w:rPr>
                <w:sz w:val="22"/>
                <w:szCs w:val="22"/>
                <w:color w:val="auto"/>
              </w:rPr>
            </w:pPr>
          </w:p>
        </w:tc>
        <w:tc>
          <w:tcPr>
            <w:tcW w:w="3140" w:type="dxa"/>
            <w:vAlign w:val="bottom"/>
            <w:gridSpan w:val="3"/>
          </w:tcPr>
          <w:p>
            <w:pPr>
              <w:spacing w:after="0"/>
              <w:rPr>
                <w:sz w:val="20"/>
                <w:szCs w:val="20"/>
                <w:color w:val="auto"/>
              </w:rPr>
            </w:pPr>
            <w:r>
              <w:rPr>
                <w:rFonts w:ascii="Arial" w:cs="Arial" w:eastAsia="Arial" w:hAnsi="Arial"/>
                <w:sz w:val="16"/>
                <w:szCs w:val="16"/>
                <w:color w:val="auto"/>
              </w:rPr>
              <w:t>Derivatives:</w:t>
            </w:r>
          </w:p>
        </w:tc>
        <w:tc>
          <w:tcPr>
            <w:tcW w:w="2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3140" w:type="dxa"/>
            <w:vAlign w:val="bottom"/>
            <w:gridSpan w:val="3"/>
          </w:tcPr>
          <w:p>
            <w:pPr>
              <w:ind w:left="220"/>
              <w:spacing w:after="0"/>
              <w:rPr>
                <w:sz w:val="20"/>
                <w:szCs w:val="20"/>
                <w:color w:val="auto"/>
              </w:rPr>
            </w:pPr>
            <w:r>
              <w:rPr>
                <w:rFonts w:ascii="Arial" w:cs="Arial" w:eastAsia="Arial" w:hAnsi="Arial"/>
                <w:sz w:val="16"/>
                <w:szCs w:val="16"/>
                <w:color w:val="auto"/>
              </w:rPr>
              <w:t>Indexed annuities/ IUL embedded</w:t>
            </w:r>
          </w:p>
        </w:tc>
        <w:tc>
          <w:tcPr>
            <w:tcW w:w="200" w:type="dxa"/>
            <w:vAlign w:val="bottom"/>
            <w:vMerge w:val="restart"/>
          </w:tcPr>
          <w:p>
            <w:pPr>
              <w:ind w:left="60"/>
              <w:spacing w:after="0"/>
              <w:rPr>
                <w:sz w:val="20"/>
                <w:szCs w:val="20"/>
                <w:color w:val="auto"/>
              </w:rPr>
            </w:pPr>
            <w:r>
              <w:rPr>
                <w:rFonts w:ascii="Arial" w:cs="Arial" w:eastAsia="Arial" w:hAnsi="Arial"/>
                <w:sz w:val="16"/>
                <w:szCs w:val="16"/>
                <w:color w:val="auto"/>
              </w:rPr>
              <w:t>$</w:t>
            </w:r>
          </w:p>
        </w:tc>
        <w:tc>
          <w:tcPr>
            <w:tcW w:w="1200" w:type="dxa"/>
            <w:vAlign w:val="bottom"/>
            <w:vMerge w:val="restart"/>
          </w:tcPr>
          <w:p>
            <w:pPr>
              <w:jc w:val="right"/>
              <w:spacing w:after="0"/>
              <w:rPr>
                <w:sz w:val="20"/>
                <w:szCs w:val="20"/>
                <w:color w:val="auto"/>
              </w:rPr>
            </w:pPr>
            <w:r>
              <w:rPr>
                <w:rFonts w:ascii="Arial" w:cs="Arial" w:eastAsia="Arial" w:hAnsi="Arial"/>
                <w:sz w:val="16"/>
                <w:szCs w:val="16"/>
                <w:color w:val="auto"/>
              </w:rPr>
              <w:t>6,542</w:t>
            </w:r>
          </w:p>
        </w:tc>
        <w:tc>
          <w:tcPr>
            <w:tcW w:w="80" w:type="dxa"/>
            <w:vAlign w:val="bottom"/>
          </w:tcPr>
          <w:p>
            <w:pPr>
              <w:spacing w:after="0"/>
              <w:rPr>
                <w:sz w:val="19"/>
                <w:szCs w:val="19"/>
                <w:color w:val="auto"/>
              </w:rPr>
            </w:pPr>
          </w:p>
        </w:tc>
        <w:tc>
          <w:tcPr>
            <w:tcW w:w="1660" w:type="dxa"/>
            <w:vAlign w:val="bottom"/>
            <w:vMerge w:val="restart"/>
          </w:tcPr>
          <w:p>
            <w:pPr>
              <w:ind w:left="40"/>
              <w:spacing w:after="0"/>
              <w:rPr>
                <w:sz w:val="20"/>
                <w:szCs w:val="20"/>
                <w:color w:val="auto"/>
              </w:rPr>
            </w:pPr>
            <w:r>
              <w:rPr>
                <w:rFonts w:ascii="Arial" w:cs="Arial" w:eastAsia="Arial" w:hAnsi="Arial"/>
                <w:sz w:val="16"/>
                <w:szCs w:val="16"/>
                <w:color w:val="auto"/>
                <w:w w:val="99"/>
              </w:rPr>
              <w:t>Discounted Cash Flow</w:t>
            </w:r>
          </w:p>
        </w:tc>
        <w:tc>
          <w:tcPr>
            <w:tcW w:w="60" w:type="dxa"/>
            <w:vAlign w:val="bottom"/>
          </w:tcPr>
          <w:p>
            <w:pPr>
              <w:spacing w:after="0"/>
              <w:rPr>
                <w:sz w:val="19"/>
                <w:szCs w:val="19"/>
                <w:color w:val="auto"/>
              </w:rPr>
            </w:pPr>
          </w:p>
        </w:tc>
        <w:tc>
          <w:tcPr>
            <w:tcW w:w="1480" w:type="dxa"/>
            <w:vAlign w:val="bottom"/>
          </w:tcPr>
          <w:p>
            <w:pPr>
              <w:ind w:left="60"/>
              <w:spacing w:after="0"/>
              <w:rPr>
                <w:sz w:val="20"/>
                <w:szCs w:val="20"/>
                <w:color w:val="auto"/>
              </w:rPr>
            </w:pPr>
            <w:r>
              <w:rPr>
                <w:rFonts w:ascii="Arial" w:cs="Arial" w:eastAsia="Arial" w:hAnsi="Arial"/>
                <w:sz w:val="16"/>
                <w:szCs w:val="16"/>
                <w:color w:val="auto"/>
              </w:rPr>
              <w:t>Market Value of</w:t>
            </w:r>
          </w:p>
        </w:tc>
        <w:tc>
          <w:tcPr>
            <w:tcW w:w="540" w:type="dxa"/>
            <w:vAlign w:val="bottom"/>
            <w:gridSpan w:val="2"/>
            <w:vMerge w:val="restart"/>
          </w:tcPr>
          <w:p>
            <w:pPr>
              <w:ind w:left="120"/>
              <w:spacing w:after="0"/>
              <w:rPr>
                <w:sz w:val="20"/>
                <w:szCs w:val="20"/>
                <w:color w:val="auto"/>
              </w:rPr>
            </w:pPr>
            <w:r>
              <w:rPr>
                <w:rFonts w:ascii="Arial" w:cs="Arial" w:eastAsia="Arial" w:hAnsi="Arial"/>
                <w:sz w:val="16"/>
                <w:szCs w:val="16"/>
                <w:color w:val="auto"/>
                <w:w w:val="88"/>
              </w:rPr>
              <w:t>0.00%</w:t>
            </w:r>
          </w:p>
        </w:tc>
        <w:tc>
          <w:tcPr>
            <w:tcW w:w="1640" w:type="dxa"/>
            <w:vAlign w:val="bottom"/>
            <w:vMerge w:val="restart"/>
          </w:tcPr>
          <w:p>
            <w:pPr>
              <w:ind w:left="20"/>
              <w:spacing w:after="0"/>
              <w:rPr>
                <w:sz w:val="20"/>
                <w:szCs w:val="20"/>
                <w:color w:val="auto"/>
              </w:rPr>
            </w:pPr>
            <w:r>
              <w:rPr>
                <w:rFonts w:ascii="Arial" w:cs="Arial" w:eastAsia="Arial" w:hAnsi="Arial"/>
                <w:sz w:val="16"/>
                <w:szCs w:val="16"/>
                <w:color w:val="auto"/>
              </w:rPr>
              <w:t>- 40.13% (3.84%)</w:t>
            </w:r>
          </w:p>
        </w:tc>
        <w:tc>
          <w:tcPr>
            <w:tcW w:w="0" w:type="dxa"/>
            <w:vAlign w:val="bottom"/>
          </w:tcPr>
          <w:p>
            <w:pPr>
              <w:spacing w:after="0"/>
              <w:rPr>
                <w:sz w:val="1"/>
                <w:szCs w:val="1"/>
                <w:color w:val="auto"/>
              </w:rPr>
            </w:pPr>
          </w:p>
        </w:tc>
      </w:tr>
      <w:tr>
        <w:trPr>
          <w:trHeight w:val="204"/>
        </w:trPr>
        <w:tc>
          <w:tcPr>
            <w:tcW w:w="40" w:type="dxa"/>
            <w:vAlign w:val="bottom"/>
          </w:tcPr>
          <w:p>
            <w:pPr>
              <w:spacing w:after="0"/>
              <w:rPr>
                <w:sz w:val="17"/>
                <w:szCs w:val="17"/>
                <w:color w:val="auto"/>
              </w:rPr>
            </w:pPr>
          </w:p>
        </w:tc>
        <w:tc>
          <w:tcPr>
            <w:tcW w:w="3140" w:type="dxa"/>
            <w:vAlign w:val="bottom"/>
            <w:gridSpan w:val="3"/>
          </w:tcPr>
          <w:p>
            <w:pPr>
              <w:ind w:left="220"/>
              <w:spacing w:after="0"/>
              <w:rPr>
                <w:sz w:val="20"/>
                <w:szCs w:val="20"/>
                <w:color w:val="auto"/>
              </w:rPr>
            </w:pPr>
            <w:r>
              <w:rPr>
                <w:rFonts w:ascii="Arial" w:cs="Arial" w:eastAsia="Arial" w:hAnsi="Arial"/>
                <w:sz w:val="16"/>
                <w:szCs w:val="16"/>
                <w:color w:val="auto"/>
                <w:w w:val="92"/>
              </w:rPr>
              <w:t>derivatives, included in Contractholder funds</w:t>
            </w:r>
          </w:p>
        </w:tc>
        <w:tc>
          <w:tcPr>
            <w:tcW w:w="200" w:type="dxa"/>
            <w:vAlign w:val="bottom"/>
            <w:vMerge w:val="continue"/>
          </w:tcPr>
          <w:p>
            <w:pPr>
              <w:spacing w:after="0"/>
              <w:rPr>
                <w:sz w:val="17"/>
                <w:szCs w:val="17"/>
                <w:color w:val="auto"/>
              </w:rPr>
            </w:pPr>
          </w:p>
        </w:tc>
        <w:tc>
          <w:tcPr>
            <w:tcW w:w="120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66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1480" w:type="dxa"/>
            <w:vAlign w:val="bottom"/>
          </w:tcPr>
          <w:p>
            <w:pPr>
              <w:ind w:left="60"/>
              <w:spacing w:after="0"/>
              <w:rPr>
                <w:sz w:val="20"/>
                <w:szCs w:val="20"/>
                <w:color w:val="auto"/>
              </w:rPr>
            </w:pPr>
            <w:r>
              <w:rPr>
                <w:rFonts w:ascii="Arial" w:cs="Arial" w:eastAsia="Arial" w:hAnsi="Arial"/>
                <w:sz w:val="16"/>
                <w:szCs w:val="16"/>
                <w:color w:val="auto"/>
              </w:rPr>
              <w:t>Option</w:t>
            </w:r>
          </w:p>
        </w:tc>
        <w:tc>
          <w:tcPr>
            <w:tcW w:w="540" w:type="dxa"/>
            <w:vAlign w:val="bottom"/>
            <w:gridSpan w:val="2"/>
            <w:vMerge w:val="continue"/>
          </w:tcPr>
          <w:p>
            <w:pPr>
              <w:spacing w:after="0"/>
              <w:rPr>
                <w:sz w:val="17"/>
                <w:szCs w:val="17"/>
                <w:color w:val="auto"/>
              </w:rPr>
            </w:pPr>
          </w:p>
        </w:tc>
        <w:tc>
          <w:tcPr>
            <w:tcW w:w="16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49"/>
        </w:trPr>
        <w:tc>
          <w:tcPr>
            <w:tcW w:w="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4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80" w:type="dxa"/>
            <w:vAlign w:val="bottom"/>
          </w:tcPr>
          <w:p>
            <w:pPr>
              <w:ind w:left="60"/>
              <w:spacing w:after="0"/>
              <w:rPr>
                <w:sz w:val="20"/>
                <w:szCs w:val="20"/>
                <w:color w:val="auto"/>
              </w:rPr>
            </w:pPr>
            <w:r>
              <w:rPr>
                <w:rFonts w:ascii="Arial" w:cs="Arial" w:eastAsia="Arial" w:hAnsi="Arial"/>
                <w:sz w:val="16"/>
                <w:szCs w:val="16"/>
                <w:color w:val="auto"/>
              </w:rPr>
              <w:t>Mortality Multiplier</w:t>
            </w:r>
          </w:p>
        </w:tc>
        <w:tc>
          <w:tcPr>
            <w:tcW w:w="2180" w:type="dxa"/>
            <w:vAlign w:val="bottom"/>
            <w:gridSpan w:val="3"/>
          </w:tcPr>
          <w:p>
            <w:pPr>
              <w:ind w:left="120"/>
              <w:spacing w:after="0"/>
              <w:rPr>
                <w:sz w:val="20"/>
                <w:szCs w:val="20"/>
                <w:color w:val="auto"/>
              </w:rPr>
            </w:pPr>
            <w:r>
              <w:rPr>
                <w:rFonts w:ascii="Arial" w:cs="Arial" w:eastAsia="Arial" w:hAnsi="Arial"/>
                <w:sz w:val="16"/>
                <w:szCs w:val="16"/>
                <w:color w:val="auto"/>
                <w:w w:val="97"/>
              </w:rPr>
              <w:t>80.00% - 115.00% (100.00%)</w:t>
            </w: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4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80" w:type="dxa"/>
            <w:vAlign w:val="bottom"/>
          </w:tcPr>
          <w:p>
            <w:pPr>
              <w:ind w:left="60"/>
              <w:spacing w:after="0"/>
              <w:rPr>
                <w:sz w:val="20"/>
                <w:szCs w:val="20"/>
                <w:color w:val="auto"/>
              </w:rPr>
            </w:pPr>
            <w:r>
              <w:rPr>
                <w:rFonts w:ascii="Arial" w:cs="Arial" w:eastAsia="Arial" w:hAnsi="Arial"/>
                <w:sz w:val="16"/>
                <w:szCs w:val="16"/>
                <w:color w:val="auto"/>
              </w:rPr>
              <w:t>Surrender Rates</w:t>
            </w:r>
          </w:p>
        </w:tc>
        <w:tc>
          <w:tcPr>
            <w:tcW w:w="540" w:type="dxa"/>
            <w:vAlign w:val="bottom"/>
            <w:gridSpan w:val="2"/>
          </w:tcPr>
          <w:p>
            <w:pPr>
              <w:ind w:left="120"/>
              <w:spacing w:after="0"/>
              <w:rPr>
                <w:sz w:val="20"/>
                <w:szCs w:val="20"/>
                <w:color w:val="auto"/>
              </w:rPr>
            </w:pPr>
            <w:r>
              <w:rPr>
                <w:rFonts w:ascii="Arial" w:cs="Arial" w:eastAsia="Arial" w:hAnsi="Arial"/>
                <w:sz w:val="16"/>
                <w:szCs w:val="16"/>
                <w:color w:val="auto"/>
                <w:w w:val="88"/>
              </w:rPr>
              <w:t>0.25%</w:t>
            </w:r>
          </w:p>
        </w:tc>
        <w:tc>
          <w:tcPr>
            <w:tcW w:w="1640" w:type="dxa"/>
            <w:vAlign w:val="bottom"/>
          </w:tcPr>
          <w:p>
            <w:pPr>
              <w:ind w:left="20"/>
              <w:spacing w:after="0"/>
              <w:rPr>
                <w:sz w:val="20"/>
                <w:szCs w:val="20"/>
                <w:color w:val="auto"/>
              </w:rPr>
            </w:pPr>
            <w:r>
              <w:rPr>
                <w:rFonts w:ascii="Arial" w:cs="Arial" w:eastAsia="Arial" w:hAnsi="Arial"/>
                <w:sz w:val="16"/>
                <w:szCs w:val="16"/>
                <w:color w:val="auto"/>
              </w:rPr>
              <w:t>- 50.00% (6.68%)</w:t>
            </w: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4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80" w:type="dxa"/>
            <w:vAlign w:val="bottom"/>
          </w:tcPr>
          <w:p>
            <w:pPr>
              <w:ind w:left="60"/>
              <w:spacing w:after="0"/>
              <w:rPr>
                <w:sz w:val="20"/>
                <w:szCs w:val="20"/>
                <w:color w:val="auto"/>
              </w:rPr>
            </w:pPr>
            <w:r>
              <w:rPr>
                <w:rFonts w:ascii="Arial" w:cs="Arial" w:eastAsia="Arial" w:hAnsi="Arial"/>
                <w:sz w:val="16"/>
                <w:szCs w:val="16"/>
                <w:color w:val="auto"/>
              </w:rPr>
              <w:t>Partial Withdrawals</w:t>
            </w:r>
          </w:p>
        </w:tc>
        <w:tc>
          <w:tcPr>
            <w:tcW w:w="540" w:type="dxa"/>
            <w:vAlign w:val="bottom"/>
            <w:gridSpan w:val="2"/>
          </w:tcPr>
          <w:p>
            <w:pPr>
              <w:ind w:left="120"/>
              <w:spacing w:after="0"/>
              <w:rPr>
                <w:sz w:val="20"/>
                <w:szCs w:val="20"/>
                <w:color w:val="auto"/>
              </w:rPr>
            </w:pPr>
            <w:r>
              <w:rPr>
                <w:rFonts w:ascii="Arial" w:cs="Arial" w:eastAsia="Arial" w:hAnsi="Arial"/>
                <w:sz w:val="16"/>
                <w:szCs w:val="16"/>
                <w:color w:val="auto"/>
                <w:w w:val="88"/>
              </w:rPr>
              <w:t>2.00%</w:t>
            </w:r>
          </w:p>
        </w:tc>
        <w:tc>
          <w:tcPr>
            <w:tcW w:w="1640" w:type="dxa"/>
            <w:vAlign w:val="bottom"/>
          </w:tcPr>
          <w:p>
            <w:pPr>
              <w:ind w:left="20"/>
              <w:spacing w:after="0"/>
              <w:rPr>
                <w:sz w:val="20"/>
                <w:szCs w:val="20"/>
                <w:color w:val="auto"/>
              </w:rPr>
            </w:pPr>
            <w:r>
              <w:rPr>
                <w:rFonts w:ascii="Arial" w:cs="Arial" w:eastAsia="Arial" w:hAnsi="Arial"/>
                <w:sz w:val="16"/>
                <w:szCs w:val="16"/>
                <w:color w:val="auto"/>
              </w:rPr>
              <w:t>- 35.71% (2.69%)</w:t>
            </w:r>
          </w:p>
        </w:tc>
        <w:tc>
          <w:tcPr>
            <w:tcW w:w="0" w:type="dxa"/>
            <w:vAlign w:val="bottom"/>
          </w:tcPr>
          <w:p>
            <w:pPr>
              <w:spacing w:after="0"/>
              <w:rPr>
                <w:sz w:val="1"/>
                <w:szCs w:val="1"/>
                <w:color w:val="auto"/>
              </w:rPr>
            </w:pPr>
          </w:p>
        </w:tc>
      </w:tr>
      <w:tr>
        <w:trPr>
          <w:trHeight w:val="194"/>
        </w:trPr>
        <w:tc>
          <w:tcPr>
            <w:tcW w:w="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80" w:type="dxa"/>
            <w:vAlign w:val="bottom"/>
          </w:tcPr>
          <w:p>
            <w:pPr>
              <w:ind w:left="60"/>
              <w:spacing w:after="0"/>
              <w:rPr>
                <w:sz w:val="20"/>
                <w:szCs w:val="20"/>
                <w:color w:val="auto"/>
              </w:rPr>
            </w:pPr>
            <w:r>
              <w:rPr>
                <w:rFonts w:ascii="Arial" w:cs="Arial" w:eastAsia="Arial" w:hAnsi="Arial"/>
                <w:sz w:val="16"/>
                <w:szCs w:val="16"/>
                <w:color w:val="auto"/>
              </w:rPr>
              <w:t>Non-Performance</w:t>
            </w:r>
          </w:p>
        </w:tc>
        <w:tc>
          <w:tcPr>
            <w:tcW w:w="540" w:type="dxa"/>
            <w:vAlign w:val="bottom"/>
            <w:gridSpan w:val="2"/>
            <w:vMerge w:val="restart"/>
          </w:tcPr>
          <w:p>
            <w:pPr>
              <w:ind w:left="120"/>
              <w:spacing w:after="0"/>
              <w:rPr>
                <w:sz w:val="20"/>
                <w:szCs w:val="20"/>
                <w:color w:val="auto"/>
              </w:rPr>
            </w:pPr>
            <w:r>
              <w:rPr>
                <w:rFonts w:ascii="Arial" w:cs="Arial" w:eastAsia="Arial" w:hAnsi="Arial"/>
                <w:sz w:val="16"/>
                <w:szCs w:val="16"/>
                <w:color w:val="auto"/>
                <w:w w:val="88"/>
              </w:rPr>
              <w:t>0.43%</w:t>
            </w:r>
          </w:p>
        </w:tc>
        <w:tc>
          <w:tcPr>
            <w:tcW w:w="1640" w:type="dxa"/>
            <w:vAlign w:val="bottom"/>
            <w:vMerge w:val="restart"/>
          </w:tcPr>
          <w:p>
            <w:pPr>
              <w:ind w:left="20"/>
              <w:spacing w:after="0"/>
              <w:rPr>
                <w:sz w:val="20"/>
                <w:szCs w:val="20"/>
                <w:color w:val="auto"/>
              </w:rPr>
            </w:pPr>
            <w:r>
              <w:rPr>
                <w:rFonts w:ascii="Arial" w:cs="Arial" w:eastAsia="Arial" w:hAnsi="Arial"/>
                <w:sz w:val="16"/>
                <w:szCs w:val="16"/>
                <w:color w:val="auto"/>
              </w:rPr>
              <w:t>- 0.85% (0.64%)</w:t>
            </w:r>
          </w:p>
        </w:tc>
        <w:tc>
          <w:tcPr>
            <w:tcW w:w="0" w:type="dxa"/>
            <w:vAlign w:val="bottom"/>
          </w:tcPr>
          <w:p>
            <w:pPr>
              <w:spacing w:after="0"/>
              <w:rPr>
                <w:sz w:val="1"/>
                <w:szCs w:val="1"/>
                <w:color w:val="auto"/>
              </w:rPr>
            </w:pPr>
          </w:p>
        </w:tc>
      </w:tr>
      <w:tr>
        <w:trPr>
          <w:trHeight w:val="204"/>
        </w:trPr>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80" w:type="dxa"/>
            <w:vAlign w:val="bottom"/>
          </w:tcPr>
          <w:p>
            <w:pPr>
              <w:ind w:left="60"/>
              <w:spacing w:after="0"/>
              <w:rPr>
                <w:sz w:val="20"/>
                <w:szCs w:val="20"/>
                <w:color w:val="auto"/>
              </w:rPr>
            </w:pPr>
            <w:r>
              <w:rPr>
                <w:rFonts w:ascii="Arial" w:cs="Arial" w:eastAsia="Arial" w:hAnsi="Arial"/>
                <w:sz w:val="16"/>
                <w:szCs w:val="16"/>
                <w:color w:val="auto"/>
              </w:rPr>
              <w:t>Spread</w:t>
            </w:r>
          </w:p>
        </w:tc>
        <w:tc>
          <w:tcPr>
            <w:tcW w:w="540" w:type="dxa"/>
            <w:vAlign w:val="bottom"/>
            <w:gridSpan w:val="2"/>
            <w:vMerge w:val="continue"/>
          </w:tcPr>
          <w:p>
            <w:pPr>
              <w:spacing w:after="0"/>
              <w:rPr>
                <w:sz w:val="17"/>
                <w:szCs w:val="17"/>
                <w:color w:val="auto"/>
              </w:rPr>
            </w:pPr>
          </w:p>
        </w:tc>
        <w:tc>
          <w:tcPr>
            <w:tcW w:w="16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880" w:h="15480" w:orient="portrait"/>
          <w:cols w:equalWidth="0" w:num="1">
            <w:col w:w="10040"/>
          </w:cols>
          <w:pgMar w:left="920" w:top="772" w:right="920" w:bottom="0" w:gutter="0" w:footer="0" w:header="0"/>
        </w:sect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126</w:t>
      </w:r>
    </w:p>
    <w:p>
      <w:pPr>
        <w:sectPr>
          <w:pgSz w:w="11880" w:h="15480" w:orient="portrait"/>
          <w:cols w:equalWidth="0" w:num="1">
            <w:col w:w="10040"/>
          </w:cols>
          <w:pgMar w:left="920" w:top="772" w:right="920" w:bottom="0" w:gutter="0" w:footer="0" w:header="0"/>
          <w:type w:val="continuous"/>
        </w:sectPr>
      </w:pPr>
    </w:p>
    <w:bookmarkStart w:id="138" w:name="page139"/>
    <w:bookmarkEnd w:id="138"/>
    <w:tbl>
      <w:tblPr>
        <w:tblLayout w:type="fixed"/>
        <w:tblInd w:w="67" w:type="dxa"/>
        <w:tblCellMar>
          <w:top w:w="0" w:type="dxa"/>
          <w:left w:w="0" w:type="dxa"/>
          <w:bottom w:w="0" w:type="dxa"/>
          <w:right w:w="0" w:type="dxa"/>
        </w:tblCellMar>
      </w:tblPr>
      <w:tr>
        <w:trPr>
          <w:trHeight w:val="204"/>
        </w:trPr>
        <w:tc>
          <w:tcPr>
            <w:tcW w:w="3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540" w:type="dxa"/>
            <w:vAlign w:val="bottom"/>
          </w:tcPr>
          <w:p>
            <w:pPr>
              <w:ind w:left="160"/>
              <w:spacing w:after="0"/>
              <w:rPr>
                <w:sz w:val="20"/>
                <w:szCs w:val="20"/>
                <w:color w:val="auto"/>
              </w:rPr>
            </w:pPr>
            <w:r>
              <w:rPr>
                <w:rFonts w:ascii="Arial" w:cs="Arial" w:eastAsia="Arial" w:hAnsi="Arial"/>
                <w:sz w:val="16"/>
                <w:szCs w:val="16"/>
                <w:color w:val="auto"/>
              </w:rPr>
              <w:t>Option Cost</w:t>
            </w:r>
          </w:p>
        </w:tc>
        <w:tc>
          <w:tcPr>
            <w:tcW w:w="580" w:type="dxa"/>
            <w:vAlign w:val="bottom"/>
          </w:tcPr>
          <w:p>
            <w:pPr>
              <w:ind w:left="160"/>
              <w:spacing w:after="0"/>
              <w:rPr>
                <w:sz w:val="20"/>
                <w:szCs w:val="20"/>
                <w:color w:val="auto"/>
              </w:rPr>
            </w:pPr>
            <w:r>
              <w:rPr>
                <w:rFonts w:ascii="Arial" w:cs="Arial" w:eastAsia="Arial" w:hAnsi="Arial"/>
                <w:sz w:val="16"/>
                <w:szCs w:val="16"/>
                <w:color w:val="auto"/>
                <w:w w:val="88"/>
              </w:rPr>
              <w:t>0.50%</w:t>
            </w:r>
          </w:p>
        </w:tc>
        <w:tc>
          <w:tcPr>
            <w:tcW w:w="1460" w:type="dxa"/>
            <w:vAlign w:val="bottom"/>
          </w:tcPr>
          <w:p>
            <w:pPr>
              <w:ind w:left="20"/>
              <w:spacing w:after="0"/>
              <w:rPr>
                <w:sz w:val="20"/>
                <w:szCs w:val="20"/>
                <w:color w:val="auto"/>
              </w:rPr>
            </w:pPr>
            <w:r>
              <w:rPr>
                <w:rFonts w:ascii="Arial" w:cs="Arial" w:eastAsia="Arial" w:hAnsi="Arial"/>
                <w:sz w:val="16"/>
                <w:szCs w:val="16"/>
                <w:color w:val="auto"/>
              </w:rPr>
              <w:t>- 6.09% (2.78%)</w:t>
            </w:r>
          </w:p>
        </w:tc>
        <w:tc>
          <w:tcPr>
            <w:tcW w:w="0" w:type="dxa"/>
            <w:vAlign w:val="bottom"/>
          </w:tcPr>
          <w:p>
            <w:pPr>
              <w:spacing w:after="0"/>
              <w:rPr>
                <w:sz w:val="1"/>
                <w:szCs w:val="1"/>
                <w:color w:val="auto"/>
              </w:rPr>
            </w:pPr>
          </w:p>
        </w:tc>
      </w:tr>
      <w:tr>
        <w:trPr>
          <w:trHeight w:val="223"/>
        </w:trPr>
        <w:tc>
          <w:tcPr>
            <w:tcW w:w="3120" w:type="dxa"/>
            <w:vAlign w:val="bottom"/>
            <w:vMerge w:val="restart"/>
          </w:tcPr>
          <w:p>
            <w:pPr>
              <w:spacing w:after="0"/>
              <w:rPr>
                <w:sz w:val="20"/>
                <w:szCs w:val="20"/>
                <w:color w:val="auto"/>
              </w:rPr>
            </w:pPr>
            <w:r>
              <w:rPr>
                <w:rFonts w:ascii="Arial" w:cs="Arial" w:eastAsia="Arial" w:hAnsi="Arial"/>
                <w:sz w:val="16"/>
                <w:szCs w:val="16"/>
                <w:color w:val="auto"/>
              </w:rPr>
              <w:t>Contingent consideration</w:t>
            </w:r>
          </w:p>
        </w:tc>
        <w:tc>
          <w:tcPr>
            <w:tcW w:w="560" w:type="dxa"/>
            <w:vAlign w:val="bottom"/>
          </w:tcPr>
          <w:p>
            <w:pPr>
              <w:spacing w:after="0"/>
              <w:rPr>
                <w:sz w:val="19"/>
                <w:szCs w:val="19"/>
                <w:color w:val="auto"/>
              </w:rPr>
            </w:pP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72</w:t>
            </w:r>
          </w:p>
        </w:tc>
        <w:tc>
          <w:tcPr>
            <w:tcW w:w="1700" w:type="dxa"/>
            <w:vAlign w:val="bottom"/>
            <w:vMerge w:val="restart"/>
          </w:tcPr>
          <w:p>
            <w:pPr>
              <w:ind w:left="120"/>
              <w:spacing w:after="0"/>
              <w:rPr>
                <w:sz w:val="20"/>
                <w:szCs w:val="20"/>
                <w:color w:val="auto"/>
              </w:rPr>
            </w:pPr>
            <w:r>
              <w:rPr>
                <w:rFonts w:ascii="Arial" w:cs="Arial" w:eastAsia="Arial" w:hAnsi="Arial"/>
                <w:sz w:val="16"/>
                <w:szCs w:val="16"/>
                <w:color w:val="auto"/>
                <w:w w:val="97"/>
              </w:rPr>
              <w:t>Discounted Cash Flow</w:t>
            </w:r>
          </w:p>
        </w:tc>
        <w:tc>
          <w:tcPr>
            <w:tcW w:w="1540" w:type="dxa"/>
            <w:vAlign w:val="bottom"/>
          </w:tcPr>
          <w:p>
            <w:pPr>
              <w:ind w:left="160"/>
              <w:spacing w:after="0"/>
              <w:rPr>
                <w:sz w:val="20"/>
                <w:szCs w:val="20"/>
                <w:color w:val="auto"/>
              </w:rPr>
            </w:pPr>
            <w:r>
              <w:rPr>
                <w:rFonts w:ascii="Arial" w:cs="Arial" w:eastAsia="Arial" w:hAnsi="Arial"/>
                <w:sz w:val="16"/>
                <w:szCs w:val="16"/>
                <w:color w:val="auto"/>
              </w:rPr>
              <w:t>Risk-Adjusted</w:t>
            </w:r>
          </w:p>
        </w:tc>
        <w:tc>
          <w:tcPr>
            <w:tcW w:w="2040" w:type="dxa"/>
            <w:vAlign w:val="bottom"/>
            <w:gridSpan w:val="2"/>
            <w:vMerge w:val="restart"/>
          </w:tcPr>
          <w:p>
            <w:pPr>
              <w:ind w:left="160"/>
              <w:spacing w:after="0"/>
              <w:rPr>
                <w:sz w:val="20"/>
                <w:szCs w:val="20"/>
                <w:color w:val="auto"/>
              </w:rPr>
            </w:pPr>
            <w:r>
              <w:rPr>
                <w:rFonts w:ascii="Arial" w:cs="Arial" w:eastAsia="Arial" w:hAnsi="Arial"/>
                <w:sz w:val="16"/>
                <w:szCs w:val="16"/>
                <w:color w:val="auto"/>
                <w:w w:val="96"/>
              </w:rPr>
              <w:t>11.50% - 11.50% (11.50%)</w:t>
            </w:r>
          </w:p>
        </w:tc>
        <w:tc>
          <w:tcPr>
            <w:tcW w:w="0" w:type="dxa"/>
            <w:vAlign w:val="bottom"/>
          </w:tcPr>
          <w:p>
            <w:pPr>
              <w:spacing w:after="0"/>
              <w:rPr>
                <w:sz w:val="1"/>
                <w:szCs w:val="1"/>
                <w:color w:val="auto"/>
              </w:rPr>
            </w:pPr>
          </w:p>
        </w:tc>
      </w:tr>
      <w:tr>
        <w:trPr>
          <w:trHeight w:val="204"/>
        </w:trPr>
        <w:tc>
          <w:tcPr>
            <w:tcW w:w="3120" w:type="dxa"/>
            <w:vAlign w:val="bottom"/>
            <w:vMerge w:val="continue"/>
          </w:tcPr>
          <w:p>
            <w:pPr>
              <w:spacing w:after="0"/>
              <w:rPr>
                <w:sz w:val="17"/>
                <w:szCs w:val="17"/>
                <w:color w:val="auto"/>
              </w:rPr>
            </w:pPr>
          </w:p>
        </w:tc>
        <w:tc>
          <w:tcPr>
            <w:tcW w:w="560" w:type="dxa"/>
            <w:vAlign w:val="bottom"/>
          </w:tcPr>
          <w:p>
            <w:pPr>
              <w:spacing w:after="0"/>
              <w:rPr>
                <w:sz w:val="17"/>
                <w:szCs w:val="17"/>
                <w:color w:val="auto"/>
              </w:rPr>
            </w:pPr>
          </w:p>
        </w:tc>
        <w:tc>
          <w:tcPr>
            <w:tcW w:w="840" w:type="dxa"/>
            <w:vAlign w:val="bottom"/>
            <w:vMerge w:val="continue"/>
          </w:tcPr>
          <w:p>
            <w:pPr>
              <w:spacing w:after="0"/>
              <w:rPr>
                <w:sz w:val="17"/>
                <w:szCs w:val="17"/>
                <w:color w:val="auto"/>
              </w:rPr>
            </w:pPr>
          </w:p>
        </w:tc>
        <w:tc>
          <w:tcPr>
            <w:tcW w:w="1700" w:type="dxa"/>
            <w:vAlign w:val="bottom"/>
            <w:vMerge w:val="continue"/>
          </w:tcPr>
          <w:p>
            <w:pPr>
              <w:spacing w:after="0"/>
              <w:rPr>
                <w:sz w:val="17"/>
                <w:szCs w:val="17"/>
                <w:color w:val="auto"/>
              </w:rPr>
            </w:pPr>
          </w:p>
        </w:tc>
        <w:tc>
          <w:tcPr>
            <w:tcW w:w="1540" w:type="dxa"/>
            <w:vAlign w:val="bottom"/>
          </w:tcPr>
          <w:p>
            <w:pPr>
              <w:ind w:left="160"/>
              <w:spacing w:after="0"/>
              <w:rPr>
                <w:sz w:val="20"/>
                <w:szCs w:val="20"/>
                <w:color w:val="auto"/>
              </w:rPr>
            </w:pPr>
            <w:r>
              <w:rPr>
                <w:rFonts w:ascii="Arial" w:cs="Arial" w:eastAsia="Arial" w:hAnsi="Arial"/>
                <w:sz w:val="16"/>
                <w:szCs w:val="16"/>
                <w:color w:val="auto"/>
              </w:rPr>
              <w:t>Discount Rate</w:t>
            </w:r>
          </w:p>
        </w:tc>
        <w:tc>
          <w:tcPr>
            <w:tcW w:w="204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78"/>
        </w:trPr>
        <w:tc>
          <w:tcPr>
            <w:tcW w:w="3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540" w:type="dxa"/>
            <w:vAlign w:val="bottom"/>
          </w:tcPr>
          <w:p>
            <w:pPr>
              <w:ind w:left="160"/>
              <w:spacing w:after="0"/>
              <w:rPr>
                <w:sz w:val="20"/>
                <w:szCs w:val="20"/>
                <w:color w:val="auto"/>
              </w:rPr>
            </w:pPr>
            <w:r>
              <w:rPr>
                <w:rFonts w:ascii="Arial" w:cs="Arial" w:eastAsia="Arial" w:hAnsi="Arial"/>
                <w:sz w:val="16"/>
                <w:szCs w:val="16"/>
                <w:color w:val="auto"/>
              </w:rPr>
              <w:t>EBITDA Volatility</w:t>
            </w:r>
          </w:p>
        </w:tc>
        <w:tc>
          <w:tcPr>
            <w:tcW w:w="2040" w:type="dxa"/>
            <w:vAlign w:val="bottom"/>
            <w:gridSpan w:val="2"/>
          </w:tcPr>
          <w:p>
            <w:pPr>
              <w:ind w:left="160"/>
              <w:spacing w:after="0"/>
              <w:rPr>
                <w:sz w:val="20"/>
                <w:szCs w:val="20"/>
                <w:color w:val="auto"/>
              </w:rPr>
            </w:pPr>
            <w:r>
              <w:rPr>
                <w:rFonts w:ascii="Arial" w:cs="Arial" w:eastAsia="Arial" w:hAnsi="Arial"/>
                <w:sz w:val="16"/>
                <w:szCs w:val="16"/>
                <w:color w:val="auto"/>
              </w:rPr>
              <w:t>35% - 35% (35%)</w:t>
            </w:r>
          </w:p>
        </w:tc>
        <w:tc>
          <w:tcPr>
            <w:tcW w:w="0" w:type="dxa"/>
            <w:vAlign w:val="bottom"/>
          </w:tcPr>
          <w:p>
            <w:pPr>
              <w:spacing w:after="0"/>
              <w:rPr>
                <w:sz w:val="1"/>
                <w:szCs w:val="1"/>
                <w:color w:val="auto"/>
              </w:rPr>
            </w:pPr>
          </w:p>
        </w:tc>
      </w:tr>
      <w:tr>
        <w:trPr>
          <w:trHeight w:val="223"/>
        </w:trPr>
        <w:tc>
          <w:tcPr>
            <w:tcW w:w="3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540" w:type="dxa"/>
            <w:vAlign w:val="bottom"/>
          </w:tcPr>
          <w:p>
            <w:pPr>
              <w:ind w:left="160"/>
              <w:spacing w:after="0"/>
              <w:rPr>
                <w:sz w:val="20"/>
                <w:szCs w:val="20"/>
                <w:color w:val="auto"/>
              </w:rPr>
            </w:pPr>
            <w:r>
              <w:rPr>
                <w:rFonts w:ascii="Arial" w:cs="Arial" w:eastAsia="Arial" w:hAnsi="Arial"/>
                <w:sz w:val="16"/>
                <w:szCs w:val="16"/>
                <w:color w:val="auto"/>
              </w:rPr>
              <w:t>Counterparty</w:t>
            </w:r>
          </w:p>
        </w:tc>
        <w:tc>
          <w:tcPr>
            <w:tcW w:w="580" w:type="dxa"/>
            <w:vAlign w:val="bottom"/>
            <w:vMerge w:val="restart"/>
          </w:tcPr>
          <w:p>
            <w:pPr>
              <w:ind w:left="160"/>
              <w:spacing w:after="0"/>
              <w:rPr>
                <w:sz w:val="20"/>
                <w:szCs w:val="20"/>
                <w:color w:val="auto"/>
              </w:rPr>
            </w:pPr>
            <w:r>
              <w:rPr>
                <w:rFonts w:ascii="Arial" w:cs="Arial" w:eastAsia="Arial" w:hAnsi="Arial"/>
                <w:sz w:val="16"/>
                <w:szCs w:val="16"/>
                <w:color w:val="auto"/>
                <w:w w:val="88"/>
              </w:rPr>
              <w:t>6.30%</w:t>
            </w:r>
          </w:p>
        </w:tc>
        <w:tc>
          <w:tcPr>
            <w:tcW w:w="1460" w:type="dxa"/>
            <w:vAlign w:val="bottom"/>
            <w:vMerge w:val="restart"/>
          </w:tcPr>
          <w:p>
            <w:pPr>
              <w:ind w:left="20"/>
              <w:spacing w:after="0"/>
              <w:rPr>
                <w:sz w:val="20"/>
                <w:szCs w:val="20"/>
                <w:color w:val="auto"/>
              </w:rPr>
            </w:pPr>
            <w:r>
              <w:rPr>
                <w:rFonts w:ascii="Arial" w:cs="Arial" w:eastAsia="Arial" w:hAnsi="Arial"/>
                <w:sz w:val="16"/>
                <w:szCs w:val="16"/>
                <w:color w:val="auto"/>
              </w:rPr>
              <w:t>- 6.30% (6.30%)</w:t>
            </w:r>
          </w:p>
        </w:tc>
        <w:tc>
          <w:tcPr>
            <w:tcW w:w="0" w:type="dxa"/>
            <w:vAlign w:val="bottom"/>
          </w:tcPr>
          <w:p>
            <w:pPr>
              <w:spacing w:after="0"/>
              <w:rPr>
                <w:sz w:val="1"/>
                <w:szCs w:val="1"/>
                <w:color w:val="auto"/>
              </w:rPr>
            </w:pPr>
          </w:p>
        </w:tc>
      </w:tr>
      <w:tr>
        <w:trPr>
          <w:trHeight w:val="204"/>
        </w:trPr>
        <w:tc>
          <w:tcPr>
            <w:tcW w:w="3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540" w:type="dxa"/>
            <w:vAlign w:val="bottom"/>
          </w:tcPr>
          <w:p>
            <w:pPr>
              <w:ind w:left="160"/>
              <w:spacing w:after="0"/>
              <w:rPr>
                <w:sz w:val="20"/>
                <w:szCs w:val="20"/>
                <w:color w:val="auto"/>
              </w:rPr>
            </w:pPr>
            <w:r>
              <w:rPr>
                <w:rFonts w:ascii="Arial" w:cs="Arial" w:eastAsia="Arial" w:hAnsi="Arial"/>
                <w:sz w:val="16"/>
                <w:szCs w:val="16"/>
                <w:color w:val="auto"/>
              </w:rPr>
              <w:t>Discount Rate</w:t>
            </w:r>
          </w:p>
        </w:tc>
        <w:tc>
          <w:tcPr>
            <w:tcW w:w="580" w:type="dxa"/>
            <w:vAlign w:val="bottom"/>
            <w:vMerge w:val="continue"/>
          </w:tcPr>
          <w:p>
            <w:pPr>
              <w:spacing w:after="0"/>
              <w:rPr>
                <w:sz w:val="17"/>
                <w:szCs w:val="17"/>
                <w:color w:val="auto"/>
              </w:rPr>
            </w:pPr>
          </w:p>
        </w:tc>
        <w:tc>
          <w:tcPr>
            <w:tcW w:w="14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49"/>
        </w:trPr>
        <w:tc>
          <w:tcPr>
            <w:tcW w:w="3120" w:type="dxa"/>
            <w:vAlign w:val="bottom"/>
          </w:tcPr>
          <w:p>
            <w:pPr>
              <w:spacing w:after="0"/>
              <w:rPr>
                <w:sz w:val="20"/>
                <w:szCs w:val="20"/>
                <w:color w:val="auto"/>
              </w:rPr>
            </w:pPr>
            <w:r>
              <w:rPr>
                <w:rFonts w:ascii="Arial" w:cs="Arial" w:eastAsia="Arial" w:hAnsi="Arial"/>
                <w:sz w:val="16"/>
                <w:szCs w:val="16"/>
                <w:color w:val="auto"/>
              </w:rPr>
              <w:t>Market risk benefits liability</w:t>
            </w:r>
          </w:p>
        </w:tc>
        <w:tc>
          <w:tcPr>
            <w:tcW w:w="5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903</w:t>
            </w:r>
          </w:p>
        </w:tc>
        <w:tc>
          <w:tcPr>
            <w:tcW w:w="1700" w:type="dxa"/>
            <w:vAlign w:val="bottom"/>
          </w:tcPr>
          <w:p>
            <w:pPr>
              <w:ind w:left="120"/>
              <w:spacing w:after="0"/>
              <w:rPr>
                <w:sz w:val="20"/>
                <w:szCs w:val="20"/>
                <w:color w:val="auto"/>
              </w:rPr>
            </w:pPr>
            <w:r>
              <w:rPr>
                <w:rFonts w:ascii="Arial" w:cs="Arial" w:eastAsia="Arial" w:hAnsi="Arial"/>
                <w:sz w:val="16"/>
                <w:szCs w:val="16"/>
                <w:color w:val="auto"/>
                <w:w w:val="97"/>
              </w:rPr>
              <w:t>Discounted Cash Flow</w:t>
            </w:r>
          </w:p>
        </w:tc>
        <w:tc>
          <w:tcPr>
            <w:tcW w:w="1540" w:type="dxa"/>
            <w:vAlign w:val="bottom"/>
          </w:tcPr>
          <w:p>
            <w:pPr>
              <w:ind w:left="160"/>
              <w:spacing w:after="0"/>
              <w:rPr>
                <w:sz w:val="20"/>
                <w:szCs w:val="20"/>
                <w:color w:val="auto"/>
              </w:rPr>
            </w:pPr>
            <w:r>
              <w:rPr>
                <w:rFonts w:ascii="Arial" w:cs="Arial" w:eastAsia="Arial" w:hAnsi="Arial"/>
                <w:sz w:val="16"/>
                <w:szCs w:val="16"/>
                <w:color w:val="auto"/>
              </w:rPr>
              <w:t>Mortality</w:t>
            </w:r>
          </w:p>
        </w:tc>
        <w:tc>
          <w:tcPr>
            <w:tcW w:w="2040" w:type="dxa"/>
            <w:vAlign w:val="bottom"/>
            <w:gridSpan w:val="2"/>
          </w:tcPr>
          <w:p>
            <w:pPr>
              <w:ind w:left="160"/>
              <w:spacing w:after="0"/>
              <w:rPr>
                <w:sz w:val="20"/>
                <w:szCs w:val="20"/>
                <w:color w:val="auto"/>
              </w:rPr>
            </w:pPr>
            <w:r>
              <w:rPr>
                <w:rFonts w:ascii="Arial" w:cs="Arial" w:eastAsia="Arial" w:hAnsi="Arial"/>
                <w:sz w:val="16"/>
                <w:szCs w:val="16"/>
                <w:color w:val="auto"/>
                <w:w w:val="88"/>
              </w:rPr>
              <w:t>80.00% - 115.00% (100.00%)</w:t>
            </w:r>
          </w:p>
        </w:tc>
        <w:tc>
          <w:tcPr>
            <w:tcW w:w="0" w:type="dxa"/>
            <w:vAlign w:val="bottom"/>
          </w:tcPr>
          <w:p>
            <w:pPr>
              <w:spacing w:after="0"/>
              <w:rPr>
                <w:sz w:val="1"/>
                <w:szCs w:val="1"/>
                <w:color w:val="auto"/>
              </w:rPr>
            </w:pPr>
          </w:p>
        </w:tc>
      </w:tr>
      <w:tr>
        <w:trPr>
          <w:trHeight w:val="250"/>
        </w:trPr>
        <w:tc>
          <w:tcPr>
            <w:tcW w:w="3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1540" w:type="dxa"/>
            <w:vAlign w:val="bottom"/>
          </w:tcPr>
          <w:p>
            <w:pPr>
              <w:ind w:left="160"/>
              <w:spacing w:after="0"/>
              <w:rPr>
                <w:sz w:val="20"/>
                <w:szCs w:val="20"/>
                <w:color w:val="auto"/>
              </w:rPr>
            </w:pPr>
            <w:r>
              <w:rPr>
                <w:rFonts w:ascii="Arial" w:cs="Arial" w:eastAsia="Arial" w:hAnsi="Arial"/>
                <w:sz w:val="16"/>
                <w:szCs w:val="16"/>
                <w:color w:val="auto"/>
              </w:rPr>
              <w:t>Surrender Rates</w:t>
            </w:r>
          </w:p>
        </w:tc>
        <w:tc>
          <w:tcPr>
            <w:tcW w:w="580" w:type="dxa"/>
            <w:vAlign w:val="bottom"/>
          </w:tcPr>
          <w:p>
            <w:pPr>
              <w:ind w:left="160"/>
              <w:spacing w:after="0"/>
              <w:rPr>
                <w:sz w:val="20"/>
                <w:szCs w:val="20"/>
                <w:color w:val="auto"/>
              </w:rPr>
            </w:pPr>
            <w:r>
              <w:rPr>
                <w:rFonts w:ascii="Arial" w:cs="Arial" w:eastAsia="Arial" w:hAnsi="Arial"/>
                <w:sz w:val="16"/>
                <w:szCs w:val="16"/>
                <w:color w:val="auto"/>
                <w:w w:val="88"/>
              </w:rPr>
              <w:t>0.25%</w:t>
            </w:r>
          </w:p>
        </w:tc>
        <w:tc>
          <w:tcPr>
            <w:tcW w:w="1460" w:type="dxa"/>
            <w:vAlign w:val="bottom"/>
          </w:tcPr>
          <w:p>
            <w:pPr>
              <w:ind w:left="20"/>
              <w:spacing w:after="0"/>
              <w:rPr>
                <w:sz w:val="20"/>
                <w:szCs w:val="20"/>
                <w:color w:val="auto"/>
              </w:rPr>
            </w:pPr>
            <w:r>
              <w:rPr>
                <w:rFonts w:ascii="Arial" w:cs="Arial" w:eastAsia="Arial" w:hAnsi="Arial"/>
                <w:sz w:val="16"/>
                <w:szCs w:val="16"/>
                <w:color w:val="auto"/>
              </w:rPr>
              <w:t>- 30.00% (5.33%)</w:t>
            </w:r>
          </w:p>
        </w:tc>
        <w:tc>
          <w:tcPr>
            <w:tcW w:w="0" w:type="dxa"/>
            <w:vAlign w:val="bottom"/>
          </w:tcPr>
          <w:p>
            <w:pPr>
              <w:spacing w:after="0"/>
              <w:rPr>
                <w:sz w:val="1"/>
                <w:szCs w:val="1"/>
                <w:color w:val="auto"/>
              </w:rPr>
            </w:pPr>
          </w:p>
        </w:tc>
      </w:tr>
      <w:tr>
        <w:trPr>
          <w:trHeight w:val="223"/>
        </w:trPr>
        <w:tc>
          <w:tcPr>
            <w:tcW w:w="3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540" w:type="dxa"/>
            <w:vAlign w:val="bottom"/>
          </w:tcPr>
          <w:p>
            <w:pPr>
              <w:ind w:left="160"/>
              <w:spacing w:after="0"/>
              <w:rPr>
                <w:sz w:val="20"/>
                <w:szCs w:val="20"/>
                <w:color w:val="auto"/>
              </w:rPr>
            </w:pPr>
            <w:r>
              <w:rPr>
                <w:rFonts w:ascii="Arial" w:cs="Arial" w:eastAsia="Arial" w:hAnsi="Arial"/>
                <w:sz w:val="16"/>
                <w:szCs w:val="16"/>
                <w:color w:val="auto"/>
              </w:rPr>
              <w:t>Partial Withdrawal</w:t>
            </w:r>
          </w:p>
        </w:tc>
        <w:tc>
          <w:tcPr>
            <w:tcW w:w="580" w:type="dxa"/>
            <w:vAlign w:val="bottom"/>
            <w:vMerge w:val="restart"/>
          </w:tcPr>
          <w:p>
            <w:pPr>
              <w:ind w:left="160"/>
              <w:spacing w:after="0"/>
              <w:rPr>
                <w:sz w:val="20"/>
                <w:szCs w:val="20"/>
                <w:color w:val="auto"/>
              </w:rPr>
            </w:pPr>
            <w:r>
              <w:rPr>
                <w:rFonts w:ascii="Arial" w:cs="Arial" w:eastAsia="Arial" w:hAnsi="Arial"/>
                <w:sz w:val="16"/>
                <w:szCs w:val="16"/>
                <w:color w:val="auto"/>
                <w:w w:val="88"/>
              </w:rPr>
              <w:t>0.00%</w:t>
            </w:r>
          </w:p>
        </w:tc>
        <w:tc>
          <w:tcPr>
            <w:tcW w:w="1460" w:type="dxa"/>
            <w:vAlign w:val="bottom"/>
            <w:vMerge w:val="restart"/>
          </w:tcPr>
          <w:p>
            <w:pPr>
              <w:ind w:left="20"/>
              <w:spacing w:after="0"/>
              <w:rPr>
                <w:sz w:val="20"/>
                <w:szCs w:val="20"/>
                <w:color w:val="auto"/>
              </w:rPr>
            </w:pPr>
            <w:r>
              <w:rPr>
                <w:rFonts w:ascii="Arial" w:cs="Arial" w:eastAsia="Arial" w:hAnsi="Arial"/>
                <w:sz w:val="16"/>
                <w:szCs w:val="16"/>
                <w:color w:val="auto"/>
              </w:rPr>
              <w:t>- 25.64% (2.47%)</w:t>
            </w:r>
          </w:p>
        </w:tc>
        <w:tc>
          <w:tcPr>
            <w:tcW w:w="0" w:type="dxa"/>
            <w:vAlign w:val="bottom"/>
          </w:tcPr>
          <w:p>
            <w:pPr>
              <w:spacing w:after="0"/>
              <w:rPr>
                <w:sz w:val="1"/>
                <w:szCs w:val="1"/>
                <w:color w:val="auto"/>
              </w:rPr>
            </w:pPr>
          </w:p>
        </w:tc>
      </w:tr>
      <w:tr>
        <w:trPr>
          <w:trHeight w:val="204"/>
        </w:trPr>
        <w:tc>
          <w:tcPr>
            <w:tcW w:w="3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540" w:type="dxa"/>
            <w:vAlign w:val="bottom"/>
          </w:tcPr>
          <w:p>
            <w:pPr>
              <w:ind w:left="160"/>
              <w:spacing w:after="0"/>
              <w:rPr>
                <w:sz w:val="20"/>
                <w:szCs w:val="20"/>
                <w:color w:val="auto"/>
              </w:rPr>
            </w:pPr>
            <w:r>
              <w:rPr>
                <w:rFonts w:ascii="Arial" w:cs="Arial" w:eastAsia="Arial" w:hAnsi="Arial"/>
                <w:sz w:val="16"/>
                <w:szCs w:val="16"/>
                <w:color w:val="auto"/>
              </w:rPr>
              <w:t>Rates</w:t>
            </w:r>
          </w:p>
        </w:tc>
        <w:tc>
          <w:tcPr>
            <w:tcW w:w="580" w:type="dxa"/>
            <w:vAlign w:val="bottom"/>
            <w:vMerge w:val="continue"/>
          </w:tcPr>
          <w:p>
            <w:pPr>
              <w:spacing w:after="0"/>
              <w:rPr>
                <w:sz w:val="17"/>
                <w:szCs w:val="17"/>
                <w:color w:val="auto"/>
              </w:rPr>
            </w:pPr>
          </w:p>
        </w:tc>
        <w:tc>
          <w:tcPr>
            <w:tcW w:w="14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3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540" w:type="dxa"/>
            <w:vAlign w:val="bottom"/>
          </w:tcPr>
          <w:p>
            <w:pPr>
              <w:ind w:left="160"/>
              <w:spacing w:after="0"/>
              <w:rPr>
                <w:sz w:val="20"/>
                <w:szCs w:val="20"/>
                <w:color w:val="auto"/>
              </w:rPr>
            </w:pPr>
            <w:r>
              <w:rPr>
                <w:rFonts w:ascii="Arial" w:cs="Arial" w:eastAsia="Arial" w:hAnsi="Arial"/>
                <w:sz w:val="16"/>
                <w:szCs w:val="16"/>
                <w:color w:val="auto"/>
              </w:rPr>
              <w:t>Non-Performance</w:t>
            </w:r>
          </w:p>
        </w:tc>
        <w:tc>
          <w:tcPr>
            <w:tcW w:w="580" w:type="dxa"/>
            <w:vAlign w:val="bottom"/>
            <w:vMerge w:val="restart"/>
          </w:tcPr>
          <w:p>
            <w:pPr>
              <w:ind w:left="160"/>
              <w:spacing w:after="0"/>
              <w:rPr>
                <w:sz w:val="20"/>
                <w:szCs w:val="20"/>
                <w:color w:val="auto"/>
              </w:rPr>
            </w:pPr>
            <w:r>
              <w:rPr>
                <w:rFonts w:ascii="Arial" w:cs="Arial" w:eastAsia="Arial" w:hAnsi="Arial"/>
                <w:sz w:val="16"/>
                <w:szCs w:val="16"/>
                <w:color w:val="auto"/>
                <w:w w:val="88"/>
              </w:rPr>
              <w:t>0.43%</w:t>
            </w:r>
          </w:p>
        </w:tc>
        <w:tc>
          <w:tcPr>
            <w:tcW w:w="1460" w:type="dxa"/>
            <w:vAlign w:val="bottom"/>
            <w:vMerge w:val="restart"/>
          </w:tcPr>
          <w:p>
            <w:pPr>
              <w:ind w:left="60"/>
              <w:spacing w:after="0"/>
              <w:rPr>
                <w:sz w:val="20"/>
                <w:szCs w:val="20"/>
                <w:color w:val="auto"/>
              </w:rPr>
            </w:pPr>
            <w:r>
              <w:rPr>
                <w:rFonts w:ascii="Arial" w:cs="Arial" w:eastAsia="Arial" w:hAnsi="Arial"/>
                <w:sz w:val="16"/>
                <w:szCs w:val="16"/>
                <w:color w:val="auto"/>
              </w:rPr>
              <w:t>- 0.85% (0.64%)</w:t>
            </w:r>
          </w:p>
        </w:tc>
        <w:tc>
          <w:tcPr>
            <w:tcW w:w="0" w:type="dxa"/>
            <w:vAlign w:val="bottom"/>
          </w:tcPr>
          <w:p>
            <w:pPr>
              <w:spacing w:after="0"/>
              <w:rPr>
                <w:sz w:val="1"/>
                <w:szCs w:val="1"/>
                <w:color w:val="auto"/>
              </w:rPr>
            </w:pPr>
          </w:p>
        </w:tc>
      </w:tr>
      <w:tr>
        <w:trPr>
          <w:trHeight w:val="204"/>
        </w:trPr>
        <w:tc>
          <w:tcPr>
            <w:tcW w:w="3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540" w:type="dxa"/>
            <w:vAlign w:val="bottom"/>
          </w:tcPr>
          <w:p>
            <w:pPr>
              <w:ind w:left="160"/>
              <w:spacing w:after="0"/>
              <w:rPr>
                <w:sz w:val="20"/>
                <w:szCs w:val="20"/>
                <w:color w:val="auto"/>
              </w:rPr>
            </w:pPr>
            <w:r>
              <w:rPr>
                <w:rFonts w:ascii="Arial" w:cs="Arial" w:eastAsia="Arial" w:hAnsi="Arial"/>
                <w:sz w:val="16"/>
                <w:szCs w:val="16"/>
                <w:color w:val="auto"/>
              </w:rPr>
              <w:t>Spread</w:t>
            </w:r>
          </w:p>
        </w:tc>
        <w:tc>
          <w:tcPr>
            <w:tcW w:w="580" w:type="dxa"/>
            <w:vAlign w:val="bottom"/>
            <w:vMerge w:val="continue"/>
          </w:tcPr>
          <w:p>
            <w:pPr>
              <w:spacing w:after="0"/>
              <w:rPr>
                <w:sz w:val="17"/>
                <w:szCs w:val="17"/>
                <w:color w:val="auto"/>
              </w:rPr>
            </w:pPr>
          </w:p>
        </w:tc>
        <w:tc>
          <w:tcPr>
            <w:tcW w:w="14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3120" w:type="dxa"/>
            <w:vAlign w:val="bottom"/>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spacing w:after="0"/>
              <w:rPr>
                <w:sz w:val="22"/>
                <w:szCs w:val="22"/>
                <w:color w:val="auto"/>
              </w:rPr>
            </w:pPr>
          </w:p>
        </w:tc>
        <w:tc>
          <w:tcPr>
            <w:tcW w:w="1700" w:type="dxa"/>
            <w:vAlign w:val="bottom"/>
          </w:tcPr>
          <w:p>
            <w:pPr>
              <w:spacing w:after="0"/>
              <w:rPr>
                <w:sz w:val="22"/>
                <w:szCs w:val="22"/>
                <w:color w:val="auto"/>
              </w:rPr>
            </w:pPr>
          </w:p>
        </w:tc>
        <w:tc>
          <w:tcPr>
            <w:tcW w:w="1540" w:type="dxa"/>
            <w:vAlign w:val="bottom"/>
          </w:tcPr>
          <w:p>
            <w:pPr>
              <w:ind w:left="160"/>
              <w:spacing w:after="0"/>
              <w:rPr>
                <w:sz w:val="20"/>
                <w:szCs w:val="20"/>
                <w:color w:val="auto"/>
              </w:rPr>
            </w:pPr>
            <w:r>
              <w:rPr>
                <w:rFonts w:ascii="Arial" w:cs="Arial" w:eastAsia="Arial" w:hAnsi="Arial"/>
                <w:sz w:val="16"/>
                <w:szCs w:val="16"/>
                <w:color w:val="auto"/>
              </w:rPr>
              <w:t>GMWB Utilization</w:t>
            </w:r>
          </w:p>
        </w:tc>
        <w:tc>
          <w:tcPr>
            <w:tcW w:w="2040" w:type="dxa"/>
            <w:vAlign w:val="bottom"/>
            <w:gridSpan w:val="2"/>
          </w:tcPr>
          <w:p>
            <w:pPr>
              <w:ind w:left="160"/>
              <w:spacing w:after="0"/>
              <w:rPr>
                <w:sz w:val="20"/>
                <w:szCs w:val="20"/>
                <w:color w:val="auto"/>
              </w:rPr>
            </w:pPr>
            <w:r>
              <w:rPr>
                <w:rFonts w:ascii="Arial" w:cs="Arial" w:eastAsia="Arial" w:hAnsi="Arial"/>
                <w:sz w:val="16"/>
                <w:szCs w:val="16"/>
                <w:color w:val="auto"/>
                <w:w w:val="96"/>
              </w:rPr>
              <w:t>50.00% - 75.00% (63.03%)</w:t>
            </w:r>
          </w:p>
        </w:tc>
        <w:tc>
          <w:tcPr>
            <w:tcW w:w="0" w:type="dxa"/>
            <w:vAlign w:val="bottom"/>
          </w:tcPr>
          <w:p>
            <w:pPr>
              <w:spacing w:after="0"/>
              <w:rPr>
                <w:sz w:val="1"/>
                <w:szCs w:val="1"/>
                <w:color w:val="auto"/>
              </w:rPr>
            </w:pPr>
          </w:p>
        </w:tc>
      </w:tr>
      <w:tr>
        <w:trPr>
          <w:trHeight w:val="269"/>
        </w:trPr>
        <w:tc>
          <w:tcPr>
            <w:tcW w:w="3120" w:type="dxa"/>
            <w:vAlign w:val="bottom"/>
          </w:tcPr>
          <w:p>
            <w:pPr>
              <w:ind w:left="460"/>
              <w:spacing w:after="0"/>
              <w:rPr>
                <w:sz w:val="20"/>
                <w:szCs w:val="20"/>
                <w:color w:val="auto"/>
              </w:rPr>
            </w:pPr>
            <w:r>
              <w:rPr>
                <w:rFonts w:ascii="Arial" w:cs="Arial" w:eastAsia="Arial" w:hAnsi="Arial"/>
                <w:sz w:val="16"/>
                <w:szCs w:val="16"/>
                <w:color w:val="auto"/>
              </w:rPr>
              <w:t>Total financial liabilities at fair value</w:t>
            </w:r>
          </w:p>
        </w:tc>
        <w:tc>
          <w:tcPr>
            <w:tcW w:w="560" w:type="dxa"/>
            <w:vAlign w:val="bottom"/>
            <w:tcBorders>
              <w:bottom w:val="single" w:sz="8" w:color="auto"/>
            </w:tcBorders>
          </w:tcPr>
          <w:p>
            <w:pPr>
              <w:jc w:val="right"/>
              <w:ind w:right="342"/>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7,517</w:t>
            </w:r>
          </w:p>
        </w:tc>
        <w:tc>
          <w:tcPr>
            <w:tcW w:w="170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-1953895</wp:posOffset>
            </wp:positionV>
            <wp:extent cx="6410325" cy="196088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80">
                      <a:extLst>
                        <a:ext uri="{28A0092B-C50C-407E-A947-70E740481C1C}"/>
                      </a:extLst>
                    </a:blip>
                    <a:srcRect/>
                    <a:stretch>
                      <a:fillRect/>
                    </a:stretch>
                  </pic:blipFill>
                  <pic:spPr bwMode="auto">
                    <a:xfrm>
                      <a:off x="0" y="0"/>
                      <a:ext cx="6410325" cy="1960880"/>
                    </a:xfrm>
                    <a:prstGeom prst="rect">
                      <a:avLst/>
                    </a:prstGeom>
                    <a:noFill/>
                  </pic:spPr>
                </pic:pic>
              </a:graphicData>
            </a:graphic>
          </wp:anchor>
        </w:drawing>
      </w:r>
    </w:p>
    <w:p>
      <w:pPr>
        <w:jc w:val="both"/>
        <w:ind w:left="7" w:hanging="7"/>
        <w:spacing w:after="0" w:line="258" w:lineRule="auto"/>
        <w:tabs>
          <w:tab w:leader="none" w:pos="281" w:val="left"/>
        </w:tabs>
        <w:numPr>
          <w:ilvl w:val="0"/>
          <w:numId w:val="47"/>
        </w:numPr>
        <w:rPr>
          <w:rFonts w:ascii="Arial" w:cs="Arial" w:eastAsia="Arial" w:hAnsi="Arial"/>
          <w:sz w:val="16"/>
          <w:szCs w:val="16"/>
          <w:color w:val="auto"/>
        </w:rPr>
      </w:pPr>
      <w:r>
        <w:rPr>
          <w:rFonts w:ascii="Arial" w:cs="Arial" w:eastAsia="Arial" w:hAnsi="Arial"/>
          <w:sz w:val="16"/>
          <w:szCs w:val="16"/>
          <w:color w:val="auto"/>
        </w:rPr>
        <w:t>Assets of $12,597 million and liabilities of $9 million for which significant quantitative unobservable inputs are not developed internally and not readily available to the Company (primarily those valued using broker quotes and certain third-party pricing services) are excluded from the respective totals in the table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315595</wp:posOffset>
            </wp:positionV>
            <wp:extent cx="6410325" cy="58127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81">
                      <a:extLst>
                        <a:ext uri="{28A0092B-C50C-407E-A947-70E740481C1C}"/>
                      </a:extLst>
                    </a:blip>
                    <a:srcRect/>
                    <a:stretch>
                      <a:fillRect/>
                    </a:stretch>
                  </pic:blipFill>
                  <pic:spPr bwMode="auto">
                    <a:xfrm>
                      <a:off x="0" y="0"/>
                      <a:ext cx="6410325" cy="5812790"/>
                    </a:xfrm>
                    <a:prstGeom prst="rect">
                      <a:avLst/>
                    </a:prstGeom>
                    <a:noFill/>
                  </pic:spPr>
                </pic:pic>
              </a:graphicData>
            </a:graphic>
          </wp:anchor>
        </w:drawing>
      </w:r>
    </w:p>
    <w:p>
      <w:pPr>
        <w:spacing w:after="0" w:line="200" w:lineRule="exact"/>
        <w:rPr>
          <w:sz w:val="20"/>
          <w:szCs w:val="20"/>
          <w:color w:val="auto"/>
        </w:rPr>
      </w:pPr>
    </w:p>
    <w:p>
      <w:pPr>
        <w:spacing w:after="0" w:line="324" w:lineRule="exact"/>
        <w:rPr>
          <w:sz w:val="20"/>
          <w:szCs w:val="20"/>
          <w:color w:val="auto"/>
        </w:rPr>
      </w:pPr>
    </w:p>
    <w:tbl>
      <w:tblPr>
        <w:tblLayout w:type="fixed"/>
        <w:tblInd w:w="47" w:type="dxa"/>
        <w:tblCellMar>
          <w:top w:w="0" w:type="dxa"/>
          <w:left w:w="0" w:type="dxa"/>
          <w:bottom w:w="0" w:type="dxa"/>
          <w:right w:w="0" w:type="dxa"/>
        </w:tblCellMar>
      </w:tblPr>
      <w:tr>
        <w:trPr>
          <w:trHeight w:val="206"/>
        </w:trPr>
        <w:tc>
          <w:tcPr>
            <w:tcW w:w="420" w:type="dxa"/>
            <w:vAlign w:val="bottom"/>
          </w:tcPr>
          <w:p>
            <w:pPr>
              <w:spacing w:after="0"/>
              <w:rPr>
                <w:sz w:val="17"/>
                <w:szCs w:val="17"/>
                <w:color w:val="auto"/>
              </w:rPr>
            </w:pPr>
          </w:p>
        </w:tc>
        <w:tc>
          <w:tcPr>
            <w:tcW w:w="2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jc w:val="center"/>
              <w:ind w:right="122"/>
              <w:spacing w:after="0"/>
              <w:rPr>
                <w:sz w:val="20"/>
                <w:szCs w:val="20"/>
                <w:color w:val="auto"/>
              </w:rPr>
            </w:pPr>
            <w:r>
              <w:rPr>
                <w:rFonts w:ascii="Arial" w:cs="Arial" w:eastAsia="Arial" w:hAnsi="Arial"/>
                <w:sz w:val="16"/>
                <w:szCs w:val="16"/>
                <w:b w:val="1"/>
                <w:bCs w:val="1"/>
                <w:color w:val="auto"/>
                <w:w w:val="94"/>
              </w:rPr>
              <w:t>Fair Value at</w:t>
            </w:r>
          </w:p>
        </w:tc>
        <w:tc>
          <w:tcPr>
            <w:tcW w:w="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420" w:type="dxa"/>
            <w:vAlign w:val="bottom"/>
          </w:tcPr>
          <w:p>
            <w:pPr>
              <w:spacing w:after="0"/>
              <w:rPr>
                <w:sz w:val="21"/>
                <w:szCs w:val="21"/>
                <w:color w:val="auto"/>
              </w:rPr>
            </w:pPr>
          </w:p>
        </w:tc>
        <w:tc>
          <w:tcPr>
            <w:tcW w:w="2640" w:type="dxa"/>
            <w:vAlign w:val="bottom"/>
          </w:tcPr>
          <w:p>
            <w:pPr>
              <w:spacing w:after="0"/>
              <w:rPr>
                <w:sz w:val="21"/>
                <w:szCs w:val="21"/>
                <w:color w:val="auto"/>
              </w:rPr>
            </w:pPr>
          </w:p>
        </w:tc>
        <w:tc>
          <w:tcPr>
            <w:tcW w:w="1460" w:type="dxa"/>
            <w:vAlign w:val="bottom"/>
            <w:gridSpan w:val="2"/>
          </w:tcPr>
          <w:p>
            <w:pPr>
              <w:jc w:val="center"/>
              <w:spacing w:after="0"/>
              <w:rPr>
                <w:sz w:val="20"/>
                <w:szCs w:val="20"/>
                <w:color w:val="auto"/>
              </w:rPr>
            </w:pPr>
            <w:r>
              <w:rPr>
                <w:rFonts w:ascii="Arial" w:cs="Arial" w:eastAsia="Arial" w:hAnsi="Arial"/>
                <w:sz w:val="16"/>
                <w:szCs w:val="16"/>
                <w:b w:val="1"/>
                <w:bCs w:val="1"/>
                <w:color w:val="auto"/>
                <w:w w:val="87"/>
              </w:rPr>
              <w:t>December 31, 2024</w:t>
            </w:r>
          </w:p>
        </w:tc>
        <w:tc>
          <w:tcPr>
            <w:tcW w:w="8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360" w:type="dxa"/>
            <w:vAlign w:val="bottom"/>
            <w:vMerge w:val="restart"/>
          </w:tcPr>
          <w:p>
            <w:pPr>
              <w:ind w:left="220"/>
              <w:spacing w:after="0"/>
              <w:rPr>
                <w:sz w:val="20"/>
                <w:szCs w:val="20"/>
                <w:color w:val="auto"/>
              </w:rPr>
            </w:pPr>
            <w:r>
              <w:rPr>
                <w:rFonts w:ascii="Arial" w:cs="Arial" w:eastAsia="Arial" w:hAnsi="Arial"/>
                <w:sz w:val="16"/>
                <w:szCs w:val="16"/>
                <w:b w:val="1"/>
                <w:bCs w:val="1"/>
                <w:color w:val="auto"/>
              </w:rPr>
              <w:t>Unobservable</w:t>
            </w:r>
          </w:p>
        </w:tc>
        <w:tc>
          <w:tcPr>
            <w:tcW w:w="80" w:type="dxa"/>
            <w:vAlign w:val="bottom"/>
          </w:tcPr>
          <w:p>
            <w:pPr>
              <w:spacing w:after="0"/>
              <w:rPr>
                <w:sz w:val="21"/>
                <w:szCs w:val="21"/>
                <w:color w:val="auto"/>
              </w:rPr>
            </w:pPr>
          </w:p>
        </w:tc>
        <w:tc>
          <w:tcPr>
            <w:tcW w:w="2320" w:type="dxa"/>
            <w:vAlign w:val="bottom"/>
            <w:gridSpan w:val="2"/>
          </w:tcPr>
          <w:p>
            <w:pPr>
              <w:ind w:left="280"/>
              <w:spacing w:after="0"/>
              <w:rPr>
                <w:sz w:val="20"/>
                <w:szCs w:val="20"/>
                <w:color w:val="auto"/>
              </w:rPr>
            </w:pPr>
            <w:r>
              <w:rPr>
                <w:rFonts w:ascii="Arial" w:cs="Arial" w:eastAsia="Arial" w:hAnsi="Arial"/>
                <w:sz w:val="16"/>
                <w:szCs w:val="16"/>
                <w:b w:val="1"/>
                <w:bCs w:val="1"/>
                <w:color w:val="auto"/>
              </w:rPr>
              <w:t>Range (Weighted average)</w:t>
            </w:r>
          </w:p>
        </w:tc>
        <w:tc>
          <w:tcPr>
            <w:tcW w:w="0" w:type="dxa"/>
            <w:vAlign w:val="bottom"/>
          </w:tcPr>
          <w:p>
            <w:pPr>
              <w:spacing w:after="0"/>
              <w:rPr>
                <w:sz w:val="1"/>
                <w:szCs w:val="1"/>
                <w:color w:val="auto"/>
              </w:rPr>
            </w:pPr>
          </w:p>
        </w:tc>
      </w:tr>
      <w:tr>
        <w:trPr>
          <w:trHeight w:val="47"/>
        </w:trPr>
        <w:tc>
          <w:tcPr>
            <w:tcW w:w="420" w:type="dxa"/>
            <w:vAlign w:val="bottom"/>
          </w:tcPr>
          <w:p>
            <w:pPr>
              <w:spacing w:after="0"/>
              <w:rPr>
                <w:sz w:val="4"/>
                <w:szCs w:val="4"/>
                <w:color w:val="auto"/>
              </w:rPr>
            </w:pPr>
          </w:p>
        </w:tc>
        <w:tc>
          <w:tcPr>
            <w:tcW w:w="264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60" w:type="dxa"/>
            <w:vAlign w:val="bottom"/>
            <w:vMerge w:val="restart"/>
          </w:tcPr>
          <w:p>
            <w:pPr>
              <w:jc w:val="center"/>
              <w:ind w:right="122"/>
              <w:spacing w:after="0"/>
              <w:rPr>
                <w:sz w:val="20"/>
                <w:szCs w:val="20"/>
                <w:color w:val="auto"/>
              </w:rPr>
            </w:pPr>
            <w:r>
              <w:rPr>
                <w:rFonts w:ascii="Arial" w:cs="Arial" w:eastAsia="Arial" w:hAnsi="Arial"/>
                <w:sz w:val="16"/>
                <w:szCs w:val="16"/>
                <w:b w:val="1"/>
                <w:bCs w:val="1"/>
                <w:color w:val="auto"/>
                <w:w w:val="91"/>
              </w:rPr>
              <w:t>(In millions)</w:t>
            </w:r>
          </w:p>
        </w:tc>
        <w:tc>
          <w:tcPr>
            <w:tcW w:w="80" w:type="dxa"/>
            <w:vAlign w:val="bottom"/>
          </w:tcPr>
          <w:p>
            <w:pPr>
              <w:spacing w:after="0"/>
              <w:rPr>
                <w:sz w:val="4"/>
                <w:szCs w:val="4"/>
                <w:color w:val="auto"/>
              </w:rPr>
            </w:pPr>
          </w:p>
        </w:tc>
        <w:tc>
          <w:tcPr>
            <w:tcW w:w="1580" w:type="dxa"/>
            <w:vAlign w:val="bottom"/>
            <w:vMerge w:val="restart"/>
          </w:tcPr>
          <w:p>
            <w:pPr>
              <w:ind w:left="80"/>
              <w:spacing w:after="0"/>
              <w:rPr>
                <w:sz w:val="20"/>
                <w:szCs w:val="20"/>
                <w:color w:val="auto"/>
              </w:rPr>
            </w:pPr>
            <w:r>
              <w:rPr>
                <w:rFonts w:ascii="Arial" w:cs="Arial" w:eastAsia="Arial" w:hAnsi="Arial"/>
                <w:sz w:val="16"/>
                <w:szCs w:val="16"/>
                <w:b w:val="1"/>
                <w:bCs w:val="1"/>
                <w:color w:val="auto"/>
                <w:w w:val="94"/>
              </w:rPr>
              <w:t>Valuation Technique</w:t>
            </w:r>
          </w:p>
        </w:tc>
        <w:tc>
          <w:tcPr>
            <w:tcW w:w="6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tcPr>
          <w:p>
            <w:pPr>
              <w:spacing w:after="0"/>
              <w:rPr>
                <w:sz w:val="4"/>
                <w:szCs w:val="4"/>
                <w:color w:val="auto"/>
              </w:rPr>
            </w:pPr>
          </w:p>
        </w:tc>
        <w:tc>
          <w:tcPr>
            <w:tcW w:w="1860" w:type="dxa"/>
            <w:vAlign w:val="bottom"/>
            <w:vMerge w:val="restart"/>
          </w:tcPr>
          <w:p>
            <w:pPr>
              <w:ind w:left="60"/>
              <w:spacing w:after="0"/>
              <w:rPr>
                <w:sz w:val="20"/>
                <w:szCs w:val="20"/>
                <w:color w:val="auto"/>
              </w:rPr>
            </w:pPr>
            <w:r>
              <w:rPr>
                <w:rFonts w:ascii="Arial" w:cs="Arial" w:eastAsia="Arial" w:hAnsi="Arial"/>
                <w:sz w:val="16"/>
                <w:szCs w:val="16"/>
                <w:b w:val="1"/>
                <w:bCs w:val="1"/>
                <w:color w:val="auto"/>
              </w:rPr>
              <w:t>December 31, 2024</w:t>
            </w:r>
          </w:p>
        </w:tc>
        <w:tc>
          <w:tcPr>
            <w:tcW w:w="0" w:type="dxa"/>
            <w:vAlign w:val="bottom"/>
          </w:tcPr>
          <w:p>
            <w:pPr>
              <w:spacing w:after="0"/>
              <w:rPr>
                <w:sz w:val="1"/>
                <w:szCs w:val="1"/>
                <w:color w:val="auto"/>
              </w:rPr>
            </w:pPr>
          </w:p>
        </w:tc>
      </w:tr>
      <w:tr>
        <w:trPr>
          <w:trHeight w:val="210"/>
        </w:trPr>
        <w:tc>
          <w:tcPr>
            <w:tcW w:w="42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1580" w:type="dxa"/>
            <w:vAlign w:val="bottom"/>
            <w:tcBorders>
              <w:bottom w:val="single" w:sz="8" w:color="auto"/>
            </w:tcBorders>
            <w:vMerge w:val="continue"/>
          </w:tcPr>
          <w:p>
            <w:pPr>
              <w:spacing w:after="0"/>
              <w:rPr>
                <w:sz w:val="18"/>
                <w:szCs w:val="18"/>
                <w:color w:val="auto"/>
              </w:rPr>
            </w:pPr>
          </w:p>
        </w:tc>
        <w:tc>
          <w:tcPr>
            <w:tcW w:w="60" w:type="dxa"/>
            <w:vAlign w:val="bottom"/>
          </w:tcPr>
          <w:p>
            <w:pPr>
              <w:spacing w:after="0"/>
              <w:rPr>
                <w:sz w:val="18"/>
                <w:szCs w:val="18"/>
                <w:color w:val="auto"/>
              </w:rPr>
            </w:pPr>
          </w:p>
        </w:tc>
        <w:tc>
          <w:tcPr>
            <w:tcW w:w="1360" w:type="dxa"/>
            <w:vAlign w:val="bottom"/>
            <w:tcBorders>
              <w:bottom w:val="single" w:sz="8" w:color="auto"/>
            </w:tcBorders>
          </w:tcPr>
          <w:p>
            <w:pPr>
              <w:ind w:left="420"/>
              <w:spacing w:after="0"/>
              <w:rPr>
                <w:sz w:val="20"/>
                <w:szCs w:val="20"/>
                <w:color w:val="auto"/>
              </w:rPr>
            </w:pPr>
            <w:r>
              <w:rPr>
                <w:rFonts w:ascii="Arial" w:cs="Arial" w:eastAsia="Arial" w:hAnsi="Arial"/>
                <w:sz w:val="16"/>
                <w:szCs w:val="16"/>
                <w:b w:val="1"/>
                <w:bCs w:val="1"/>
                <w:color w:val="auto"/>
              </w:rPr>
              <w:t>Input(s)</w:t>
            </w:r>
          </w:p>
        </w:tc>
        <w:tc>
          <w:tcPr>
            <w:tcW w:w="8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3060" w:type="dxa"/>
            <w:vAlign w:val="bottom"/>
            <w:gridSpan w:val="2"/>
          </w:tcPr>
          <w:p>
            <w:pPr>
              <w:spacing w:after="0"/>
              <w:rPr>
                <w:sz w:val="20"/>
                <w:szCs w:val="20"/>
                <w:color w:val="auto"/>
              </w:rPr>
            </w:pPr>
            <w:r>
              <w:rPr>
                <w:rFonts w:ascii="Arial" w:cs="Arial" w:eastAsia="Arial" w:hAnsi="Arial"/>
                <w:sz w:val="16"/>
                <w:szCs w:val="16"/>
                <w:b w:val="1"/>
                <w:bCs w:val="1"/>
                <w:color w:val="auto"/>
              </w:rPr>
              <w:t>Assets</w:t>
            </w:r>
          </w:p>
        </w:tc>
        <w:tc>
          <w:tcPr>
            <w:tcW w:w="2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20" w:type="dxa"/>
            <w:vAlign w:val="bottom"/>
            <w:shd w:val="clear" w:color="auto" w:fill="000000"/>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3060" w:type="dxa"/>
            <w:vAlign w:val="bottom"/>
            <w:gridSpan w:val="2"/>
          </w:tcPr>
          <w:p>
            <w:pPr>
              <w:spacing w:after="0"/>
              <w:rPr>
                <w:sz w:val="20"/>
                <w:szCs w:val="20"/>
                <w:color w:val="auto"/>
              </w:rPr>
            </w:pPr>
            <w:r>
              <w:rPr>
                <w:rFonts w:ascii="Arial" w:cs="Arial" w:eastAsia="Arial" w:hAnsi="Arial"/>
                <w:sz w:val="16"/>
                <w:szCs w:val="16"/>
                <w:color w:val="auto"/>
              </w:rPr>
              <w:t>Asset-backed securities</w:t>
            </w:r>
          </w:p>
        </w:tc>
        <w:tc>
          <w:tcPr>
            <w:tcW w:w="20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95</w:t>
            </w:r>
          </w:p>
        </w:tc>
        <w:tc>
          <w:tcPr>
            <w:tcW w:w="80" w:type="dxa"/>
            <w:vAlign w:val="bottom"/>
          </w:tcPr>
          <w:p>
            <w:pPr>
              <w:spacing w:after="0"/>
              <w:rPr>
                <w:sz w:val="22"/>
                <w:szCs w:val="22"/>
                <w:color w:val="auto"/>
              </w:rPr>
            </w:pPr>
          </w:p>
        </w:tc>
        <w:tc>
          <w:tcPr>
            <w:tcW w:w="1580" w:type="dxa"/>
            <w:vAlign w:val="bottom"/>
          </w:tcPr>
          <w:p>
            <w:pPr>
              <w:ind w:left="40"/>
              <w:spacing w:after="0"/>
              <w:rPr>
                <w:sz w:val="20"/>
                <w:szCs w:val="20"/>
                <w:color w:val="auto"/>
              </w:rPr>
            </w:pPr>
            <w:r>
              <w:rPr>
                <w:rFonts w:ascii="Arial" w:cs="Arial" w:eastAsia="Arial" w:hAnsi="Arial"/>
                <w:sz w:val="16"/>
                <w:szCs w:val="16"/>
                <w:color w:val="auto"/>
              </w:rPr>
              <w:t>Third-Party Valuation</w:t>
            </w:r>
          </w:p>
        </w:tc>
        <w:tc>
          <w:tcPr>
            <w:tcW w:w="60" w:type="dxa"/>
            <w:vAlign w:val="bottom"/>
          </w:tcPr>
          <w:p>
            <w:pPr>
              <w:spacing w:after="0"/>
              <w:rPr>
                <w:sz w:val="22"/>
                <w:szCs w:val="22"/>
                <w:color w:val="auto"/>
              </w:rPr>
            </w:pPr>
          </w:p>
        </w:tc>
        <w:tc>
          <w:tcPr>
            <w:tcW w:w="1360" w:type="dxa"/>
            <w:vAlign w:val="bottom"/>
          </w:tcPr>
          <w:p>
            <w:pPr>
              <w:ind w:left="60"/>
              <w:spacing w:after="0"/>
              <w:rPr>
                <w:sz w:val="20"/>
                <w:szCs w:val="20"/>
                <w:color w:val="auto"/>
              </w:rPr>
            </w:pPr>
            <w:r>
              <w:rPr>
                <w:rFonts w:ascii="Arial" w:cs="Arial" w:eastAsia="Arial" w:hAnsi="Arial"/>
                <w:sz w:val="16"/>
                <w:szCs w:val="16"/>
                <w:color w:val="auto"/>
              </w:rPr>
              <w:t>Discount Rate</w:t>
            </w:r>
          </w:p>
        </w:tc>
        <w:tc>
          <w:tcPr>
            <w:tcW w:w="540" w:type="dxa"/>
            <w:vAlign w:val="bottom"/>
            <w:gridSpan w:val="2"/>
          </w:tcPr>
          <w:p>
            <w:pPr>
              <w:ind w:left="120"/>
              <w:spacing w:after="0"/>
              <w:rPr>
                <w:sz w:val="20"/>
                <w:szCs w:val="20"/>
                <w:color w:val="auto"/>
              </w:rPr>
            </w:pPr>
            <w:r>
              <w:rPr>
                <w:rFonts w:ascii="Arial" w:cs="Arial" w:eastAsia="Arial" w:hAnsi="Arial"/>
                <w:sz w:val="16"/>
                <w:szCs w:val="16"/>
                <w:color w:val="auto"/>
                <w:w w:val="88"/>
              </w:rPr>
              <w:t>4.83%</w:t>
            </w:r>
          </w:p>
        </w:tc>
        <w:tc>
          <w:tcPr>
            <w:tcW w:w="1860" w:type="dxa"/>
            <w:vAlign w:val="bottom"/>
          </w:tcPr>
          <w:p>
            <w:pPr>
              <w:ind w:left="60"/>
              <w:spacing w:after="0"/>
              <w:rPr>
                <w:sz w:val="20"/>
                <w:szCs w:val="20"/>
                <w:color w:val="auto"/>
              </w:rPr>
            </w:pPr>
            <w:r>
              <w:rPr>
                <w:rFonts w:ascii="Arial" w:cs="Arial" w:eastAsia="Arial" w:hAnsi="Arial"/>
                <w:sz w:val="16"/>
                <w:szCs w:val="16"/>
                <w:color w:val="auto"/>
              </w:rPr>
              <w:t>- 7.15% (6.33%)</w:t>
            </w:r>
          </w:p>
        </w:tc>
        <w:tc>
          <w:tcPr>
            <w:tcW w:w="0" w:type="dxa"/>
            <w:vAlign w:val="bottom"/>
          </w:tcPr>
          <w:p>
            <w:pPr>
              <w:spacing w:after="0"/>
              <w:rPr>
                <w:sz w:val="1"/>
                <w:szCs w:val="1"/>
                <w:color w:val="auto"/>
              </w:rPr>
            </w:pPr>
          </w:p>
        </w:tc>
      </w:tr>
      <w:tr>
        <w:trPr>
          <w:trHeight w:val="250"/>
        </w:trPr>
        <w:tc>
          <w:tcPr>
            <w:tcW w:w="3060" w:type="dxa"/>
            <w:vAlign w:val="bottom"/>
            <w:gridSpan w:val="2"/>
          </w:tcPr>
          <w:p>
            <w:pPr>
              <w:spacing w:after="0"/>
              <w:rPr>
                <w:sz w:val="20"/>
                <w:szCs w:val="20"/>
                <w:color w:val="auto"/>
              </w:rPr>
            </w:pPr>
            <w:r>
              <w:rPr>
                <w:rFonts w:ascii="Arial" w:cs="Arial" w:eastAsia="Arial" w:hAnsi="Arial"/>
                <w:sz w:val="16"/>
                <w:szCs w:val="16"/>
                <w:color w:val="auto"/>
              </w:rPr>
              <w:t>Corporates</w:t>
            </w:r>
          </w:p>
        </w:tc>
        <w:tc>
          <w:tcPr>
            <w:tcW w:w="2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750</w:t>
            </w:r>
          </w:p>
        </w:tc>
        <w:tc>
          <w:tcPr>
            <w:tcW w:w="80" w:type="dxa"/>
            <w:vAlign w:val="bottom"/>
          </w:tcPr>
          <w:p>
            <w:pPr>
              <w:spacing w:after="0"/>
              <w:rPr>
                <w:sz w:val="21"/>
                <w:szCs w:val="21"/>
                <w:color w:val="auto"/>
              </w:rPr>
            </w:pPr>
          </w:p>
        </w:tc>
        <w:tc>
          <w:tcPr>
            <w:tcW w:w="1580" w:type="dxa"/>
            <w:vAlign w:val="bottom"/>
          </w:tcPr>
          <w:p>
            <w:pPr>
              <w:ind w:left="40"/>
              <w:spacing w:after="0"/>
              <w:rPr>
                <w:sz w:val="20"/>
                <w:szCs w:val="20"/>
                <w:color w:val="auto"/>
              </w:rPr>
            </w:pPr>
            <w:r>
              <w:rPr>
                <w:rFonts w:ascii="Arial" w:cs="Arial" w:eastAsia="Arial" w:hAnsi="Arial"/>
                <w:sz w:val="16"/>
                <w:szCs w:val="16"/>
                <w:color w:val="auto"/>
              </w:rPr>
              <w:t>Third-Party Valuation</w:t>
            </w:r>
          </w:p>
        </w:tc>
        <w:tc>
          <w:tcPr>
            <w:tcW w:w="60" w:type="dxa"/>
            <w:vAlign w:val="bottom"/>
          </w:tcPr>
          <w:p>
            <w:pPr>
              <w:spacing w:after="0"/>
              <w:rPr>
                <w:sz w:val="21"/>
                <w:szCs w:val="21"/>
                <w:color w:val="auto"/>
              </w:rPr>
            </w:pPr>
          </w:p>
        </w:tc>
        <w:tc>
          <w:tcPr>
            <w:tcW w:w="1360" w:type="dxa"/>
            <w:vAlign w:val="bottom"/>
          </w:tcPr>
          <w:p>
            <w:pPr>
              <w:ind w:left="60"/>
              <w:spacing w:after="0"/>
              <w:rPr>
                <w:sz w:val="20"/>
                <w:szCs w:val="20"/>
                <w:color w:val="auto"/>
              </w:rPr>
            </w:pPr>
            <w:r>
              <w:rPr>
                <w:rFonts w:ascii="Arial" w:cs="Arial" w:eastAsia="Arial" w:hAnsi="Arial"/>
                <w:sz w:val="16"/>
                <w:szCs w:val="16"/>
                <w:color w:val="auto"/>
              </w:rPr>
              <w:t>Discount Rate</w:t>
            </w:r>
          </w:p>
        </w:tc>
        <w:tc>
          <w:tcPr>
            <w:tcW w:w="540" w:type="dxa"/>
            <w:vAlign w:val="bottom"/>
            <w:gridSpan w:val="2"/>
          </w:tcPr>
          <w:p>
            <w:pPr>
              <w:ind w:left="120"/>
              <w:spacing w:after="0"/>
              <w:rPr>
                <w:sz w:val="20"/>
                <w:szCs w:val="20"/>
                <w:color w:val="auto"/>
              </w:rPr>
            </w:pPr>
            <w:r>
              <w:rPr>
                <w:rFonts w:ascii="Arial" w:cs="Arial" w:eastAsia="Arial" w:hAnsi="Arial"/>
                <w:sz w:val="16"/>
                <w:szCs w:val="16"/>
                <w:color w:val="auto"/>
                <w:w w:val="88"/>
              </w:rPr>
              <w:t>2.00%</w:t>
            </w:r>
          </w:p>
        </w:tc>
        <w:tc>
          <w:tcPr>
            <w:tcW w:w="1860" w:type="dxa"/>
            <w:vAlign w:val="bottom"/>
          </w:tcPr>
          <w:p>
            <w:pPr>
              <w:ind w:left="20"/>
              <w:spacing w:after="0"/>
              <w:rPr>
                <w:sz w:val="20"/>
                <w:szCs w:val="20"/>
                <w:color w:val="auto"/>
              </w:rPr>
            </w:pPr>
            <w:r>
              <w:rPr>
                <w:rFonts w:ascii="Arial" w:cs="Arial" w:eastAsia="Arial" w:hAnsi="Arial"/>
                <w:sz w:val="16"/>
                <w:szCs w:val="16"/>
                <w:color w:val="auto"/>
              </w:rPr>
              <w:t>- 22.53% (6.76%)</w:t>
            </w:r>
          </w:p>
        </w:tc>
        <w:tc>
          <w:tcPr>
            <w:tcW w:w="0" w:type="dxa"/>
            <w:vAlign w:val="bottom"/>
          </w:tcPr>
          <w:p>
            <w:pPr>
              <w:spacing w:after="0"/>
              <w:rPr>
                <w:sz w:val="1"/>
                <w:szCs w:val="1"/>
                <w:color w:val="auto"/>
              </w:rPr>
            </w:pPr>
          </w:p>
        </w:tc>
      </w:tr>
      <w:tr>
        <w:trPr>
          <w:trHeight w:val="250"/>
        </w:trPr>
        <w:tc>
          <w:tcPr>
            <w:tcW w:w="3060" w:type="dxa"/>
            <w:vAlign w:val="bottom"/>
            <w:gridSpan w:val="2"/>
          </w:tcPr>
          <w:p>
            <w:pPr>
              <w:spacing w:after="0"/>
              <w:rPr>
                <w:sz w:val="20"/>
                <w:szCs w:val="20"/>
                <w:color w:val="auto"/>
              </w:rPr>
            </w:pPr>
            <w:r>
              <w:rPr>
                <w:rFonts w:ascii="Arial" w:cs="Arial" w:eastAsia="Arial" w:hAnsi="Arial"/>
                <w:sz w:val="16"/>
                <w:szCs w:val="16"/>
                <w:color w:val="auto"/>
              </w:rPr>
              <w:t>Corporates</w:t>
            </w:r>
          </w:p>
        </w:tc>
        <w:tc>
          <w:tcPr>
            <w:tcW w:w="2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7</w:t>
            </w:r>
          </w:p>
        </w:tc>
        <w:tc>
          <w:tcPr>
            <w:tcW w:w="80" w:type="dxa"/>
            <w:vAlign w:val="bottom"/>
          </w:tcPr>
          <w:p>
            <w:pPr>
              <w:spacing w:after="0"/>
              <w:rPr>
                <w:sz w:val="21"/>
                <w:szCs w:val="21"/>
                <w:color w:val="auto"/>
              </w:rPr>
            </w:pPr>
          </w:p>
        </w:tc>
        <w:tc>
          <w:tcPr>
            <w:tcW w:w="1580" w:type="dxa"/>
            <w:vAlign w:val="bottom"/>
          </w:tcPr>
          <w:p>
            <w:pPr>
              <w:ind w:left="40"/>
              <w:spacing w:after="0"/>
              <w:rPr>
                <w:sz w:val="20"/>
                <w:szCs w:val="20"/>
                <w:color w:val="auto"/>
              </w:rPr>
            </w:pPr>
            <w:r>
              <w:rPr>
                <w:rFonts w:ascii="Arial" w:cs="Arial" w:eastAsia="Arial" w:hAnsi="Arial"/>
                <w:sz w:val="16"/>
                <w:szCs w:val="16"/>
                <w:color w:val="auto"/>
                <w:w w:val="94"/>
              </w:rPr>
              <w:t>Discounted Cash Flow</w:t>
            </w:r>
          </w:p>
        </w:tc>
        <w:tc>
          <w:tcPr>
            <w:tcW w:w="60" w:type="dxa"/>
            <w:vAlign w:val="bottom"/>
          </w:tcPr>
          <w:p>
            <w:pPr>
              <w:spacing w:after="0"/>
              <w:rPr>
                <w:sz w:val="21"/>
                <w:szCs w:val="21"/>
                <w:color w:val="auto"/>
              </w:rPr>
            </w:pPr>
          </w:p>
        </w:tc>
        <w:tc>
          <w:tcPr>
            <w:tcW w:w="1360" w:type="dxa"/>
            <w:vAlign w:val="bottom"/>
          </w:tcPr>
          <w:p>
            <w:pPr>
              <w:ind w:left="60"/>
              <w:spacing w:after="0"/>
              <w:rPr>
                <w:sz w:val="20"/>
                <w:szCs w:val="20"/>
                <w:color w:val="auto"/>
              </w:rPr>
            </w:pPr>
            <w:r>
              <w:rPr>
                <w:rFonts w:ascii="Arial" w:cs="Arial" w:eastAsia="Arial" w:hAnsi="Arial"/>
                <w:sz w:val="16"/>
                <w:szCs w:val="16"/>
                <w:color w:val="auto"/>
              </w:rPr>
              <w:t>Discount Rate</w:t>
            </w:r>
          </w:p>
        </w:tc>
        <w:tc>
          <w:tcPr>
            <w:tcW w:w="2400" w:type="dxa"/>
            <w:vAlign w:val="bottom"/>
            <w:gridSpan w:val="3"/>
          </w:tcPr>
          <w:p>
            <w:pPr>
              <w:ind w:left="120"/>
              <w:spacing w:after="0"/>
              <w:rPr>
                <w:sz w:val="20"/>
                <w:szCs w:val="20"/>
                <w:color w:val="auto"/>
              </w:rPr>
            </w:pPr>
            <w:r>
              <w:rPr>
                <w:rFonts w:ascii="Arial" w:cs="Arial" w:eastAsia="Arial" w:hAnsi="Arial"/>
                <w:sz w:val="16"/>
                <w:szCs w:val="16"/>
                <w:color w:val="auto"/>
              </w:rPr>
              <w:t>13.33% - 100.00% (96.45%)</w:t>
            </w:r>
          </w:p>
        </w:tc>
        <w:tc>
          <w:tcPr>
            <w:tcW w:w="0" w:type="dxa"/>
            <w:vAlign w:val="bottom"/>
          </w:tcPr>
          <w:p>
            <w:pPr>
              <w:spacing w:after="0"/>
              <w:rPr>
                <w:sz w:val="1"/>
                <w:szCs w:val="1"/>
                <w:color w:val="auto"/>
              </w:rPr>
            </w:pPr>
          </w:p>
        </w:tc>
      </w:tr>
      <w:tr>
        <w:trPr>
          <w:trHeight w:val="250"/>
        </w:trPr>
        <w:tc>
          <w:tcPr>
            <w:tcW w:w="3060" w:type="dxa"/>
            <w:vAlign w:val="bottom"/>
            <w:gridSpan w:val="2"/>
          </w:tcPr>
          <w:p>
            <w:pPr>
              <w:spacing w:after="0"/>
              <w:rPr>
                <w:sz w:val="20"/>
                <w:szCs w:val="20"/>
                <w:color w:val="auto"/>
              </w:rPr>
            </w:pPr>
            <w:r>
              <w:rPr>
                <w:rFonts w:ascii="Arial" w:cs="Arial" w:eastAsia="Arial" w:hAnsi="Arial"/>
                <w:sz w:val="16"/>
                <w:szCs w:val="16"/>
                <w:color w:val="auto"/>
              </w:rPr>
              <w:t>Residential mortgage-backed securities</w:t>
            </w:r>
          </w:p>
        </w:tc>
        <w:tc>
          <w:tcPr>
            <w:tcW w:w="2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w:t>
            </w:r>
          </w:p>
        </w:tc>
        <w:tc>
          <w:tcPr>
            <w:tcW w:w="80" w:type="dxa"/>
            <w:vAlign w:val="bottom"/>
          </w:tcPr>
          <w:p>
            <w:pPr>
              <w:spacing w:after="0"/>
              <w:rPr>
                <w:sz w:val="21"/>
                <w:szCs w:val="21"/>
                <w:color w:val="auto"/>
              </w:rPr>
            </w:pPr>
          </w:p>
        </w:tc>
        <w:tc>
          <w:tcPr>
            <w:tcW w:w="1580" w:type="dxa"/>
            <w:vAlign w:val="bottom"/>
          </w:tcPr>
          <w:p>
            <w:pPr>
              <w:ind w:left="40"/>
              <w:spacing w:after="0"/>
              <w:rPr>
                <w:sz w:val="20"/>
                <w:szCs w:val="20"/>
                <w:color w:val="auto"/>
              </w:rPr>
            </w:pPr>
            <w:r>
              <w:rPr>
                <w:rFonts w:ascii="Arial" w:cs="Arial" w:eastAsia="Arial" w:hAnsi="Arial"/>
                <w:sz w:val="16"/>
                <w:szCs w:val="16"/>
                <w:color w:val="auto"/>
              </w:rPr>
              <w:t>Third-Party Valuation</w:t>
            </w:r>
          </w:p>
        </w:tc>
        <w:tc>
          <w:tcPr>
            <w:tcW w:w="60" w:type="dxa"/>
            <w:vAlign w:val="bottom"/>
          </w:tcPr>
          <w:p>
            <w:pPr>
              <w:spacing w:after="0"/>
              <w:rPr>
                <w:sz w:val="21"/>
                <w:szCs w:val="21"/>
                <w:color w:val="auto"/>
              </w:rPr>
            </w:pPr>
          </w:p>
        </w:tc>
        <w:tc>
          <w:tcPr>
            <w:tcW w:w="1360" w:type="dxa"/>
            <w:vAlign w:val="bottom"/>
          </w:tcPr>
          <w:p>
            <w:pPr>
              <w:ind w:left="60"/>
              <w:spacing w:after="0"/>
              <w:rPr>
                <w:sz w:val="20"/>
                <w:szCs w:val="20"/>
                <w:color w:val="auto"/>
              </w:rPr>
            </w:pPr>
            <w:r>
              <w:rPr>
                <w:rFonts w:ascii="Arial" w:cs="Arial" w:eastAsia="Arial" w:hAnsi="Arial"/>
                <w:sz w:val="16"/>
                <w:szCs w:val="16"/>
                <w:color w:val="auto"/>
              </w:rPr>
              <w:t>Discount Rate</w:t>
            </w:r>
          </w:p>
        </w:tc>
        <w:tc>
          <w:tcPr>
            <w:tcW w:w="540" w:type="dxa"/>
            <w:vAlign w:val="bottom"/>
            <w:gridSpan w:val="2"/>
          </w:tcPr>
          <w:p>
            <w:pPr>
              <w:ind w:left="120"/>
              <w:spacing w:after="0"/>
              <w:rPr>
                <w:sz w:val="20"/>
                <w:szCs w:val="20"/>
                <w:color w:val="auto"/>
              </w:rPr>
            </w:pPr>
            <w:r>
              <w:rPr>
                <w:rFonts w:ascii="Arial" w:cs="Arial" w:eastAsia="Arial" w:hAnsi="Arial"/>
                <w:sz w:val="16"/>
                <w:szCs w:val="16"/>
                <w:color w:val="auto"/>
                <w:w w:val="88"/>
              </w:rPr>
              <w:t>5.89%</w:t>
            </w:r>
          </w:p>
        </w:tc>
        <w:tc>
          <w:tcPr>
            <w:tcW w:w="1860" w:type="dxa"/>
            <w:vAlign w:val="bottom"/>
          </w:tcPr>
          <w:p>
            <w:pPr>
              <w:ind w:left="20"/>
              <w:spacing w:after="0"/>
              <w:rPr>
                <w:sz w:val="20"/>
                <w:szCs w:val="20"/>
                <w:color w:val="auto"/>
              </w:rPr>
            </w:pPr>
            <w:r>
              <w:rPr>
                <w:rFonts w:ascii="Arial" w:cs="Arial" w:eastAsia="Arial" w:hAnsi="Arial"/>
                <w:sz w:val="16"/>
                <w:szCs w:val="16"/>
                <w:color w:val="auto"/>
              </w:rPr>
              <w:t>- 5.89% (5.89%)</w:t>
            </w:r>
          </w:p>
        </w:tc>
        <w:tc>
          <w:tcPr>
            <w:tcW w:w="0" w:type="dxa"/>
            <w:vAlign w:val="bottom"/>
          </w:tcPr>
          <w:p>
            <w:pPr>
              <w:spacing w:after="0"/>
              <w:rPr>
                <w:sz w:val="1"/>
                <w:szCs w:val="1"/>
                <w:color w:val="auto"/>
              </w:rPr>
            </w:pPr>
          </w:p>
        </w:tc>
      </w:tr>
      <w:tr>
        <w:trPr>
          <w:trHeight w:val="250"/>
        </w:trPr>
        <w:tc>
          <w:tcPr>
            <w:tcW w:w="3060" w:type="dxa"/>
            <w:vAlign w:val="bottom"/>
            <w:gridSpan w:val="2"/>
          </w:tcPr>
          <w:p>
            <w:pPr>
              <w:spacing w:after="0"/>
              <w:rPr>
                <w:sz w:val="20"/>
                <w:szCs w:val="20"/>
                <w:color w:val="auto"/>
              </w:rPr>
            </w:pPr>
            <w:r>
              <w:rPr>
                <w:rFonts w:ascii="Arial" w:cs="Arial" w:eastAsia="Arial" w:hAnsi="Arial"/>
                <w:sz w:val="16"/>
                <w:szCs w:val="16"/>
                <w:color w:val="auto"/>
              </w:rPr>
              <w:t>Foreign Governments</w:t>
            </w:r>
          </w:p>
        </w:tc>
        <w:tc>
          <w:tcPr>
            <w:tcW w:w="2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4</w:t>
            </w:r>
          </w:p>
        </w:tc>
        <w:tc>
          <w:tcPr>
            <w:tcW w:w="80" w:type="dxa"/>
            <w:vAlign w:val="bottom"/>
          </w:tcPr>
          <w:p>
            <w:pPr>
              <w:spacing w:after="0"/>
              <w:rPr>
                <w:sz w:val="21"/>
                <w:szCs w:val="21"/>
                <w:color w:val="auto"/>
              </w:rPr>
            </w:pPr>
          </w:p>
        </w:tc>
        <w:tc>
          <w:tcPr>
            <w:tcW w:w="1580" w:type="dxa"/>
            <w:vAlign w:val="bottom"/>
          </w:tcPr>
          <w:p>
            <w:pPr>
              <w:ind w:left="40"/>
              <w:spacing w:after="0"/>
              <w:rPr>
                <w:sz w:val="20"/>
                <w:szCs w:val="20"/>
                <w:color w:val="auto"/>
              </w:rPr>
            </w:pPr>
            <w:r>
              <w:rPr>
                <w:rFonts w:ascii="Arial" w:cs="Arial" w:eastAsia="Arial" w:hAnsi="Arial"/>
                <w:sz w:val="16"/>
                <w:szCs w:val="16"/>
                <w:color w:val="auto"/>
              </w:rPr>
              <w:t>Third-Party Valuation</w:t>
            </w:r>
          </w:p>
        </w:tc>
        <w:tc>
          <w:tcPr>
            <w:tcW w:w="60" w:type="dxa"/>
            <w:vAlign w:val="bottom"/>
          </w:tcPr>
          <w:p>
            <w:pPr>
              <w:spacing w:after="0"/>
              <w:rPr>
                <w:sz w:val="21"/>
                <w:szCs w:val="21"/>
                <w:color w:val="auto"/>
              </w:rPr>
            </w:pPr>
          </w:p>
        </w:tc>
        <w:tc>
          <w:tcPr>
            <w:tcW w:w="1360" w:type="dxa"/>
            <w:vAlign w:val="bottom"/>
          </w:tcPr>
          <w:p>
            <w:pPr>
              <w:ind w:left="60"/>
              <w:spacing w:after="0"/>
              <w:rPr>
                <w:sz w:val="20"/>
                <w:szCs w:val="20"/>
                <w:color w:val="auto"/>
              </w:rPr>
            </w:pPr>
            <w:r>
              <w:rPr>
                <w:rFonts w:ascii="Arial" w:cs="Arial" w:eastAsia="Arial" w:hAnsi="Arial"/>
                <w:sz w:val="16"/>
                <w:szCs w:val="16"/>
                <w:color w:val="auto"/>
              </w:rPr>
              <w:t>Discount Rate</w:t>
            </w:r>
          </w:p>
        </w:tc>
        <w:tc>
          <w:tcPr>
            <w:tcW w:w="2400" w:type="dxa"/>
            <w:vAlign w:val="bottom"/>
            <w:gridSpan w:val="3"/>
          </w:tcPr>
          <w:p>
            <w:pPr>
              <w:ind w:left="120"/>
              <w:spacing w:after="0"/>
              <w:rPr>
                <w:sz w:val="20"/>
                <w:szCs w:val="20"/>
                <w:color w:val="auto"/>
              </w:rPr>
            </w:pPr>
            <w:r>
              <w:rPr>
                <w:rFonts w:ascii="Arial" w:cs="Arial" w:eastAsia="Arial" w:hAnsi="Arial"/>
                <w:sz w:val="16"/>
                <w:szCs w:val="16"/>
                <w:color w:val="auto"/>
              </w:rPr>
              <w:t>12.14% - 12.14% (12.14%)</w:t>
            </w:r>
          </w:p>
        </w:tc>
        <w:tc>
          <w:tcPr>
            <w:tcW w:w="0" w:type="dxa"/>
            <w:vAlign w:val="bottom"/>
          </w:tcPr>
          <w:p>
            <w:pPr>
              <w:spacing w:after="0"/>
              <w:rPr>
                <w:sz w:val="1"/>
                <w:szCs w:val="1"/>
                <w:color w:val="auto"/>
              </w:rPr>
            </w:pPr>
          </w:p>
        </w:tc>
      </w:tr>
      <w:tr>
        <w:trPr>
          <w:trHeight w:val="209"/>
        </w:trPr>
        <w:tc>
          <w:tcPr>
            <w:tcW w:w="3060" w:type="dxa"/>
            <w:vAlign w:val="bottom"/>
            <w:gridSpan w:val="2"/>
            <w:vMerge w:val="restart"/>
          </w:tcPr>
          <w:p>
            <w:pPr>
              <w:spacing w:after="0"/>
              <w:rPr>
                <w:sz w:val="20"/>
                <w:szCs w:val="20"/>
                <w:color w:val="auto"/>
              </w:rPr>
            </w:pPr>
            <w:r>
              <w:rPr>
                <w:rFonts w:ascii="Arial" w:cs="Arial" w:eastAsia="Arial" w:hAnsi="Arial"/>
                <w:sz w:val="16"/>
                <w:szCs w:val="16"/>
                <w:color w:val="auto"/>
              </w:rPr>
              <w:t>Investments in unconsolidated affiliates</w:t>
            </w:r>
          </w:p>
        </w:tc>
        <w:tc>
          <w:tcPr>
            <w:tcW w:w="200" w:type="dxa"/>
            <w:vAlign w:val="bottom"/>
          </w:tcPr>
          <w:p>
            <w:pPr>
              <w:spacing w:after="0"/>
              <w:rPr>
                <w:sz w:val="18"/>
                <w:szCs w:val="18"/>
                <w:color w:val="auto"/>
              </w:rPr>
            </w:pPr>
          </w:p>
        </w:tc>
        <w:tc>
          <w:tcPr>
            <w:tcW w:w="1260" w:type="dxa"/>
            <w:vAlign w:val="bottom"/>
            <w:vMerge w:val="restart"/>
          </w:tcPr>
          <w:p>
            <w:pPr>
              <w:jc w:val="right"/>
              <w:spacing w:after="0"/>
              <w:rPr>
                <w:sz w:val="20"/>
                <w:szCs w:val="20"/>
                <w:color w:val="auto"/>
              </w:rPr>
            </w:pPr>
            <w:r>
              <w:rPr>
                <w:rFonts w:ascii="Arial" w:cs="Arial" w:eastAsia="Arial" w:hAnsi="Arial"/>
                <w:sz w:val="16"/>
                <w:szCs w:val="16"/>
                <w:color w:val="auto"/>
              </w:rPr>
              <w:t>272</w:t>
            </w:r>
          </w:p>
        </w:tc>
        <w:tc>
          <w:tcPr>
            <w:tcW w:w="80" w:type="dxa"/>
            <w:vAlign w:val="bottom"/>
          </w:tcPr>
          <w:p>
            <w:pPr>
              <w:spacing w:after="0"/>
              <w:rPr>
                <w:sz w:val="18"/>
                <w:szCs w:val="18"/>
                <w:color w:val="auto"/>
              </w:rPr>
            </w:pPr>
          </w:p>
        </w:tc>
        <w:tc>
          <w:tcPr>
            <w:tcW w:w="1580" w:type="dxa"/>
            <w:vAlign w:val="bottom"/>
          </w:tcPr>
          <w:p>
            <w:pPr>
              <w:ind w:left="40"/>
              <w:spacing w:after="0"/>
              <w:rPr>
                <w:sz w:val="20"/>
                <w:szCs w:val="20"/>
                <w:color w:val="auto"/>
              </w:rPr>
            </w:pPr>
            <w:r>
              <w:rPr>
                <w:rFonts w:ascii="Arial" w:cs="Arial" w:eastAsia="Arial" w:hAnsi="Arial"/>
                <w:sz w:val="16"/>
                <w:szCs w:val="16"/>
                <w:color w:val="auto"/>
              </w:rPr>
              <w:t>Market Comparable</w:t>
            </w:r>
          </w:p>
        </w:tc>
        <w:tc>
          <w:tcPr>
            <w:tcW w:w="60" w:type="dxa"/>
            <w:vAlign w:val="bottom"/>
          </w:tcPr>
          <w:p>
            <w:pPr>
              <w:spacing w:after="0"/>
              <w:rPr>
                <w:sz w:val="18"/>
                <w:szCs w:val="18"/>
                <w:color w:val="auto"/>
              </w:rPr>
            </w:pPr>
          </w:p>
        </w:tc>
        <w:tc>
          <w:tcPr>
            <w:tcW w:w="1360" w:type="dxa"/>
            <w:vAlign w:val="bottom"/>
            <w:vMerge w:val="restart"/>
          </w:tcPr>
          <w:p>
            <w:pPr>
              <w:ind w:left="60"/>
              <w:spacing w:after="0"/>
              <w:rPr>
                <w:sz w:val="20"/>
                <w:szCs w:val="20"/>
                <w:color w:val="auto"/>
              </w:rPr>
            </w:pPr>
            <w:r>
              <w:rPr>
                <w:rFonts w:ascii="Arial" w:cs="Arial" w:eastAsia="Arial" w:hAnsi="Arial"/>
                <w:sz w:val="16"/>
                <w:szCs w:val="16"/>
                <w:color w:val="auto"/>
              </w:rPr>
              <w:t>EBITDA Multiple</w:t>
            </w:r>
          </w:p>
        </w:tc>
        <w:tc>
          <w:tcPr>
            <w:tcW w:w="80" w:type="dxa"/>
            <w:vAlign w:val="bottom"/>
          </w:tcPr>
          <w:p>
            <w:pPr>
              <w:spacing w:after="0"/>
              <w:rPr>
                <w:sz w:val="18"/>
                <w:szCs w:val="18"/>
                <w:color w:val="auto"/>
              </w:rPr>
            </w:pPr>
          </w:p>
        </w:tc>
        <w:tc>
          <w:tcPr>
            <w:tcW w:w="2320" w:type="dxa"/>
            <w:vAlign w:val="bottom"/>
            <w:gridSpan w:val="2"/>
            <w:vMerge w:val="restart"/>
          </w:tcPr>
          <w:p>
            <w:pPr>
              <w:ind w:left="40"/>
              <w:spacing w:after="0"/>
              <w:rPr>
                <w:sz w:val="20"/>
                <w:szCs w:val="20"/>
                <w:color w:val="auto"/>
              </w:rPr>
            </w:pPr>
            <w:r>
              <w:rPr>
                <w:rFonts w:ascii="Arial" w:cs="Arial" w:eastAsia="Arial" w:hAnsi="Arial"/>
                <w:sz w:val="16"/>
                <w:szCs w:val="16"/>
                <w:color w:val="auto"/>
              </w:rPr>
              <w:t>8.7x - 23.6x (14.6x)</w:t>
            </w:r>
          </w:p>
        </w:tc>
        <w:tc>
          <w:tcPr>
            <w:tcW w:w="0" w:type="dxa"/>
            <w:vAlign w:val="bottom"/>
          </w:tcPr>
          <w:p>
            <w:pPr>
              <w:spacing w:after="0"/>
              <w:rPr>
                <w:sz w:val="1"/>
                <w:szCs w:val="1"/>
                <w:color w:val="auto"/>
              </w:rPr>
            </w:pPr>
          </w:p>
        </w:tc>
      </w:tr>
      <w:tr>
        <w:trPr>
          <w:trHeight w:val="204"/>
        </w:trPr>
        <w:tc>
          <w:tcPr>
            <w:tcW w:w="306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580" w:type="dxa"/>
            <w:vAlign w:val="bottom"/>
          </w:tcPr>
          <w:p>
            <w:pPr>
              <w:ind w:left="40"/>
              <w:spacing w:after="0"/>
              <w:rPr>
                <w:sz w:val="20"/>
                <w:szCs w:val="20"/>
                <w:color w:val="auto"/>
              </w:rPr>
            </w:pPr>
            <w:r>
              <w:rPr>
                <w:rFonts w:ascii="Arial" w:cs="Arial" w:eastAsia="Arial" w:hAnsi="Arial"/>
                <w:sz w:val="16"/>
                <w:szCs w:val="16"/>
                <w:color w:val="auto"/>
              </w:rPr>
              <w:t>Company Analysis</w:t>
            </w:r>
          </w:p>
        </w:tc>
        <w:tc>
          <w:tcPr>
            <w:tcW w:w="60" w:type="dxa"/>
            <w:vAlign w:val="bottom"/>
          </w:tcPr>
          <w:p>
            <w:pPr>
              <w:spacing w:after="0"/>
              <w:rPr>
                <w:sz w:val="17"/>
                <w:szCs w:val="17"/>
                <w:color w:val="auto"/>
              </w:rPr>
            </w:pPr>
          </w:p>
        </w:tc>
        <w:tc>
          <w:tcPr>
            <w:tcW w:w="136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232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49"/>
        </w:trPr>
        <w:tc>
          <w:tcPr>
            <w:tcW w:w="3060" w:type="dxa"/>
            <w:vAlign w:val="bottom"/>
            <w:gridSpan w:val="2"/>
          </w:tcPr>
          <w:p>
            <w:pPr>
              <w:spacing w:after="0"/>
              <w:rPr>
                <w:sz w:val="20"/>
                <w:szCs w:val="20"/>
                <w:color w:val="auto"/>
              </w:rPr>
            </w:pPr>
            <w:r>
              <w:rPr>
                <w:rFonts w:ascii="Arial" w:cs="Arial" w:eastAsia="Arial" w:hAnsi="Arial"/>
                <w:sz w:val="16"/>
                <w:szCs w:val="16"/>
                <w:color w:val="auto"/>
              </w:rPr>
              <w:t>Equity securities:</w:t>
            </w:r>
          </w:p>
        </w:tc>
        <w:tc>
          <w:tcPr>
            <w:tcW w:w="2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060" w:type="dxa"/>
            <w:vAlign w:val="bottom"/>
            <w:gridSpan w:val="2"/>
          </w:tcPr>
          <w:p>
            <w:pPr>
              <w:spacing w:after="0"/>
              <w:rPr>
                <w:sz w:val="20"/>
                <w:szCs w:val="20"/>
                <w:color w:val="auto"/>
              </w:rPr>
            </w:pPr>
            <w:r>
              <w:rPr>
                <w:rFonts w:ascii="Arial" w:cs="Arial" w:eastAsia="Arial" w:hAnsi="Arial"/>
                <w:sz w:val="16"/>
                <w:szCs w:val="16"/>
                <w:color w:val="auto"/>
              </w:rPr>
              <w:t>Preferred equity securities</w:t>
            </w:r>
          </w:p>
        </w:tc>
        <w:tc>
          <w:tcPr>
            <w:tcW w:w="2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w:t>
            </w:r>
          </w:p>
        </w:tc>
        <w:tc>
          <w:tcPr>
            <w:tcW w:w="80" w:type="dxa"/>
            <w:vAlign w:val="bottom"/>
          </w:tcPr>
          <w:p>
            <w:pPr>
              <w:spacing w:after="0"/>
              <w:rPr>
                <w:sz w:val="21"/>
                <w:szCs w:val="21"/>
                <w:color w:val="auto"/>
              </w:rPr>
            </w:pPr>
          </w:p>
        </w:tc>
        <w:tc>
          <w:tcPr>
            <w:tcW w:w="1580" w:type="dxa"/>
            <w:vAlign w:val="bottom"/>
          </w:tcPr>
          <w:p>
            <w:pPr>
              <w:ind w:left="40"/>
              <w:spacing w:after="0"/>
              <w:rPr>
                <w:sz w:val="20"/>
                <w:szCs w:val="20"/>
                <w:color w:val="auto"/>
              </w:rPr>
            </w:pPr>
            <w:r>
              <w:rPr>
                <w:rFonts w:ascii="Arial" w:cs="Arial" w:eastAsia="Arial" w:hAnsi="Arial"/>
                <w:sz w:val="16"/>
                <w:szCs w:val="16"/>
                <w:color w:val="auto"/>
                <w:w w:val="94"/>
              </w:rPr>
              <w:t>Discounted Cash Flow</w:t>
            </w:r>
          </w:p>
        </w:tc>
        <w:tc>
          <w:tcPr>
            <w:tcW w:w="60" w:type="dxa"/>
            <w:vAlign w:val="bottom"/>
          </w:tcPr>
          <w:p>
            <w:pPr>
              <w:spacing w:after="0"/>
              <w:rPr>
                <w:sz w:val="21"/>
                <w:szCs w:val="21"/>
                <w:color w:val="auto"/>
              </w:rPr>
            </w:pPr>
          </w:p>
        </w:tc>
        <w:tc>
          <w:tcPr>
            <w:tcW w:w="1360" w:type="dxa"/>
            <w:vAlign w:val="bottom"/>
          </w:tcPr>
          <w:p>
            <w:pPr>
              <w:ind w:left="60"/>
              <w:spacing w:after="0"/>
              <w:rPr>
                <w:sz w:val="20"/>
                <w:szCs w:val="20"/>
                <w:color w:val="auto"/>
              </w:rPr>
            </w:pPr>
            <w:r>
              <w:rPr>
                <w:rFonts w:ascii="Arial" w:cs="Arial" w:eastAsia="Arial" w:hAnsi="Arial"/>
                <w:sz w:val="16"/>
                <w:szCs w:val="16"/>
                <w:color w:val="auto"/>
              </w:rPr>
              <w:t>Discount rate</w:t>
            </w:r>
          </w:p>
        </w:tc>
        <w:tc>
          <w:tcPr>
            <w:tcW w:w="2400" w:type="dxa"/>
            <w:vAlign w:val="bottom"/>
            <w:gridSpan w:val="3"/>
          </w:tcPr>
          <w:p>
            <w:pPr>
              <w:ind w:left="120"/>
              <w:spacing w:after="0"/>
              <w:rPr>
                <w:sz w:val="20"/>
                <w:szCs w:val="20"/>
                <w:color w:val="auto"/>
              </w:rPr>
            </w:pPr>
            <w:r>
              <w:rPr>
                <w:rFonts w:ascii="Arial" w:cs="Arial" w:eastAsia="Arial" w:hAnsi="Arial"/>
                <w:sz w:val="16"/>
                <w:szCs w:val="16"/>
                <w:color w:val="auto"/>
              </w:rPr>
              <w:t>100.00% -100.00% (100.00%)</w:t>
            </w:r>
          </w:p>
        </w:tc>
        <w:tc>
          <w:tcPr>
            <w:tcW w:w="0" w:type="dxa"/>
            <w:vAlign w:val="bottom"/>
          </w:tcPr>
          <w:p>
            <w:pPr>
              <w:spacing w:after="0"/>
              <w:rPr>
                <w:sz w:val="1"/>
                <w:szCs w:val="1"/>
                <w:color w:val="auto"/>
              </w:rPr>
            </w:pPr>
          </w:p>
        </w:tc>
      </w:tr>
      <w:tr>
        <w:trPr>
          <w:trHeight w:val="250"/>
        </w:trPr>
        <w:tc>
          <w:tcPr>
            <w:tcW w:w="3060" w:type="dxa"/>
            <w:vAlign w:val="bottom"/>
            <w:gridSpan w:val="2"/>
          </w:tcPr>
          <w:p>
            <w:pPr>
              <w:spacing w:after="0"/>
              <w:rPr>
                <w:sz w:val="20"/>
                <w:szCs w:val="20"/>
                <w:color w:val="auto"/>
              </w:rPr>
            </w:pPr>
            <w:r>
              <w:rPr>
                <w:rFonts w:ascii="Arial" w:cs="Arial" w:eastAsia="Arial" w:hAnsi="Arial"/>
                <w:sz w:val="16"/>
                <w:szCs w:val="16"/>
                <w:color w:val="auto"/>
              </w:rPr>
              <w:t>Common equity securities</w:t>
            </w:r>
          </w:p>
        </w:tc>
        <w:tc>
          <w:tcPr>
            <w:tcW w:w="2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4</w:t>
            </w:r>
          </w:p>
        </w:tc>
        <w:tc>
          <w:tcPr>
            <w:tcW w:w="80" w:type="dxa"/>
            <w:vAlign w:val="bottom"/>
          </w:tcPr>
          <w:p>
            <w:pPr>
              <w:spacing w:after="0"/>
              <w:rPr>
                <w:sz w:val="21"/>
                <w:szCs w:val="21"/>
                <w:color w:val="auto"/>
              </w:rPr>
            </w:pPr>
          </w:p>
        </w:tc>
        <w:tc>
          <w:tcPr>
            <w:tcW w:w="1580" w:type="dxa"/>
            <w:vAlign w:val="bottom"/>
          </w:tcPr>
          <w:p>
            <w:pPr>
              <w:ind w:left="40"/>
              <w:spacing w:after="0"/>
              <w:rPr>
                <w:sz w:val="20"/>
                <w:szCs w:val="20"/>
                <w:color w:val="auto"/>
              </w:rPr>
            </w:pPr>
            <w:r>
              <w:rPr>
                <w:rFonts w:ascii="Arial" w:cs="Arial" w:eastAsia="Arial" w:hAnsi="Arial"/>
                <w:sz w:val="16"/>
                <w:szCs w:val="16"/>
                <w:color w:val="auto"/>
                <w:w w:val="94"/>
              </w:rPr>
              <w:t>Discounted Cash Flow</w:t>
            </w:r>
          </w:p>
        </w:tc>
        <w:tc>
          <w:tcPr>
            <w:tcW w:w="60" w:type="dxa"/>
            <w:vAlign w:val="bottom"/>
          </w:tcPr>
          <w:p>
            <w:pPr>
              <w:spacing w:after="0"/>
              <w:rPr>
                <w:sz w:val="21"/>
                <w:szCs w:val="21"/>
                <w:color w:val="auto"/>
              </w:rPr>
            </w:pPr>
          </w:p>
        </w:tc>
        <w:tc>
          <w:tcPr>
            <w:tcW w:w="1360" w:type="dxa"/>
            <w:vAlign w:val="bottom"/>
          </w:tcPr>
          <w:p>
            <w:pPr>
              <w:ind w:left="60"/>
              <w:spacing w:after="0"/>
              <w:rPr>
                <w:sz w:val="20"/>
                <w:szCs w:val="20"/>
                <w:color w:val="auto"/>
              </w:rPr>
            </w:pPr>
            <w:r>
              <w:rPr>
                <w:rFonts w:ascii="Arial" w:cs="Arial" w:eastAsia="Arial" w:hAnsi="Arial"/>
                <w:sz w:val="16"/>
                <w:szCs w:val="16"/>
                <w:color w:val="auto"/>
              </w:rPr>
              <w:t>Discount rate</w:t>
            </w:r>
          </w:p>
        </w:tc>
        <w:tc>
          <w:tcPr>
            <w:tcW w:w="540" w:type="dxa"/>
            <w:vAlign w:val="bottom"/>
            <w:gridSpan w:val="2"/>
          </w:tcPr>
          <w:p>
            <w:pPr>
              <w:ind w:left="120"/>
              <w:spacing w:after="0"/>
              <w:rPr>
                <w:sz w:val="20"/>
                <w:szCs w:val="20"/>
                <w:color w:val="auto"/>
              </w:rPr>
            </w:pPr>
            <w:r>
              <w:rPr>
                <w:rFonts w:ascii="Arial" w:cs="Arial" w:eastAsia="Arial" w:hAnsi="Arial"/>
                <w:sz w:val="16"/>
                <w:szCs w:val="16"/>
                <w:color w:val="auto"/>
                <w:w w:val="88"/>
              </w:rPr>
              <w:t>4.80%</w:t>
            </w:r>
          </w:p>
        </w:tc>
        <w:tc>
          <w:tcPr>
            <w:tcW w:w="1860" w:type="dxa"/>
            <w:vAlign w:val="bottom"/>
          </w:tcPr>
          <w:p>
            <w:pPr>
              <w:ind w:left="20"/>
              <w:spacing w:after="0"/>
              <w:rPr>
                <w:sz w:val="20"/>
                <w:szCs w:val="20"/>
                <w:color w:val="auto"/>
              </w:rPr>
            </w:pPr>
            <w:r>
              <w:rPr>
                <w:rFonts w:ascii="Arial" w:cs="Arial" w:eastAsia="Arial" w:hAnsi="Arial"/>
                <w:sz w:val="16"/>
                <w:szCs w:val="16"/>
                <w:color w:val="auto"/>
              </w:rPr>
              <w:t>- 14.10% (9.40%)</w:t>
            </w:r>
          </w:p>
        </w:tc>
        <w:tc>
          <w:tcPr>
            <w:tcW w:w="0" w:type="dxa"/>
            <w:vAlign w:val="bottom"/>
          </w:tcPr>
          <w:p>
            <w:pPr>
              <w:spacing w:after="0"/>
              <w:rPr>
                <w:sz w:val="1"/>
                <w:szCs w:val="1"/>
                <w:color w:val="auto"/>
              </w:rPr>
            </w:pPr>
          </w:p>
        </w:tc>
      </w:tr>
      <w:tr>
        <w:trPr>
          <w:trHeight w:val="209"/>
        </w:trPr>
        <w:tc>
          <w:tcPr>
            <w:tcW w:w="42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80" w:type="dxa"/>
            <w:vAlign w:val="bottom"/>
          </w:tcPr>
          <w:p>
            <w:pPr>
              <w:ind w:left="40"/>
              <w:spacing w:after="0"/>
              <w:rPr>
                <w:sz w:val="20"/>
                <w:szCs w:val="20"/>
                <w:color w:val="auto"/>
              </w:rPr>
            </w:pPr>
            <w:r>
              <w:rPr>
                <w:rFonts w:ascii="Arial" w:cs="Arial" w:eastAsia="Arial" w:hAnsi="Arial"/>
                <w:sz w:val="16"/>
                <w:szCs w:val="16"/>
                <w:color w:val="auto"/>
              </w:rPr>
              <w:t>Market Comparable</w:t>
            </w:r>
          </w:p>
        </w:tc>
        <w:tc>
          <w:tcPr>
            <w:tcW w:w="60" w:type="dxa"/>
            <w:vAlign w:val="bottom"/>
          </w:tcPr>
          <w:p>
            <w:pPr>
              <w:spacing w:after="0"/>
              <w:rPr>
                <w:sz w:val="18"/>
                <w:szCs w:val="18"/>
                <w:color w:val="auto"/>
              </w:rPr>
            </w:pPr>
          </w:p>
        </w:tc>
        <w:tc>
          <w:tcPr>
            <w:tcW w:w="1360" w:type="dxa"/>
            <w:vAlign w:val="bottom"/>
            <w:vMerge w:val="restart"/>
          </w:tcPr>
          <w:p>
            <w:pPr>
              <w:ind w:left="60"/>
              <w:spacing w:after="0"/>
              <w:rPr>
                <w:sz w:val="20"/>
                <w:szCs w:val="20"/>
                <w:color w:val="auto"/>
              </w:rPr>
            </w:pPr>
            <w:r>
              <w:rPr>
                <w:rFonts w:ascii="Arial" w:cs="Arial" w:eastAsia="Arial" w:hAnsi="Arial"/>
                <w:sz w:val="16"/>
                <w:szCs w:val="16"/>
                <w:color w:val="auto"/>
              </w:rPr>
              <w:t>EBITDA multiple</w:t>
            </w:r>
          </w:p>
        </w:tc>
        <w:tc>
          <w:tcPr>
            <w:tcW w:w="80" w:type="dxa"/>
            <w:vAlign w:val="bottom"/>
          </w:tcPr>
          <w:p>
            <w:pPr>
              <w:spacing w:after="0"/>
              <w:rPr>
                <w:sz w:val="18"/>
                <w:szCs w:val="18"/>
                <w:color w:val="auto"/>
              </w:rPr>
            </w:pPr>
          </w:p>
        </w:tc>
        <w:tc>
          <w:tcPr>
            <w:tcW w:w="2320" w:type="dxa"/>
            <w:vAlign w:val="bottom"/>
            <w:gridSpan w:val="2"/>
            <w:vMerge w:val="restart"/>
          </w:tcPr>
          <w:p>
            <w:pPr>
              <w:ind w:left="40"/>
              <w:spacing w:after="0"/>
              <w:rPr>
                <w:sz w:val="20"/>
                <w:szCs w:val="20"/>
                <w:color w:val="auto"/>
              </w:rPr>
            </w:pPr>
            <w:r>
              <w:rPr>
                <w:rFonts w:ascii="Arial" w:cs="Arial" w:eastAsia="Arial" w:hAnsi="Arial"/>
                <w:sz w:val="16"/>
                <w:szCs w:val="16"/>
                <w:color w:val="auto"/>
              </w:rPr>
              <w:t>5.8x - 7.5x (7.0x)</w:t>
            </w:r>
          </w:p>
        </w:tc>
        <w:tc>
          <w:tcPr>
            <w:tcW w:w="0" w:type="dxa"/>
            <w:vAlign w:val="bottom"/>
          </w:tcPr>
          <w:p>
            <w:pPr>
              <w:spacing w:after="0"/>
              <w:rPr>
                <w:sz w:val="1"/>
                <w:szCs w:val="1"/>
                <w:color w:val="auto"/>
              </w:rPr>
            </w:pPr>
          </w:p>
        </w:tc>
      </w:tr>
      <w:tr>
        <w:trPr>
          <w:trHeight w:val="204"/>
        </w:trPr>
        <w:tc>
          <w:tcPr>
            <w:tcW w:w="420" w:type="dxa"/>
            <w:vAlign w:val="bottom"/>
          </w:tcPr>
          <w:p>
            <w:pPr>
              <w:spacing w:after="0"/>
              <w:rPr>
                <w:sz w:val="17"/>
                <w:szCs w:val="17"/>
                <w:color w:val="auto"/>
              </w:rPr>
            </w:pPr>
          </w:p>
        </w:tc>
        <w:tc>
          <w:tcPr>
            <w:tcW w:w="2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80" w:type="dxa"/>
            <w:vAlign w:val="bottom"/>
          </w:tcPr>
          <w:p>
            <w:pPr>
              <w:ind w:left="40"/>
              <w:spacing w:after="0"/>
              <w:rPr>
                <w:sz w:val="20"/>
                <w:szCs w:val="20"/>
                <w:color w:val="auto"/>
              </w:rPr>
            </w:pPr>
            <w:r>
              <w:rPr>
                <w:rFonts w:ascii="Arial" w:cs="Arial" w:eastAsia="Arial" w:hAnsi="Arial"/>
                <w:sz w:val="16"/>
                <w:szCs w:val="16"/>
                <w:color w:val="auto"/>
              </w:rPr>
              <w:t>Company Analysis</w:t>
            </w:r>
          </w:p>
        </w:tc>
        <w:tc>
          <w:tcPr>
            <w:tcW w:w="60" w:type="dxa"/>
            <w:vAlign w:val="bottom"/>
          </w:tcPr>
          <w:p>
            <w:pPr>
              <w:spacing w:after="0"/>
              <w:rPr>
                <w:sz w:val="17"/>
                <w:szCs w:val="17"/>
                <w:color w:val="auto"/>
              </w:rPr>
            </w:pPr>
          </w:p>
        </w:tc>
        <w:tc>
          <w:tcPr>
            <w:tcW w:w="136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232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49"/>
        </w:trPr>
        <w:tc>
          <w:tcPr>
            <w:tcW w:w="3060" w:type="dxa"/>
            <w:vAlign w:val="bottom"/>
            <w:gridSpan w:val="2"/>
          </w:tcPr>
          <w:p>
            <w:pPr>
              <w:spacing w:after="0"/>
              <w:rPr>
                <w:sz w:val="20"/>
                <w:szCs w:val="20"/>
                <w:color w:val="auto"/>
              </w:rPr>
            </w:pPr>
            <w:r>
              <w:rPr>
                <w:rFonts w:ascii="Arial" w:cs="Arial" w:eastAsia="Arial" w:hAnsi="Arial"/>
                <w:sz w:val="16"/>
                <w:szCs w:val="16"/>
                <w:color w:val="auto"/>
              </w:rPr>
              <w:t>Other assets</w:t>
            </w:r>
          </w:p>
        </w:tc>
        <w:tc>
          <w:tcPr>
            <w:tcW w:w="2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65</w:t>
            </w:r>
          </w:p>
        </w:tc>
        <w:tc>
          <w:tcPr>
            <w:tcW w:w="80" w:type="dxa"/>
            <w:vAlign w:val="bottom"/>
          </w:tcPr>
          <w:p>
            <w:pPr>
              <w:spacing w:after="0"/>
              <w:rPr>
                <w:sz w:val="21"/>
                <w:szCs w:val="21"/>
                <w:color w:val="auto"/>
              </w:rPr>
            </w:pPr>
          </w:p>
        </w:tc>
        <w:tc>
          <w:tcPr>
            <w:tcW w:w="1580" w:type="dxa"/>
            <w:vAlign w:val="bottom"/>
          </w:tcPr>
          <w:p>
            <w:pPr>
              <w:ind w:left="40"/>
              <w:spacing w:after="0"/>
              <w:rPr>
                <w:sz w:val="20"/>
                <w:szCs w:val="20"/>
                <w:color w:val="auto"/>
              </w:rPr>
            </w:pPr>
            <w:r>
              <w:rPr>
                <w:rFonts w:ascii="Arial" w:cs="Arial" w:eastAsia="Arial" w:hAnsi="Arial"/>
                <w:sz w:val="16"/>
                <w:szCs w:val="16"/>
                <w:color w:val="auto"/>
                <w:w w:val="94"/>
              </w:rPr>
              <w:t>Discounted Cash Flow</w:t>
            </w:r>
          </w:p>
        </w:tc>
        <w:tc>
          <w:tcPr>
            <w:tcW w:w="60" w:type="dxa"/>
            <w:vAlign w:val="bottom"/>
          </w:tcPr>
          <w:p>
            <w:pPr>
              <w:spacing w:after="0"/>
              <w:rPr>
                <w:sz w:val="21"/>
                <w:szCs w:val="21"/>
                <w:color w:val="auto"/>
              </w:rPr>
            </w:pPr>
          </w:p>
        </w:tc>
        <w:tc>
          <w:tcPr>
            <w:tcW w:w="1360" w:type="dxa"/>
            <w:vAlign w:val="bottom"/>
          </w:tcPr>
          <w:p>
            <w:pPr>
              <w:ind w:left="60"/>
              <w:spacing w:after="0"/>
              <w:rPr>
                <w:sz w:val="20"/>
                <w:szCs w:val="20"/>
                <w:color w:val="auto"/>
              </w:rPr>
            </w:pPr>
            <w:r>
              <w:rPr>
                <w:rFonts w:ascii="Arial" w:cs="Arial" w:eastAsia="Arial" w:hAnsi="Arial"/>
                <w:sz w:val="16"/>
                <w:szCs w:val="16"/>
                <w:color w:val="auto"/>
              </w:rPr>
              <w:t>Discount Rate</w:t>
            </w:r>
          </w:p>
        </w:tc>
        <w:tc>
          <w:tcPr>
            <w:tcW w:w="2400" w:type="dxa"/>
            <w:vAlign w:val="bottom"/>
            <w:gridSpan w:val="3"/>
          </w:tcPr>
          <w:p>
            <w:pPr>
              <w:ind w:left="120"/>
              <w:spacing w:after="0"/>
              <w:rPr>
                <w:sz w:val="20"/>
                <w:szCs w:val="20"/>
                <w:color w:val="auto"/>
              </w:rPr>
            </w:pPr>
            <w:r>
              <w:rPr>
                <w:rFonts w:ascii="Arial" w:cs="Arial" w:eastAsia="Arial" w:hAnsi="Arial"/>
                <w:sz w:val="16"/>
                <w:szCs w:val="16"/>
                <w:color w:val="auto"/>
              </w:rPr>
              <w:t>10.60% - 12.00% (11.30%)</w:t>
            </w:r>
          </w:p>
        </w:tc>
        <w:tc>
          <w:tcPr>
            <w:tcW w:w="0" w:type="dxa"/>
            <w:vAlign w:val="bottom"/>
          </w:tcPr>
          <w:p>
            <w:pPr>
              <w:spacing w:after="0"/>
              <w:rPr>
                <w:sz w:val="1"/>
                <w:szCs w:val="1"/>
                <w:color w:val="auto"/>
              </w:rPr>
            </w:pPr>
          </w:p>
        </w:tc>
      </w:tr>
      <w:tr>
        <w:trPr>
          <w:trHeight w:val="209"/>
        </w:trPr>
        <w:tc>
          <w:tcPr>
            <w:tcW w:w="42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60" w:type="dxa"/>
            <w:vAlign w:val="bottom"/>
          </w:tcPr>
          <w:p>
            <w:pPr>
              <w:ind w:left="60"/>
              <w:spacing w:after="0"/>
              <w:rPr>
                <w:sz w:val="20"/>
                <w:szCs w:val="20"/>
                <w:color w:val="auto"/>
              </w:rPr>
            </w:pPr>
            <w:r>
              <w:rPr>
                <w:rFonts w:ascii="Arial" w:cs="Arial" w:eastAsia="Arial" w:hAnsi="Arial"/>
                <w:sz w:val="16"/>
                <w:szCs w:val="16"/>
                <w:color w:val="auto"/>
              </w:rPr>
              <w:t>Conditional</w:t>
            </w:r>
          </w:p>
        </w:tc>
        <w:tc>
          <w:tcPr>
            <w:tcW w:w="540" w:type="dxa"/>
            <w:vAlign w:val="bottom"/>
            <w:gridSpan w:val="2"/>
            <w:vMerge w:val="restart"/>
          </w:tcPr>
          <w:p>
            <w:pPr>
              <w:ind w:left="120"/>
              <w:spacing w:after="0"/>
              <w:rPr>
                <w:sz w:val="20"/>
                <w:szCs w:val="20"/>
                <w:color w:val="auto"/>
              </w:rPr>
            </w:pPr>
            <w:r>
              <w:rPr>
                <w:rFonts w:ascii="Arial" w:cs="Arial" w:eastAsia="Arial" w:hAnsi="Arial"/>
                <w:sz w:val="16"/>
                <w:szCs w:val="16"/>
                <w:color w:val="auto"/>
                <w:w w:val="88"/>
              </w:rPr>
              <w:t>6.24%</w:t>
            </w:r>
          </w:p>
        </w:tc>
        <w:tc>
          <w:tcPr>
            <w:tcW w:w="1860" w:type="dxa"/>
            <w:vAlign w:val="bottom"/>
            <w:vMerge w:val="restart"/>
          </w:tcPr>
          <w:p>
            <w:pPr>
              <w:ind w:left="20"/>
              <w:spacing w:after="0"/>
              <w:rPr>
                <w:sz w:val="20"/>
                <w:szCs w:val="20"/>
                <w:color w:val="auto"/>
              </w:rPr>
            </w:pPr>
            <w:r>
              <w:rPr>
                <w:rFonts w:ascii="Arial" w:cs="Arial" w:eastAsia="Arial" w:hAnsi="Arial"/>
                <w:sz w:val="16"/>
                <w:szCs w:val="16"/>
                <w:color w:val="auto"/>
              </w:rPr>
              <w:t>- 11.99% (9.12%)</w:t>
            </w:r>
          </w:p>
        </w:tc>
        <w:tc>
          <w:tcPr>
            <w:tcW w:w="0" w:type="dxa"/>
            <w:vAlign w:val="bottom"/>
          </w:tcPr>
          <w:p>
            <w:pPr>
              <w:spacing w:after="0"/>
              <w:rPr>
                <w:sz w:val="1"/>
                <w:szCs w:val="1"/>
                <w:color w:val="auto"/>
              </w:rPr>
            </w:pPr>
          </w:p>
        </w:tc>
      </w:tr>
      <w:tr>
        <w:trPr>
          <w:trHeight w:val="204"/>
        </w:trPr>
        <w:tc>
          <w:tcPr>
            <w:tcW w:w="420" w:type="dxa"/>
            <w:vAlign w:val="bottom"/>
          </w:tcPr>
          <w:p>
            <w:pPr>
              <w:spacing w:after="0"/>
              <w:rPr>
                <w:sz w:val="17"/>
                <w:szCs w:val="17"/>
                <w:color w:val="auto"/>
              </w:rPr>
            </w:pPr>
          </w:p>
        </w:tc>
        <w:tc>
          <w:tcPr>
            <w:tcW w:w="2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360" w:type="dxa"/>
            <w:vAlign w:val="bottom"/>
          </w:tcPr>
          <w:p>
            <w:pPr>
              <w:ind w:left="60"/>
              <w:spacing w:after="0"/>
              <w:rPr>
                <w:sz w:val="20"/>
                <w:szCs w:val="20"/>
                <w:color w:val="auto"/>
              </w:rPr>
            </w:pPr>
            <w:r>
              <w:rPr>
                <w:rFonts w:ascii="Arial" w:cs="Arial" w:eastAsia="Arial" w:hAnsi="Arial"/>
                <w:sz w:val="16"/>
                <w:szCs w:val="16"/>
                <w:color w:val="auto"/>
              </w:rPr>
              <w:t>Prepayment Rate</w:t>
            </w:r>
          </w:p>
        </w:tc>
        <w:tc>
          <w:tcPr>
            <w:tcW w:w="540" w:type="dxa"/>
            <w:vAlign w:val="bottom"/>
            <w:gridSpan w:val="2"/>
            <w:vMerge w:val="continue"/>
          </w:tcPr>
          <w:p>
            <w:pPr>
              <w:spacing w:after="0"/>
              <w:rPr>
                <w:sz w:val="17"/>
                <w:szCs w:val="17"/>
                <w:color w:val="auto"/>
              </w:rPr>
            </w:pPr>
          </w:p>
        </w:tc>
        <w:tc>
          <w:tcPr>
            <w:tcW w:w="18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411"/>
        </w:trPr>
        <w:tc>
          <w:tcPr>
            <w:tcW w:w="3060" w:type="dxa"/>
            <w:vAlign w:val="bottom"/>
            <w:gridSpan w:val="2"/>
          </w:tcPr>
          <w:p>
            <w:pPr>
              <w:spacing w:after="0"/>
              <w:rPr>
                <w:sz w:val="20"/>
                <w:szCs w:val="20"/>
                <w:color w:val="auto"/>
              </w:rPr>
            </w:pPr>
            <w:r>
              <w:rPr>
                <w:rFonts w:ascii="Arial" w:cs="Arial" w:eastAsia="Arial" w:hAnsi="Arial"/>
                <w:sz w:val="16"/>
                <w:szCs w:val="16"/>
                <w:color w:val="auto"/>
              </w:rPr>
              <w:t>Other long-term investments:</w:t>
            </w: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3060" w:type="dxa"/>
            <w:vAlign w:val="bottom"/>
            <w:gridSpan w:val="2"/>
            <w:vMerge w:val="restart"/>
          </w:tcPr>
          <w:p>
            <w:pPr>
              <w:spacing w:after="0"/>
              <w:rPr>
                <w:sz w:val="20"/>
                <w:szCs w:val="20"/>
                <w:color w:val="auto"/>
              </w:rPr>
            </w:pPr>
            <w:r>
              <w:rPr>
                <w:rFonts w:ascii="Arial" w:cs="Arial" w:eastAsia="Arial" w:hAnsi="Arial"/>
                <w:sz w:val="16"/>
                <w:szCs w:val="16"/>
                <w:color w:val="auto"/>
              </w:rPr>
              <w:t>Available-for-sale embedded derivative</w:t>
            </w:r>
          </w:p>
        </w:tc>
        <w:tc>
          <w:tcPr>
            <w:tcW w:w="200" w:type="dxa"/>
            <w:vAlign w:val="bottom"/>
          </w:tcPr>
          <w:p>
            <w:pPr>
              <w:spacing w:after="0"/>
              <w:rPr>
                <w:sz w:val="18"/>
                <w:szCs w:val="18"/>
                <w:color w:val="auto"/>
              </w:rPr>
            </w:pPr>
          </w:p>
        </w:tc>
        <w:tc>
          <w:tcPr>
            <w:tcW w:w="1260" w:type="dxa"/>
            <w:vAlign w:val="bottom"/>
            <w:vMerge w:val="restart"/>
          </w:tcPr>
          <w:p>
            <w:pPr>
              <w:jc w:val="right"/>
              <w:spacing w:after="0"/>
              <w:rPr>
                <w:sz w:val="20"/>
                <w:szCs w:val="20"/>
                <w:color w:val="auto"/>
              </w:rPr>
            </w:pPr>
            <w:r>
              <w:rPr>
                <w:rFonts w:ascii="Arial" w:cs="Arial" w:eastAsia="Arial" w:hAnsi="Arial"/>
                <w:sz w:val="16"/>
                <w:szCs w:val="16"/>
                <w:color w:val="auto"/>
              </w:rPr>
              <w:t>32</w:t>
            </w:r>
          </w:p>
        </w:tc>
        <w:tc>
          <w:tcPr>
            <w:tcW w:w="80" w:type="dxa"/>
            <w:vAlign w:val="bottom"/>
          </w:tcPr>
          <w:p>
            <w:pPr>
              <w:spacing w:after="0"/>
              <w:rPr>
                <w:sz w:val="18"/>
                <w:szCs w:val="18"/>
                <w:color w:val="auto"/>
              </w:rPr>
            </w:pPr>
          </w:p>
        </w:tc>
        <w:tc>
          <w:tcPr>
            <w:tcW w:w="1580" w:type="dxa"/>
            <w:vAlign w:val="bottom"/>
            <w:vMerge w:val="restart"/>
          </w:tcPr>
          <w:p>
            <w:pPr>
              <w:ind w:left="40"/>
              <w:spacing w:after="0"/>
              <w:rPr>
                <w:sz w:val="20"/>
                <w:szCs w:val="20"/>
                <w:color w:val="auto"/>
              </w:rPr>
            </w:pPr>
            <w:r>
              <w:rPr>
                <w:rFonts w:ascii="Arial" w:cs="Arial" w:eastAsia="Arial" w:hAnsi="Arial"/>
                <w:sz w:val="16"/>
                <w:szCs w:val="16"/>
                <w:color w:val="auto"/>
              </w:rPr>
              <w:t>Black Scholes Model</w:t>
            </w:r>
          </w:p>
        </w:tc>
        <w:tc>
          <w:tcPr>
            <w:tcW w:w="60" w:type="dxa"/>
            <w:vAlign w:val="bottom"/>
          </w:tcPr>
          <w:p>
            <w:pPr>
              <w:spacing w:after="0"/>
              <w:rPr>
                <w:sz w:val="18"/>
                <w:szCs w:val="18"/>
                <w:color w:val="auto"/>
              </w:rPr>
            </w:pPr>
          </w:p>
        </w:tc>
        <w:tc>
          <w:tcPr>
            <w:tcW w:w="1360" w:type="dxa"/>
            <w:vAlign w:val="bottom"/>
          </w:tcPr>
          <w:p>
            <w:pPr>
              <w:ind w:left="60"/>
              <w:spacing w:after="0"/>
              <w:rPr>
                <w:sz w:val="20"/>
                <w:szCs w:val="20"/>
                <w:color w:val="auto"/>
              </w:rPr>
            </w:pPr>
            <w:r>
              <w:rPr>
                <w:rFonts w:ascii="Arial" w:cs="Arial" w:eastAsia="Arial" w:hAnsi="Arial"/>
                <w:sz w:val="16"/>
                <w:szCs w:val="16"/>
                <w:color w:val="auto"/>
              </w:rPr>
              <w:t>Market Value of</w:t>
            </w:r>
          </w:p>
        </w:tc>
        <w:tc>
          <w:tcPr>
            <w:tcW w:w="540" w:type="dxa"/>
            <w:vAlign w:val="bottom"/>
            <w:gridSpan w:val="2"/>
            <w:vMerge w:val="restart"/>
          </w:tcPr>
          <w:p>
            <w:pPr>
              <w:ind w:left="120"/>
              <w:spacing w:after="0"/>
              <w:rPr>
                <w:sz w:val="20"/>
                <w:szCs w:val="20"/>
                <w:color w:val="auto"/>
              </w:rPr>
            </w:pPr>
            <w:r>
              <w:rPr>
                <w:rFonts w:ascii="Arial" w:cs="Arial" w:eastAsia="Arial" w:hAnsi="Arial"/>
                <w:sz w:val="16"/>
                <w:szCs w:val="16"/>
                <w:color w:val="auto"/>
                <w:w w:val="97"/>
              </w:rPr>
              <w:t>100%</w:t>
            </w:r>
          </w:p>
        </w:tc>
        <w:tc>
          <w:tcPr>
            <w:tcW w:w="1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306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58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1360" w:type="dxa"/>
            <w:vAlign w:val="bottom"/>
          </w:tcPr>
          <w:p>
            <w:pPr>
              <w:ind w:left="60"/>
              <w:spacing w:after="0"/>
              <w:rPr>
                <w:sz w:val="20"/>
                <w:szCs w:val="20"/>
                <w:color w:val="auto"/>
              </w:rPr>
            </w:pPr>
            <w:r>
              <w:rPr>
                <w:rFonts w:ascii="Arial" w:cs="Arial" w:eastAsia="Arial" w:hAnsi="Arial"/>
                <w:sz w:val="16"/>
                <w:szCs w:val="16"/>
                <w:color w:val="auto"/>
              </w:rPr>
              <w:t>AnchorPath Fund</w:t>
            </w:r>
          </w:p>
        </w:tc>
        <w:tc>
          <w:tcPr>
            <w:tcW w:w="540" w:type="dxa"/>
            <w:vAlign w:val="bottom"/>
            <w:gridSpan w:val="2"/>
            <w:vMerge w:val="continue"/>
          </w:tcPr>
          <w:p>
            <w:pPr>
              <w:spacing w:after="0"/>
              <w:rPr>
                <w:sz w:val="17"/>
                <w:szCs w:val="17"/>
                <w:color w:val="auto"/>
              </w:rPr>
            </w:pPr>
          </w:p>
        </w:tc>
        <w:tc>
          <w:tcPr>
            <w:tcW w:w="1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9"/>
        </w:trPr>
        <w:tc>
          <w:tcPr>
            <w:tcW w:w="3060" w:type="dxa"/>
            <w:vAlign w:val="bottom"/>
            <w:gridSpan w:val="2"/>
          </w:tcPr>
          <w:p>
            <w:pPr>
              <w:spacing w:after="0"/>
              <w:rPr>
                <w:sz w:val="20"/>
                <w:szCs w:val="20"/>
                <w:color w:val="auto"/>
              </w:rPr>
            </w:pPr>
            <w:r>
              <w:rPr>
                <w:rFonts w:ascii="Arial" w:cs="Arial" w:eastAsia="Arial" w:hAnsi="Arial"/>
                <w:sz w:val="16"/>
                <w:szCs w:val="16"/>
                <w:color w:val="auto"/>
              </w:rPr>
              <w:t>Reinsurance recoverable:</w:t>
            </w:r>
          </w:p>
        </w:tc>
        <w:tc>
          <w:tcPr>
            <w:tcW w:w="2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9"/>
        </w:trPr>
        <w:tc>
          <w:tcPr>
            <w:tcW w:w="3060" w:type="dxa"/>
            <w:vAlign w:val="bottom"/>
            <w:gridSpan w:val="2"/>
          </w:tcPr>
          <w:p>
            <w:pPr>
              <w:spacing w:after="0"/>
              <w:rPr>
                <w:sz w:val="20"/>
                <w:szCs w:val="20"/>
                <w:color w:val="auto"/>
              </w:rPr>
            </w:pPr>
            <w:r>
              <w:rPr>
                <w:rFonts w:ascii="Arial" w:cs="Arial" w:eastAsia="Arial" w:hAnsi="Arial"/>
                <w:sz w:val="16"/>
                <w:szCs w:val="16"/>
                <w:color w:val="auto"/>
              </w:rPr>
              <w:t>Indexed annuities/IUL ceded embedded</w:t>
            </w:r>
          </w:p>
        </w:tc>
        <w:tc>
          <w:tcPr>
            <w:tcW w:w="200" w:type="dxa"/>
            <w:vAlign w:val="bottom"/>
          </w:tcPr>
          <w:p>
            <w:pPr>
              <w:spacing w:after="0"/>
              <w:rPr>
                <w:sz w:val="18"/>
                <w:szCs w:val="18"/>
                <w:color w:val="auto"/>
              </w:rPr>
            </w:pPr>
          </w:p>
        </w:tc>
        <w:tc>
          <w:tcPr>
            <w:tcW w:w="1260" w:type="dxa"/>
            <w:vAlign w:val="bottom"/>
            <w:vMerge w:val="restart"/>
          </w:tcPr>
          <w:p>
            <w:pPr>
              <w:jc w:val="right"/>
              <w:spacing w:after="0"/>
              <w:rPr>
                <w:sz w:val="20"/>
                <w:szCs w:val="20"/>
                <w:color w:val="auto"/>
              </w:rPr>
            </w:pPr>
            <w:r>
              <w:rPr>
                <w:rFonts w:ascii="Arial" w:cs="Arial" w:eastAsia="Arial" w:hAnsi="Arial"/>
                <w:sz w:val="16"/>
                <w:szCs w:val="16"/>
                <w:color w:val="auto"/>
              </w:rPr>
              <w:t>98</w:t>
            </w:r>
          </w:p>
        </w:tc>
        <w:tc>
          <w:tcPr>
            <w:tcW w:w="80" w:type="dxa"/>
            <w:vAlign w:val="bottom"/>
          </w:tcPr>
          <w:p>
            <w:pPr>
              <w:spacing w:after="0"/>
              <w:rPr>
                <w:sz w:val="18"/>
                <w:szCs w:val="18"/>
                <w:color w:val="auto"/>
              </w:rPr>
            </w:pPr>
          </w:p>
        </w:tc>
        <w:tc>
          <w:tcPr>
            <w:tcW w:w="1580" w:type="dxa"/>
            <w:vAlign w:val="bottom"/>
            <w:vMerge w:val="restart"/>
          </w:tcPr>
          <w:p>
            <w:pPr>
              <w:ind w:left="40"/>
              <w:spacing w:after="0"/>
              <w:rPr>
                <w:sz w:val="20"/>
                <w:szCs w:val="20"/>
                <w:color w:val="auto"/>
              </w:rPr>
            </w:pPr>
            <w:r>
              <w:rPr>
                <w:rFonts w:ascii="Arial" w:cs="Arial" w:eastAsia="Arial" w:hAnsi="Arial"/>
                <w:sz w:val="16"/>
                <w:szCs w:val="16"/>
                <w:color w:val="auto"/>
                <w:w w:val="94"/>
              </w:rPr>
              <w:t>Discounted Cash Flow</w:t>
            </w:r>
          </w:p>
        </w:tc>
        <w:tc>
          <w:tcPr>
            <w:tcW w:w="60" w:type="dxa"/>
            <w:vAlign w:val="bottom"/>
          </w:tcPr>
          <w:p>
            <w:pPr>
              <w:spacing w:after="0"/>
              <w:rPr>
                <w:sz w:val="18"/>
                <w:szCs w:val="18"/>
                <w:color w:val="auto"/>
              </w:rPr>
            </w:pPr>
          </w:p>
        </w:tc>
        <w:tc>
          <w:tcPr>
            <w:tcW w:w="1360" w:type="dxa"/>
            <w:vAlign w:val="bottom"/>
          </w:tcPr>
          <w:p>
            <w:pPr>
              <w:ind w:left="60"/>
              <w:spacing w:after="0"/>
              <w:rPr>
                <w:sz w:val="20"/>
                <w:szCs w:val="20"/>
                <w:color w:val="auto"/>
              </w:rPr>
            </w:pPr>
            <w:r>
              <w:rPr>
                <w:rFonts w:ascii="Arial" w:cs="Arial" w:eastAsia="Arial" w:hAnsi="Arial"/>
                <w:sz w:val="16"/>
                <w:szCs w:val="16"/>
                <w:color w:val="auto"/>
              </w:rPr>
              <w:t>Market Value of</w:t>
            </w:r>
          </w:p>
        </w:tc>
        <w:tc>
          <w:tcPr>
            <w:tcW w:w="540" w:type="dxa"/>
            <w:vAlign w:val="bottom"/>
            <w:gridSpan w:val="2"/>
            <w:vMerge w:val="restart"/>
          </w:tcPr>
          <w:p>
            <w:pPr>
              <w:ind w:left="120"/>
              <w:spacing w:after="0"/>
              <w:rPr>
                <w:sz w:val="20"/>
                <w:szCs w:val="20"/>
                <w:color w:val="auto"/>
              </w:rPr>
            </w:pPr>
            <w:r>
              <w:rPr>
                <w:rFonts w:ascii="Arial" w:cs="Arial" w:eastAsia="Arial" w:hAnsi="Arial"/>
                <w:sz w:val="16"/>
                <w:szCs w:val="16"/>
                <w:color w:val="auto"/>
                <w:w w:val="88"/>
              </w:rPr>
              <w:t>0.35%</w:t>
            </w:r>
          </w:p>
        </w:tc>
        <w:tc>
          <w:tcPr>
            <w:tcW w:w="1860" w:type="dxa"/>
            <w:vAlign w:val="bottom"/>
            <w:vMerge w:val="restart"/>
          </w:tcPr>
          <w:p>
            <w:pPr>
              <w:ind w:left="20"/>
              <w:spacing w:after="0"/>
              <w:rPr>
                <w:sz w:val="20"/>
                <w:szCs w:val="20"/>
                <w:color w:val="auto"/>
              </w:rPr>
            </w:pPr>
            <w:r>
              <w:rPr>
                <w:rFonts w:ascii="Arial" w:cs="Arial" w:eastAsia="Arial" w:hAnsi="Arial"/>
                <w:sz w:val="16"/>
                <w:szCs w:val="16"/>
                <w:color w:val="auto"/>
              </w:rPr>
              <w:t>- 2.53% (1.39%)</w:t>
            </w:r>
          </w:p>
        </w:tc>
        <w:tc>
          <w:tcPr>
            <w:tcW w:w="0" w:type="dxa"/>
            <w:vAlign w:val="bottom"/>
          </w:tcPr>
          <w:p>
            <w:pPr>
              <w:spacing w:after="0"/>
              <w:rPr>
                <w:sz w:val="1"/>
                <w:szCs w:val="1"/>
                <w:color w:val="auto"/>
              </w:rPr>
            </w:pPr>
          </w:p>
        </w:tc>
      </w:tr>
      <w:tr>
        <w:trPr>
          <w:trHeight w:val="204"/>
        </w:trPr>
        <w:tc>
          <w:tcPr>
            <w:tcW w:w="3060" w:type="dxa"/>
            <w:vAlign w:val="bottom"/>
            <w:gridSpan w:val="2"/>
          </w:tcPr>
          <w:p>
            <w:pPr>
              <w:spacing w:after="0"/>
              <w:rPr>
                <w:sz w:val="20"/>
                <w:szCs w:val="20"/>
                <w:color w:val="auto"/>
              </w:rPr>
            </w:pPr>
            <w:r>
              <w:rPr>
                <w:rFonts w:ascii="Arial" w:cs="Arial" w:eastAsia="Arial" w:hAnsi="Arial"/>
                <w:sz w:val="16"/>
                <w:szCs w:val="16"/>
                <w:color w:val="auto"/>
              </w:rPr>
              <w:t>derivatives</w:t>
            </w:r>
          </w:p>
        </w:tc>
        <w:tc>
          <w:tcPr>
            <w:tcW w:w="200" w:type="dxa"/>
            <w:vAlign w:val="bottom"/>
          </w:tcPr>
          <w:p>
            <w:pPr>
              <w:spacing w:after="0"/>
              <w:rPr>
                <w:sz w:val="17"/>
                <w:szCs w:val="17"/>
                <w:color w:val="auto"/>
              </w:rPr>
            </w:pPr>
          </w:p>
        </w:tc>
        <w:tc>
          <w:tcPr>
            <w:tcW w:w="126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58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1360" w:type="dxa"/>
            <w:vAlign w:val="bottom"/>
          </w:tcPr>
          <w:p>
            <w:pPr>
              <w:ind w:left="60"/>
              <w:spacing w:after="0"/>
              <w:rPr>
                <w:sz w:val="20"/>
                <w:szCs w:val="20"/>
                <w:color w:val="auto"/>
              </w:rPr>
            </w:pPr>
            <w:r>
              <w:rPr>
                <w:rFonts w:ascii="Arial" w:cs="Arial" w:eastAsia="Arial" w:hAnsi="Arial"/>
                <w:sz w:val="16"/>
                <w:szCs w:val="16"/>
                <w:color w:val="auto"/>
              </w:rPr>
              <w:t>Option</w:t>
            </w:r>
          </w:p>
        </w:tc>
        <w:tc>
          <w:tcPr>
            <w:tcW w:w="540" w:type="dxa"/>
            <w:vAlign w:val="bottom"/>
            <w:gridSpan w:val="2"/>
            <w:vMerge w:val="continue"/>
          </w:tcPr>
          <w:p>
            <w:pPr>
              <w:spacing w:after="0"/>
              <w:rPr>
                <w:sz w:val="17"/>
                <w:szCs w:val="17"/>
                <w:color w:val="auto"/>
              </w:rPr>
            </w:pPr>
          </w:p>
        </w:tc>
        <w:tc>
          <w:tcPr>
            <w:tcW w:w="18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42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60" w:type="dxa"/>
            <w:vAlign w:val="bottom"/>
          </w:tcPr>
          <w:p>
            <w:pPr>
              <w:ind w:left="60"/>
              <w:spacing w:after="0"/>
              <w:rPr>
                <w:sz w:val="20"/>
                <w:szCs w:val="20"/>
                <w:color w:val="auto"/>
              </w:rPr>
            </w:pPr>
            <w:r>
              <w:rPr>
                <w:rFonts w:ascii="Arial" w:cs="Arial" w:eastAsia="Arial" w:hAnsi="Arial"/>
                <w:sz w:val="16"/>
                <w:szCs w:val="16"/>
                <w:color w:val="auto"/>
              </w:rPr>
              <w:t>Mortality</w:t>
            </w:r>
          </w:p>
        </w:tc>
        <w:tc>
          <w:tcPr>
            <w:tcW w:w="2400" w:type="dxa"/>
            <w:vAlign w:val="bottom"/>
            <w:gridSpan w:val="3"/>
            <w:vMerge w:val="restart"/>
          </w:tcPr>
          <w:p>
            <w:pPr>
              <w:ind w:left="120"/>
              <w:spacing w:after="0"/>
              <w:rPr>
                <w:sz w:val="20"/>
                <w:szCs w:val="20"/>
                <w:color w:val="auto"/>
              </w:rPr>
            </w:pPr>
            <w:r>
              <w:rPr>
                <w:rFonts w:ascii="Arial" w:cs="Arial" w:eastAsia="Arial" w:hAnsi="Arial"/>
                <w:sz w:val="16"/>
                <w:szCs w:val="16"/>
                <w:color w:val="auto"/>
              </w:rPr>
              <w:t>80.00% - 115.00% (100.00%)</w:t>
            </w:r>
          </w:p>
        </w:tc>
        <w:tc>
          <w:tcPr>
            <w:tcW w:w="0" w:type="dxa"/>
            <w:vAlign w:val="bottom"/>
          </w:tcPr>
          <w:p>
            <w:pPr>
              <w:spacing w:after="0"/>
              <w:rPr>
                <w:sz w:val="1"/>
                <w:szCs w:val="1"/>
                <w:color w:val="auto"/>
              </w:rPr>
            </w:pPr>
          </w:p>
        </w:tc>
      </w:tr>
      <w:tr>
        <w:trPr>
          <w:trHeight w:val="204"/>
        </w:trPr>
        <w:tc>
          <w:tcPr>
            <w:tcW w:w="420" w:type="dxa"/>
            <w:vAlign w:val="bottom"/>
          </w:tcPr>
          <w:p>
            <w:pPr>
              <w:spacing w:after="0"/>
              <w:rPr>
                <w:sz w:val="17"/>
                <w:szCs w:val="17"/>
                <w:color w:val="auto"/>
              </w:rPr>
            </w:pPr>
          </w:p>
        </w:tc>
        <w:tc>
          <w:tcPr>
            <w:tcW w:w="2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360" w:type="dxa"/>
            <w:vAlign w:val="bottom"/>
          </w:tcPr>
          <w:p>
            <w:pPr>
              <w:ind w:left="60"/>
              <w:spacing w:after="0"/>
              <w:rPr>
                <w:sz w:val="20"/>
                <w:szCs w:val="20"/>
                <w:color w:val="auto"/>
              </w:rPr>
            </w:pPr>
            <w:r>
              <w:rPr>
                <w:rFonts w:ascii="Arial" w:cs="Arial" w:eastAsia="Arial" w:hAnsi="Arial"/>
                <w:sz w:val="16"/>
                <w:szCs w:val="16"/>
                <w:color w:val="auto"/>
              </w:rPr>
              <w:t>Multiplier</w:t>
            </w:r>
          </w:p>
        </w:tc>
        <w:tc>
          <w:tcPr>
            <w:tcW w:w="2400" w:type="dxa"/>
            <w:vAlign w:val="bottom"/>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49"/>
        </w:trPr>
        <w:tc>
          <w:tcPr>
            <w:tcW w:w="420" w:type="dxa"/>
            <w:vAlign w:val="bottom"/>
          </w:tcPr>
          <w:p>
            <w:pPr>
              <w:spacing w:after="0"/>
              <w:rPr>
                <w:sz w:val="21"/>
                <w:szCs w:val="21"/>
                <w:color w:val="auto"/>
              </w:rPr>
            </w:pPr>
          </w:p>
        </w:tc>
        <w:tc>
          <w:tcPr>
            <w:tcW w:w="26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360" w:type="dxa"/>
            <w:vAlign w:val="bottom"/>
          </w:tcPr>
          <w:p>
            <w:pPr>
              <w:ind w:left="60"/>
              <w:spacing w:after="0"/>
              <w:rPr>
                <w:sz w:val="20"/>
                <w:szCs w:val="20"/>
                <w:color w:val="auto"/>
              </w:rPr>
            </w:pPr>
            <w:r>
              <w:rPr>
                <w:rFonts w:ascii="Arial" w:cs="Arial" w:eastAsia="Arial" w:hAnsi="Arial"/>
                <w:sz w:val="16"/>
                <w:szCs w:val="16"/>
                <w:color w:val="auto"/>
              </w:rPr>
              <w:t>Surrender Rates</w:t>
            </w:r>
          </w:p>
        </w:tc>
        <w:tc>
          <w:tcPr>
            <w:tcW w:w="540" w:type="dxa"/>
            <w:vAlign w:val="bottom"/>
            <w:gridSpan w:val="2"/>
          </w:tcPr>
          <w:p>
            <w:pPr>
              <w:ind w:left="120"/>
              <w:spacing w:after="0"/>
              <w:rPr>
                <w:sz w:val="20"/>
                <w:szCs w:val="20"/>
                <w:color w:val="auto"/>
              </w:rPr>
            </w:pPr>
            <w:r>
              <w:rPr>
                <w:rFonts w:ascii="Arial" w:cs="Arial" w:eastAsia="Arial" w:hAnsi="Arial"/>
                <w:sz w:val="16"/>
                <w:szCs w:val="16"/>
                <w:color w:val="auto"/>
                <w:w w:val="88"/>
              </w:rPr>
              <w:t>0.25%</w:t>
            </w:r>
          </w:p>
        </w:tc>
        <w:tc>
          <w:tcPr>
            <w:tcW w:w="1860" w:type="dxa"/>
            <w:vAlign w:val="bottom"/>
          </w:tcPr>
          <w:p>
            <w:pPr>
              <w:ind w:left="20"/>
              <w:spacing w:after="0"/>
              <w:rPr>
                <w:sz w:val="20"/>
                <w:szCs w:val="20"/>
                <w:color w:val="auto"/>
              </w:rPr>
            </w:pPr>
            <w:r>
              <w:rPr>
                <w:rFonts w:ascii="Arial" w:cs="Arial" w:eastAsia="Arial" w:hAnsi="Arial"/>
                <w:sz w:val="16"/>
                <w:szCs w:val="16"/>
                <w:color w:val="auto"/>
              </w:rPr>
              <w:t>- 50.00% (3.24%)</w:t>
            </w:r>
          </w:p>
        </w:tc>
        <w:tc>
          <w:tcPr>
            <w:tcW w:w="0" w:type="dxa"/>
            <w:vAlign w:val="bottom"/>
          </w:tcPr>
          <w:p>
            <w:pPr>
              <w:spacing w:after="0"/>
              <w:rPr>
                <w:sz w:val="1"/>
                <w:szCs w:val="1"/>
                <w:color w:val="auto"/>
              </w:rPr>
            </w:pPr>
          </w:p>
        </w:tc>
      </w:tr>
      <w:tr>
        <w:trPr>
          <w:trHeight w:val="250"/>
        </w:trPr>
        <w:tc>
          <w:tcPr>
            <w:tcW w:w="420" w:type="dxa"/>
            <w:vAlign w:val="bottom"/>
          </w:tcPr>
          <w:p>
            <w:pPr>
              <w:spacing w:after="0"/>
              <w:rPr>
                <w:sz w:val="21"/>
                <w:szCs w:val="21"/>
                <w:color w:val="auto"/>
              </w:rPr>
            </w:pPr>
          </w:p>
        </w:tc>
        <w:tc>
          <w:tcPr>
            <w:tcW w:w="26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360" w:type="dxa"/>
            <w:vAlign w:val="bottom"/>
          </w:tcPr>
          <w:p>
            <w:pPr>
              <w:ind w:left="60"/>
              <w:spacing w:after="0"/>
              <w:rPr>
                <w:sz w:val="20"/>
                <w:szCs w:val="20"/>
                <w:color w:val="auto"/>
              </w:rPr>
            </w:pPr>
            <w:r>
              <w:rPr>
                <w:rFonts w:ascii="Arial" w:cs="Arial" w:eastAsia="Arial" w:hAnsi="Arial"/>
                <w:sz w:val="16"/>
                <w:szCs w:val="16"/>
                <w:color w:val="auto"/>
                <w:w w:val="93"/>
              </w:rPr>
              <w:t>Partial Withdrawals</w:t>
            </w:r>
          </w:p>
        </w:tc>
        <w:tc>
          <w:tcPr>
            <w:tcW w:w="540" w:type="dxa"/>
            <w:vAlign w:val="bottom"/>
            <w:gridSpan w:val="2"/>
          </w:tcPr>
          <w:p>
            <w:pPr>
              <w:ind w:left="120"/>
              <w:spacing w:after="0"/>
              <w:rPr>
                <w:sz w:val="20"/>
                <w:szCs w:val="20"/>
                <w:color w:val="auto"/>
              </w:rPr>
            </w:pPr>
            <w:r>
              <w:rPr>
                <w:rFonts w:ascii="Arial" w:cs="Arial" w:eastAsia="Arial" w:hAnsi="Arial"/>
                <w:sz w:val="16"/>
                <w:szCs w:val="16"/>
                <w:color w:val="auto"/>
                <w:w w:val="88"/>
              </w:rPr>
              <w:t>2.00%</w:t>
            </w:r>
          </w:p>
        </w:tc>
        <w:tc>
          <w:tcPr>
            <w:tcW w:w="1860" w:type="dxa"/>
            <w:vAlign w:val="bottom"/>
          </w:tcPr>
          <w:p>
            <w:pPr>
              <w:ind w:left="20"/>
              <w:spacing w:after="0"/>
              <w:rPr>
                <w:sz w:val="20"/>
                <w:szCs w:val="20"/>
                <w:color w:val="auto"/>
              </w:rPr>
            </w:pPr>
            <w:r>
              <w:rPr>
                <w:rFonts w:ascii="Arial" w:cs="Arial" w:eastAsia="Arial" w:hAnsi="Arial"/>
                <w:sz w:val="16"/>
                <w:szCs w:val="16"/>
                <w:color w:val="auto"/>
              </w:rPr>
              <w:t>- 5.00% (2.13%)</w:t>
            </w:r>
          </w:p>
        </w:tc>
        <w:tc>
          <w:tcPr>
            <w:tcW w:w="0" w:type="dxa"/>
            <w:vAlign w:val="bottom"/>
          </w:tcPr>
          <w:p>
            <w:pPr>
              <w:spacing w:after="0"/>
              <w:rPr>
                <w:sz w:val="1"/>
                <w:szCs w:val="1"/>
                <w:color w:val="auto"/>
              </w:rPr>
            </w:pPr>
          </w:p>
        </w:tc>
      </w:tr>
      <w:tr>
        <w:trPr>
          <w:trHeight w:val="209"/>
        </w:trPr>
        <w:tc>
          <w:tcPr>
            <w:tcW w:w="42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60" w:type="dxa"/>
            <w:vAlign w:val="bottom"/>
          </w:tcPr>
          <w:p>
            <w:pPr>
              <w:ind w:left="60"/>
              <w:spacing w:after="0"/>
              <w:rPr>
                <w:sz w:val="20"/>
                <w:szCs w:val="20"/>
                <w:color w:val="auto"/>
              </w:rPr>
            </w:pPr>
            <w:r>
              <w:rPr>
                <w:rFonts w:ascii="Arial" w:cs="Arial" w:eastAsia="Arial" w:hAnsi="Arial"/>
                <w:sz w:val="16"/>
                <w:szCs w:val="16"/>
                <w:color w:val="auto"/>
              </w:rPr>
              <w:t>Non-Performance</w:t>
            </w:r>
          </w:p>
        </w:tc>
        <w:tc>
          <w:tcPr>
            <w:tcW w:w="540" w:type="dxa"/>
            <w:vAlign w:val="bottom"/>
            <w:gridSpan w:val="2"/>
            <w:vMerge w:val="restart"/>
          </w:tcPr>
          <w:p>
            <w:pPr>
              <w:ind w:left="120"/>
              <w:spacing w:after="0"/>
              <w:rPr>
                <w:sz w:val="20"/>
                <w:szCs w:val="20"/>
                <w:color w:val="auto"/>
              </w:rPr>
            </w:pPr>
            <w:r>
              <w:rPr>
                <w:rFonts w:ascii="Arial" w:cs="Arial" w:eastAsia="Arial" w:hAnsi="Arial"/>
                <w:sz w:val="16"/>
                <w:szCs w:val="16"/>
                <w:color w:val="auto"/>
                <w:w w:val="88"/>
              </w:rPr>
              <w:t>0.48%</w:t>
            </w:r>
          </w:p>
        </w:tc>
        <w:tc>
          <w:tcPr>
            <w:tcW w:w="1860" w:type="dxa"/>
            <w:vAlign w:val="bottom"/>
            <w:vMerge w:val="restart"/>
          </w:tcPr>
          <w:p>
            <w:pPr>
              <w:ind w:left="20"/>
              <w:spacing w:after="0"/>
              <w:rPr>
                <w:sz w:val="20"/>
                <w:szCs w:val="20"/>
                <w:color w:val="auto"/>
              </w:rPr>
            </w:pPr>
            <w:r>
              <w:rPr>
                <w:rFonts w:ascii="Arial" w:cs="Arial" w:eastAsia="Arial" w:hAnsi="Arial"/>
                <w:sz w:val="16"/>
                <w:szCs w:val="16"/>
                <w:color w:val="auto"/>
              </w:rPr>
              <w:t>- 0.95% (0.75%)</w:t>
            </w:r>
          </w:p>
        </w:tc>
        <w:tc>
          <w:tcPr>
            <w:tcW w:w="0" w:type="dxa"/>
            <w:vAlign w:val="bottom"/>
          </w:tcPr>
          <w:p>
            <w:pPr>
              <w:spacing w:after="0"/>
              <w:rPr>
                <w:sz w:val="1"/>
                <w:szCs w:val="1"/>
                <w:color w:val="auto"/>
              </w:rPr>
            </w:pPr>
          </w:p>
        </w:tc>
      </w:tr>
      <w:tr>
        <w:trPr>
          <w:trHeight w:val="204"/>
        </w:trPr>
        <w:tc>
          <w:tcPr>
            <w:tcW w:w="420" w:type="dxa"/>
            <w:vAlign w:val="bottom"/>
          </w:tcPr>
          <w:p>
            <w:pPr>
              <w:spacing w:after="0"/>
              <w:rPr>
                <w:sz w:val="17"/>
                <w:szCs w:val="17"/>
                <w:color w:val="auto"/>
              </w:rPr>
            </w:pPr>
          </w:p>
        </w:tc>
        <w:tc>
          <w:tcPr>
            <w:tcW w:w="2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360" w:type="dxa"/>
            <w:vAlign w:val="bottom"/>
          </w:tcPr>
          <w:p>
            <w:pPr>
              <w:ind w:left="60"/>
              <w:spacing w:after="0"/>
              <w:rPr>
                <w:sz w:val="20"/>
                <w:szCs w:val="20"/>
                <w:color w:val="auto"/>
              </w:rPr>
            </w:pPr>
            <w:r>
              <w:rPr>
                <w:rFonts w:ascii="Arial" w:cs="Arial" w:eastAsia="Arial" w:hAnsi="Arial"/>
                <w:sz w:val="16"/>
                <w:szCs w:val="16"/>
                <w:color w:val="auto"/>
              </w:rPr>
              <w:t>Spread</w:t>
            </w:r>
          </w:p>
        </w:tc>
        <w:tc>
          <w:tcPr>
            <w:tcW w:w="540" w:type="dxa"/>
            <w:vAlign w:val="bottom"/>
            <w:gridSpan w:val="2"/>
            <w:vMerge w:val="continue"/>
          </w:tcPr>
          <w:p>
            <w:pPr>
              <w:spacing w:after="0"/>
              <w:rPr>
                <w:sz w:val="17"/>
                <w:szCs w:val="17"/>
                <w:color w:val="auto"/>
              </w:rPr>
            </w:pPr>
          </w:p>
        </w:tc>
        <w:tc>
          <w:tcPr>
            <w:tcW w:w="18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49"/>
        </w:trPr>
        <w:tc>
          <w:tcPr>
            <w:tcW w:w="420" w:type="dxa"/>
            <w:vAlign w:val="bottom"/>
          </w:tcPr>
          <w:p>
            <w:pPr>
              <w:spacing w:after="0"/>
              <w:rPr>
                <w:sz w:val="21"/>
                <w:szCs w:val="21"/>
                <w:color w:val="auto"/>
              </w:rPr>
            </w:pPr>
          </w:p>
        </w:tc>
        <w:tc>
          <w:tcPr>
            <w:tcW w:w="26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360" w:type="dxa"/>
            <w:vAlign w:val="bottom"/>
          </w:tcPr>
          <w:p>
            <w:pPr>
              <w:ind w:left="60"/>
              <w:spacing w:after="0"/>
              <w:rPr>
                <w:sz w:val="20"/>
                <w:szCs w:val="20"/>
                <w:color w:val="auto"/>
              </w:rPr>
            </w:pPr>
            <w:r>
              <w:rPr>
                <w:rFonts w:ascii="Arial" w:cs="Arial" w:eastAsia="Arial" w:hAnsi="Arial"/>
                <w:sz w:val="16"/>
                <w:szCs w:val="16"/>
                <w:color w:val="auto"/>
              </w:rPr>
              <w:t>Option Cost</w:t>
            </w:r>
          </w:p>
        </w:tc>
        <w:tc>
          <w:tcPr>
            <w:tcW w:w="540" w:type="dxa"/>
            <w:vAlign w:val="bottom"/>
            <w:gridSpan w:val="2"/>
          </w:tcPr>
          <w:p>
            <w:pPr>
              <w:ind w:left="120"/>
              <w:spacing w:after="0"/>
              <w:rPr>
                <w:sz w:val="20"/>
                <w:szCs w:val="20"/>
                <w:color w:val="auto"/>
              </w:rPr>
            </w:pPr>
            <w:r>
              <w:rPr>
                <w:rFonts w:ascii="Arial" w:cs="Arial" w:eastAsia="Arial" w:hAnsi="Arial"/>
                <w:sz w:val="16"/>
                <w:szCs w:val="16"/>
                <w:color w:val="auto"/>
                <w:w w:val="88"/>
              </w:rPr>
              <w:t>1.40%</w:t>
            </w:r>
          </w:p>
        </w:tc>
        <w:tc>
          <w:tcPr>
            <w:tcW w:w="1860" w:type="dxa"/>
            <w:vAlign w:val="bottom"/>
          </w:tcPr>
          <w:p>
            <w:pPr>
              <w:ind w:left="20"/>
              <w:spacing w:after="0"/>
              <w:rPr>
                <w:sz w:val="20"/>
                <w:szCs w:val="20"/>
                <w:color w:val="auto"/>
              </w:rPr>
            </w:pPr>
            <w:r>
              <w:rPr>
                <w:rFonts w:ascii="Arial" w:cs="Arial" w:eastAsia="Arial" w:hAnsi="Arial"/>
                <w:sz w:val="16"/>
                <w:szCs w:val="16"/>
                <w:color w:val="auto"/>
              </w:rPr>
              <w:t>- 1.40% (1.40%)</w:t>
            </w:r>
          </w:p>
        </w:tc>
        <w:tc>
          <w:tcPr>
            <w:tcW w:w="0" w:type="dxa"/>
            <w:vAlign w:val="bottom"/>
          </w:tcPr>
          <w:p>
            <w:pPr>
              <w:spacing w:after="0"/>
              <w:rPr>
                <w:sz w:val="1"/>
                <w:szCs w:val="1"/>
                <w:color w:val="auto"/>
              </w:rPr>
            </w:pPr>
          </w:p>
        </w:tc>
      </w:tr>
      <w:tr>
        <w:trPr>
          <w:trHeight w:val="250"/>
        </w:trPr>
        <w:tc>
          <w:tcPr>
            <w:tcW w:w="3060" w:type="dxa"/>
            <w:vAlign w:val="bottom"/>
            <w:gridSpan w:val="2"/>
          </w:tcPr>
          <w:p>
            <w:pPr>
              <w:spacing w:after="0"/>
              <w:rPr>
                <w:sz w:val="20"/>
                <w:szCs w:val="20"/>
                <w:color w:val="auto"/>
              </w:rPr>
            </w:pPr>
            <w:r>
              <w:rPr>
                <w:rFonts w:ascii="Arial" w:cs="Arial" w:eastAsia="Arial" w:hAnsi="Arial"/>
                <w:sz w:val="16"/>
                <w:szCs w:val="16"/>
                <w:color w:val="auto"/>
              </w:rPr>
              <w:t>Prepaid expenses and other assets:</w:t>
            </w:r>
          </w:p>
        </w:tc>
        <w:tc>
          <w:tcPr>
            <w:tcW w:w="2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9"/>
        </w:trPr>
        <w:tc>
          <w:tcPr>
            <w:tcW w:w="3060" w:type="dxa"/>
            <w:vAlign w:val="bottom"/>
            <w:gridSpan w:val="2"/>
            <w:vMerge w:val="restart"/>
          </w:tcPr>
          <w:p>
            <w:pPr>
              <w:spacing w:after="0"/>
              <w:rPr>
                <w:sz w:val="20"/>
                <w:szCs w:val="20"/>
                <w:color w:val="auto"/>
              </w:rPr>
            </w:pPr>
            <w:r>
              <w:rPr>
                <w:rFonts w:ascii="Arial" w:cs="Arial" w:eastAsia="Arial" w:hAnsi="Arial"/>
                <w:sz w:val="16"/>
                <w:szCs w:val="16"/>
                <w:color w:val="auto"/>
              </w:rPr>
              <w:t>Loan receivable</w:t>
            </w:r>
          </w:p>
        </w:tc>
        <w:tc>
          <w:tcPr>
            <w:tcW w:w="200" w:type="dxa"/>
            <w:vAlign w:val="bottom"/>
          </w:tcPr>
          <w:p>
            <w:pPr>
              <w:spacing w:after="0"/>
              <w:rPr>
                <w:sz w:val="18"/>
                <w:szCs w:val="18"/>
                <w:color w:val="auto"/>
              </w:rPr>
            </w:pPr>
          </w:p>
        </w:tc>
        <w:tc>
          <w:tcPr>
            <w:tcW w:w="1260" w:type="dxa"/>
            <w:vAlign w:val="bottom"/>
            <w:vMerge w:val="restart"/>
          </w:tcPr>
          <w:p>
            <w:pPr>
              <w:jc w:val="right"/>
              <w:spacing w:after="0"/>
              <w:rPr>
                <w:sz w:val="20"/>
                <w:szCs w:val="20"/>
                <w:color w:val="auto"/>
              </w:rPr>
            </w:pPr>
            <w:r>
              <w:rPr>
                <w:rFonts w:ascii="Arial" w:cs="Arial" w:eastAsia="Arial" w:hAnsi="Arial"/>
                <w:sz w:val="16"/>
                <w:szCs w:val="16"/>
                <w:color w:val="auto"/>
              </w:rPr>
              <w:t>11</w:t>
            </w:r>
          </w:p>
        </w:tc>
        <w:tc>
          <w:tcPr>
            <w:tcW w:w="80" w:type="dxa"/>
            <w:vAlign w:val="bottom"/>
          </w:tcPr>
          <w:p>
            <w:pPr>
              <w:spacing w:after="0"/>
              <w:rPr>
                <w:sz w:val="18"/>
                <w:szCs w:val="18"/>
                <w:color w:val="auto"/>
              </w:rPr>
            </w:pPr>
          </w:p>
        </w:tc>
        <w:tc>
          <w:tcPr>
            <w:tcW w:w="1580" w:type="dxa"/>
            <w:vAlign w:val="bottom"/>
            <w:vMerge w:val="restart"/>
          </w:tcPr>
          <w:p>
            <w:pPr>
              <w:ind w:left="40"/>
              <w:spacing w:after="0"/>
              <w:rPr>
                <w:sz w:val="20"/>
                <w:szCs w:val="20"/>
                <w:color w:val="auto"/>
              </w:rPr>
            </w:pPr>
            <w:r>
              <w:rPr>
                <w:rFonts w:ascii="Arial" w:cs="Arial" w:eastAsia="Arial" w:hAnsi="Arial"/>
                <w:sz w:val="16"/>
                <w:szCs w:val="16"/>
                <w:color w:val="auto"/>
                <w:w w:val="94"/>
              </w:rPr>
              <w:t>Discounted Cash Flow</w:t>
            </w:r>
          </w:p>
        </w:tc>
        <w:tc>
          <w:tcPr>
            <w:tcW w:w="60" w:type="dxa"/>
            <w:vAlign w:val="bottom"/>
          </w:tcPr>
          <w:p>
            <w:pPr>
              <w:spacing w:after="0"/>
              <w:rPr>
                <w:sz w:val="18"/>
                <w:szCs w:val="18"/>
                <w:color w:val="auto"/>
              </w:rPr>
            </w:pPr>
          </w:p>
        </w:tc>
        <w:tc>
          <w:tcPr>
            <w:tcW w:w="1360" w:type="dxa"/>
            <w:vAlign w:val="bottom"/>
          </w:tcPr>
          <w:p>
            <w:pPr>
              <w:ind w:left="60"/>
              <w:spacing w:after="0"/>
              <w:rPr>
                <w:sz w:val="20"/>
                <w:szCs w:val="20"/>
                <w:color w:val="auto"/>
              </w:rPr>
            </w:pPr>
            <w:r>
              <w:rPr>
                <w:rFonts w:ascii="Arial" w:cs="Arial" w:eastAsia="Arial" w:hAnsi="Arial"/>
                <w:sz w:val="16"/>
                <w:szCs w:val="16"/>
                <w:color w:val="auto"/>
              </w:rPr>
              <w:t>Risk-Adjusted</w:t>
            </w:r>
          </w:p>
        </w:tc>
        <w:tc>
          <w:tcPr>
            <w:tcW w:w="540" w:type="dxa"/>
            <w:vAlign w:val="bottom"/>
            <w:gridSpan w:val="2"/>
            <w:vMerge w:val="restart"/>
          </w:tcPr>
          <w:p>
            <w:pPr>
              <w:ind w:left="120"/>
              <w:spacing w:after="0"/>
              <w:rPr>
                <w:sz w:val="20"/>
                <w:szCs w:val="20"/>
                <w:color w:val="auto"/>
              </w:rPr>
            </w:pPr>
            <w:r>
              <w:rPr>
                <w:rFonts w:ascii="Arial" w:cs="Arial" w:eastAsia="Arial" w:hAnsi="Arial"/>
                <w:sz w:val="16"/>
                <w:szCs w:val="16"/>
                <w:color w:val="auto"/>
                <w:w w:val="88"/>
              </w:rPr>
              <w:t>7.22%</w:t>
            </w:r>
          </w:p>
        </w:tc>
        <w:tc>
          <w:tcPr>
            <w:tcW w:w="1860" w:type="dxa"/>
            <w:vAlign w:val="bottom"/>
            <w:vMerge w:val="restart"/>
          </w:tcPr>
          <w:p>
            <w:pPr>
              <w:ind w:left="20"/>
              <w:spacing w:after="0"/>
              <w:rPr>
                <w:sz w:val="20"/>
                <w:szCs w:val="20"/>
                <w:color w:val="auto"/>
              </w:rPr>
            </w:pPr>
            <w:r>
              <w:rPr>
                <w:rFonts w:ascii="Arial" w:cs="Arial" w:eastAsia="Arial" w:hAnsi="Arial"/>
                <w:sz w:val="16"/>
                <w:szCs w:val="16"/>
                <w:color w:val="auto"/>
              </w:rPr>
              <w:t>- 7.22% (7.22%)</w:t>
            </w:r>
          </w:p>
        </w:tc>
        <w:tc>
          <w:tcPr>
            <w:tcW w:w="0" w:type="dxa"/>
            <w:vAlign w:val="bottom"/>
          </w:tcPr>
          <w:p>
            <w:pPr>
              <w:spacing w:after="0"/>
              <w:rPr>
                <w:sz w:val="1"/>
                <w:szCs w:val="1"/>
                <w:color w:val="auto"/>
              </w:rPr>
            </w:pPr>
          </w:p>
        </w:tc>
      </w:tr>
      <w:tr>
        <w:trPr>
          <w:trHeight w:val="204"/>
        </w:trPr>
        <w:tc>
          <w:tcPr>
            <w:tcW w:w="306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58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1360" w:type="dxa"/>
            <w:vAlign w:val="bottom"/>
          </w:tcPr>
          <w:p>
            <w:pPr>
              <w:ind w:left="60"/>
              <w:spacing w:after="0"/>
              <w:rPr>
                <w:sz w:val="20"/>
                <w:szCs w:val="20"/>
                <w:color w:val="auto"/>
              </w:rPr>
            </w:pPr>
            <w:r>
              <w:rPr>
                <w:rFonts w:ascii="Arial" w:cs="Arial" w:eastAsia="Arial" w:hAnsi="Arial"/>
                <w:sz w:val="16"/>
                <w:szCs w:val="16"/>
                <w:color w:val="auto"/>
              </w:rPr>
              <w:t>Discount Rate</w:t>
            </w:r>
          </w:p>
        </w:tc>
        <w:tc>
          <w:tcPr>
            <w:tcW w:w="540" w:type="dxa"/>
            <w:vAlign w:val="bottom"/>
            <w:gridSpan w:val="2"/>
            <w:vMerge w:val="continue"/>
          </w:tcPr>
          <w:p>
            <w:pPr>
              <w:spacing w:after="0"/>
              <w:rPr>
                <w:sz w:val="17"/>
                <w:szCs w:val="17"/>
                <w:color w:val="auto"/>
              </w:rPr>
            </w:pPr>
          </w:p>
        </w:tc>
        <w:tc>
          <w:tcPr>
            <w:tcW w:w="18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42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60" w:type="dxa"/>
            <w:vAlign w:val="bottom"/>
          </w:tcPr>
          <w:p>
            <w:pPr>
              <w:ind w:left="60"/>
              <w:spacing w:after="0"/>
              <w:rPr>
                <w:sz w:val="20"/>
                <w:szCs w:val="20"/>
                <w:color w:val="auto"/>
              </w:rPr>
            </w:pPr>
            <w:r>
              <w:rPr>
                <w:rFonts w:ascii="Arial" w:cs="Arial" w:eastAsia="Arial" w:hAnsi="Arial"/>
                <w:sz w:val="16"/>
                <w:szCs w:val="16"/>
                <w:color w:val="auto"/>
              </w:rPr>
              <w:t>Collateral</w:t>
            </w:r>
          </w:p>
        </w:tc>
        <w:tc>
          <w:tcPr>
            <w:tcW w:w="2400" w:type="dxa"/>
            <w:vAlign w:val="bottom"/>
            <w:gridSpan w:val="3"/>
            <w:vMerge w:val="restart"/>
          </w:tcPr>
          <w:p>
            <w:pPr>
              <w:ind w:left="120"/>
              <w:spacing w:after="0"/>
              <w:rPr>
                <w:sz w:val="20"/>
                <w:szCs w:val="20"/>
                <w:color w:val="auto"/>
              </w:rPr>
            </w:pPr>
            <w:r>
              <w:rPr>
                <w:rFonts w:ascii="Arial" w:cs="Arial" w:eastAsia="Arial" w:hAnsi="Arial"/>
                <w:sz w:val="16"/>
                <w:szCs w:val="16"/>
                <w:color w:val="auto"/>
              </w:rPr>
              <w:t>35.00% -35.00% (35.00%)</w:t>
            </w:r>
          </w:p>
        </w:tc>
        <w:tc>
          <w:tcPr>
            <w:tcW w:w="0" w:type="dxa"/>
            <w:vAlign w:val="bottom"/>
          </w:tcPr>
          <w:p>
            <w:pPr>
              <w:spacing w:after="0"/>
              <w:rPr>
                <w:sz w:val="1"/>
                <w:szCs w:val="1"/>
                <w:color w:val="auto"/>
              </w:rPr>
            </w:pPr>
          </w:p>
        </w:tc>
      </w:tr>
      <w:tr>
        <w:trPr>
          <w:trHeight w:val="204"/>
        </w:trPr>
        <w:tc>
          <w:tcPr>
            <w:tcW w:w="420" w:type="dxa"/>
            <w:vAlign w:val="bottom"/>
          </w:tcPr>
          <w:p>
            <w:pPr>
              <w:spacing w:after="0"/>
              <w:rPr>
                <w:sz w:val="17"/>
                <w:szCs w:val="17"/>
                <w:color w:val="auto"/>
              </w:rPr>
            </w:pPr>
          </w:p>
        </w:tc>
        <w:tc>
          <w:tcPr>
            <w:tcW w:w="2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360" w:type="dxa"/>
            <w:vAlign w:val="bottom"/>
          </w:tcPr>
          <w:p>
            <w:pPr>
              <w:ind w:left="60"/>
              <w:spacing w:after="0"/>
              <w:rPr>
                <w:sz w:val="20"/>
                <w:szCs w:val="20"/>
                <w:color w:val="auto"/>
              </w:rPr>
            </w:pPr>
            <w:r>
              <w:rPr>
                <w:rFonts w:ascii="Arial" w:cs="Arial" w:eastAsia="Arial" w:hAnsi="Arial"/>
                <w:sz w:val="16"/>
                <w:szCs w:val="16"/>
                <w:color w:val="auto"/>
              </w:rPr>
              <w:t>Volatility</w:t>
            </w:r>
          </w:p>
        </w:tc>
        <w:tc>
          <w:tcPr>
            <w:tcW w:w="2400" w:type="dxa"/>
            <w:vAlign w:val="bottom"/>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49"/>
        </w:trPr>
        <w:tc>
          <w:tcPr>
            <w:tcW w:w="3060" w:type="dxa"/>
            <w:vAlign w:val="bottom"/>
            <w:gridSpan w:val="2"/>
          </w:tcPr>
          <w:p>
            <w:pPr>
              <w:spacing w:after="0"/>
              <w:rPr>
                <w:sz w:val="20"/>
                <w:szCs w:val="20"/>
                <w:color w:val="auto"/>
              </w:rPr>
            </w:pPr>
            <w:r>
              <w:rPr>
                <w:rFonts w:ascii="Arial" w:cs="Arial" w:eastAsia="Arial" w:hAnsi="Arial"/>
                <w:sz w:val="16"/>
                <w:szCs w:val="16"/>
                <w:color w:val="auto"/>
              </w:rPr>
              <w:t>Market risk benefits asset</w:t>
            </w:r>
          </w:p>
        </w:tc>
        <w:tc>
          <w:tcPr>
            <w:tcW w:w="2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189</w:t>
            </w:r>
          </w:p>
        </w:tc>
        <w:tc>
          <w:tcPr>
            <w:tcW w:w="80" w:type="dxa"/>
            <w:vAlign w:val="bottom"/>
          </w:tcPr>
          <w:p>
            <w:pPr>
              <w:spacing w:after="0"/>
              <w:rPr>
                <w:sz w:val="21"/>
                <w:szCs w:val="21"/>
                <w:color w:val="auto"/>
              </w:rPr>
            </w:pPr>
          </w:p>
        </w:tc>
        <w:tc>
          <w:tcPr>
            <w:tcW w:w="1580" w:type="dxa"/>
            <w:vAlign w:val="bottom"/>
          </w:tcPr>
          <w:p>
            <w:pPr>
              <w:ind w:left="40"/>
              <w:spacing w:after="0"/>
              <w:rPr>
                <w:sz w:val="20"/>
                <w:szCs w:val="20"/>
                <w:color w:val="auto"/>
              </w:rPr>
            </w:pPr>
            <w:r>
              <w:rPr>
                <w:rFonts w:ascii="Arial" w:cs="Arial" w:eastAsia="Arial" w:hAnsi="Arial"/>
                <w:sz w:val="16"/>
                <w:szCs w:val="16"/>
                <w:color w:val="auto"/>
                <w:w w:val="94"/>
              </w:rPr>
              <w:t>Discounted Cash Flow</w:t>
            </w:r>
          </w:p>
        </w:tc>
        <w:tc>
          <w:tcPr>
            <w:tcW w:w="60" w:type="dxa"/>
            <w:vAlign w:val="bottom"/>
          </w:tcPr>
          <w:p>
            <w:pPr>
              <w:spacing w:after="0"/>
              <w:rPr>
                <w:sz w:val="21"/>
                <w:szCs w:val="21"/>
                <w:color w:val="auto"/>
              </w:rPr>
            </w:pPr>
          </w:p>
        </w:tc>
        <w:tc>
          <w:tcPr>
            <w:tcW w:w="1360" w:type="dxa"/>
            <w:vAlign w:val="bottom"/>
          </w:tcPr>
          <w:p>
            <w:pPr>
              <w:ind w:left="60"/>
              <w:spacing w:after="0"/>
              <w:rPr>
                <w:sz w:val="20"/>
                <w:szCs w:val="20"/>
                <w:color w:val="auto"/>
              </w:rPr>
            </w:pPr>
            <w:r>
              <w:rPr>
                <w:rFonts w:ascii="Arial" w:cs="Arial" w:eastAsia="Arial" w:hAnsi="Arial"/>
                <w:sz w:val="16"/>
                <w:szCs w:val="16"/>
                <w:color w:val="auto"/>
              </w:rPr>
              <w:t>Mortality</w:t>
            </w:r>
          </w:p>
        </w:tc>
        <w:tc>
          <w:tcPr>
            <w:tcW w:w="2400" w:type="dxa"/>
            <w:vAlign w:val="bottom"/>
            <w:gridSpan w:val="3"/>
          </w:tcPr>
          <w:p>
            <w:pPr>
              <w:ind w:left="120"/>
              <w:spacing w:after="0"/>
              <w:rPr>
                <w:sz w:val="20"/>
                <w:szCs w:val="20"/>
                <w:color w:val="auto"/>
              </w:rPr>
            </w:pPr>
            <w:r>
              <w:rPr>
                <w:rFonts w:ascii="Arial" w:cs="Arial" w:eastAsia="Arial" w:hAnsi="Arial"/>
                <w:sz w:val="16"/>
                <w:szCs w:val="16"/>
                <w:color w:val="auto"/>
              </w:rPr>
              <w:t>80.00% - 115.00% (100.00%)</w:t>
            </w:r>
          </w:p>
        </w:tc>
        <w:tc>
          <w:tcPr>
            <w:tcW w:w="0" w:type="dxa"/>
            <w:vAlign w:val="bottom"/>
          </w:tcPr>
          <w:p>
            <w:pPr>
              <w:spacing w:after="0"/>
              <w:rPr>
                <w:sz w:val="1"/>
                <w:szCs w:val="1"/>
                <w:color w:val="auto"/>
              </w:rPr>
            </w:pPr>
          </w:p>
        </w:tc>
      </w:tr>
      <w:tr>
        <w:trPr>
          <w:trHeight w:val="250"/>
        </w:trPr>
        <w:tc>
          <w:tcPr>
            <w:tcW w:w="420" w:type="dxa"/>
            <w:vAlign w:val="bottom"/>
          </w:tcPr>
          <w:p>
            <w:pPr>
              <w:spacing w:after="0"/>
              <w:rPr>
                <w:sz w:val="21"/>
                <w:szCs w:val="21"/>
                <w:color w:val="auto"/>
              </w:rPr>
            </w:pPr>
          </w:p>
        </w:tc>
        <w:tc>
          <w:tcPr>
            <w:tcW w:w="26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360" w:type="dxa"/>
            <w:vAlign w:val="bottom"/>
          </w:tcPr>
          <w:p>
            <w:pPr>
              <w:ind w:left="60"/>
              <w:spacing w:after="0"/>
              <w:rPr>
                <w:sz w:val="20"/>
                <w:szCs w:val="20"/>
                <w:color w:val="auto"/>
              </w:rPr>
            </w:pPr>
            <w:r>
              <w:rPr>
                <w:rFonts w:ascii="Arial" w:cs="Arial" w:eastAsia="Arial" w:hAnsi="Arial"/>
                <w:sz w:val="16"/>
                <w:szCs w:val="16"/>
                <w:color w:val="auto"/>
              </w:rPr>
              <w:t>Surrender Rates</w:t>
            </w:r>
          </w:p>
        </w:tc>
        <w:tc>
          <w:tcPr>
            <w:tcW w:w="540" w:type="dxa"/>
            <w:vAlign w:val="bottom"/>
            <w:gridSpan w:val="2"/>
          </w:tcPr>
          <w:p>
            <w:pPr>
              <w:ind w:left="120"/>
              <w:spacing w:after="0"/>
              <w:rPr>
                <w:sz w:val="20"/>
                <w:szCs w:val="20"/>
                <w:color w:val="auto"/>
              </w:rPr>
            </w:pPr>
            <w:r>
              <w:rPr>
                <w:rFonts w:ascii="Arial" w:cs="Arial" w:eastAsia="Arial" w:hAnsi="Arial"/>
                <w:sz w:val="16"/>
                <w:szCs w:val="16"/>
                <w:color w:val="auto"/>
                <w:w w:val="88"/>
              </w:rPr>
              <w:t>0.25%</w:t>
            </w:r>
          </w:p>
        </w:tc>
        <w:tc>
          <w:tcPr>
            <w:tcW w:w="1860" w:type="dxa"/>
            <w:vAlign w:val="bottom"/>
          </w:tcPr>
          <w:p>
            <w:pPr>
              <w:ind w:left="20"/>
              <w:spacing w:after="0"/>
              <w:rPr>
                <w:sz w:val="20"/>
                <w:szCs w:val="20"/>
                <w:color w:val="auto"/>
              </w:rPr>
            </w:pPr>
            <w:r>
              <w:rPr>
                <w:rFonts w:ascii="Arial" w:cs="Arial" w:eastAsia="Arial" w:hAnsi="Arial"/>
                <w:sz w:val="16"/>
                <w:szCs w:val="16"/>
                <w:color w:val="auto"/>
              </w:rPr>
              <w:t>- 30.00% (5.05%)</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880" w:h="15480" w:orient="portrait"/>
          <w:cols w:equalWidth="0" w:num="1">
            <w:col w:w="10047"/>
          </w:cols>
          <w:pgMar w:left="913" w:top="862" w:right="920" w:bottom="0" w:gutter="0" w:footer="0" w:header="0"/>
        </w:sectPr>
      </w:pPr>
    </w:p>
    <w:p>
      <w:pPr>
        <w:spacing w:after="0" w:line="315" w:lineRule="exact"/>
        <w:rPr>
          <w:sz w:val="20"/>
          <w:szCs w:val="20"/>
          <w:color w:val="auto"/>
        </w:rPr>
      </w:pPr>
    </w:p>
    <w:p>
      <w:pPr>
        <w:jc w:val="center"/>
        <w:ind w:right="-6"/>
        <w:spacing w:after="0"/>
        <w:rPr>
          <w:sz w:val="20"/>
          <w:szCs w:val="20"/>
          <w:color w:val="auto"/>
        </w:rPr>
      </w:pPr>
      <w:r>
        <w:rPr>
          <w:rFonts w:ascii="Arial" w:cs="Arial" w:eastAsia="Arial" w:hAnsi="Arial"/>
          <w:sz w:val="16"/>
          <w:szCs w:val="16"/>
          <w:color w:val="auto"/>
        </w:rPr>
        <w:t>127</w:t>
      </w:r>
    </w:p>
    <w:p>
      <w:pPr>
        <w:sectPr>
          <w:pgSz w:w="11880" w:h="15480" w:orient="portrait"/>
          <w:cols w:equalWidth="0" w:num="1">
            <w:col w:w="10047"/>
          </w:cols>
          <w:pgMar w:left="913" w:top="862" w:right="920" w:bottom="0" w:gutter="0" w:footer="0" w:header="0"/>
          <w:type w:val="continuous"/>
        </w:sectPr>
      </w:pPr>
    </w:p>
    <w:bookmarkStart w:id="139" w:name="page140"/>
    <w:bookmarkEnd w:id="139"/>
    <w:tbl>
      <w:tblPr>
        <w:tblLayout w:type="fixed"/>
        <w:tblInd w:w="47" w:type="dxa"/>
        <w:tblCellMar>
          <w:top w:w="0" w:type="dxa"/>
          <w:left w:w="0" w:type="dxa"/>
          <w:bottom w:w="0" w:type="dxa"/>
          <w:right w:w="0" w:type="dxa"/>
        </w:tblCellMar>
      </w:tblPr>
      <w:tr>
        <w:trPr>
          <w:trHeight w:val="184"/>
        </w:trPr>
        <w:tc>
          <w:tcPr>
            <w:tcW w:w="68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460" w:type="dxa"/>
            <w:vAlign w:val="bottom"/>
          </w:tcPr>
          <w:p>
            <w:pPr>
              <w:ind w:left="120"/>
              <w:spacing w:after="0"/>
              <w:rPr>
                <w:sz w:val="20"/>
                <w:szCs w:val="20"/>
                <w:color w:val="auto"/>
              </w:rPr>
            </w:pPr>
            <w:r>
              <w:rPr>
                <w:rFonts w:ascii="Arial" w:cs="Arial" w:eastAsia="Arial" w:hAnsi="Arial"/>
                <w:sz w:val="16"/>
                <w:szCs w:val="16"/>
                <w:color w:val="auto"/>
              </w:rPr>
              <w:t>Partial Withdrawal</w:t>
            </w:r>
          </w:p>
        </w:tc>
        <w:tc>
          <w:tcPr>
            <w:tcW w:w="500" w:type="dxa"/>
            <w:vAlign w:val="bottom"/>
            <w:vMerge w:val="restart"/>
          </w:tcPr>
          <w:p>
            <w:pPr>
              <w:ind w:left="80"/>
              <w:spacing w:after="0"/>
              <w:rPr>
                <w:sz w:val="20"/>
                <w:szCs w:val="20"/>
                <w:color w:val="auto"/>
              </w:rPr>
            </w:pPr>
            <w:r>
              <w:rPr>
                <w:rFonts w:ascii="Arial" w:cs="Arial" w:eastAsia="Arial" w:hAnsi="Arial"/>
                <w:sz w:val="16"/>
                <w:szCs w:val="16"/>
                <w:color w:val="auto"/>
                <w:w w:val="88"/>
              </w:rPr>
              <w:t>2.00%</w:t>
            </w:r>
          </w:p>
        </w:tc>
        <w:tc>
          <w:tcPr>
            <w:tcW w:w="1460" w:type="dxa"/>
            <w:vAlign w:val="bottom"/>
            <w:vMerge w:val="restart"/>
          </w:tcPr>
          <w:p>
            <w:pPr>
              <w:ind w:left="20"/>
              <w:spacing w:after="0"/>
              <w:rPr>
                <w:sz w:val="20"/>
                <w:szCs w:val="20"/>
                <w:color w:val="auto"/>
              </w:rPr>
            </w:pPr>
            <w:r>
              <w:rPr>
                <w:rFonts w:ascii="Arial" w:cs="Arial" w:eastAsia="Arial" w:hAnsi="Arial"/>
                <w:sz w:val="16"/>
                <w:szCs w:val="16"/>
                <w:color w:val="auto"/>
              </w:rPr>
              <w:t>- 24.39% (2.48%)</w:t>
            </w:r>
          </w:p>
        </w:tc>
        <w:tc>
          <w:tcPr>
            <w:tcW w:w="0" w:type="dxa"/>
            <w:vAlign w:val="bottom"/>
          </w:tcPr>
          <w:p>
            <w:pPr>
              <w:spacing w:after="0"/>
              <w:rPr>
                <w:sz w:val="1"/>
                <w:szCs w:val="1"/>
                <w:color w:val="auto"/>
              </w:rPr>
            </w:pPr>
          </w:p>
        </w:tc>
      </w:tr>
      <w:tr>
        <w:trPr>
          <w:trHeight w:val="204"/>
        </w:trPr>
        <w:tc>
          <w:tcPr>
            <w:tcW w:w="68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460" w:type="dxa"/>
            <w:vAlign w:val="bottom"/>
          </w:tcPr>
          <w:p>
            <w:pPr>
              <w:ind w:left="120"/>
              <w:spacing w:after="0"/>
              <w:rPr>
                <w:sz w:val="20"/>
                <w:szCs w:val="20"/>
                <w:color w:val="auto"/>
              </w:rPr>
            </w:pPr>
            <w:r>
              <w:rPr>
                <w:rFonts w:ascii="Arial" w:cs="Arial" w:eastAsia="Arial" w:hAnsi="Arial"/>
                <w:sz w:val="16"/>
                <w:szCs w:val="16"/>
                <w:color w:val="auto"/>
              </w:rPr>
              <w:t>Rates</w:t>
            </w:r>
          </w:p>
        </w:tc>
        <w:tc>
          <w:tcPr>
            <w:tcW w:w="500" w:type="dxa"/>
            <w:vAlign w:val="bottom"/>
            <w:vMerge w:val="continue"/>
          </w:tcPr>
          <w:p>
            <w:pPr>
              <w:spacing w:after="0"/>
              <w:rPr>
                <w:sz w:val="17"/>
                <w:szCs w:val="17"/>
                <w:color w:val="auto"/>
              </w:rPr>
            </w:pPr>
          </w:p>
        </w:tc>
        <w:tc>
          <w:tcPr>
            <w:tcW w:w="14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68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460" w:type="dxa"/>
            <w:vAlign w:val="bottom"/>
          </w:tcPr>
          <w:p>
            <w:pPr>
              <w:ind w:left="120"/>
              <w:spacing w:after="0"/>
              <w:rPr>
                <w:sz w:val="20"/>
                <w:szCs w:val="20"/>
                <w:color w:val="auto"/>
              </w:rPr>
            </w:pPr>
            <w:r>
              <w:rPr>
                <w:rFonts w:ascii="Arial" w:cs="Arial" w:eastAsia="Arial" w:hAnsi="Arial"/>
                <w:sz w:val="16"/>
                <w:szCs w:val="16"/>
                <w:color w:val="auto"/>
              </w:rPr>
              <w:t>Non-Performance</w:t>
            </w:r>
          </w:p>
        </w:tc>
        <w:tc>
          <w:tcPr>
            <w:tcW w:w="500" w:type="dxa"/>
            <w:vAlign w:val="bottom"/>
            <w:vMerge w:val="restart"/>
          </w:tcPr>
          <w:p>
            <w:pPr>
              <w:ind w:left="80"/>
              <w:spacing w:after="0"/>
              <w:rPr>
                <w:sz w:val="20"/>
                <w:szCs w:val="20"/>
                <w:color w:val="auto"/>
              </w:rPr>
            </w:pPr>
            <w:r>
              <w:rPr>
                <w:rFonts w:ascii="Arial" w:cs="Arial" w:eastAsia="Arial" w:hAnsi="Arial"/>
                <w:sz w:val="16"/>
                <w:szCs w:val="16"/>
                <w:color w:val="auto"/>
                <w:w w:val="88"/>
              </w:rPr>
              <w:t>0.48%</w:t>
            </w:r>
          </w:p>
        </w:tc>
        <w:tc>
          <w:tcPr>
            <w:tcW w:w="1460" w:type="dxa"/>
            <w:vAlign w:val="bottom"/>
            <w:vMerge w:val="restart"/>
          </w:tcPr>
          <w:p>
            <w:pPr>
              <w:ind w:left="20"/>
              <w:spacing w:after="0"/>
              <w:rPr>
                <w:sz w:val="20"/>
                <w:szCs w:val="20"/>
                <w:color w:val="auto"/>
              </w:rPr>
            </w:pPr>
            <w:r>
              <w:rPr>
                <w:rFonts w:ascii="Arial" w:cs="Arial" w:eastAsia="Arial" w:hAnsi="Arial"/>
                <w:sz w:val="16"/>
                <w:szCs w:val="16"/>
                <w:color w:val="auto"/>
              </w:rPr>
              <w:t>- 0.95% (0.75%)</w:t>
            </w:r>
          </w:p>
        </w:tc>
        <w:tc>
          <w:tcPr>
            <w:tcW w:w="0" w:type="dxa"/>
            <w:vAlign w:val="bottom"/>
          </w:tcPr>
          <w:p>
            <w:pPr>
              <w:spacing w:after="0"/>
              <w:rPr>
                <w:sz w:val="1"/>
                <w:szCs w:val="1"/>
                <w:color w:val="auto"/>
              </w:rPr>
            </w:pPr>
          </w:p>
        </w:tc>
      </w:tr>
      <w:tr>
        <w:trPr>
          <w:trHeight w:val="204"/>
        </w:trPr>
        <w:tc>
          <w:tcPr>
            <w:tcW w:w="68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460" w:type="dxa"/>
            <w:vAlign w:val="bottom"/>
          </w:tcPr>
          <w:p>
            <w:pPr>
              <w:ind w:left="120"/>
              <w:spacing w:after="0"/>
              <w:rPr>
                <w:sz w:val="20"/>
                <w:szCs w:val="20"/>
                <w:color w:val="auto"/>
              </w:rPr>
            </w:pPr>
            <w:r>
              <w:rPr>
                <w:rFonts w:ascii="Arial" w:cs="Arial" w:eastAsia="Arial" w:hAnsi="Arial"/>
                <w:sz w:val="16"/>
                <w:szCs w:val="16"/>
                <w:color w:val="auto"/>
              </w:rPr>
              <w:t>Spread</w:t>
            </w:r>
          </w:p>
        </w:tc>
        <w:tc>
          <w:tcPr>
            <w:tcW w:w="500" w:type="dxa"/>
            <w:vAlign w:val="bottom"/>
            <w:vMerge w:val="continue"/>
          </w:tcPr>
          <w:p>
            <w:pPr>
              <w:spacing w:after="0"/>
              <w:rPr>
                <w:sz w:val="17"/>
                <w:szCs w:val="17"/>
                <w:color w:val="auto"/>
              </w:rPr>
            </w:pPr>
          </w:p>
        </w:tc>
        <w:tc>
          <w:tcPr>
            <w:tcW w:w="14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680" w:type="dxa"/>
            <w:vAlign w:val="bottom"/>
          </w:tcPr>
          <w:p>
            <w:pPr>
              <w:spacing w:after="0"/>
              <w:rPr>
                <w:sz w:val="22"/>
                <w:szCs w:val="22"/>
                <w:color w:val="auto"/>
              </w:rPr>
            </w:pPr>
          </w:p>
        </w:tc>
        <w:tc>
          <w:tcPr>
            <w:tcW w:w="2380" w:type="dxa"/>
            <w:vAlign w:val="bottom"/>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1660" w:type="dxa"/>
            <w:vAlign w:val="bottom"/>
          </w:tcPr>
          <w:p>
            <w:pPr>
              <w:spacing w:after="0"/>
              <w:rPr>
                <w:sz w:val="22"/>
                <w:szCs w:val="22"/>
                <w:color w:val="auto"/>
              </w:rPr>
            </w:pPr>
          </w:p>
        </w:tc>
        <w:tc>
          <w:tcPr>
            <w:tcW w:w="1460" w:type="dxa"/>
            <w:vAlign w:val="bottom"/>
          </w:tcPr>
          <w:p>
            <w:pPr>
              <w:ind w:left="120"/>
              <w:spacing w:after="0"/>
              <w:rPr>
                <w:sz w:val="20"/>
                <w:szCs w:val="20"/>
                <w:color w:val="auto"/>
              </w:rPr>
            </w:pPr>
            <w:r>
              <w:rPr>
                <w:rFonts w:ascii="Arial" w:cs="Arial" w:eastAsia="Arial" w:hAnsi="Arial"/>
                <w:sz w:val="16"/>
                <w:szCs w:val="16"/>
                <w:color w:val="auto"/>
              </w:rPr>
              <w:t>GMWB Utilization</w:t>
            </w:r>
          </w:p>
        </w:tc>
        <w:tc>
          <w:tcPr>
            <w:tcW w:w="1960" w:type="dxa"/>
            <w:vAlign w:val="bottom"/>
            <w:gridSpan w:val="2"/>
          </w:tcPr>
          <w:p>
            <w:pPr>
              <w:ind w:left="80"/>
              <w:spacing w:after="0"/>
              <w:rPr>
                <w:sz w:val="20"/>
                <w:szCs w:val="20"/>
                <w:color w:val="auto"/>
              </w:rPr>
            </w:pPr>
            <w:r>
              <w:rPr>
                <w:rFonts w:ascii="Arial" w:cs="Arial" w:eastAsia="Arial" w:hAnsi="Arial"/>
                <w:sz w:val="16"/>
                <w:szCs w:val="16"/>
                <w:color w:val="auto"/>
                <w:w w:val="96"/>
              </w:rPr>
              <w:t>50.00% - 75.00% (61.77%)</w:t>
            </w:r>
          </w:p>
        </w:tc>
        <w:tc>
          <w:tcPr>
            <w:tcW w:w="0" w:type="dxa"/>
            <w:vAlign w:val="bottom"/>
          </w:tcPr>
          <w:p>
            <w:pPr>
              <w:spacing w:after="0"/>
              <w:rPr>
                <w:sz w:val="1"/>
                <w:szCs w:val="1"/>
                <w:color w:val="auto"/>
              </w:rPr>
            </w:pPr>
          </w:p>
        </w:tc>
      </w:tr>
      <w:tr>
        <w:trPr>
          <w:trHeight w:val="210"/>
        </w:trPr>
        <w:tc>
          <w:tcPr>
            <w:tcW w:w="3060" w:type="dxa"/>
            <w:vAlign w:val="bottom"/>
            <w:gridSpan w:val="2"/>
          </w:tcPr>
          <w:p>
            <w:pPr>
              <w:spacing w:after="0"/>
              <w:rPr>
                <w:sz w:val="20"/>
                <w:szCs w:val="20"/>
                <w:color w:val="auto"/>
              </w:rPr>
            </w:pPr>
            <w:r>
              <w:rPr>
                <w:rFonts w:ascii="Arial" w:cs="Arial" w:eastAsia="Arial" w:hAnsi="Arial"/>
                <w:sz w:val="16"/>
                <w:szCs w:val="16"/>
                <w:color w:val="auto"/>
              </w:rPr>
              <w:t>Total financial assets at fair value (a)</w:t>
            </w:r>
          </w:p>
        </w:tc>
        <w:tc>
          <w:tcPr>
            <w:tcW w:w="580" w:type="dxa"/>
            <w:vAlign w:val="bottom"/>
            <w:tcBorders>
              <w:bottom w:val="single" w:sz="8" w:color="auto"/>
            </w:tcBorders>
          </w:tcPr>
          <w:p>
            <w:pPr>
              <w:jc w:val="right"/>
              <w:ind w:right="382"/>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1,531</w:t>
            </w:r>
          </w:p>
        </w:tc>
        <w:tc>
          <w:tcPr>
            <w:tcW w:w="16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80" w:type="dxa"/>
            <w:vAlign w:val="bottom"/>
            <w:vMerge w:val="restart"/>
          </w:tcPr>
          <w:p>
            <w:pPr>
              <w:spacing w:after="0"/>
              <w:rPr>
                <w:sz w:val="20"/>
                <w:szCs w:val="20"/>
                <w:color w:val="auto"/>
              </w:rPr>
            </w:pPr>
            <w:r>
              <w:rPr>
                <w:rFonts w:ascii="Arial" w:cs="Arial" w:eastAsia="Arial" w:hAnsi="Arial"/>
                <w:sz w:val="16"/>
                <w:szCs w:val="16"/>
                <w:b w:val="1"/>
                <w:bCs w:val="1"/>
                <w:color w:val="auto"/>
                <w:w w:val="89"/>
              </w:rPr>
              <w:t>Liabilities</w:t>
            </w:r>
          </w:p>
        </w:tc>
        <w:tc>
          <w:tcPr>
            <w:tcW w:w="2380" w:type="dxa"/>
            <w:vAlign w:val="bottom"/>
            <w:vMerge w:val="restart"/>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680" w:type="dxa"/>
            <w:vAlign w:val="bottom"/>
            <w:tcBorders>
              <w:bottom w:val="single" w:sz="8" w:color="auto"/>
            </w:tcBorders>
            <w:vMerge w:val="continue"/>
          </w:tcPr>
          <w:p>
            <w:pPr>
              <w:spacing w:after="0"/>
              <w:rPr>
                <w:sz w:val="14"/>
                <w:szCs w:val="14"/>
                <w:color w:val="auto"/>
              </w:rPr>
            </w:pPr>
          </w:p>
        </w:tc>
        <w:tc>
          <w:tcPr>
            <w:tcW w:w="2380" w:type="dxa"/>
            <w:vAlign w:val="bottom"/>
            <w:vMerge w:val="continue"/>
          </w:tcPr>
          <w:p>
            <w:pPr>
              <w:spacing w:after="0"/>
              <w:rPr>
                <w:sz w:val="14"/>
                <w:szCs w:val="14"/>
                <w:color w:val="auto"/>
              </w:rPr>
            </w:pPr>
          </w:p>
        </w:tc>
        <w:tc>
          <w:tcPr>
            <w:tcW w:w="5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3"/>
        </w:trPr>
        <w:tc>
          <w:tcPr>
            <w:tcW w:w="3060" w:type="dxa"/>
            <w:vAlign w:val="bottom"/>
            <w:gridSpan w:val="2"/>
          </w:tcPr>
          <w:p>
            <w:pPr>
              <w:spacing w:after="0"/>
              <w:rPr>
                <w:sz w:val="20"/>
                <w:szCs w:val="20"/>
                <w:color w:val="auto"/>
              </w:rPr>
            </w:pPr>
            <w:r>
              <w:rPr>
                <w:rFonts w:ascii="Arial" w:cs="Arial" w:eastAsia="Arial" w:hAnsi="Arial"/>
                <w:sz w:val="16"/>
                <w:szCs w:val="16"/>
                <w:color w:val="auto"/>
              </w:rPr>
              <w:t>Derivatives:</w:t>
            </w:r>
          </w:p>
        </w:tc>
        <w:tc>
          <w:tcPr>
            <w:tcW w:w="5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9"/>
        </w:trPr>
        <w:tc>
          <w:tcPr>
            <w:tcW w:w="3060" w:type="dxa"/>
            <w:vAlign w:val="bottom"/>
            <w:gridSpan w:val="2"/>
          </w:tcPr>
          <w:p>
            <w:pPr>
              <w:spacing w:after="0"/>
              <w:rPr>
                <w:sz w:val="20"/>
                <w:szCs w:val="20"/>
                <w:color w:val="auto"/>
              </w:rPr>
            </w:pPr>
            <w:r>
              <w:rPr>
                <w:rFonts w:ascii="Arial" w:cs="Arial" w:eastAsia="Arial" w:hAnsi="Arial"/>
                <w:sz w:val="16"/>
                <w:szCs w:val="16"/>
                <w:color w:val="auto"/>
                <w:w w:val="94"/>
              </w:rPr>
              <w:t>Indexed annuities/IUL embedded derivatives,</w:t>
            </w:r>
          </w:p>
        </w:tc>
        <w:tc>
          <w:tcPr>
            <w:tcW w:w="580" w:type="dxa"/>
            <w:vAlign w:val="bottom"/>
            <w:vMerge w:val="restart"/>
          </w:tcPr>
          <w:p>
            <w:pPr>
              <w:jc w:val="right"/>
              <w:ind w:right="382"/>
              <w:spacing w:after="0"/>
              <w:rPr>
                <w:sz w:val="20"/>
                <w:szCs w:val="20"/>
                <w:color w:val="auto"/>
              </w:rPr>
            </w:pPr>
            <w:r>
              <w:rPr>
                <w:rFonts w:ascii="Arial" w:cs="Arial" w:eastAsia="Arial" w:hAnsi="Arial"/>
                <w:sz w:val="16"/>
                <w:szCs w:val="16"/>
                <w:color w:val="auto"/>
              </w:rPr>
              <w:t>$</w:t>
            </w:r>
          </w:p>
        </w:tc>
        <w:tc>
          <w:tcPr>
            <w:tcW w:w="880" w:type="dxa"/>
            <w:vAlign w:val="bottom"/>
            <w:vMerge w:val="restart"/>
          </w:tcPr>
          <w:p>
            <w:pPr>
              <w:jc w:val="right"/>
              <w:spacing w:after="0"/>
              <w:rPr>
                <w:sz w:val="20"/>
                <w:szCs w:val="20"/>
                <w:color w:val="auto"/>
              </w:rPr>
            </w:pPr>
            <w:r>
              <w:rPr>
                <w:rFonts w:ascii="Arial" w:cs="Arial" w:eastAsia="Arial" w:hAnsi="Arial"/>
                <w:sz w:val="16"/>
                <w:szCs w:val="16"/>
                <w:color w:val="auto"/>
              </w:rPr>
              <w:t>5,220</w:t>
            </w:r>
          </w:p>
        </w:tc>
        <w:tc>
          <w:tcPr>
            <w:tcW w:w="1660" w:type="dxa"/>
            <w:vAlign w:val="bottom"/>
            <w:vMerge w:val="restart"/>
          </w:tcPr>
          <w:p>
            <w:pPr>
              <w:ind w:left="120"/>
              <w:spacing w:after="0"/>
              <w:rPr>
                <w:sz w:val="20"/>
                <w:szCs w:val="20"/>
                <w:color w:val="auto"/>
              </w:rPr>
            </w:pPr>
            <w:r>
              <w:rPr>
                <w:rFonts w:ascii="Arial" w:cs="Arial" w:eastAsia="Arial" w:hAnsi="Arial"/>
                <w:sz w:val="16"/>
                <w:szCs w:val="16"/>
                <w:color w:val="auto"/>
                <w:w w:val="94"/>
              </w:rPr>
              <w:t>Discounted Cash Flow</w:t>
            </w:r>
          </w:p>
        </w:tc>
        <w:tc>
          <w:tcPr>
            <w:tcW w:w="1460" w:type="dxa"/>
            <w:vAlign w:val="bottom"/>
          </w:tcPr>
          <w:p>
            <w:pPr>
              <w:ind w:left="120"/>
              <w:spacing w:after="0"/>
              <w:rPr>
                <w:sz w:val="20"/>
                <w:szCs w:val="20"/>
                <w:color w:val="auto"/>
              </w:rPr>
            </w:pPr>
            <w:r>
              <w:rPr>
                <w:rFonts w:ascii="Arial" w:cs="Arial" w:eastAsia="Arial" w:hAnsi="Arial"/>
                <w:sz w:val="16"/>
                <w:szCs w:val="16"/>
                <w:color w:val="auto"/>
              </w:rPr>
              <w:t>Market Value of</w:t>
            </w:r>
          </w:p>
        </w:tc>
        <w:tc>
          <w:tcPr>
            <w:tcW w:w="500" w:type="dxa"/>
            <w:vAlign w:val="bottom"/>
          </w:tcPr>
          <w:p>
            <w:pPr>
              <w:ind w:left="80"/>
              <w:spacing w:after="0"/>
              <w:rPr>
                <w:sz w:val="20"/>
                <w:szCs w:val="20"/>
                <w:color w:val="auto"/>
              </w:rPr>
            </w:pPr>
            <w:r>
              <w:rPr>
                <w:rFonts w:ascii="Arial" w:cs="Arial" w:eastAsia="Arial" w:hAnsi="Arial"/>
                <w:sz w:val="16"/>
                <w:szCs w:val="16"/>
                <w:color w:val="auto"/>
                <w:w w:val="88"/>
              </w:rPr>
              <w:t>0.00%</w:t>
            </w:r>
          </w:p>
        </w:tc>
        <w:tc>
          <w:tcPr>
            <w:tcW w:w="1460" w:type="dxa"/>
            <w:vAlign w:val="bottom"/>
          </w:tcPr>
          <w:p>
            <w:pPr>
              <w:ind w:left="20"/>
              <w:spacing w:after="0"/>
              <w:rPr>
                <w:sz w:val="20"/>
                <w:szCs w:val="20"/>
                <w:color w:val="auto"/>
              </w:rPr>
            </w:pPr>
            <w:r>
              <w:rPr>
                <w:rFonts w:ascii="Arial" w:cs="Arial" w:eastAsia="Arial" w:hAnsi="Arial"/>
                <w:sz w:val="16"/>
                <w:szCs w:val="16"/>
                <w:color w:val="auto"/>
              </w:rPr>
              <w:t>- 20.81%</w:t>
            </w:r>
          </w:p>
        </w:tc>
        <w:tc>
          <w:tcPr>
            <w:tcW w:w="0" w:type="dxa"/>
            <w:vAlign w:val="bottom"/>
          </w:tcPr>
          <w:p>
            <w:pPr>
              <w:spacing w:after="0"/>
              <w:rPr>
                <w:sz w:val="1"/>
                <w:szCs w:val="1"/>
                <w:color w:val="auto"/>
              </w:rPr>
            </w:pPr>
          </w:p>
        </w:tc>
      </w:tr>
      <w:tr>
        <w:trPr>
          <w:trHeight w:val="204"/>
        </w:trPr>
        <w:tc>
          <w:tcPr>
            <w:tcW w:w="3060" w:type="dxa"/>
            <w:vAlign w:val="bottom"/>
            <w:gridSpan w:val="2"/>
          </w:tcPr>
          <w:p>
            <w:pPr>
              <w:spacing w:after="0"/>
              <w:rPr>
                <w:sz w:val="20"/>
                <w:szCs w:val="20"/>
                <w:color w:val="auto"/>
              </w:rPr>
            </w:pPr>
            <w:r>
              <w:rPr>
                <w:rFonts w:ascii="Arial" w:cs="Arial" w:eastAsia="Arial" w:hAnsi="Arial"/>
                <w:sz w:val="16"/>
                <w:szCs w:val="16"/>
                <w:color w:val="auto"/>
              </w:rPr>
              <w:t>included in Contractholder funds</w:t>
            </w:r>
          </w:p>
        </w:tc>
        <w:tc>
          <w:tcPr>
            <w:tcW w:w="580" w:type="dxa"/>
            <w:vAlign w:val="bottom"/>
            <w:vMerge w:val="continue"/>
          </w:tcPr>
          <w:p>
            <w:pPr>
              <w:spacing w:after="0"/>
              <w:rPr>
                <w:sz w:val="17"/>
                <w:szCs w:val="17"/>
                <w:color w:val="auto"/>
              </w:rPr>
            </w:pPr>
          </w:p>
        </w:tc>
        <w:tc>
          <w:tcPr>
            <w:tcW w:w="880" w:type="dxa"/>
            <w:vAlign w:val="bottom"/>
            <w:vMerge w:val="continue"/>
          </w:tcPr>
          <w:p>
            <w:pPr>
              <w:spacing w:after="0"/>
              <w:rPr>
                <w:sz w:val="17"/>
                <w:szCs w:val="17"/>
                <w:color w:val="auto"/>
              </w:rPr>
            </w:pPr>
          </w:p>
        </w:tc>
        <w:tc>
          <w:tcPr>
            <w:tcW w:w="1660" w:type="dxa"/>
            <w:vAlign w:val="bottom"/>
            <w:vMerge w:val="continue"/>
          </w:tcPr>
          <w:p>
            <w:pPr>
              <w:spacing w:after="0"/>
              <w:rPr>
                <w:sz w:val="17"/>
                <w:szCs w:val="17"/>
                <w:color w:val="auto"/>
              </w:rPr>
            </w:pPr>
          </w:p>
        </w:tc>
        <w:tc>
          <w:tcPr>
            <w:tcW w:w="1460" w:type="dxa"/>
            <w:vAlign w:val="bottom"/>
          </w:tcPr>
          <w:p>
            <w:pPr>
              <w:ind w:left="120"/>
              <w:spacing w:after="0"/>
              <w:rPr>
                <w:sz w:val="20"/>
                <w:szCs w:val="20"/>
                <w:color w:val="auto"/>
              </w:rPr>
            </w:pPr>
            <w:r>
              <w:rPr>
                <w:rFonts w:ascii="Arial" w:cs="Arial" w:eastAsia="Arial" w:hAnsi="Arial"/>
                <w:sz w:val="16"/>
                <w:szCs w:val="16"/>
                <w:color w:val="auto"/>
              </w:rPr>
              <w:t>Option</w:t>
            </w:r>
          </w:p>
        </w:tc>
        <w:tc>
          <w:tcPr>
            <w:tcW w:w="1960" w:type="dxa"/>
            <w:vAlign w:val="bottom"/>
            <w:gridSpan w:val="2"/>
          </w:tcPr>
          <w:p>
            <w:pPr>
              <w:ind w:left="80"/>
              <w:spacing w:after="0"/>
              <w:rPr>
                <w:sz w:val="20"/>
                <w:szCs w:val="20"/>
                <w:color w:val="auto"/>
              </w:rPr>
            </w:pPr>
            <w:r>
              <w:rPr>
                <w:rFonts w:ascii="Arial" w:cs="Arial" w:eastAsia="Arial" w:hAnsi="Arial"/>
                <w:sz w:val="16"/>
                <w:szCs w:val="16"/>
                <w:color w:val="auto"/>
              </w:rPr>
              <w:t>(2.92%)</w:t>
            </w:r>
          </w:p>
        </w:tc>
        <w:tc>
          <w:tcPr>
            <w:tcW w:w="0" w:type="dxa"/>
            <w:vAlign w:val="bottom"/>
          </w:tcPr>
          <w:p>
            <w:pPr>
              <w:spacing w:after="0"/>
              <w:rPr>
                <w:sz w:val="1"/>
                <w:szCs w:val="1"/>
                <w:color w:val="auto"/>
              </w:rPr>
            </w:pPr>
          </w:p>
        </w:tc>
      </w:tr>
      <w:tr>
        <w:trPr>
          <w:trHeight w:val="208"/>
        </w:trPr>
        <w:tc>
          <w:tcPr>
            <w:tcW w:w="68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460" w:type="dxa"/>
            <w:vAlign w:val="bottom"/>
          </w:tcPr>
          <w:p>
            <w:pPr>
              <w:ind w:left="120"/>
              <w:spacing w:after="0"/>
              <w:rPr>
                <w:sz w:val="20"/>
                <w:szCs w:val="20"/>
                <w:color w:val="auto"/>
              </w:rPr>
            </w:pPr>
            <w:r>
              <w:rPr>
                <w:rFonts w:ascii="Arial" w:cs="Arial" w:eastAsia="Arial" w:hAnsi="Arial"/>
                <w:sz w:val="16"/>
                <w:szCs w:val="16"/>
                <w:color w:val="auto"/>
              </w:rPr>
              <w:t>Mortality</w:t>
            </w:r>
          </w:p>
        </w:tc>
        <w:tc>
          <w:tcPr>
            <w:tcW w:w="1960" w:type="dxa"/>
            <w:vAlign w:val="bottom"/>
            <w:gridSpan w:val="2"/>
          </w:tcPr>
          <w:p>
            <w:pPr>
              <w:ind w:left="80"/>
              <w:spacing w:after="0"/>
              <w:rPr>
                <w:sz w:val="20"/>
                <w:szCs w:val="20"/>
                <w:color w:val="auto"/>
              </w:rPr>
            </w:pPr>
            <w:r>
              <w:rPr>
                <w:rFonts w:ascii="Arial" w:cs="Arial" w:eastAsia="Arial" w:hAnsi="Arial"/>
                <w:sz w:val="16"/>
                <w:szCs w:val="16"/>
                <w:color w:val="auto"/>
              </w:rPr>
              <w:t>80.00% - 115.00%</w:t>
            </w:r>
          </w:p>
        </w:tc>
        <w:tc>
          <w:tcPr>
            <w:tcW w:w="0" w:type="dxa"/>
            <w:vAlign w:val="bottom"/>
          </w:tcPr>
          <w:p>
            <w:pPr>
              <w:spacing w:after="0"/>
              <w:rPr>
                <w:sz w:val="1"/>
                <w:szCs w:val="1"/>
                <w:color w:val="auto"/>
              </w:rPr>
            </w:pPr>
          </w:p>
        </w:tc>
      </w:tr>
      <w:tr>
        <w:trPr>
          <w:trHeight w:val="204"/>
        </w:trPr>
        <w:tc>
          <w:tcPr>
            <w:tcW w:w="68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460" w:type="dxa"/>
            <w:vAlign w:val="bottom"/>
          </w:tcPr>
          <w:p>
            <w:pPr>
              <w:ind w:left="120"/>
              <w:spacing w:after="0"/>
              <w:rPr>
                <w:sz w:val="20"/>
                <w:szCs w:val="20"/>
                <w:color w:val="auto"/>
              </w:rPr>
            </w:pPr>
            <w:r>
              <w:rPr>
                <w:rFonts w:ascii="Arial" w:cs="Arial" w:eastAsia="Arial" w:hAnsi="Arial"/>
                <w:sz w:val="16"/>
                <w:szCs w:val="16"/>
                <w:color w:val="auto"/>
              </w:rPr>
              <w:t>Multiplier</w:t>
            </w:r>
          </w:p>
        </w:tc>
        <w:tc>
          <w:tcPr>
            <w:tcW w:w="1960" w:type="dxa"/>
            <w:vAlign w:val="bottom"/>
            <w:gridSpan w:val="2"/>
          </w:tcPr>
          <w:p>
            <w:pPr>
              <w:ind w:left="80"/>
              <w:spacing w:after="0"/>
              <w:rPr>
                <w:sz w:val="20"/>
                <w:szCs w:val="20"/>
                <w:color w:val="auto"/>
              </w:rPr>
            </w:pPr>
            <w:r>
              <w:rPr>
                <w:rFonts w:ascii="Arial" w:cs="Arial" w:eastAsia="Arial" w:hAnsi="Arial"/>
                <w:sz w:val="16"/>
                <w:szCs w:val="16"/>
                <w:color w:val="auto"/>
              </w:rPr>
              <w:t>(100.00%)</w:t>
            </w:r>
          </w:p>
        </w:tc>
        <w:tc>
          <w:tcPr>
            <w:tcW w:w="0" w:type="dxa"/>
            <w:vAlign w:val="bottom"/>
          </w:tcPr>
          <w:p>
            <w:pPr>
              <w:spacing w:after="0"/>
              <w:rPr>
                <w:sz w:val="1"/>
                <w:szCs w:val="1"/>
                <w:color w:val="auto"/>
              </w:rPr>
            </w:pPr>
          </w:p>
        </w:tc>
      </w:tr>
      <w:tr>
        <w:trPr>
          <w:trHeight w:val="249"/>
        </w:trPr>
        <w:tc>
          <w:tcPr>
            <w:tcW w:w="680" w:type="dxa"/>
            <w:vAlign w:val="bottom"/>
          </w:tcPr>
          <w:p>
            <w:pPr>
              <w:spacing w:after="0"/>
              <w:rPr>
                <w:sz w:val="21"/>
                <w:szCs w:val="21"/>
                <w:color w:val="auto"/>
              </w:rPr>
            </w:pPr>
          </w:p>
        </w:tc>
        <w:tc>
          <w:tcPr>
            <w:tcW w:w="23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460" w:type="dxa"/>
            <w:vAlign w:val="bottom"/>
          </w:tcPr>
          <w:p>
            <w:pPr>
              <w:ind w:left="120"/>
              <w:spacing w:after="0"/>
              <w:rPr>
                <w:sz w:val="20"/>
                <w:szCs w:val="20"/>
                <w:color w:val="auto"/>
              </w:rPr>
            </w:pPr>
            <w:r>
              <w:rPr>
                <w:rFonts w:ascii="Arial" w:cs="Arial" w:eastAsia="Arial" w:hAnsi="Arial"/>
                <w:sz w:val="16"/>
                <w:szCs w:val="16"/>
                <w:color w:val="auto"/>
              </w:rPr>
              <w:t>Surrender Rates</w:t>
            </w:r>
          </w:p>
        </w:tc>
        <w:tc>
          <w:tcPr>
            <w:tcW w:w="500" w:type="dxa"/>
            <w:vAlign w:val="bottom"/>
          </w:tcPr>
          <w:p>
            <w:pPr>
              <w:ind w:left="80"/>
              <w:spacing w:after="0"/>
              <w:rPr>
                <w:sz w:val="20"/>
                <w:szCs w:val="20"/>
                <w:color w:val="auto"/>
              </w:rPr>
            </w:pPr>
            <w:r>
              <w:rPr>
                <w:rFonts w:ascii="Arial" w:cs="Arial" w:eastAsia="Arial" w:hAnsi="Arial"/>
                <w:sz w:val="16"/>
                <w:szCs w:val="16"/>
                <w:color w:val="auto"/>
                <w:w w:val="88"/>
              </w:rPr>
              <w:t>0.25%</w:t>
            </w:r>
          </w:p>
        </w:tc>
        <w:tc>
          <w:tcPr>
            <w:tcW w:w="1460" w:type="dxa"/>
            <w:vAlign w:val="bottom"/>
          </w:tcPr>
          <w:p>
            <w:pPr>
              <w:ind w:left="20"/>
              <w:spacing w:after="0"/>
              <w:rPr>
                <w:sz w:val="20"/>
                <w:szCs w:val="20"/>
                <w:color w:val="auto"/>
              </w:rPr>
            </w:pPr>
            <w:r>
              <w:rPr>
                <w:rFonts w:ascii="Arial" w:cs="Arial" w:eastAsia="Arial" w:hAnsi="Arial"/>
                <w:sz w:val="16"/>
                <w:szCs w:val="16"/>
                <w:color w:val="auto"/>
              </w:rPr>
              <w:t>- 50.00% (6.94%)</w:t>
            </w:r>
          </w:p>
        </w:tc>
        <w:tc>
          <w:tcPr>
            <w:tcW w:w="0" w:type="dxa"/>
            <w:vAlign w:val="bottom"/>
          </w:tcPr>
          <w:p>
            <w:pPr>
              <w:spacing w:after="0"/>
              <w:rPr>
                <w:sz w:val="1"/>
                <w:szCs w:val="1"/>
                <w:color w:val="auto"/>
              </w:rPr>
            </w:pPr>
          </w:p>
        </w:tc>
      </w:tr>
      <w:tr>
        <w:trPr>
          <w:trHeight w:val="209"/>
        </w:trPr>
        <w:tc>
          <w:tcPr>
            <w:tcW w:w="68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460" w:type="dxa"/>
            <w:vAlign w:val="bottom"/>
            <w:vMerge w:val="restart"/>
          </w:tcPr>
          <w:p>
            <w:pPr>
              <w:ind w:left="120"/>
              <w:spacing w:after="0"/>
              <w:rPr>
                <w:sz w:val="20"/>
                <w:szCs w:val="20"/>
                <w:color w:val="auto"/>
              </w:rPr>
            </w:pPr>
            <w:r>
              <w:rPr>
                <w:rFonts w:ascii="Arial" w:cs="Arial" w:eastAsia="Arial" w:hAnsi="Arial"/>
                <w:sz w:val="16"/>
                <w:szCs w:val="16"/>
                <w:color w:val="auto"/>
                <w:w w:val="96"/>
              </w:rPr>
              <w:t>Partial Withdrawals</w:t>
            </w:r>
          </w:p>
        </w:tc>
        <w:tc>
          <w:tcPr>
            <w:tcW w:w="500" w:type="dxa"/>
            <w:vAlign w:val="bottom"/>
          </w:tcPr>
          <w:p>
            <w:pPr>
              <w:ind w:left="80"/>
              <w:spacing w:after="0"/>
              <w:rPr>
                <w:sz w:val="20"/>
                <w:szCs w:val="20"/>
                <w:color w:val="auto"/>
              </w:rPr>
            </w:pPr>
            <w:r>
              <w:rPr>
                <w:rFonts w:ascii="Arial" w:cs="Arial" w:eastAsia="Arial" w:hAnsi="Arial"/>
                <w:sz w:val="16"/>
                <w:szCs w:val="16"/>
                <w:color w:val="auto"/>
                <w:w w:val="88"/>
              </w:rPr>
              <w:t>2.00%</w:t>
            </w:r>
          </w:p>
        </w:tc>
        <w:tc>
          <w:tcPr>
            <w:tcW w:w="1460" w:type="dxa"/>
            <w:vAlign w:val="bottom"/>
          </w:tcPr>
          <w:p>
            <w:pPr>
              <w:ind w:left="20"/>
              <w:spacing w:after="0"/>
              <w:rPr>
                <w:sz w:val="20"/>
                <w:szCs w:val="20"/>
                <w:color w:val="auto"/>
              </w:rPr>
            </w:pPr>
            <w:r>
              <w:rPr>
                <w:rFonts w:ascii="Arial" w:cs="Arial" w:eastAsia="Arial" w:hAnsi="Arial"/>
                <w:sz w:val="16"/>
                <w:szCs w:val="16"/>
                <w:color w:val="auto"/>
              </w:rPr>
              <w:t>- 35.71%</w:t>
            </w:r>
          </w:p>
        </w:tc>
        <w:tc>
          <w:tcPr>
            <w:tcW w:w="0" w:type="dxa"/>
            <w:vAlign w:val="bottom"/>
          </w:tcPr>
          <w:p>
            <w:pPr>
              <w:spacing w:after="0"/>
              <w:rPr>
                <w:sz w:val="1"/>
                <w:szCs w:val="1"/>
                <w:color w:val="auto"/>
              </w:rPr>
            </w:pPr>
          </w:p>
        </w:tc>
      </w:tr>
      <w:tr>
        <w:trPr>
          <w:trHeight w:val="204"/>
        </w:trPr>
        <w:tc>
          <w:tcPr>
            <w:tcW w:w="68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460" w:type="dxa"/>
            <w:vAlign w:val="bottom"/>
            <w:vMerge w:val="continue"/>
          </w:tcPr>
          <w:p>
            <w:pPr>
              <w:spacing w:after="0"/>
              <w:rPr>
                <w:sz w:val="17"/>
                <w:szCs w:val="17"/>
                <w:color w:val="auto"/>
              </w:rPr>
            </w:pPr>
          </w:p>
        </w:tc>
        <w:tc>
          <w:tcPr>
            <w:tcW w:w="1960" w:type="dxa"/>
            <w:vAlign w:val="bottom"/>
            <w:gridSpan w:val="2"/>
          </w:tcPr>
          <w:p>
            <w:pPr>
              <w:ind w:left="80"/>
              <w:spacing w:after="0"/>
              <w:rPr>
                <w:sz w:val="20"/>
                <w:szCs w:val="20"/>
                <w:color w:val="auto"/>
              </w:rPr>
            </w:pPr>
            <w:r>
              <w:rPr>
                <w:rFonts w:ascii="Arial" w:cs="Arial" w:eastAsia="Arial" w:hAnsi="Arial"/>
                <w:sz w:val="16"/>
                <w:szCs w:val="16"/>
                <w:color w:val="auto"/>
              </w:rPr>
              <w:t>(2.72%)</w:t>
            </w:r>
          </w:p>
        </w:tc>
        <w:tc>
          <w:tcPr>
            <w:tcW w:w="0" w:type="dxa"/>
            <w:vAlign w:val="bottom"/>
          </w:tcPr>
          <w:p>
            <w:pPr>
              <w:spacing w:after="0"/>
              <w:rPr>
                <w:sz w:val="1"/>
                <w:szCs w:val="1"/>
                <w:color w:val="auto"/>
              </w:rPr>
            </w:pPr>
          </w:p>
        </w:tc>
      </w:tr>
      <w:tr>
        <w:trPr>
          <w:trHeight w:val="208"/>
        </w:trPr>
        <w:tc>
          <w:tcPr>
            <w:tcW w:w="68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460" w:type="dxa"/>
            <w:vAlign w:val="bottom"/>
          </w:tcPr>
          <w:p>
            <w:pPr>
              <w:ind w:left="120"/>
              <w:spacing w:after="0"/>
              <w:rPr>
                <w:sz w:val="20"/>
                <w:szCs w:val="20"/>
                <w:color w:val="auto"/>
              </w:rPr>
            </w:pPr>
            <w:r>
              <w:rPr>
                <w:rFonts w:ascii="Arial" w:cs="Arial" w:eastAsia="Arial" w:hAnsi="Arial"/>
                <w:sz w:val="16"/>
                <w:szCs w:val="16"/>
                <w:color w:val="auto"/>
              </w:rPr>
              <w:t>Non-Performance</w:t>
            </w:r>
          </w:p>
        </w:tc>
        <w:tc>
          <w:tcPr>
            <w:tcW w:w="500" w:type="dxa"/>
            <w:vAlign w:val="bottom"/>
          </w:tcPr>
          <w:p>
            <w:pPr>
              <w:ind w:left="80"/>
              <w:spacing w:after="0"/>
              <w:rPr>
                <w:sz w:val="20"/>
                <w:szCs w:val="20"/>
                <w:color w:val="auto"/>
              </w:rPr>
            </w:pPr>
            <w:r>
              <w:rPr>
                <w:rFonts w:ascii="Arial" w:cs="Arial" w:eastAsia="Arial" w:hAnsi="Arial"/>
                <w:sz w:val="16"/>
                <w:szCs w:val="16"/>
                <w:color w:val="auto"/>
                <w:w w:val="88"/>
              </w:rPr>
              <w:t>0.48%</w:t>
            </w:r>
          </w:p>
        </w:tc>
        <w:tc>
          <w:tcPr>
            <w:tcW w:w="1460" w:type="dxa"/>
            <w:vAlign w:val="bottom"/>
          </w:tcPr>
          <w:p>
            <w:pPr>
              <w:ind w:left="20"/>
              <w:spacing w:after="0"/>
              <w:rPr>
                <w:sz w:val="20"/>
                <w:szCs w:val="20"/>
                <w:color w:val="auto"/>
              </w:rPr>
            </w:pPr>
            <w:r>
              <w:rPr>
                <w:rFonts w:ascii="Arial" w:cs="Arial" w:eastAsia="Arial" w:hAnsi="Arial"/>
                <w:sz w:val="16"/>
                <w:szCs w:val="16"/>
                <w:color w:val="auto"/>
              </w:rPr>
              <w:t>- 0.95%</w:t>
            </w:r>
          </w:p>
        </w:tc>
        <w:tc>
          <w:tcPr>
            <w:tcW w:w="0" w:type="dxa"/>
            <w:vAlign w:val="bottom"/>
          </w:tcPr>
          <w:p>
            <w:pPr>
              <w:spacing w:after="0"/>
              <w:rPr>
                <w:sz w:val="1"/>
                <w:szCs w:val="1"/>
                <w:color w:val="auto"/>
              </w:rPr>
            </w:pPr>
          </w:p>
        </w:tc>
      </w:tr>
      <w:tr>
        <w:trPr>
          <w:trHeight w:val="204"/>
        </w:trPr>
        <w:tc>
          <w:tcPr>
            <w:tcW w:w="68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460" w:type="dxa"/>
            <w:vAlign w:val="bottom"/>
          </w:tcPr>
          <w:p>
            <w:pPr>
              <w:ind w:left="120"/>
              <w:spacing w:after="0"/>
              <w:rPr>
                <w:sz w:val="20"/>
                <w:szCs w:val="20"/>
                <w:color w:val="auto"/>
              </w:rPr>
            </w:pPr>
            <w:r>
              <w:rPr>
                <w:rFonts w:ascii="Arial" w:cs="Arial" w:eastAsia="Arial" w:hAnsi="Arial"/>
                <w:sz w:val="16"/>
                <w:szCs w:val="16"/>
                <w:color w:val="auto"/>
              </w:rPr>
              <w:t>Spread</w:t>
            </w:r>
          </w:p>
        </w:tc>
        <w:tc>
          <w:tcPr>
            <w:tcW w:w="1960" w:type="dxa"/>
            <w:vAlign w:val="bottom"/>
            <w:gridSpan w:val="2"/>
          </w:tcPr>
          <w:p>
            <w:pPr>
              <w:ind w:left="80"/>
              <w:spacing w:after="0"/>
              <w:rPr>
                <w:sz w:val="20"/>
                <w:szCs w:val="20"/>
                <w:color w:val="auto"/>
              </w:rPr>
            </w:pPr>
            <w:r>
              <w:rPr>
                <w:rFonts w:ascii="Arial" w:cs="Arial" w:eastAsia="Arial" w:hAnsi="Arial"/>
                <w:sz w:val="16"/>
                <w:szCs w:val="16"/>
                <w:color w:val="auto"/>
              </w:rPr>
              <w:t>(0.75%)</w:t>
            </w:r>
          </w:p>
        </w:tc>
        <w:tc>
          <w:tcPr>
            <w:tcW w:w="0" w:type="dxa"/>
            <w:vAlign w:val="bottom"/>
          </w:tcPr>
          <w:p>
            <w:pPr>
              <w:spacing w:after="0"/>
              <w:rPr>
                <w:sz w:val="1"/>
                <w:szCs w:val="1"/>
                <w:color w:val="auto"/>
              </w:rPr>
            </w:pPr>
          </w:p>
        </w:tc>
      </w:tr>
      <w:tr>
        <w:trPr>
          <w:trHeight w:val="208"/>
        </w:trPr>
        <w:tc>
          <w:tcPr>
            <w:tcW w:w="68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460" w:type="dxa"/>
            <w:vAlign w:val="bottom"/>
            <w:vMerge w:val="restart"/>
          </w:tcPr>
          <w:p>
            <w:pPr>
              <w:ind w:left="120"/>
              <w:spacing w:after="0"/>
              <w:rPr>
                <w:sz w:val="20"/>
                <w:szCs w:val="20"/>
                <w:color w:val="auto"/>
              </w:rPr>
            </w:pPr>
            <w:r>
              <w:rPr>
                <w:rFonts w:ascii="Arial" w:cs="Arial" w:eastAsia="Arial" w:hAnsi="Arial"/>
                <w:sz w:val="16"/>
                <w:szCs w:val="16"/>
                <w:color w:val="auto"/>
              </w:rPr>
              <w:t>Option Cost</w:t>
            </w:r>
          </w:p>
        </w:tc>
        <w:tc>
          <w:tcPr>
            <w:tcW w:w="500" w:type="dxa"/>
            <w:vAlign w:val="bottom"/>
          </w:tcPr>
          <w:p>
            <w:pPr>
              <w:ind w:left="80"/>
              <w:spacing w:after="0"/>
              <w:rPr>
                <w:sz w:val="20"/>
                <w:szCs w:val="20"/>
                <w:color w:val="auto"/>
              </w:rPr>
            </w:pPr>
            <w:r>
              <w:rPr>
                <w:rFonts w:ascii="Arial" w:cs="Arial" w:eastAsia="Arial" w:hAnsi="Arial"/>
                <w:sz w:val="16"/>
                <w:szCs w:val="16"/>
                <w:color w:val="auto"/>
                <w:w w:val="88"/>
              </w:rPr>
              <w:t>0.07%</w:t>
            </w:r>
          </w:p>
        </w:tc>
        <w:tc>
          <w:tcPr>
            <w:tcW w:w="1460" w:type="dxa"/>
            <w:vAlign w:val="bottom"/>
          </w:tcPr>
          <w:p>
            <w:pPr>
              <w:ind w:left="20"/>
              <w:spacing w:after="0"/>
              <w:rPr>
                <w:sz w:val="20"/>
                <w:szCs w:val="20"/>
                <w:color w:val="auto"/>
              </w:rPr>
            </w:pPr>
            <w:r>
              <w:rPr>
                <w:rFonts w:ascii="Arial" w:cs="Arial" w:eastAsia="Arial" w:hAnsi="Arial"/>
                <w:sz w:val="16"/>
                <w:szCs w:val="16"/>
                <w:color w:val="auto"/>
              </w:rPr>
              <w:t>- 5.70%</w:t>
            </w:r>
          </w:p>
        </w:tc>
        <w:tc>
          <w:tcPr>
            <w:tcW w:w="0" w:type="dxa"/>
            <w:vAlign w:val="bottom"/>
          </w:tcPr>
          <w:p>
            <w:pPr>
              <w:spacing w:after="0"/>
              <w:rPr>
                <w:sz w:val="1"/>
                <w:szCs w:val="1"/>
                <w:color w:val="auto"/>
              </w:rPr>
            </w:pPr>
          </w:p>
        </w:tc>
      </w:tr>
      <w:tr>
        <w:trPr>
          <w:trHeight w:val="204"/>
        </w:trPr>
        <w:tc>
          <w:tcPr>
            <w:tcW w:w="68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460" w:type="dxa"/>
            <w:vAlign w:val="bottom"/>
            <w:vMerge w:val="continue"/>
          </w:tcPr>
          <w:p>
            <w:pPr>
              <w:spacing w:after="0"/>
              <w:rPr>
                <w:sz w:val="17"/>
                <w:szCs w:val="17"/>
                <w:color w:val="auto"/>
              </w:rPr>
            </w:pPr>
          </w:p>
        </w:tc>
        <w:tc>
          <w:tcPr>
            <w:tcW w:w="1960" w:type="dxa"/>
            <w:vAlign w:val="bottom"/>
            <w:gridSpan w:val="2"/>
          </w:tcPr>
          <w:p>
            <w:pPr>
              <w:ind w:left="80"/>
              <w:spacing w:after="0"/>
              <w:rPr>
                <w:sz w:val="20"/>
                <w:szCs w:val="20"/>
                <w:color w:val="auto"/>
              </w:rPr>
            </w:pPr>
            <w:r>
              <w:rPr>
                <w:rFonts w:ascii="Arial" w:cs="Arial" w:eastAsia="Arial" w:hAnsi="Arial"/>
                <w:sz w:val="16"/>
                <w:szCs w:val="16"/>
                <w:color w:val="auto"/>
              </w:rPr>
              <w:t>(2.68%)</w:t>
            </w:r>
          </w:p>
        </w:tc>
        <w:tc>
          <w:tcPr>
            <w:tcW w:w="0" w:type="dxa"/>
            <w:vAlign w:val="bottom"/>
          </w:tcPr>
          <w:p>
            <w:pPr>
              <w:spacing w:after="0"/>
              <w:rPr>
                <w:sz w:val="1"/>
                <w:szCs w:val="1"/>
                <w:color w:val="auto"/>
              </w:rPr>
            </w:pPr>
          </w:p>
        </w:tc>
      </w:tr>
      <w:tr>
        <w:trPr>
          <w:trHeight w:val="208"/>
        </w:trPr>
        <w:tc>
          <w:tcPr>
            <w:tcW w:w="3060" w:type="dxa"/>
            <w:vAlign w:val="bottom"/>
            <w:gridSpan w:val="2"/>
            <w:vMerge w:val="restart"/>
          </w:tcPr>
          <w:p>
            <w:pPr>
              <w:spacing w:after="0"/>
              <w:rPr>
                <w:sz w:val="20"/>
                <w:szCs w:val="20"/>
                <w:color w:val="auto"/>
              </w:rPr>
            </w:pPr>
            <w:r>
              <w:rPr>
                <w:rFonts w:ascii="Arial" w:cs="Arial" w:eastAsia="Arial" w:hAnsi="Arial"/>
                <w:sz w:val="16"/>
                <w:szCs w:val="16"/>
                <w:color w:val="auto"/>
              </w:rPr>
              <w:t>Contingent consideration</w:t>
            </w:r>
          </w:p>
        </w:tc>
        <w:tc>
          <w:tcPr>
            <w:tcW w:w="580" w:type="dxa"/>
            <w:vAlign w:val="bottom"/>
          </w:tcPr>
          <w:p>
            <w:pPr>
              <w:spacing w:after="0"/>
              <w:rPr>
                <w:sz w:val="18"/>
                <w:szCs w:val="18"/>
                <w:color w:val="auto"/>
              </w:rPr>
            </w:pPr>
          </w:p>
        </w:tc>
        <w:tc>
          <w:tcPr>
            <w:tcW w:w="880" w:type="dxa"/>
            <w:vAlign w:val="bottom"/>
            <w:vMerge w:val="restart"/>
          </w:tcPr>
          <w:p>
            <w:pPr>
              <w:jc w:val="right"/>
              <w:spacing w:after="0"/>
              <w:rPr>
                <w:sz w:val="20"/>
                <w:szCs w:val="20"/>
                <w:color w:val="auto"/>
              </w:rPr>
            </w:pPr>
            <w:r>
              <w:rPr>
                <w:rFonts w:ascii="Arial" w:cs="Arial" w:eastAsia="Arial" w:hAnsi="Arial"/>
                <w:sz w:val="16"/>
                <w:szCs w:val="16"/>
                <w:color w:val="auto"/>
              </w:rPr>
              <w:t>74</w:t>
            </w:r>
          </w:p>
        </w:tc>
        <w:tc>
          <w:tcPr>
            <w:tcW w:w="1660" w:type="dxa"/>
            <w:vAlign w:val="bottom"/>
            <w:vMerge w:val="restart"/>
          </w:tcPr>
          <w:p>
            <w:pPr>
              <w:ind w:left="120"/>
              <w:spacing w:after="0"/>
              <w:rPr>
                <w:sz w:val="20"/>
                <w:szCs w:val="20"/>
                <w:color w:val="auto"/>
              </w:rPr>
            </w:pPr>
            <w:r>
              <w:rPr>
                <w:rFonts w:ascii="Arial" w:cs="Arial" w:eastAsia="Arial" w:hAnsi="Arial"/>
                <w:sz w:val="16"/>
                <w:szCs w:val="16"/>
                <w:color w:val="auto"/>
                <w:w w:val="94"/>
              </w:rPr>
              <w:t>Discounted Cash Flow</w:t>
            </w:r>
          </w:p>
        </w:tc>
        <w:tc>
          <w:tcPr>
            <w:tcW w:w="1460" w:type="dxa"/>
            <w:vAlign w:val="bottom"/>
          </w:tcPr>
          <w:p>
            <w:pPr>
              <w:ind w:left="120"/>
              <w:spacing w:after="0"/>
              <w:rPr>
                <w:sz w:val="20"/>
                <w:szCs w:val="20"/>
                <w:color w:val="auto"/>
              </w:rPr>
            </w:pPr>
            <w:r>
              <w:rPr>
                <w:rFonts w:ascii="Arial" w:cs="Arial" w:eastAsia="Arial" w:hAnsi="Arial"/>
                <w:sz w:val="16"/>
                <w:szCs w:val="16"/>
                <w:color w:val="auto"/>
              </w:rPr>
              <w:t>Risk-Adjusted</w:t>
            </w:r>
          </w:p>
        </w:tc>
        <w:tc>
          <w:tcPr>
            <w:tcW w:w="1960" w:type="dxa"/>
            <w:vAlign w:val="bottom"/>
            <w:gridSpan w:val="2"/>
            <w:vMerge w:val="restart"/>
          </w:tcPr>
          <w:p>
            <w:pPr>
              <w:ind w:left="80"/>
              <w:spacing w:after="0"/>
              <w:rPr>
                <w:sz w:val="20"/>
                <w:szCs w:val="20"/>
                <w:color w:val="auto"/>
              </w:rPr>
            </w:pPr>
            <w:r>
              <w:rPr>
                <w:rFonts w:ascii="Arial" w:cs="Arial" w:eastAsia="Arial" w:hAnsi="Arial"/>
                <w:sz w:val="16"/>
                <w:szCs w:val="16"/>
                <w:color w:val="auto"/>
                <w:w w:val="96"/>
              </w:rPr>
              <w:t>13.50% - 13.50% (13.50%)</w:t>
            </w:r>
          </w:p>
        </w:tc>
        <w:tc>
          <w:tcPr>
            <w:tcW w:w="0" w:type="dxa"/>
            <w:vAlign w:val="bottom"/>
          </w:tcPr>
          <w:p>
            <w:pPr>
              <w:spacing w:after="0"/>
              <w:rPr>
                <w:sz w:val="1"/>
                <w:szCs w:val="1"/>
                <w:color w:val="auto"/>
              </w:rPr>
            </w:pPr>
          </w:p>
        </w:tc>
      </w:tr>
      <w:tr>
        <w:trPr>
          <w:trHeight w:val="204"/>
        </w:trPr>
        <w:tc>
          <w:tcPr>
            <w:tcW w:w="3060" w:type="dxa"/>
            <w:vAlign w:val="bottom"/>
            <w:gridSpan w:val="2"/>
            <w:vMerge w:val="continue"/>
          </w:tcPr>
          <w:p>
            <w:pPr>
              <w:spacing w:after="0"/>
              <w:rPr>
                <w:sz w:val="17"/>
                <w:szCs w:val="17"/>
                <w:color w:val="auto"/>
              </w:rPr>
            </w:pPr>
          </w:p>
        </w:tc>
        <w:tc>
          <w:tcPr>
            <w:tcW w:w="580" w:type="dxa"/>
            <w:vAlign w:val="bottom"/>
          </w:tcPr>
          <w:p>
            <w:pPr>
              <w:spacing w:after="0"/>
              <w:rPr>
                <w:sz w:val="17"/>
                <w:szCs w:val="17"/>
                <w:color w:val="auto"/>
              </w:rPr>
            </w:pPr>
          </w:p>
        </w:tc>
        <w:tc>
          <w:tcPr>
            <w:tcW w:w="880" w:type="dxa"/>
            <w:vAlign w:val="bottom"/>
            <w:vMerge w:val="continue"/>
          </w:tcPr>
          <w:p>
            <w:pPr>
              <w:spacing w:after="0"/>
              <w:rPr>
                <w:sz w:val="17"/>
                <w:szCs w:val="17"/>
                <w:color w:val="auto"/>
              </w:rPr>
            </w:pPr>
          </w:p>
        </w:tc>
        <w:tc>
          <w:tcPr>
            <w:tcW w:w="1660" w:type="dxa"/>
            <w:vAlign w:val="bottom"/>
            <w:vMerge w:val="continue"/>
          </w:tcPr>
          <w:p>
            <w:pPr>
              <w:spacing w:after="0"/>
              <w:rPr>
                <w:sz w:val="17"/>
                <w:szCs w:val="17"/>
                <w:color w:val="auto"/>
              </w:rPr>
            </w:pPr>
          </w:p>
        </w:tc>
        <w:tc>
          <w:tcPr>
            <w:tcW w:w="1460" w:type="dxa"/>
            <w:vAlign w:val="bottom"/>
          </w:tcPr>
          <w:p>
            <w:pPr>
              <w:ind w:left="120"/>
              <w:spacing w:after="0"/>
              <w:rPr>
                <w:sz w:val="20"/>
                <w:szCs w:val="20"/>
                <w:color w:val="auto"/>
              </w:rPr>
            </w:pPr>
            <w:r>
              <w:rPr>
                <w:rFonts w:ascii="Arial" w:cs="Arial" w:eastAsia="Arial" w:hAnsi="Arial"/>
                <w:sz w:val="16"/>
                <w:szCs w:val="16"/>
                <w:color w:val="auto"/>
              </w:rPr>
              <w:t>Discount Rate</w:t>
            </w:r>
          </w:p>
        </w:tc>
        <w:tc>
          <w:tcPr>
            <w:tcW w:w="196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49"/>
        </w:trPr>
        <w:tc>
          <w:tcPr>
            <w:tcW w:w="680" w:type="dxa"/>
            <w:vAlign w:val="bottom"/>
          </w:tcPr>
          <w:p>
            <w:pPr>
              <w:spacing w:after="0"/>
              <w:rPr>
                <w:sz w:val="21"/>
                <w:szCs w:val="21"/>
                <w:color w:val="auto"/>
              </w:rPr>
            </w:pPr>
          </w:p>
        </w:tc>
        <w:tc>
          <w:tcPr>
            <w:tcW w:w="23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460" w:type="dxa"/>
            <w:vAlign w:val="bottom"/>
          </w:tcPr>
          <w:p>
            <w:pPr>
              <w:ind w:left="120"/>
              <w:spacing w:after="0"/>
              <w:rPr>
                <w:sz w:val="20"/>
                <w:szCs w:val="20"/>
                <w:color w:val="auto"/>
              </w:rPr>
            </w:pPr>
            <w:r>
              <w:rPr>
                <w:rFonts w:ascii="Arial" w:cs="Arial" w:eastAsia="Arial" w:hAnsi="Arial"/>
                <w:sz w:val="16"/>
                <w:szCs w:val="16"/>
                <w:color w:val="auto"/>
              </w:rPr>
              <w:t>EBITDA Volatility</w:t>
            </w:r>
          </w:p>
        </w:tc>
        <w:tc>
          <w:tcPr>
            <w:tcW w:w="1960" w:type="dxa"/>
            <w:vAlign w:val="bottom"/>
            <w:gridSpan w:val="2"/>
          </w:tcPr>
          <w:p>
            <w:pPr>
              <w:ind w:left="80"/>
              <w:spacing w:after="0"/>
              <w:rPr>
                <w:sz w:val="20"/>
                <w:szCs w:val="20"/>
                <w:color w:val="auto"/>
              </w:rPr>
            </w:pPr>
            <w:r>
              <w:rPr>
                <w:rFonts w:ascii="Arial" w:cs="Arial" w:eastAsia="Arial" w:hAnsi="Arial"/>
                <w:sz w:val="16"/>
                <w:szCs w:val="16"/>
                <w:color w:val="auto"/>
                <w:w w:val="96"/>
              </w:rPr>
              <w:t>35.00% - 35.00% (35.00%)</w:t>
            </w:r>
          </w:p>
        </w:tc>
        <w:tc>
          <w:tcPr>
            <w:tcW w:w="0" w:type="dxa"/>
            <w:vAlign w:val="bottom"/>
          </w:tcPr>
          <w:p>
            <w:pPr>
              <w:spacing w:after="0"/>
              <w:rPr>
                <w:sz w:val="1"/>
                <w:szCs w:val="1"/>
                <w:color w:val="auto"/>
              </w:rPr>
            </w:pPr>
          </w:p>
        </w:tc>
      </w:tr>
      <w:tr>
        <w:trPr>
          <w:trHeight w:val="209"/>
        </w:trPr>
        <w:tc>
          <w:tcPr>
            <w:tcW w:w="68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460" w:type="dxa"/>
            <w:vAlign w:val="bottom"/>
          </w:tcPr>
          <w:p>
            <w:pPr>
              <w:ind w:left="120"/>
              <w:spacing w:after="0"/>
              <w:rPr>
                <w:sz w:val="20"/>
                <w:szCs w:val="20"/>
                <w:color w:val="auto"/>
              </w:rPr>
            </w:pPr>
            <w:r>
              <w:rPr>
                <w:rFonts w:ascii="Arial" w:cs="Arial" w:eastAsia="Arial" w:hAnsi="Arial"/>
                <w:sz w:val="16"/>
                <w:szCs w:val="16"/>
                <w:color w:val="auto"/>
              </w:rPr>
              <w:t>Counterparty</w:t>
            </w:r>
          </w:p>
        </w:tc>
        <w:tc>
          <w:tcPr>
            <w:tcW w:w="500" w:type="dxa"/>
            <w:vAlign w:val="bottom"/>
            <w:vMerge w:val="restart"/>
          </w:tcPr>
          <w:p>
            <w:pPr>
              <w:ind w:left="80"/>
              <w:spacing w:after="0"/>
              <w:rPr>
                <w:sz w:val="20"/>
                <w:szCs w:val="20"/>
                <w:color w:val="auto"/>
              </w:rPr>
            </w:pPr>
            <w:r>
              <w:rPr>
                <w:rFonts w:ascii="Arial" w:cs="Arial" w:eastAsia="Arial" w:hAnsi="Arial"/>
                <w:sz w:val="16"/>
                <w:szCs w:val="16"/>
                <w:color w:val="auto"/>
                <w:w w:val="88"/>
              </w:rPr>
              <w:t>6.50%</w:t>
            </w:r>
          </w:p>
        </w:tc>
        <w:tc>
          <w:tcPr>
            <w:tcW w:w="1460" w:type="dxa"/>
            <w:vAlign w:val="bottom"/>
            <w:vMerge w:val="restart"/>
          </w:tcPr>
          <w:p>
            <w:pPr>
              <w:ind w:left="20"/>
              <w:spacing w:after="0"/>
              <w:rPr>
                <w:sz w:val="20"/>
                <w:szCs w:val="20"/>
                <w:color w:val="auto"/>
              </w:rPr>
            </w:pPr>
            <w:r>
              <w:rPr>
                <w:rFonts w:ascii="Arial" w:cs="Arial" w:eastAsia="Arial" w:hAnsi="Arial"/>
                <w:sz w:val="16"/>
                <w:szCs w:val="16"/>
                <w:color w:val="auto"/>
              </w:rPr>
              <w:t>- 6.50% (6.50%)</w:t>
            </w:r>
          </w:p>
        </w:tc>
        <w:tc>
          <w:tcPr>
            <w:tcW w:w="0" w:type="dxa"/>
            <w:vAlign w:val="bottom"/>
          </w:tcPr>
          <w:p>
            <w:pPr>
              <w:spacing w:after="0"/>
              <w:rPr>
                <w:sz w:val="1"/>
                <w:szCs w:val="1"/>
                <w:color w:val="auto"/>
              </w:rPr>
            </w:pPr>
          </w:p>
        </w:tc>
      </w:tr>
      <w:tr>
        <w:trPr>
          <w:trHeight w:val="204"/>
        </w:trPr>
        <w:tc>
          <w:tcPr>
            <w:tcW w:w="68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460" w:type="dxa"/>
            <w:vAlign w:val="bottom"/>
          </w:tcPr>
          <w:p>
            <w:pPr>
              <w:ind w:left="120"/>
              <w:spacing w:after="0"/>
              <w:rPr>
                <w:sz w:val="20"/>
                <w:szCs w:val="20"/>
                <w:color w:val="auto"/>
              </w:rPr>
            </w:pPr>
            <w:r>
              <w:rPr>
                <w:rFonts w:ascii="Arial" w:cs="Arial" w:eastAsia="Arial" w:hAnsi="Arial"/>
                <w:sz w:val="16"/>
                <w:szCs w:val="16"/>
                <w:color w:val="auto"/>
              </w:rPr>
              <w:t>Discount Rate</w:t>
            </w:r>
          </w:p>
        </w:tc>
        <w:tc>
          <w:tcPr>
            <w:tcW w:w="500" w:type="dxa"/>
            <w:vAlign w:val="bottom"/>
            <w:vMerge w:val="continue"/>
          </w:tcPr>
          <w:p>
            <w:pPr>
              <w:spacing w:after="0"/>
              <w:rPr>
                <w:sz w:val="17"/>
                <w:szCs w:val="17"/>
                <w:color w:val="auto"/>
              </w:rPr>
            </w:pPr>
          </w:p>
        </w:tc>
        <w:tc>
          <w:tcPr>
            <w:tcW w:w="14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49"/>
        </w:trPr>
        <w:tc>
          <w:tcPr>
            <w:tcW w:w="3060" w:type="dxa"/>
            <w:vAlign w:val="bottom"/>
            <w:gridSpan w:val="2"/>
          </w:tcPr>
          <w:p>
            <w:pPr>
              <w:spacing w:after="0"/>
              <w:rPr>
                <w:sz w:val="20"/>
                <w:szCs w:val="20"/>
                <w:color w:val="auto"/>
              </w:rPr>
            </w:pPr>
            <w:r>
              <w:rPr>
                <w:rFonts w:ascii="Arial" w:cs="Arial" w:eastAsia="Arial" w:hAnsi="Arial"/>
                <w:sz w:val="16"/>
                <w:szCs w:val="16"/>
                <w:color w:val="auto"/>
              </w:rPr>
              <w:t>Market risk benefits liability</w:t>
            </w:r>
          </w:p>
        </w:tc>
        <w:tc>
          <w:tcPr>
            <w:tcW w:w="5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549</w:t>
            </w:r>
          </w:p>
        </w:tc>
        <w:tc>
          <w:tcPr>
            <w:tcW w:w="1660" w:type="dxa"/>
            <w:vAlign w:val="bottom"/>
          </w:tcPr>
          <w:p>
            <w:pPr>
              <w:ind w:left="120"/>
              <w:spacing w:after="0"/>
              <w:rPr>
                <w:sz w:val="20"/>
                <w:szCs w:val="20"/>
                <w:color w:val="auto"/>
              </w:rPr>
            </w:pPr>
            <w:r>
              <w:rPr>
                <w:rFonts w:ascii="Arial" w:cs="Arial" w:eastAsia="Arial" w:hAnsi="Arial"/>
                <w:sz w:val="16"/>
                <w:szCs w:val="16"/>
                <w:color w:val="auto"/>
                <w:w w:val="94"/>
              </w:rPr>
              <w:t>Discounted Cash Flow</w:t>
            </w:r>
          </w:p>
        </w:tc>
        <w:tc>
          <w:tcPr>
            <w:tcW w:w="1460" w:type="dxa"/>
            <w:vAlign w:val="bottom"/>
          </w:tcPr>
          <w:p>
            <w:pPr>
              <w:ind w:left="120"/>
              <w:spacing w:after="0"/>
              <w:rPr>
                <w:sz w:val="20"/>
                <w:szCs w:val="20"/>
                <w:color w:val="auto"/>
              </w:rPr>
            </w:pPr>
            <w:r>
              <w:rPr>
                <w:rFonts w:ascii="Arial" w:cs="Arial" w:eastAsia="Arial" w:hAnsi="Arial"/>
                <w:sz w:val="16"/>
                <w:szCs w:val="16"/>
                <w:color w:val="auto"/>
              </w:rPr>
              <w:t>Mortality</w:t>
            </w:r>
          </w:p>
        </w:tc>
        <w:tc>
          <w:tcPr>
            <w:tcW w:w="1960" w:type="dxa"/>
            <w:vAlign w:val="bottom"/>
            <w:gridSpan w:val="2"/>
          </w:tcPr>
          <w:p>
            <w:pPr>
              <w:ind w:left="80"/>
              <w:spacing w:after="0"/>
              <w:rPr>
                <w:sz w:val="20"/>
                <w:szCs w:val="20"/>
                <w:color w:val="auto"/>
              </w:rPr>
            </w:pPr>
            <w:r>
              <w:rPr>
                <w:rFonts w:ascii="Arial" w:cs="Arial" w:eastAsia="Arial" w:hAnsi="Arial"/>
                <w:sz w:val="16"/>
                <w:szCs w:val="16"/>
                <w:color w:val="auto"/>
                <w:w w:val="88"/>
              </w:rPr>
              <w:t>80.00% - 115.00% (100.00%)</w:t>
            </w:r>
          </w:p>
        </w:tc>
        <w:tc>
          <w:tcPr>
            <w:tcW w:w="0" w:type="dxa"/>
            <w:vAlign w:val="bottom"/>
          </w:tcPr>
          <w:p>
            <w:pPr>
              <w:spacing w:after="0"/>
              <w:rPr>
                <w:sz w:val="1"/>
                <w:szCs w:val="1"/>
                <w:color w:val="auto"/>
              </w:rPr>
            </w:pPr>
          </w:p>
        </w:tc>
      </w:tr>
      <w:tr>
        <w:trPr>
          <w:trHeight w:val="209"/>
        </w:trPr>
        <w:tc>
          <w:tcPr>
            <w:tcW w:w="68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460" w:type="dxa"/>
            <w:vAlign w:val="bottom"/>
            <w:vMerge w:val="restart"/>
          </w:tcPr>
          <w:p>
            <w:pPr>
              <w:ind w:left="120"/>
              <w:spacing w:after="0"/>
              <w:rPr>
                <w:sz w:val="20"/>
                <w:szCs w:val="20"/>
                <w:color w:val="auto"/>
              </w:rPr>
            </w:pPr>
            <w:r>
              <w:rPr>
                <w:rFonts w:ascii="Arial" w:cs="Arial" w:eastAsia="Arial" w:hAnsi="Arial"/>
                <w:sz w:val="16"/>
                <w:szCs w:val="16"/>
                <w:color w:val="auto"/>
              </w:rPr>
              <w:t>Surrender Rates</w:t>
            </w:r>
          </w:p>
        </w:tc>
        <w:tc>
          <w:tcPr>
            <w:tcW w:w="500" w:type="dxa"/>
            <w:vAlign w:val="bottom"/>
          </w:tcPr>
          <w:p>
            <w:pPr>
              <w:ind w:left="80"/>
              <w:spacing w:after="0"/>
              <w:rPr>
                <w:sz w:val="20"/>
                <w:szCs w:val="20"/>
                <w:color w:val="auto"/>
              </w:rPr>
            </w:pPr>
            <w:r>
              <w:rPr>
                <w:rFonts w:ascii="Arial" w:cs="Arial" w:eastAsia="Arial" w:hAnsi="Arial"/>
                <w:sz w:val="16"/>
                <w:szCs w:val="16"/>
                <w:color w:val="auto"/>
                <w:w w:val="88"/>
              </w:rPr>
              <w:t>0.25%</w:t>
            </w:r>
          </w:p>
        </w:tc>
        <w:tc>
          <w:tcPr>
            <w:tcW w:w="1460" w:type="dxa"/>
            <w:vAlign w:val="bottom"/>
          </w:tcPr>
          <w:p>
            <w:pPr>
              <w:ind w:left="20"/>
              <w:spacing w:after="0"/>
              <w:rPr>
                <w:sz w:val="20"/>
                <w:szCs w:val="20"/>
                <w:color w:val="auto"/>
              </w:rPr>
            </w:pPr>
            <w:r>
              <w:rPr>
                <w:rFonts w:ascii="Arial" w:cs="Arial" w:eastAsia="Arial" w:hAnsi="Arial"/>
                <w:sz w:val="16"/>
                <w:szCs w:val="16"/>
                <w:color w:val="auto"/>
              </w:rPr>
              <w:t>- 30.00%</w:t>
            </w:r>
          </w:p>
        </w:tc>
        <w:tc>
          <w:tcPr>
            <w:tcW w:w="0" w:type="dxa"/>
            <w:vAlign w:val="bottom"/>
          </w:tcPr>
          <w:p>
            <w:pPr>
              <w:spacing w:after="0"/>
              <w:rPr>
                <w:sz w:val="1"/>
                <w:szCs w:val="1"/>
                <w:color w:val="auto"/>
              </w:rPr>
            </w:pPr>
          </w:p>
        </w:tc>
      </w:tr>
      <w:tr>
        <w:trPr>
          <w:trHeight w:val="204"/>
        </w:trPr>
        <w:tc>
          <w:tcPr>
            <w:tcW w:w="68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460" w:type="dxa"/>
            <w:vAlign w:val="bottom"/>
            <w:vMerge w:val="continue"/>
          </w:tcPr>
          <w:p>
            <w:pPr>
              <w:spacing w:after="0"/>
              <w:rPr>
                <w:sz w:val="17"/>
                <w:szCs w:val="17"/>
                <w:color w:val="auto"/>
              </w:rPr>
            </w:pPr>
          </w:p>
        </w:tc>
        <w:tc>
          <w:tcPr>
            <w:tcW w:w="1960" w:type="dxa"/>
            <w:vAlign w:val="bottom"/>
            <w:gridSpan w:val="2"/>
          </w:tcPr>
          <w:p>
            <w:pPr>
              <w:ind w:left="80"/>
              <w:spacing w:after="0"/>
              <w:rPr>
                <w:sz w:val="20"/>
                <w:szCs w:val="20"/>
                <w:color w:val="auto"/>
              </w:rPr>
            </w:pPr>
            <w:r>
              <w:rPr>
                <w:rFonts w:ascii="Arial" w:cs="Arial" w:eastAsia="Arial" w:hAnsi="Arial"/>
                <w:sz w:val="16"/>
                <w:szCs w:val="16"/>
                <w:color w:val="auto"/>
              </w:rPr>
              <w:t>(5.05%)</w:t>
            </w:r>
          </w:p>
        </w:tc>
        <w:tc>
          <w:tcPr>
            <w:tcW w:w="0" w:type="dxa"/>
            <w:vAlign w:val="bottom"/>
          </w:tcPr>
          <w:p>
            <w:pPr>
              <w:spacing w:after="0"/>
              <w:rPr>
                <w:sz w:val="1"/>
                <w:szCs w:val="1"/>
                <w:color w:val="auto"/>
              </w:rPr>
            </w:pPr>
          </w:p>
        </w:tc>
      </w:tr>
      <w:tr>
        <w:trPr>
          <w:trHeight w:val="208"/>
        </w:trPr>
        <w:tc>
          <w:tcPr>
            <w:tcW w:w="68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460" w:type="dxa"/>
            <w:vAlign w:val="bottom"/>
          </w:tcPr>
          <w:p>
            <w:pPr>
              <w:ind w:left="120"/>
              <w:spacing w:after="0"/>
              <w:rPr>
                <w:sz w:val="20"/>
                <w:szCs w:val="20"/>
                <w:color w:val="auto"/>
              </w:rPr>
            </w:pPr>
            <w:r>
              <w:rPr>
                <w:rFonts w:ascii="Arial" w:cs="Arial" w:eastAsia="Arial" w:hAnsi="Arial"/>
                <w:sz w:val="16"/>
                <w:szCs w:val="16"/>
                <w:color w:val="auto"/>
              </w:rPr>
              <w:t>Partial Withdrawal</w:t>
            </w:r>
          </w:p>
        </w:tc>
        <w:tc>
          <w:tcPr>
            <w:tcW w:w="500" w:type="dxa"/>
            <w:vAlign w:val="bottom"/>
          </w:tcPr>
          <w:p>
            <w:pPr>
              <w:ind w:left="80"/>
              <w:spacing w:after="0"/>
              <w:rPr>
                <w:sz w:val="20"/>
                <w:szCs w:val="20"/>
                <w:color w:val="auto"/>
              </w:rPr>
            </w:pPr>
            <w:r>
              <w:rPr>
                <w:rFonts w:ascii="Arial" w:cs="Arial" w:eastAsia="Arial" w:hAnsi="Arial"/>
                <w:sz w:val="16"/>
                <w:szCs w:val="16"/>
                <w:color w:val="auto"/>
                <w:w w:val="88"/>
              </w:rPr>
              <w:t>2.00%</w:t>
            </w:r>
          </w:p>
        </w:tc>
        <w:tc>
          <w:tcPr>
            <w:tcW w:w="1460" w:type="dxa"/>
            <w:vAlign w:val="bottom"/>
          </w:tcPr>
          <w:p>
            <w:pPr>
              <w:ind w:left="20"/>
              <w:spacing w:after="0"/>
              <w:rPr>
                <w:sz w:val="20"/>
                <w:szCs w:val="20"/>
                <w:color w:val="auto"/>
              </w:rPr>
            </w:pPr>
            <w:r>
              <w:rPr>
                <w:rFonts w:ascii="Arial" w:cs="Arial" w:eastAsia="Arial" w:hAnsi="Arial"/>
                <w:sz w:val="16"/>
                <w:szCs w:val="16"/>
                <w:color w:val="auto"/>
              </w:rPr>
              <w:t>- 24.39%</w:t>
            </w:r>
          </w:p>
        </w:tc>
        <w:tc>
          <w:tcPr>
            <w:tcW w:w="0" w:type="dxa"/>
            <w:vAlign w:val="bottom"/>
          </w:tcPr>
          <w:p>
            <w:pPr>
              <w:spacing w:after="0"/>
              <w:rPr>
                <w:sz w:val="1"/>
                <w:szCs w:val="1"/>
                <w:color w:val="auto"/>
              </w:rPr>
            </w:pPr>
          </w:p>
        </w:tc>
      </w:tr>
      <w:tr>
        <w:trPr>
          <w:trHeight w:val="204"/>
        </w:trPr>
        <w:tc>
          <w:tcPr>
            <w:tcW w:w="68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460" w:type="dxa"/>
            <w:vAlign w:val="bottom"/>
          </w:tcPr>
          <w:p>
            <w:pPr>
              <w:ind w:left="120"/>
              <w:spacing w:after="0"/>
              <w:rPr>
                <w:sz w:val="20"/>
                <w:szCs w:val="20"/>
                <w:color w:val="auto"/>
              </w:rPr>
            </w:pPr>
            <w:r>
              <w:rPr>
                <w:rFonts w:ascii="Arial" w:cs="Arial" w:eastAsia="Arial" w:hAnsi="Arial"/>
                <w:sz w:val="16"/>
                <w:szCs w:val="16"/>
                <w:color w:val="auto"/>
              </w:rPr>
              <w:t>Rates</w:t>
            </w:r>
          </w:p>
        </w:tc>
        <w:tc>
          <w:tcPr>
            <w:tcW w:w="500" w:type="dxa"/>
            <w:vAlign w:val="bottom"/>
          </w:tcPr>
          <w:p>
            <w:pPr>
              <w:ind w:left="80"/>
              <w:spacing w:after="0"/>
              <w:rPr>
                <w:sz w:val="20"/>
                <w:szCs w:val="20"/>
                <w:color w:val="auto"/>
              </w:rPr>
            </w:pPr>
            <w:r>
              <w:rPr>
                <w:rFonts w:ascii="Arial" w:cs="Arial" w:eastAsia="Arial" w:hAnsi="Arial"/>
                <w:sz w:val="16"/>
                <w:szCs w:val="16"/>
                <w:color w:val="auto"/>
                <w:w w:val="88"/>
              </w:rPr>
              <w:t>2.48%</w:t>
            </w: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68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460" w:type="dxa"/>
            <w:vAlign w:val="bottom"/>
          </w:tcPr>
          <w:p>
            <w:pPr>
              <w:ind w:left="120"/>
              <w:spacing w:after="0"/>
              <w:rPr>
                <w:sz w:val="20"/>
                <w:szCs w:val="20"/>
                <w:color w:val="auto"/>
              </w:rPr>
            </w:pPr>
            <w:r>
              <w:rPr>
                <w:rFonts w:ascii="Arial" w:cs="Arial" w:eastAsia="Arial" w:hAnsi="Arial"/>
                <w:sz w:val="16"/>
                <w:szCs w:val="16"/>
                <w:color w:val="auto"/>
              </w:rPr>
              <w:t>Non-Performance</w:t>
            </w:r>
          </w:p>
        </w:tc>
        <w:tc>
          <w:tcPr>
            <w:tcW w:w="500" w:type="dxa"/>
            <w:vAlign w:val="bottom"/>
          </w:tcPr>
          <w:p>
            <w:pPr>
              <w:ind w:left="80"/>
              <w:spacing w:after="0"/>
              <w:rPr>
                <w:sz w:val="20"/>
                <w:szCs w:val="20"/>
                <w:color w:val="auto"/>
              </w:rPr>
            </w:pPr>
            <w:r>
              <w:rPr>
                <w:rFonts w:ascii="Arial" w:cs="Arial" w:eastAsia="Arial" w:hAnsi="Arial"/>
                <w:sz w:val="16"/>
                <w:szCs w:val="16"/>
                <w:color w:val="auto"/>
                <w:w w:val="88"/>
              </w:rPr>
              <w:t>0.48%</w:t>
            </w:r>
          </w:p>
        </w:tc>
        <w:tc>
          <w:tcPr>
            <w:tcW w:w="1460" w:type="dxa"/>
            <w:vAlign w:val="bottom"/>
          </w:tcPr>
          <w:p>
            <w:pPr>
              <w:ind w:left="20"/>
              <w:spacing w:after="0"/>
              <w:rPr>
                <w:sz w:val="20"/>
                <w:szCs w:val="20"/>
                <w:color w:val="auto"/>
              </w:rPr>
            </w:pPr>
            <w:r>
              <w:rPr>
                <w:rFonts w:ascii="Arial" w:cs="Arial" w:eastAsia="Arial" w:hAnsi="Arial"/>
                <w:sz w:val="16"/>
                <w:szCs w:val="16"/>
                <w:color w:val="auto"/>
              </w:rPr>
              <w:t>- 0.95%</w:t>
            </w:r>
          </w:p>
        </w:tc>
        <w:tc>
          <w:tcPr>
            <w:tcW w:w="0" w:type="dxa"/>
            <w:vAlign w:val="bottom"/>
          </w:tcPr>
          <w:p>
            <w:pPr>
              <w:spacing w:after="0"/>
              <w:rPr>
                <w:sz w:val="1"/>
                <w:szCs w:val="1"/>
                <w:color w:val="auto"/>
              </w:rPr>
            </w:pPr>
          </w:p>
        </w:tc>
      </w:tr>
      <w:tr>
        <w:trPr>
          <w:trHeight w:val="204"/>
        </w:trPr>
        <w:tc>
          <w:tcPr>
            <w:tcW w:w="68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460" w:type="dxa"/>
            <w:vAlign w:val="bottom"/>
          </w:tcPr>
          <w:p>
            <w:pPr>
              <w:ind w:left="120"/>
              <w:spacing w:after="0"/>
              <w:rPr>
                <w:sz w:val="20"/>
                <w:szCs w:val="20"/>
                <w:color w:val="auto"/>
              </w:rPr>
            </w:pPr>
            <w:r>
              <w:rPr>
                <w:rFonts w:ascii="Arial" w:cs="Arial" w:eastAsia="Arial" w:hAnsi="Arial"/>
                <w:sz w:val="16"/>
                <w:szCs w:val="16"/>
                <w:color w:val="auto"/>
              </w:rPr>
              <w:t>Spread</w:t>
            </w:r>
          </w:p>
        </w:tc>
        <w:tc>
          <w:tcPr>
            <w:tcW w:w="1960" w:type="dxa"/>
            <w:vAlign w:val="bottom"/>
            <w:gridSpan w:val="2"/>
          </w:tcPr>
          <w:p>
            <w:pPr>
              <w:ind w:left="80"/>
              <w:spacing w:after="0"/>
              <w:rPr>
                <w:sz w:val="20"/>
                <w:szCs w:val="20"/>
                <w:color w:val="auto"/>
              </w:rPr>
            </w:pPr>
            <w:r>
              <w:rPr>
                <w:rFonts w:ascii="Arial" w:cs="Arial" w:eastAsia="Arial" w:hAnsi="Arial"/>
                <w:sz w:val="16"/>
                <w:szCs w:val="16"/>
                <w:color w:val="auto"/>
              </w:rPr>
              <w:t>(0.75%)</w:t>
            </w:r>
          </w:p>
        </w:tc>
        <w:tc>
          <w:tcPr>
            <w:tcW w:w="0" w:type="dxa"/>
            <w:vAlign w:val="bottom"/>
          </w:tcPr>
          <w:p>
            <w:pPr>
              <w:spacing w:after="0"/>
              <w:rPr>
                <w:sz w:val="1"/>
                <w:szCs w:val="1"/>
                <w:color w:val="auto"/>
              </w:rPr>
            </w:pPr>
          </w:p>
        </w:tc>
      </w:tr>
      <w:tr>
        <w:trPr>
          <w:trHeight w:val="256"/>
        </w:trPr>
        <w:tc>
          <w:tcPr>
            <w:tcW w:w="680" w:type="dxa"/>
            <w:vAlign w:val="bottom"/>
          </w:tcPr>
          <w:p>
            <w:pPr>
              <w:spacing w:after="0"/>
              <w:rPr>
                <w:sz w:val="22"/>
                <w:szCs w:val="22"/>
                <w:color w:val="auto"/>
              </w:rPr>
            </w:pPr>
          </w:p>
        </w:tc>
        <w:tc>
          <w:tcPr>
            <w:tcW w:w="2380" w:type="dxa"/>
            <w:vAlign w:val="bottom"/>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1660" w:type="dxa"/>
            <w:vAlign w:val="bottom"/>
          </w:tcPr>
          <w:p>
            <w:pPr>
              <w:spacing w:after="0"/>
              <w:rPr>
                <w:sz w:val="22"/>
                <w:szCs w:val="22"/>
                <w:color w:val="auto"/>
              </w:rPr>
            </w:pPr>
          </w:p>
        </w:tc>
        <w:tc>
          <w:tcPr>
            <w:tcW w:w="1460" w:type="dxa"/>
            <w:vAlign w:val="bottom"/>
          </w:tcPr>
          <w:p>
            <w:pPr>
              <w:ind w:left="120"/>
              <w:spacing w:after="0"/>
              <w:rPr>
                <w:sz w:val="20"/>
                <w:szCs w:val="20"/>
                <w:color w:val="auto"/>
              </w:rPr>
            </w:pPr>
            <w:r>
              <w:rPr>
                <w:rFonts w:ascii="Arial" w:cs="Arial" w:eastAsia="Arial" w:hAnsi="Arial"/>
                <w:sz w:val="16"/>
                <w:szCs w:val="16"/>
                <w:color w:val="auto"/>
              </w:rPr>
              <w:t>GMWB Utilization</w:t>
            </w:r>
          </w:p>
        </w:tc>
        <w:tc>
          <w:tcPr>
            <w:tcW w:w="1960" w:type="dxa"/>
            <w:vAlign w:val="bottom"/>
            <w:gridSpan w:val="2"/>
          </w:tcPr>
          <w:p>
            <w:pPr>
              <w:ind w:left="80"/>
              <w:spacing w:after="0"/>
              <w:rPr>
                <w:sz w:val="20"/>
                <w:szCs w:val="20"/>
                <w:color w:val="auto"/>
              </w:rPr>
            </w:pPr>
            <w:r>
              <w:rPr>
                <w:rFonts w:ascii="Arial" w:cs="Arial" w:eastAsia="Arial" w:hAnsi="Arial"/>
                <w:sz w:val="16"/>
                <w:szCs w:val="16"/>
                <w:color w:val="auto"/>
                <w:w w:val="96"/>
              </w:rPr>
              <w:t>50.00% - 75.00% (61.77%)</w:t>
            </w:r>
          </w:p>
        </w:tc>
        <w:tc>
          <w:tcPr>
            <w:tcW w:w="0" w:type="dxa"/>
            <w:vAlign w:val="bottom"/>
          </w:tcPr>
          <w:p>
            <w:pPr>
              <w:spacing w:after="0"/>
              <w:rPr>
                <w:sz w:val="1"/>
                <w:szCs w:val="1"/>
                <w:color w:val="auto"/>
              </w:rPr>
            </w:pPr>
          </w:p>
        </w:tc>
      </w:tr>
      <w:tr>
        <w:trPr>
          <w:trHeight w:val="210"/>
        </w:trPr>
        <w:tc>
          <w:tcPr>
            <w:tcW w:w="3060" w:type="dxa"/>
            <w:vAlign w:val="bottom"/>
            <w:gridSpan w:val="2"/>
          </w:tcPr>
          <w:p>
            <w:pPr>
              <w:ind w:left="360"/>
              <w:spacing w:after="0"/>
              <w:rPr>
                <w:sz w:val="20"/>
                <w:szCs w:val="20"/>
                <w:color w:val="auto"/>
              </w:rPr>
            </w:pPr>
            <w:r>
              <w:rPr>
                <w:rFonts w:ascii="Arial" w:cs="Arial" w:eastAsia="Arial" w:hAnsi="Arial"/>
                <w:sz w:val="16"/>
                <w:szCs w:val="16"/>
                <w:color w:val="auto"/>
              </w:rPr>
              <w:t>Total financial liabilities at fair value</w:t>
            </w:r>
          </w:p>
        </w:tc>
        <w:tc>
          <w:tcPr>
            <w:tcW w:w="580" w:type="dxa"/>
            <w:vAlign w:val="bottom"/>
            <w:tcBorders>
              <w:bottom w:val="single" w:sz="8" w:color="auto"/>
            </w:tcBorders>
          </w:tcPr>
          <w:p>
            <w:pPr>
              <w:jc w:val="right"/>
              <w:ind w:right="382"/>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5,843</w:t>
            </w:r>
          </w:p>
        </w:tc>
        <w:tc>
          <w:tcPr>
            <w:tcW w:w="16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567055</wp:posOffset>
            </wp:positionH>
            <wp:positionV relativeFrom="page">
              <wp:posOffset>516255</wp:posOffset>
            </wp:positionV>
            <wp:extent cx="6410325" cy="460248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82">
                      <a:extLst>
                        <a:ext uri="{28A0092B-C50C-407E-A947-70E740481C1C}"/>
                      </a:extLst>
                    </a:blip>
                    <a:srcRect/>
                    <a:stretch>
                      <a:fillRect/>
                    </a:stretch>
                  </pic:blipFill>
                  <pic:spPr bwMode="auto">
                    <a:xfrm>
                      <a:off x="0" y="0"/>
                      <a:ext cx="6410325" cy="4602480"/>
                    </a:xfrm>
                    <a:prstGeom prst="rect">
                      <a:avLst/>
                    </a:prstGeom>
                    <a:noFill/>
                  </pic:spPr>
                </pic:pic>
              </a:graphicData>
            </a:graphic>
          </wp:anchor>
        </w:drawing>
      </w:r>
    </w:p>
    <w:p>
      <w:pPr>
        <w:ind w:left="7" w:hanging="7"/>
        <w:spacing w:after="0" w:line="389" w:lineRule="auto"/>
        <w:tabs>
          <w:tab w:leader="none" w:pos="291" w:val="left"/>
        </w:tabs>
        <w:numPr>
          <w:ilvl w:val="0"/>
          <w:numId w:val="48"/>
        </w:numPr>
        <w:rPr>
          <w:rFonts w:ascii="Arial" w:cs="Arial" w:eastAsia="Arial" w:hAnsi="Arial"/>
          <w:sz w:val="13"/>
          <w:szCs w:val="13"/>
          <w:color w:val="auto"/>
        </w:rPr>
      </w:pPr>
      <w:r>
        <w:rPr>
          <w:rFonts w:ascii="Arial" w:cs="Arial" w:eastAsia="Arial" w:hAnsi="Arial"/>
          <w:sz w:val="13"/>
          <w:szCs w:val="13"/>
          <w:color w:val="auto"/>
        </w:rPr>
        <w:t>Assets of $10,301 million for which significant quantitative unobservable inputs are not developed internally and not readily available to the Company (primarily those valued using broker quotes and certain third-party pricing services) are excluded from the respective totals in the table above.</w:t>
      </w:r>
    </w:p>
    <w:p>
      <w:pPr>
        <w:sectPr>
          <w:pgSz w:w="11880" w:h="15480" w:orient="portrait"/>
          <w:cols w:equalWidth="0" w:num="1">
            <w:col w:w="10047"/>
          </w:cols>
          <w:pgMar w:left="913" w:top="841"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6"/>
        <w:spacing w:after="0"/>
        <w:rPr>
          <w:sz w:val="20"/>
          <w:szCs w:val="20"/>
          <w:color w:val="auto"/>
        </w:rPr>
      </w:pPr>
      <w:r>
        <w:rPr>
          <w:rFonts w:ascii="Arial" w:cs="Arial" w:eastAsia="Arial" w:hAnsi="Arial"/>
          <w:sz w:val="16"/>
          <w:szCs w:val="16"/>
          <w:color w:val="auto"/>
        </w:rPr>
        <w:t>128</w:t>
      </w:r>
    </w:p>
    <w:p>
      <w:pPr>
        <w:sectPr>
          <w:pgSz w:w="11880" w:h="15480" w:orient="portrait"/>
          <w:cols w:equalWidth="0" w:num="1">
            <w:col w:w="10047"/>
          </w:cols>
          <w:pgMar w:left="913" w:top="841" w:right="920" w:bottom="0" w:gutter="0" w:footer="0" w:header="0"/>
          <w:type w:val="continuous"/>
        </w:sectPr>
      </w:pPr>
    </w:p>
    <w:bookmarkStart w:id="140" w:name="page141"/>
    <w:bookmarkEnd w:id="140"/>
    <w:p>
      <w:pPr>
        <w:jc w:val="both"/>
        <w:ind w:left="7" w:firstLine="353"/>
        <w:spacing w:after="0" w:line="325" w:lineRule="auto"/>
        <w:rPr>
          <w:sz w:val="20"/>
          <w:szCs w:val="20"/>
          <w:color w:val="auto"/>
        </w:rPr>
      </w:pPr>
      <w:r>
        <w:rPr>
          <w:rFonts w:ascii="Arial" w:cs="Arial" w:eastAsia="Arial" w:hAnsi="Arial"/>
          <w:sz w:val="17"/>
          <w:szCs w:val="17"/>
          <w:color w:val="auto"/>
        </w:rPr>
        <w:t>The following tables summarize changes to the Company’s financial instruments carried at fair value and classified within Level 3 of the fair value hierarchy for the years ended December 31, 2025 and 2024, respectively. The gains and losses below may include changes in fair value due in part to observable inputs that are a component of the valuation methodology.</w:t>
      </w:r>
    </w:p>
    <w:p>
      <w:pPr>
        <w:spacing w:after="0" w:line="58" w:lineRule="exact"/>
        <w:rPr>
          <w:sz w:val="20"/>
          <w:szCs w:val="20"/>
          <w:color w:val="auto"/>
        </w:rPr>
      </w:pPr>
    </w:p>
    <w:tbl>
      <w:tblPr>
        <w:tblLayout w:type="fixed"/>
        <w:tblInd w:w="147" w:type="dxa"/>
        <w:tblCellMar>
          <w:top w:w="0" w:type="dxa"/>
          <w:left w:w="0" w:type="dxa"/>
          <w:bottom w:w="0" w:type="dxa"/>
          <w:right w:w="0" w:type="dxa"/>
        </w:tblCellMar>
      </w:tblPr>
      <w:tr>
        <w:trPr>
          <w:trHeight w:val="206"/>
        </w:trPr>
        <w:tc>
          <w:tcPr>
            <w:tcW w:w="2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80" w:type="dxa"/>
            <w:vAlign w:val="bottom"/>
            <w:gridSpan w:val="9"/>
          </w:tcPr>
          <w:p>
            <w:pPr>
              <w:jc w:val="right"/>
              <w:ind w:right="82"/>
              <w:spacing w:after="0"/>
              <w:rPr>
                <w:sz w:val="20"/>
                <w:szCs w:val="20"/>
                <w:color w:val="auto"/>
              </w:rPr>
            </w:pPr>
            <w:r>
              <w:rPr>
                <w:rFonts w:ascii="Arial" w:cs="Arial" w:eastAsia="Arial" w:hAnsi="Arial"/>
                <w:sz w:val="16"/>
                <w:szCs w:val="16"/>
                <w:b w:val="1"/>
                <w:bCs w:val="1"/>
                <w:color w:val="auto"/>
              </w:rPr>
              <w:t>Year ended December 31, 2025</w:t>
            </w: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212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gridSpan w:val="4"/>
          </w:tcPr>
          <w:p>
            <w:pPr>
              <w:jc w:val="right"/>
              <w:ind w:right="342"/>
              <w:spacing w:after="0"/>
              <w:rPr>
                <w:sz w:val="20"/>
                <w:szCs w:val="20"/>
                <w:color w:val="auto"/>
              </w:rPr>
            </w:pPr>
            <w:r>
              <w:rPr>
                <w:rFonts w:ascii="Arial" w:cs="Arial" w:eastAsia="Arial" w:hAnsi="Arial"/>
                <w:sz w:val="16"/>
                <w:szCs w:val="16"/>
                <w:b w:val="1"/>
                <w:bCs w:val="1"/>
                <w:color w:val="auto"/>
              </w:rPr>
              <w:t>(in millions)</w:t>
            </w:r>
          </w:p>
        </w:tc>
        <w:tc>
          <w:tcPr>
            <w:tcW w:w="6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77"/>
        </w:trPr>
        <w:tc>
          <w:tcPr>
            <w:tcW w:w="2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60" w:type="dxa"/>
            <w:vAlign w:val="bottom"/>
            <w:gridSpan w:val="5"/>
          </w:tcPr>
          <w:p>
            <w:pPr>
              <w:jc w:val="right"/>
              <w:ind w:right="22"/>
              <w:spacing w:after="0" w:line="177" w:lineRule="exact"/>
              <w:rPr>
                <w:sz w:val="20"/>
                <w:szCs w:val="20"/>
                <w:color w:val="auto"/>
              </w:rPr>
            </w:pPr>
            <w:r>
              <w:rPr>
                <w:rFonts w:ascii="Arial" w:cs="Arial" w:eastAsia="Arial" w:hAnsi="Arial"/>
                <w:sz w:val="16"/>
                <w:szCs w:val="16"/>
                <w:b w:val="1"/>
                <w:bCs w:val="1"/>
                <w:color w:val="auto"/>
                <w:w w:val="91"/>
              </w:rPr>
              <w:t>Total Gains (Losses)</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jc w:val="center"/>
              <w:ind w:right="62"/>
              <w:spacing w:after="0" w:line="177" w:lineRule="exact"/>
              <w:rPr>
                <w:sz w:val="20"/>
                <w:szCs w:val="20"/>
                <w:color w:val="auto"/>
              </w:rPr>
            </w:pPr>
            <w:r>
              <w:rPr>
                <w:rFonts w:ascii="Arial" w:cs="Arial" w:eastAsia="Arial" w:hAnsi="Arial"/>
                <w:sz w:val="16"/>
                <w:szCs w:val="16"/>
                <w:b w:val="1"/>
                <w:bCs w:val="1"/>
                <w:color w:val="auto"/>
                <w:w w:val="92"/>
              </w:rPr>
              <w:t>Net</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2"/>
        </w:trPr>
        <w:tc>
          <w:tcPr>
            <w:tcW w:w="2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gridSpan w:val="2"/>
          </w:tcPr>
          <w:p>
            <w:pPr>
              <w:jc w:val="center"/>
              <w:spacing w:after="0" w:line="152" w:lineRule="exact"/>
              <w:rPr>
                <w:sz w:val="20"/>
                <w:szCs w:val="20"/>
                <w:color w:val="auto"/>
              </w:rPr>
            </w:pPr>
            <w:r>
              <w:rPr>
                <w:rFonts w:ascii="Arial" w:cs="Arial" w:eastAsia="Arial" w:hAnsi="Arial"/>
                <w:sz w:val="16"/>
                <w:szCs w:val="16"/>
                <w:b w:val="1"/>
                <w:bCs w:val="1"/>
                <w:color w:val="auto"/>
                <w:w w:val="90"/>
              </w:rPr>
              <w:t>transfer</w:t>
            </w:r>
          </w:p>
        </w:tc>
        <w:tc>
          <w:tcPr>
            <w:tcW w:w="80" w:type="dxa"/>
            <w:vAlign w:val="bottom"/>
          </w:tcPr>
          <w:p>
            <w:pPr>
              <w:spacing w:after="0"/>
              <w:rPr>
                <w:sz w:val="13"/>
                <w:szCs w:val="13"/>
                <w:color w:val="auto"/>
              </w:rPr>
            </w:pPr>
          </w:p>
        </w:tc>
        <w:tc>
          <w:tcPr>
            <w:tcW w:w="680" w:type="dxa"/>
            <w:vAlign w:val="bottom"/>
            <w:gridSpan w:val="2"/>
            <w:vMerge w:val="restart"/>
          </w:tcPr>
          <w:p>
            <w:pPr>
              <w:jc w:val="center"/>
              <w:spacing w:after="0"/>
              <w:rPr>
                <w:sz w:val="20"/>
                <w:szCs w:val="20"/>
                <w:color w:val="auto"/>
              </w:rPr>
            </w:pPr>
            <w:r>
              <w:rPr>
                <w:rFonts w:ascii="Arial" w:cs="Arial" w:eastAsia="Arial" w:hAnsi="Arial"/>
                <w:sz w:val="16"/>
                <w:szCs w:val="16"/>
                <w:b w:val="1"/>
                <w:bCs w:val="1"/>
                <w:color w:val="auto"/>
                <w:w w:val="84"/>
              </w:rPr>
              <w:t>Balance</w:t>
            </w:r>
          </w:p>
        </w:tc>
        <w:tc>
          <w:tcPr>
            <w:tcW w:w="60" w:type="dxa"/>
            <w:vAlign w:val="bottom"/>
          </w:tcPr>
          <w:p>
            <w:pPr>
              <w:spacing w:after="0"/>
              <w:rPr>
                <w:sz w:val="13"/>
                <w:szCs w:val="13"/>
                <w:color w:val="auto"/>
              </w:rPr>
            </w:pPr>
          </w:p>
        </w:tc>
        <w:tc>
          <w:tcPr>
            <w:tcW w:w="840" w:type="dxa"/>
            <w:vAlign w:val="bottom"/>
            <w:gridSpan w:val="2"/>
            <w:vMerge w:val="restart"/>
          </w:tcPr>
          <w:p>
            <w:pPr>
              <w:jc w:val="center"/>
              <w:spacing w:after="0"/>
              <w:rPr>
                <w:sz w:val="20"/>
                <w:szCs w:val="20"/>
                <w:color w:val="auto"/>
              </w:rPr>
            </w:pPr>
            <w:r>
              <w:rPr>
                <w:rFonts w:ascii="Arial" w:cs="Arial" w:eastAsia="Arial" w:hAnsi="Arial"/>
                <w:sz w:val="16"/>
                <w:szCs w:val="16"/>
                <w:b w:val="1"/>
                <w:bCs w:val="1"/>
                <w:color w:val="auto"/>
                <w:w w:val="87"/>
              </w:rPr>
              <w:t>Change in</w:t>
            </w:r>
          </w:p>
        </w:tc>
        <w:tc>
          <w:tcPr>
            <w:tcW w:w="0" w:type="dxa"/>
            <w:vAlign w:val="bottom"/>
          </w:tcPr>
          <w:p>
            <w:pPr>
              <w:spacing w:after="0"/>
              <w:rPr>
                <w:sz w:val="1"/>
                <w:szCs w:val="1"/>
                <w:color w:val="auto"/>
              </w:rPr>
            </w:pPr>
          </w:p>
        </w:tc>
      </w:tr>
      <w:tr>
        <w:trPr>
          <w:trHeight w:val="157"/>
        </w:trPr>
        <w:tc>
          <w:tcPr>
            <w:tcW w:w="2120" w:type="dxa"/>
            <w:vAlign w:val="bottom"/>
          </w:tcPr>
          <w:p>
            <w:pPr>
              <w:spacing w:after="0"/>
              <w:rPr>
                <w:sz w:val="13"/>
                <w:szCs w:val="13"/>
                <w:color w:val="auto"/>
              </w:rPr>
            </w:pPr>
          </w:p>
        </w:tc>
        <w:tc>
          <w:tcPr>
            <w:tcW w:w="820" w:type="dxa"/>
            <w:vAlign w:val="bottom"/>
            <w:gridSpan w:val="2"/>
            <w:vMerge w:val="restart"/>
          </w:tcPr>
          <w:p>
            <w:pPr>
              <w:ind w:left="60"/>
              <w:spacing w:after="0"/>
              <w:rPr>
                <w:sz w:val="20"/>
                <w:szCs w:val="20"/>
                <w:color w:val="auto"/>
              </w:rPr>
            </w:pPr>
            <w:r>
              <w:rPr>
                <w:rFonts w:ascii="Arial" w:cs="Arial" w:eastAsia="Arial" w:hAnsi="Arial"/>
                <w:sz w:val="16"/>
                <w:szCs w:val="16"/>
                <w:b w:val="1"/>
                <w:bCs w:val="1"/>
                <w:color w:val="auto"/>
                <w:w w:val="92"/>
              </w:rPr>
              <w:t>Balance at</w:t>
            </w:r>
          </w:p>
        </w:tc>
        <w:tc>
          <w:tcPr>
            <w:tcW w:w="140" w:type="dxa"/>
            <w:vAlign w:val="bottom"/>
          </w:tcPr>
          <w:p>
            <w:pPr>
              <w:spacing w:after="0"/>
              <w:rPr>
                <w:sz w:val="13"/>
                <w:szCs w:val="13"/>
                <w:color w:val="auto"/>
              </w:rPr>
            </w:pPr>
          </w:p>
        </w:tc>
        <w:tc>
          <w:tcPr>
            <w:tcW w:w="740" w:type="dxa"/>
            <w:vAlign w:val="bottom"/>
            <w:gridSpan w:val="2"/>
            <w:vMerge w:val="restart"/>
          </w:tcPr>
          <w:p>
            <w:pPr>
              <w:jc w:val="right"/>
              <w:ind w:right="2"/>
              <w:spacing w:after="0"/>
              <w:rPr>
                <w:sz w:val="20"/>
                <w:szCs w:val="20"/>
                <w:color w:val="auto"/>
              </w:rPr>
            </w:pPr>
            <w:r>
              <w:rPr>
                <w:rFonts w:ascii="Arial" w:cs="Arial" w:eastAsia="Arial" w:hAnsi="Arial"/>
                <w:sz w:val="16"/>
                <w:szCs w:val="16"/>
                <w:b w:val="1"/>
                <w:bCs w:val="1"/>
                <w:color w:val="auto"/>
                <w:w w:val="97"/>
              </w:rPr>
              <w:t>Included</w:t>
            </w:r>
          </w:p>
        </w:tc>
        <w:tc>
          <w:tcPr>
            <w:tcW w:w="80" w:type="dxa"/>
            <w:vAlign w:val="bottom"/>
          </w:tcPr>
          <w:p>
            <w:pPr>
              <w:spacing w:after="0"/>
              <w:rPr>
                <w:sz w:val="13"/>
                <w:szCs w:val="13"/>
                <w:color w:val="auto"/>
              </w:rPr>
            </w:pPr>
          </w:p>
        </w:tc>
        <w:tc>
          <w:tcPr>
            <w:tcW w:w="740" w:type="dxa"/>
            <w:vAlign w:val="bottom"/>
            <w:gridSpan w:val="2"/>
            <w:vMerge w:val="restart"/>
          </w:tcPr>
          <w:p>
            <w:pPr>
              <w:jc w:val="center"/>
              <w:spacing w:after="0"/>
              <w:rPr>
                <w:sz w:val="20"/>
                <w:szCs w:val="20"/>
                <w:color w:val="auto"/>
              </w:rPr>
            </w:pPr>
            <w:r>
              <w:rPr>
                <w:rFonts w:ascii="Arial" w:cs="Arial" w:eastAsia="Arial" w:hAnsi="Arial"/>
                <w:sz w:val="16"/>
                <w:szCs w:val="16"/>
                <w:b w:val="1"/>
                <w:bCs w:val="1"/>
                <w:color w:val="auto"/>
                <w:w w:val="88"/>
              </w:rPr>
              <w:t>Included</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gridSpan w:val="2"/>
          </w:tcPr>
          <w:p>
            <w:pPr>
              <w:jc w:val="center"/>
              <w:spacing w:after="0" w:line="157" w:lineRule="exact"/>
              <w:rPr>
                <w:sz w:val="20"/>
                <w:szCs w:val="20"/>
                <w:color w:val="auto"/>
              </w:rPr>
            </w:pPr>
            <w:r>
              <w:rPr>
                <w:rFonts w:ascii="Arial" w:cs="Arial" w:eastAsia="Arial" w:hAnsi="Arial"/>
                <w:sz w:val="16"/>
                <w:szCs w:val="16"/>
                <w:b w:val="1"/>
                <w:bCs w:val="1"/>
                <w:color w:val="auto"/>
                <w:w w:val="98"/>
              </w:rPr>
              <w:t>In (Out)</w:t>
            </w:r>
          </w:p>
        </w:tc>
        <w:tc>
          <w:tcPr>
            <w:tcW w:w="80" w:type="dxa"/>
            <w:vAlign w:val="bottom"/>
          </w:tcPr>
          <w:p>
            <w:pPr>
              <w:spacing w:after="0"/>
              <w:rPr>
                <w:sz w:val="13"/>
                <w:szCs w:val="13"/>
                <w:color w:val="auto"/>
              </w:rPr>
            </w:pPr>
          </w:p>
        </w:tc>
        <w:tc>
          <w:tcPr>
            <w:tcW w:w="680" w:type="dxa"/>
            <w:vAlign w:val="bottom"/>
            <w:gridSpan w:val="2"/>
            <w:vMerge w:val="continue"/>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120" w:type="dxa"/>
            <w:vAlign w:val="bottom"/>
          </w:tcPr>
          <w:p>
            <w:pPr>
              <w:spacing w:after="0"/>
              <w:rPr>
                <w:sz w:val="13"/>
                <w:szCs w:val="13"/>
                <w:color w:val="auto"/>
              </w:rPr>
            </w:pPr>
          </w:p>
        </w:tc>
        <w:tc>
          <w:tcPr>
            <w:tcW w:w="82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jc w:val="center"/>
              <w:ind w:right="62"/>
              <w:spacing w:after="0" w:line="157" w:lineRule="exact"/>
              <w:rPr>
                <w:sz w:val="20"/>
                <w:szCs w:val="20"/>
                <w:color w:val="auto"/>
              </w:rPr>
            </w:pPr>
            <w:r>
              <w:rPr>
                <w:rFonts w:ascii="Arial" w:cs="Arial" w:eastAsia="Arial" w:hAnsi="Arial"/>
                <w:sz w:val="16"/>
                <w:szCs w:val="16"/>
                <w:b w:val="1"/>
                <w:bCs w:val="1"/>
                <w:color w:val="auto"/>
                <w:w w:val="79"/>
              </w:rPr>
              <w:t>of</w:t>
            </w:r>
          </w:p>
        </w:tc>
        <w:tc>
          <w:tcPr>
            <w:tcW w:w="80" w:type="dxa"/>
            <w:vAlign w:val="bottom"/>
          </w:tcPr>
          <w:p>
            <w:pPr>
              <w:spacing w:after="0"/>
              <w:rPr>
                <w:sz w:val="13"/>
                <w:szCs w:val="13"/>
                <w:color w:val="auto"/>
              </w:rPr>
            </w:pPr>
          </w:p>
        </w:tc>
        <w:tc>
          <w:tcPr>
            <w:tcW w:w="680" w:type="dxa"/>
            <w:vAlign w:val="bottom"/>
            <w:gridSpan w:val="2"/>
          </w:tcPr>
          <w:p>
            <w:pPr>
              <w:jc w:val="center"/>
              <w:spacing w:after="0" w:line="157" w:lineRule="exact"/>
              <w:rPr>
                <w:sz w:val="20"/>
                <w:szCs w:val="20"/>
                <w:color w:val="auto"/>
              </w:rPr>
            </w:pPr>
            <w:r>
              <w:rPr>
                <w:rFonts w:ascii="Arial" w:cs="Arial" w:eastAsia="Arial" w:hAnsi="Arial"/>
                <w:sz w:val="16"/>
                <w:szCs w:val="16"/>
                <w:b w:val="1"/>
                <w:bCs w:val="1"/>
                <w:color w:val="auto"/>
                <w:w w:val="89"/>
              </w:rPr>
              <w:t>at End</w:t>
            </w:r>
          </w:p>
        </w:tc>
        <w:tc>
          <w:tcPr>
            <w:tcW w:w="60" w:type="dxa"/>
            <w:vAlign w:val="bottom"/>
          </w:tcPr>
          <w:p>
            <w:pPr>
              <w:spacing w:after="0"/>
              <w:rPr>
                <w:sz w:val="13"/>
                <w:szCs w:val="13"/>
                <w:color w:val="auto"/>
              </w:rPr>
            </w:pPr>
          </w:p>
        </w:tc>
        <w:tc>
          <w:tcPr>
            <w:tcW w:w="840" w:type="dxa"/>
            <w:vAlign w:val="bottom"/>
            <w:gridSpan w:val="2"/>
          </w:tcPr>
          <w:p>
            <w:pPr>
              <w:ind w:left="60"/>
              <w:spacing w:after="0" w:line="157" w:lineRule="exact"/>
              <w:rPr>
                <w:sz w:val="20"/>
                <w:szCs w:val="20"/>
                <w:color w:val="auto"/>
              </w:rPr>
            </w:pPr>
            <w:r>
              <w:rPr>
                <w:rFonts w:ascii="Arial" w:cs="Arial" w:eastAsia="Arial" w:hAnsi="Arial"/>
                <w:sz w:val="16"/>
                <w:szCs w:val="16"/>
                <w:b w:val="1"/>
                <w:bCs w:val="1"/>
                <w:color w:val="auto"/>
                <w:w w:val="93"/>
              </w:rPr>
              <w:t>Unrealized</w:t>
            </w:r>
          </w:p>
        </w:tc>
        <w:tc>
          <w:tcPr>
            <w:tcW w:w="0" w:type="dxa"/>
            <w:vAlign w:val="bottom"/>
          </w:tcPr>
          <w:p>
            <w:pPr>
              <w:spacing w:after="0"/>
              <w:rPr>
                <w:sz w:val="1"/>
                <w:szCs w:val="1"/>
                <w:color w:val="auto"/>
              </w:rPr>
            </w:pPr>
          </w:p>
        </w:tc>
      </w:tr>
      <w:tr>
        <w:trPr>
          <w:trHeight w:val="157"/>
        </w:trPr>
        <w:tc>
          <w:tcPr>
            <w:tcW w:w="2120" w:type="dxa"/>
            <w:vAlign w:val="bottom"/>
          </w:tcPr>
          <w:p>
            <w:pPr>
              <w:spacing w:after="0"/>
              <w:rPr>
                <w:sz w:val="13"/>
                <w:szCs w:val="13"/>
                <w:color w:val="auto"/>
              </w:rPr>
            </w:pPr>
          </w:p>
        </w:tc>
        <w:tc>
          <w:tcPr>
            <w:tcW w:w="820" w:type="dxa"/>
            <w:vAlign w:val="bottom"/>
            <w:gridSpan w:val="2"/>
          </w:tcPr>
          <w:p>
            <w:pPr>
              <w:ind w:left="60"/>
              <w:spacing w:after="0" w:line="157" w:lineRule="exact"/>
              <w:rPr>
                <w:sz w:val="20"/>
                <w:szCs w:val="20"/>
                <w:color w:val="auto"/>
              </w:rPr>
            </w:pPr>
            <w:r>
              <w:rPr>
                <w:rFonts w:ascii="Arial" w:cs="Arial" w:eastAsia="Arial" w:hAnsi="Arial"/>
                <w:sz w:val="16"/>
                <w:szCs w:val="16"/>
                <w:b w:val="1"/>
                <w:bCs w:val="1"/>
                <w:color w:val="auto"/>
                <w:w w:val="94"/>
              </w:rPr>
              <w:t>Beginning</w:t>
            </w: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20" w:type="dxa"/>
            <w:vAlign w:val="bottom"/>
          </w:tcPr>
          <w:p>
            <w:pPr>
              <w:jc w:val="right"/>
              <w:ind w:right="222"/>
              <w:spacing w:after="0" w:line="157" w:lineRule="exact"/>
              <w:rPr>
                <w:sz w:val="20"/>
                <w:szCs w:val="20"/>
                <w:color w:val="auto"/>
              </w:rPr>
            </w:pPr>
            <w:r>
              <w:rPr>
                <w:rFonts w:ascii="Arial" w:cs="Arial" w:eastAsia="Arial" w:hAnsi="Arial"/>
                <w:sz w:val="16"/>
                <w:szCs w:val="16"/>
                <w:b w:val="1"/>
                <w:bCs w:val="1"/>
                <w:color w:val="auto"/>
              </w:rPr>
              <w:t>in</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jc w:val="center"/>
              <w:ind w:right="62"/>
              <w:spacing w:after="0" w:line="157" w:lineRule="exact"/>
              <w:rPr>
                <w:sz w:val="20"/>
                <w:szCs w:val="20"/>
                <w:color w:val="auto"/>
              </w:rPr>
            </w:pPr>
            <w:r>
              <w:rPr>
                <w:rFonts w:ascii="Arial" w:cs="Arial" w:eastAsia="Arial" w:hAnsi="Arial"/>
                <w:sz w:val="16"/>
                <w:szCs w:val="16"/>
                <w:b w:val="1"/>
                <w:bCs w:val="1"/>
                <w:color w:val="auto"/>
                <w:w w:val="98"/>
              </w:rPr>
              <w:t>in</w:t>
            </w:r>
          </w:p>
        </w:tc>
        <w:tc>
          <w:tcPr>
            <w:tcW w:w="80" w:type="dxa"/>
            <w:vAlign w:val="bottom"/>
          </w:tcPr>
          <w:p>
            <w:pPr>
              <w:spacing w:after="0"/>
              <w:rPr>
                <w:sz w:val="13"/>
                <w:szCs w:val="13"/>
                <w:color w:val="auto"/>
              </w:rPr>
            </w:pPr>
          </w:p>
        </w:tc>
        <w:tc>
          <w:tcPr>
            <w:tcW w:w="820" w:type="dxa"/>
            <w:vAlign w:val="bottom"/>
            <w:gridSpan w:val="2"/>
            <w:vMerge w:val="restart"/>
          </w:tcPr>
          <w:p>
            <w:pPr>
              <w:jc w:val="right"/>
              <w:ind w:right="2"/>
              <w:spacing w:after="0"/>
              <w:rPr>
                <w:sz w:val="20"/>
                <w:szCs w:val="20"/>
                <w:color w:val="auto"/>
              </w:rPr>
            </w:pPr>
            <w:r>
              <w:rPr>
                <w:rFonts w:ascii="Arial" w:cs="Arial" w:eastAsia="Arial" w:hAnsi="Arial"/>
                <w:sz w:val="16"/>
                <w:szCs w:val="16"/>
                <w:b w:val="1"/>
                <w:bCs w:val="1"/>
                <w:color w:val="auto"/>
                <w:w w:val="88"/>
              </w:rPr>
              <w:t>Purchases</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vMerge w:val="restart"/>
          </w:tcPr>
          <w:p>
            <w:pPr>
              <w:jc w:val="right"/>
              <w:ind w:right="122"/>
              <w:spacing w:after="0"/>
              <w:rPr>
                <w:sz w:val="20"/>
                <w:szCs w:val="20"/>
                <w:color w:val="auto"/>
              </w:rPr>
            </w:pPr>
            <w:r>
              <w:rPr>
                <w:rFonts w:ascii="Arial" w:cs="Arial" w:eastAsia="Arial" w:hAnsi="Arial"/>
                <w:sz w:val="16"/>
                <w:szCs w:val="16"/>
                <w:b w:val="1"/>
                <w:bCs w:val="1"/>
                <w:color w:val="auto"/>
                <w:w w:val="81"/>
              </w:rPr>
              <w:t>Sales</w:t>
            </w:r>
          </w:p>
        </w:tc>
        <w:tc>
          <w:tcPr>
            <w:tcW w:w="60" w:type="dxa"/>
            <w:vAlign w:val="bottom"/>
          </w:tcPr>
          <w:p>
            <w:pPr>
              <w:spacing w:after="0"/>
              <w:rPr>
                <w:sz w:val="13"/>
                <w:szCs w:val="13"/>
                <w:color w:val="auto"/>
              </w:rPr>
            </w:pPr>
          </w:p>
        </w:tc>
        <w:tc>
          <w:tcPr>
            <w:tcW w:w="940" w:type="dxa"/>
            <w:vAlign w:val="bottom"/>
            <w:gridSpan w:val="2"/>
            <w:vMerge w:val="restart"/>
          </w:tcPr>
          <w:p>
            <w:pPr>
              <w:jc w:val="right"/>
              <w:ind w:right="2"/>
              <w:spacing w:after="0"/>
              <w:rPr>
                <w:sz w:val="20"/>
                <w:szCs w:val="20"/>
                <w:color w:val="auto"/>
              </w:rPr>
            </w:pPr>
            <w:r>
              <w:rPr>
                <w:rFonts w:ascii="Arial" w:cs="Arial" w:eastAsia="Arial" w:hAnsi="Arial"/>
                <w:sz w:val="16"/>
                <w:szCs w:val="16"/>
                <w:b w:val="1"/>
                <w:bCs w:val="1"/>
                <w:color w:val="auto"/>
                <w:w w:val="92"/>
              </w:rPr>
              <w:t>Settlements</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jc w:val="center"/>
              <w:ind w:right="62"/>
              <w:spacing w:after="0" w:line="157" w:lineRule="exact"/>
              <w:rPr>
                <w:sz w:val="20"/>
                <w:szCs w:val="20"/>
                <w:color w:val="auto"/>
              </w:rPr>
            </w:pPr>
            <w:r>
              <w:rPr>
                <w:rFonts w:ascii="Arial" w:cs="Arial" w:eastAsia="Arial" w:hAnsi="Arial"/>
                <w:sz w:val="16"/>
                <w:szCs w:val="16"/>
                <w:b w:val="1"/>
                <w:bCs w:val="1"/>
                <w:color w:val="auto"/>
                <w:w w:val="88"/>
              </w:rPr>
              <w:t>Level 3</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jc w:val="center"/>
              <w:ind w:right="82"/>
              <w:spacing w:after="0" w:line="157" w:lineRule="exact"/>
              <w:rPr>
                <w:sz w:val="20"/>
                <w:szCs w:val="20"/>
                <w:color w:val="auto"/>
              </w:rPr>
            </w:pPr>
            <w:r>
              <w:rPr>
                <w:rFonts w:ascii="Arial" w:cs="Arial" w:eastAsia="Arial" w:hAnsi="Arial"/>
                <w:sz w:val="16"/>
                <w:szCs w:val="16"/>
                <w:b w:val="1"/>
                <w:bCs w:val="1"/>
                <w:color w:val="auto"/>
                <w:w w:val="79"/>
              </w:rPr>
              <w:t>of</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jc w:val="center"/>
              <w:ind w:right="82"/>
              <w:spacing w:after="0" w:line="157" w:lineRule="exact"/>
              <w:rPr>
                <w:sz w:val="20"/>
                <w:szCs w:val="20"/>
                <w:color w:val="auto"/>
              </w:rPr>
            </w:pPr>
            <w:r>
              <w:rPr>
                <w:rFonts w:ascii="Arial" w:cs="Arial" w:eastAsia="Arial" w:hAnsi="Arial"/>
                <w:sz w:val="16"/>
                <w:szCs w:val="16"/>
                <w:b w:val="1"/>
                <w:bCs w:val="1"/>
                <w:color w:val="auto"/>
                <w:w w:val="95"/>
              </w:rPr>
              <w:t>Incl in</w:t>
            </w:r>
          </w:p>
        </w:tc>
        <w:tc>
          <w:tcPr>
            <w:tcW w:w="0" w:type="dxa"/>
            <w:vAlign w:val="bottom"/>
          </w:tcPr>
          <w:p>
            <w:pPr>
              <w:spacing w:after="0"/>
              <w:rPr>
                <w:sz w:val="1"/>
                <w:szCs w:val="1"/>
                <w:color w:val="auto"/>
              </w:rPr>
            </w:pPr>
          </w:p>
        </w:tc>
      </w:tr>
      <w:tr>
        <w:trPr>
          <w:trHeight w:val="210"/>
        </w:trPr>
        <w:tc>
          <w:tcPr>
            <w:tcW w:w="2120" w:type="dxa"/>
            <w:vAlign w:val="bottom"/>
          </w:tcPr>
          <w:p>
            <w:pPr>
              <w:spacing w:after="0"/>
              <w:rPr>
                <w:sz w:val="18"/>
                <w:szCs w:val="18"/>
                <w:color w:val="auto"/>
              </w:rPr>
            </w:pPr>
          </w:p>
        </w:tc>
        <w:tc>
          <w:tcPr>
            <w:tcW w:w="820" w:type="dxa"/>
            <w:vAlign w:val="bottom"/>
            <w:tcBorders>
              <w:bottom w:val="single" w:sz="8" w:color="auto"/>
            </w:tcBorders>
            <w:gridSpan w:val="2"/>
          </w:tcPr>
          <w:p>
            <w:pPr>
              <w:jc w:val="right"/>
              <w:ind w:right="22"/>
              <w:spacing w:after="0"/>
              <w:rPr>
                <w:sz w:val="20"/>
                <w:szCs w:val="20"/>
                <w:color w:val="auto"/>
              </w:rPr>
            </w:pPr>
            <w:r>
              <w:rPr>
                <w:rFonts w:ascii="Arial" w:cs="Arial" w:eastAsia="Arial" w:hAnsi="Arial"/>
                <w:sz w:val="16"/>
                <w:szCs w:val="16"/>
                <w:b w:val="1"/>
                <w:bCs w:val="1"/>
                <w:color w:val="auto"/>
              </w:rPr>
              <w:t>of Period</w:t>
            </w:r>
          </w:p>
        </w:tc>
        <w:tc>
          <w:tcPr>
            <w:tcW w:w="140" w:type="dxa"/>
            <w:vAlign w:val="bottom"/>
          </w:tcPr>
          <w:p>
            <w:pPr>
              <w:spacing w:after="0"/>
              <w:rPr>
                <w:sz w:val="18"/>
                <w:szCs w:val="18"/>
                <w:color w:val="auto"/>
              </w:rPr>
            </w:pPr>
          </w:p>
        </w:tc>
        <w:tc>
          <w:tcPr>
            <w:tcW w:w="740" w:type="dxa"/>
            <w:vAlign w:val="bottom"/>
            <w:tcBorders>
              <w:bottom w:val="single" w:sz="8" w:color="auto"/>
            </w:tcBorders>
            <w:gridSpan w:val="2"/>
          </w:tcPr>
          <w:p>
            <w:pPr>
              <w:ind w:left="60"/>
              <w:spacing w:after="0"/>
              <w:rPr>
                <w:sz w:val="20"/>
                <w:szCs w:val="20"/>
                <w:color w:val="auto"/>
              </w:rPr>
            </w:pPr>
            <w:r>
              <w:rPr>
                <w:rFonts w:ascii="Arial" w:cs="Arial" w:eastAsia="Arial" w:hAnsi="Arial"/>
                <w:sz w:val="16"/>
                <w:szCs w:val="16"/>
                <w:b w:val="1"/>
                <w:bCs w:val="1"/>
                <w:color w:val="auto"/>
                <w:w w:val="96"/>
              </w:rPr>
              <w:t>Earnings</w:t>
            </w: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center"/>
              <w:ind w:right="62"/>
              <w:spacing w:after="0"/>
              <w:rPr>
                <w:sz w:val="20"/>
                <w:szCs w:val="20"/>
                <w:color w:val="auto"/>
              </w:rPr>
            </w:pPr>
            <w:r>
              <w:rPr>
                <w:rFonts w:ascii="Arial" w:cs="Arial" w:eastAsia="Arial" w:hAnsi="Arial"/>
                <w:sz w:val="16"/>
                <w:szCs w:val="16"/>
                <w:b w:val="1"/>
                <w:bCs w:val="1"/>
                <w:color w:val="auto"/>
              </w:rPr>
              <w:t>AOCI</w:t>
            </w:r>
          </w:p>
        </w:tc>
        <w:tc>
          <w:tcPr>
            <w:tcW w:w="80" w:type="dxa"/>
            <w:vAlign w:val="bottom"/>
          </w:tcPr>
          <w:p>
            <w:pPr>
              <w:spacing w:after="0"/>
              <w:rPr>
                <w:sz w:val="18"/>
                <w:szCs w:val="18"/>
                <w:color w:val="auto"/>
              </w:rPr>
            </w:pPr>
          </w:p>
        </w:tc>
        <w:tc>
          <w:tcPr>
            <w:tcW w:w="820" w:type="dxa"/>
            <w:vAlign w:val="bottom"/>
            <w:tcBorders>
              <w:bottom w:val="single" w:sz="8" w:color="auto"/>
            </w:tcBorders>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vMerge w:val="continue"/>
          </w:tcPr>
          <w:p>
            <w:pPr>
              <w:spacing w:after="0"/>
              <w:rPr>
                <w:sz w:val="18"/>
                <w:szCs w:val="18"/>
                <w:color w:val="auto"/>
              </w:rPr>
            </w:pPr>
          </w:p>
        </w:tc>
        <w:tc>
          <w:tcPr>
            <w:tcW w:w="60" w:type="dxa"/>
            <w:vAlign w:val="bottom"/>
          </w:tcPr>
          <w:p>
            <w:pPr>
              <w:spacing w:after="0"/>
              <w:rPr>
                <w:sz w:val="18"/>
                <w:szCs w:val="18"/>
                <w:color w:val="auto"/>
              </w:rPr>
            </w:pPr>
          </w:p>
        </w:tc>
        <w:tc>
          <w:tcPr>
            <w:tcW w:w="940" w:type="dxa"/>
            <w:vAlign w:val="bottom"/>
            <w:tcBorders>
              <w:bottom w:val="single" w:sz="8" w:color="auto"/>
            </w:tcBorders>
            <w:gridSpan w:val="2"/>
            <w:vMerge w:val="continue"/>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center"/>
              <w:ind w:right="42"/>
              <w:spacing w:after="0"/>
              <w:rPr>
                <w:sz w:val="20"/>
                <w:szCs w:val="20"/>
                <w:color w:val="auto"/>
              </w:rPr>
            </w:pPr>
            <w:r>
              <w:rPr>
                <w:rFonts w:ascii="Arial" w:cs="Arial" w:eastAsia="Arial" w:hAnsi="Arial"/>
                <w:sz w:val="16"/>
                <w:szCs w:val="16"/>
                <w:b w:val="1"/>
                <w:bCs w:val="1"/>
                <w:color w:val="auto"/>
                <w:w w:val="91"/>
              </w:rPr>
              <w:t>(a)</w:t>
            </w:r>
          </w:p>
        </w:tc>
        <w:tc>
          <w:tcPr>
            <w:tcW w:w="80" w:type="dxa"/>
            <w:vAlign w:val="bottom"/>
          </w:tcPr>
          <w:p>
            <w:pPr>
              <w:spacing w:after="0"/>
              <w:rPr>
                <w:sz w:val="18"/>
                <w:szCs w:val="18"/>
                <w:color w:val="auto"/>
              </w:rPr>
            </w:pPr>
          </w:p>
        </w:tc>
        <w:tc>
          <w:tcPr>
            <w:tcW w:w="68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w w:val="88"/>
              </w:rPr>
              <w:t>Period</w:t>
            </w:r>
          </w:p>
        </w:tc>
        <w:tc>
          <w:tcPr>
            <w:tcW w:w="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center"/>
              <w:ind w:right="82"/>
              <w:spacing w:after="0"/>
              <w:rPr>
                <w:sz w:val="20"/>
                <w:szCs w:val="20"/>
                <w:color w:val="auto"/>
              </w:rPr>
            </w:pPr>
            <w:r>
              <w:rPr>
                <w:rFonts w:ascii="Arial" w:cs="Arial" w:eastAsia="Arial" w:hAnsi="Arial"/>
                <w:sz w:val="16"/>
                <w:szCs w:val="16"/>
                <w:b w:val="1"/>
                <w:bCs w:val="1"/>
                <w:color w:val="auto"/>
                <w:w w:val="98"/>
              </w:rPr>
              <w:t>OCI</w:t>
            </w:r>
          </w:p>
        </w:tc>
        <w:tc>
          <w:tcPr>
            <w:tcW w:w="0" w:type="dxa"/>
            <w:vAlign w:val="bottom"/>
          </w:tcPr>
          <w:p>
            <w:pPr>
              <w:spacing w:after="0"/>
              <w:rPr>
                <w:sz w:val="1"/>
                <w:szCs w:val="1"/>
                <w:color w:val="auto"/>
              </w:rPr>
            </w:pPr>
          </w:p>
        </w:tc>
      </w:tr>
      <w:tr>
        <w:trPr>
          <w:trHeight w:val="223"/>
        </w:trPr>
        <w:tc>
          <w:tcPr>
            <w:tcW w:w="2120" w:type="dxa"/>
            <w:vAlign w:val="bottom"/>
          </w:tcPr>
          <w:p>
            <w:pPr>
              <w:spacing w:after="0"/>
              <w:rPr>
                <w:sz w:val="20"/>
                <w:szCs w:val="20"/>
                <w:color w:val="auto"/>
              </w:rPr>
            </w:pPr>
            <w:r>
              <w:rPr>
                <w:rFonts w:ascii="Arial" w:cs="Arial" w:eastAsia="Arial" w:hAnsi="Arial"/>
                <w:sz w:val="16"/>
                <w:szCs w:val="16"/>
                <w:b w:val="1"/>
                <w:bCs w:val="1"/>
                <w:color w:val="auto"/>
              </w:rPr>
              <w:t>Assets</w:t>
            </w:r>
          </w:p>
        </w:tc>
        <w:tc>
          <w:tcPr>
            <w:tcW w:w="2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120" w:type="dxa"/>
            <w:vAlign w:val="bottom"/>
          </w:tcPr>
          <w:p>
            <w:pPr>
              <w:spacing w:after="0"/>
              <w:rPr>
                <w:sz w:val="20"/>
                <w:szCs w:val="20"/>
                <w:color w:val="auto"/>
              </w:rPr>
            </w:pPr>
            <w:r>
              <w:rPr>
                <w:rFonts w:ascii="Arial" w:cs="Arial" w:eastAsia="Arial" w:hAnsi="Arial"/>
                <w:sz w:val="16"/>
                <w:szCs w:val="16"/>
                <w:color w:val="auto"/>
              </w:rPr>
              <w:t>Fixed maturity securities</w:t>
            </w: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2120" w:type="dxa"/>
            <w:vAlign w:val="bottom"/>
          </w:tcPr>
          <w:p>
            <w:pPr>
              <w:spacing w:after="0"/>
              <w:rPr>
                <w:sz w:val="20"/>
                <w:szCs w:val="20"/>
                <w:color w:val="auto"/>
              </w:rPr>
            </w:pPr>
            <w:r>
              <w:rPr>
                <w:rFonts w:ascii="Arial" w:cs="Arial" w:eastAsia="Arial" w:hAnsi="Arial"/>
                <w:sz w:val="16"/>
                <w:szCs w:val="16"/>
                <w:color w:val="auto"/>
              </w:rPr>
              <w:t>available-for-sale:</w:t>
            </w: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9"/>
        </w:trPr>
        <w:tc>
          <w:tcPr>
            <w:tcW w:w="2120" w:type="dxa"/>
            <w:vAlign w:val="bottom"/>
          </w:tcPr>
          <w:p>
            <w:pPr>
              <w:ind w:left="220"/>
              <w:spacing w:after="0"/>
              <w:rPr>
                <w:sz w:val="20"/>
                <w:szCs w:val="20"/>
                <w:color w:val="auto"/>
              </w:rPr>
            </w:pPr>
            <w:r>
              <w:rPr>
                <w:rFonts w:ascii="Arial" w:cs="Arial" w:eastAsia="Arial" w:hAnsi="Arial"/>
                <w:sz w:val="16"/>
                <w:szCs w:val="16"/>
                <w:color w:val="auto"/>
              </w:rPr>
              <w:t>Asset-backed securities</w:t>
            </w:r>
          </w:p>
        </w:tc>
        <w:tc>
          <w:tcPr>
            <w:tcW w:w="220" w:type="dxa"/>
            <w:vAlign w:val="bottom"/>
          </w:tcPr>
          <w:p>
            <w:pPr>
              <w:ind w:left="40"/>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8,143</w:t>
            </w:r>
          </w:p>
        </w:tc>
        <w:tc>
          <w:tcPr>
            <w:tcW w:w="360" w:type="dxa"/>
            <w:vAlign w:val="bottom"/>
            <w:gridSpan w:val="2"/>
          </w:tcPr>
          <w:p>
            <w:pPr>
              <w:ind w:left="180"/>
              <w:spacing w:after="0"/>
              <w:rPr>
                <w:sz w:val="20"/>
                <w:szCs w:val="20"/>
                <w:color w:val="auto"/>
              </w:rPr>
            </w:pPr>
            <w:r>
              <w:rPr>
                <w:rFonts w:ascii="Arial" w:cs="Arial" w:eastAsia="Arial" w:hAnsi="Arial"/>
                <w:sz w:val="16"/>
                <w:szCs w:val="16"/>
                <w:color w:val="auto"/>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(5)</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80</w:t>
            </w:r>
          </w:p>
        </w:tc>
        <w:tc>
          <w:tcPr>
            <w:tcW w:w="340" w:type="dxa"/>
            <w:vAlign w:val="bottom"/>
            <w:gridSpan w:val="2"/>
          </w:tcPr>
          <w:p>
            <w:pPr>
              <w:jc w:val="right"/>
              <w:ind w:right="62"/>
              <w:spacing w:after="0"/>
              <w:rPr>
                <w:sz w:val="20"/>
                <w:szCs w:val="20"/>
                <w:color w:val="auto"/>
              </w:rPr>
            </w:pPr>
            <w:r>
              <w:rPr>
                <w:rFonts w:ascii="Arial" w:cs="Arial" w:eastAsia="Arial" w:hAnsi="Arial"/>
                <w:sz w:val="16"/>
                <w:szCs w:val="16"/>
                <w:color w:val="auto"/>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3,688</w:t>
            </w:r>
          </w:p>
        </w:tc>
        <w:tc>
          <w:tcPr>
            <w:tcW w:w="24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(433)</w:t>
            </w:r>
          </w:p>
        </w:tc>
        <w:tc>
          <w:tcPr>
            <w:tcW w:w="380" w:type="dxa"/>
            <w:vAlign w:val="bottom"/>
            <w:gridSpan w:val="2"/>
          </w:tcPr>
          <w:p>
            <w:pPr>
              <w:jc w:val="right"/>
              <w:ind w:right="102"/>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(1,228)</w:t>
            </w: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(151)</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520" w:type="dxa"/>
            <w:vAlign w:val="bottom"/>
          </w:tcPr>
          <w:p>
            <w:pPr>
              <w:jc w:val="right"/>
              <w:spacing w:after="0"/>
              <w:rPr>
                <w:sz w:val="20"/>
                <w:szCs w:val="20"/>
                <w:color w:val="auto"/>
              </w:rPr>
            </w:pPr>
            <w:r>
              <w:rPr>
                <w:rFonts w:ascii="Arial" w:cs="Arial" w:eastAsia="Arial" w:hAnsi="Arial"/>
                <w:sz w:val="16"/>
                <w:szCs w:val="16"/>
                <w:color w:val="auto"/>
                <w:w w:val="89"/>
              </w:rPr>
              <w:t>10,094</w:t>
            </w:r>
          </w:p>
        </w:tc>
        <w:tc>
          <w:tcPr>
            <w:tcW w:w="220" w:type="dxa"/>
            <w:vAlign w:val="bottom"/>
            <w:gridSpan w:val="2"/>
          </w:tcPr>
          <w:p>
            <w:pPr>
              <w:ind w:left="120"/>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73</w:t>
            </w:r>
          </w:p>
        </w:tc>
        <w:tc>
          <w:tcPr>
            <w:tcW w:w="0" w:type="dxa"/>
            <w:vAlign w:val="bottom"/>
          </w:tcPr>
          <w:p>
            <w:pPr>
              <w:spacing w:after="0"/>
              <w:rPr>
                <w:sz w:val="1"/>
                <w:szCs w:val="1"/>
                <w:color w:val="auto"/>
              </w:rPr>
            </w:pPr>
          </w:p>
        </w:tc>
      </w:tr>
      <w:tr>
        <w:trPr>
          <w:trHeight w:val="209"/>
        </w:trPr>
        <w:tc>
          <w:tcPr>
            <w:tcW w:w="2120" w:type="dxa"/>
            <w:vAlign w:val="bottom"/>
          </w:tcPr>
          <w:p>
            <w:pPr>
              <w:ind w:left="220"/>
              <w:spacing w:after="0"/>
              <w:rPr>
                <w:sz w:val="20"/>
                <w:szCs w:val="20"/>
                <w:color w:val="auto"/>
              </w:rPr>
            </w:pPr>
            <w:r>
              <w:rPr>
                <w:rFonts w:ascii="Arial" w:cs="Arial" w:eastAsia="Arial" w:hAnsi="Arial"/>
                <w:sz w:val="16"/>
                <w:szCs w:val="16"/>
                <w:color w:val="auto"/>
              </w:rPr>
              <w:t>Commercial mortgage-</w:t>
            </w:r>
          </w:p>
        </w:tc>
        <w:tc>
          <w:tcPr>
            <w:tcW w:w="220" w:type="dxa"/>
            <w:vAlign w:val="bottom"/>
          </w:tcPr>
          <w:p>
            <w:pPr>
              <w:spacing w:after="0"/>
              <w:rPr>
                <w:sz w:val="18"/>
                <w:szCs w:val="18"/>
                <w:color w:val="auto"/>
              </w:rPr>
            </w:pPr>
          </w:p>
        </w:tc>
        <w:tc>
          <w:tcPr>
            <w:tcW w:w="6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vMerge w:val="restart"/>
          </w:tcPr>
          <w:p>
            <w:pPr>
              <w:jc w:val="right"/>
              <w:spacing w:after="0"/>
              <w:rPr>
                <w:sz w:val="20"/>
                <w:szCs w:val="20"/>
                <w:color w:val="auto"/>
              </w:rPr>
            </w:pPr>
            <w:r>
              <w:rPr>
                <w:rFonts w:ascii="Arial" w:cs="Arial" w:eastAsia="Arial" w:hAnsi="Arial"/>
                <w:sz w:val="16"/>
                <w:szCs w:val="16"/>
                <w:color w:val="auto"/>
              </w:rPr>
              <w:t>46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vMerge w:val="restart"/>
          </w:tcPr>
          <w:p>
            <w:pPr>
              <w:jc w:val="right"/>
              <w:ind w:right="2"/>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vMerge w:val="restart"/>
          </w:tcPr>
          <w:p>
            <w:pPr>
              <w:jc w:val="right"/>
              <w:ind w:right="2"/>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vMerge w:val="restart"/>
          </w:tcPr>
          <w:p>
            <w:pPr>
              <w:jc w:val="right"/>
              <w:spacing w:after="0"/>
              <w:rPr>
                <w:sz w:val="20"/>
                <w:szCs w:val="20"/>
                <w:color w:val="auto"/>
              </w:rPr>
            </w:pPr>
            <w:r>
              <w:rPr>
                <w:rFonts w:ascii="Arial" w:cs="Arial" w:eastAsia="Arial" w:hAnsi="Arial"/>
                <w:sz w:val="16"/>
                <w:szCs w:val="16"/>
                <w:color w:val="auto"/>
              </w:rPr>
              <w:t>(46)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4"/>
        </w:trPr>
        <w:tc>
          <w:tcPr>
            <w:tcW w:w="2120" w:type="dxa"/>
            <w:vAlign w:val="bottom"/>
          </w:tcPr>
          <w:p>
            <w:pPr>
              <w:ind w:left="220"/>
              <w:spacing w:after="0"/>
              <w:rPr>
                <w:sz w:val="20"/>
                <w:szCs w:val="20"/>
                <w:color w:val="auto"/>
              </w:rPr>
            </w:pPr>
            <w:r>
              <w:rPr>
                <w:rFonts w:ascii="Arial" w:cs="Arial" w:eastAsia="Arial" w:hAnsi="Arial"/>
                <w:sz w:val="16"/>
                <w:szCs w:val="16"/>
                <w:color w:val="auto"/>
              </w:rPr>
              <w:t>backed securities</w:t>
            </w:r>
          </w:p>
        </w:tc>
        <w:tc>
          <w:tcPr>
            <w:tcW w:w="220" w:type="dxa"/>
            <w:vAlign w:val="bottom"/>
          </w:tcPr>
          <w:p>
            <w:pPr>
              <w:spacing w:after="0"/>
              <w:rPr>
                <w:sz w:val="17"/>
                <w:szCs w:val="17"/>
                <w:color w:val="auto"/>
              </w:rPr>
            </w:pPr>
          </w:p>
        </w:tc>
        <w:tc>
          <w:tcPr>
            <w:tcW w:w="60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6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2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49"/>
        </w:trPr>
        <w:tc>
          <w:tcPr>
            <w:tcW w:w="2120" w:type="dxa"/>
            <w:vAlign w:val="bottom"/>
          </w:tcPr>
          <w:p>
            <w:pPr>
              <w:ind w:left="220"/>
              <w:spacing w:after="0"/>
              <w:rPr>
                <w:sz w:val="20"/>
                <w:szCs w:val="20"/>
                <w:color w:val="auto"/>
              </w:rPr>
            </w:pPr>
            <w:r>
              <w:rPr>
                <w:rFonts w:ascii="Arial" w:cs="Arial" w:eastAsia="Arial" w:hAnsi="Arial"/>
                <w:sz w:val="16"/>
                <w:szCs w:val="16"/>
                <w:color w:val="auto"/>
              </w:rPr>
              <w:t>Corporates</w:t>
            </w:r>
          </w:p>
        </w:tc>
        <w:tc>
          <w:tcPr>
            <w:tcW w:w="22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2,957</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(12)</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72</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1,490</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(889)</w:t>
            </w: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(407)</w:t>
            </w: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(66)</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3,145</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73</w:t>
            </w:r>
          </w:p>
        </w:tc>
        <w:tc>
          <w:tcPr>
            <w:tcW w:w="0" w:type="dxa"/>
            <w:vAlign w:val="bottom"/>
          </w:tcPr>
          <w:p>
            <w:pPr>
              <w:spacing w:after="0"/>
              <w:rPr>
                <w:sz w:val="1"/>
                <w:szCs w:val="1"/>
                <w:color w:val="auto"/>
              </w:rPr>
            </w:pPr>
          </w:p>
        </w:tc>
      </w:tr>
      <w:tr>
        <w:trPr>
          <w:trHeight w:val="250"/>
        </w:trPr>
        <w:tc>
          <w:tcPr>
            <w:tcW w:w="2120" w:type="dxa"/>
            <w:vAlign w:val="bottom"/>
          </w:tcPr>
          <w:p>
            <w:pPr>
              <w:ind w:left="220"/>
              <w:spacing w:after="0"/>
              <w:rPr>
                <w:sz w:val="20"/>
                <w:szCs w:val="20"/>
                <w:color w:val="auto"/>
              </w:rPr>
            </w:pPr>
            <w:r>
              <w:rPr>
                <w:rFonts w:ascii="Arial" w:cs="Arial" w:eastAsia="Arial" w:hAnsi="Arial"/>
                <w:sz w:val="16"/>
                <w:szCs w:val="16"/>
                <w:color w:val="auto"/>
              </w:rPr>
              <w:t>Hybrids</w:t>
            </w:r>
          </w:p>
        </w:tc>
        <w:tc>
          <w:tcPr>
            <w:tcW w:w="22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15</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6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2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15</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0"/>
        </w:trPr>
        <w:tc>
          <w:tcPr>
            <w:tcW w:w="2120" w:type="dxa"/>
            <w:vAlign w:val="bottom"/>
          </w:tcPr>
          <w:p>
            <w:pPr>
              <w:ind w:left="220"/>
              <w:spacing w:after="0"/>
              <w:rPr>
                <w:sz w:val="20"/>
                <w:szCs w:val="20"/>
                <w:color w:val="auto"/>
              </w:rPr>
            </w:pPr>
            <w:r>
              <w:rPr>
                <w:rFonts w:ascii="Arial" w:cs="Arial" w:eastAsia="Arial" w:hAnsi="Arial"/>
                <w:sz w:val="16"/>
                <w:szCs w:val="16"/>
                <w:color w:val="auto"/>
              </w:rPr>
              <w:t>Municipals</w:t>
            </w:r>
          </w:p>
        </w:tc>
        <w:tc>
          <w:tcPr>
            <w:tcW w:w="22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4</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6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w:t>
            </w: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3</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2120" w:type="dxa"/>
            <w:vAlign w:val="bottom"/>
          </w:tcPr>
          <w:p>
            <w:pPr>
              <w:ind w:left="220"/>
              <w:spacing w:after="0"/>
              <w:rPr>
                <w:sz w:val="20"/>
                <w:szCs w:val="20"/>
                <w:color w:val="auto"/>
              </w:rPr>
            </w:pPr>
            <w:r>
              <w:rPr>
                <w:rFonts w:ascii="Arial" w:cs="Arial" w:eastAsia="Arial" w:hAnsi="Arial"/>
                <w:sz w:val="16"/>
                <w:szCs w:val="16"/>
                <w:color w:val="auto"/>
                <w:w w:val="90"/>
              </w:rPr>
              <w:t>Residential mortgage-backed</w:t>
            </w:r>
          </w:p>
        </w:tc>
        <w:tc>
          <w:tcPr>
            <w:tcW w:w="220" w:type="dxa"/>
            <w:vAlign w:val="bottom"/>
          </w:tcPr>
          <w:p>
            <w:pPr>
              <w:spacing w:after="0"/>
              <w:rPr>
                <w:sz w:val="18"/>
                <w:szCs w:val="18"/>
                <w:color w:val="auto"/>
              </w:rPr>
            </w:pPr>
          </w:p>
        </w:tc>
        <w:tc>
          <w:tcPr>
            <w:tcW w:w="600" w:type="dxa"/>
            <w:vAlign w:val="bottom"/>
            <w:vMerge w:val="restart"/>
          </w:tcPr>
          <w:p>
            <w:pPr>
              <w:jc w:val="right"/>
              <w:spacing w:after="0"/>
              <w:rPr>
                <w:sz w:val="20"/>
                <w:szCs w:val="20"/>
                <w:color w:val="auto"/>
              </w:rPr>
            </w:pPr>
            <w:r>
              <w:rPr>
                <w:rFonts w:ascii="Arial" w:cs="Arial" w:eastAsia="Arial" w:hAnsi="Arial"/>
                <w:sz w:val="16"/>
                <w:szCs w:val="16"/>
                <w:color w:val="auto"/>
              </w:rPr>
              <w:t>3</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vMerge w:val="restart"/>
          </w:tcPr>
          <w:p>
            <w:pPr>
              <w:jc w:val="right"/>
              <w:spacing w:after="0"/>
              <w:rPr>
                <w:sz w:val="20"/>
                <w:szCs w:val="20"/>
                <w:color w:val="auto"/>
              </w:rPr>
            </w:pPr>
            <w:r>
              <w:rPr>
                <w:rFonts w:ascii="Arial" w:cs="Arial" w:eastAsia="Arial" w:hAnsi="Arial"/>
                <w:sz w:val="16"/>
                <w:szCs w:val="16"/>
                <w:color w:val="auto"/>
              </w:rPr>
              <w:t>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vMerge w:val="restart"/>
          </w:tcPr>
          <w:p>
            <w:pPr>
              <w:jc w:val="right"/>
              <w:ind w:right="2"/>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vMerge w:val="restart"/>
          </w:tcPr>
          <w:p>
            <w:pPr>
              <w:jc w:val="right"/>
              <w:ind w:right="2"/>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vMerge w:val="restart"/>
          </w:tcPr>
          <w:p>
            <w:pPr>
              <w:jc w:val="right"/>
              <w:spacing w:after="0"/>
              <w:rPr>
                <w:sz w:val="20"/>
                <w:szCs w:val="20"/>
                <w:color w:val="auto"/>
              </w:rPr>
            </w:pPr>
            <w:r>
              <w:rPr>
                <w:rFonts w:ascii="Arial" w:cs="Arial" w:eastAsia="Arial" w:hAnsi="Arial"/>
                <w:sz w:val="16"/>
                <w:szCs w:val="16"/>
                <w:color w:val="auto"/>
              </w:rPr>
              <w:t>(2)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vMerge w:val="restart"/>
          </w:tcPr>
          <w:p>
            <w:pPr>
              <w:jc w:val="right"/>
              <w:spacing w:after="0"/>
              <w:rPr>
                <w:sz w:val="20"/>
                <w:szCs w:val="20"/>
                <w:color w:val="auto"/>
              </w:rPr>
            </w:pPr>
            <w:r>
              <w:rPr>
                <w:rFonts w:ascii="Arial" w:cs="Arial" w:eastAsia="Arial" w:hAnsi="Arial"/>
                <w:sz w:val="16"/>
                <w:szCs w:val="16"/>
                <w:color w:val="auto"/>
              </w:rPr>
              <w:t>3</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4"/>
        </w:trPr>
        <w:tc>
          <w:tcPr>
            <w:tcW w:w="2120" w:type="dxa"/>
            <w:vAlign w:val="bottom"/>
          </w:tcPr>
          <w:p>
            <w:pPr>
              <w:ind w:left="220"/>
              <w:spacing w:after="0"/>
              <w:rPr>
                <w:sz w:val="20"/>
                <w:szCs w:val="20"/>
                <w:color w:val="auto"/>
              </w:rPr>
            </w:pPr>
            <w:r>
              <w:rPr>
                <w:rFonts w:ascii="Arial" w:cs="Arial" w:eastAsia="Arial" w:hAnsi="Arial"/>
                <w:sz w:val="16"/>
                <w:szCs w:val="16"/>
                <w:color w:val="auto"/>
              </w:rPr>
              <w:t>securities</w:t>
            </w:r>
          </w:p>
        </w:tc>
        <w:tc>
          <w:tcPr>
            <w:tcW w:w="220" w:type="dxa"/>
            <w:vAlign w:val="bottom"/>
          </w:tcPr>
          <w:p>
            <w:pPr>
              <w:spacing w:after="0"/>
              <w:rPr>
                <w:sz w:val="17"/>
                <w:szCs w:val="17"/>
                <w:color w:val="auto"/>
              </w:rPr>
            </w:pPr>
          </w:p>
        </w:tc>
        <w:tc>
          <w:tcPr>
            <w:tcW w:w="60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6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2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49"/>
        </w:trPr>
        <w:tc>
          <w:tcPr>
            <w:tcW w:w="2120" w:type="dxa"/>
            <w:vAlign w:val="bottom"/>
          </w:tcPr>
          <w:p>
            <w:pPr>
              <w:ind w:left="220"/>
              <w:spacing w:after="0"/>
              <w:rPr>
                <w:sz w:val="20"/>
                <w:szCs w:val="20"/>
                <w:color w:val="auto"/>
              </w:rPr>
            </w:pPr>
            <w:r>
              <w:rPr>
                <w:rFonts w:ascii="Arial" w:cs="Arial" w:eastAsia="Arial" w:hAnsi="Arial"/>
                <w:sz w:val="16"/>
                <w:szCs w:val="16"/>
                <w:color w:val="auto"/>
              </w:rPr>
              <w:t>Foreign Governments</w:t>
            </w:r>
          </w:p>
        </w:tc>
        <w:tc>
          <w:tcPr>
            <w:tcW w:w="22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4</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2</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19</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6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w:t>
            </w: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23</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50"/>
        </w:trPr>
        <w:tc>
          <w:tcPr>
            <w:tcW w:w="2120" w:type="dxa"/>
            <w:vAlign w:val="bottom"/>
          </w:tcPr>
          <w:p>
            <w:pPr>
              <w:spacing w:after="0"/>
              <w:rPr>
                <w:sz w:val="20"/>
                <w:szCs w:val="20"/>
                <w:color w:val="auto"/>
              </w:rPr>
            </w:pPr>
            <w:r>
              <w:rPr>
                <w:rFonts w:ascii="Arial" w:cs="Arial" w:eastAsia="Arial" w:hAnsi="Arial"/>
                <w:sz w:val="16"/>
                <w:szCs w:val="16"/>
                <w:color w:val="auto"/>
              </w:rPr>
              <w:t>Equity securities:</w:t>
            </w:r>
          </w:p>
        </w:tc>
        <w:tc>
          <w:tcPr>
            <w:tcW w:w="2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120" w:type="dxa"/>
            <w:vAlign w:val="bottom"/>
          </w:tcPr>
          <w:p>
            <w:pPr>
              <w:ind w:left="220"/>
              <w:spacing w:after="0"/>
              <w:rPr>
                <w:sz w:val="20"/>
                <w:szCs w:val="20"/>
                <w:color w:val="auto"/>
              </w:rPr>
            </w:pPr>
            <w:r>
              <w:rPr>
                <w:rFonts w:ascii="Arial" w:cs="Arial" w:eastAsia="Arial" w:hAnsi="Arial"/>
                <w:sz w:val="16"/>
                <w:szCs w:val="16"/>
                <w:color w:val="auto"/>
              </w:rPr>
              <w:t>Preferred equity securities</w:t>
            </w:r>
          </w:p>
        </w:tc>
        <w:tc>
          <w:tcPr>
            <w:tcW w:w="22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8</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(1)</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6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2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8</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0"/>
        </w:trPr>
        <w:tc>
          <w:tcPr>
            <w:tcW w:w="2120" w:type="dxa"/>
            <w:vAlign w:val="bottom"/>
          </w:tcPr>
          <w:p>
            <w:pPr>
              <w:ind w:left="220"/>
              <w:spacing w:after="0"/>
              <w:rPr>
                <w:sz w:val="20"/>
                <w:szCs w:val="20"/>
                <w:color w:val="auto"/>
              </w:rPr>
            </w:pPr>
            <w:r>
              <w:rPr>
                <w:rFonts w:ascii="Arial" w:cs="Arial" w:eastAsia="Arial" w:hAnsi="Arial"/>
                <w:sz w:val="16"/>
                <w:szCs w:val="16"/>
                <w:color w:val="auto"/>
              </w:rPr>
              <w:t>Common equity securities</w:t>
            </w:r>
          </w:p>
        </w:tc>
        <w:tc>
          <w:tcPr>
            <w:tcW w:w="22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10</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2</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5</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6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2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17</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0"/>
        </w:trPr>
        <w:tc>
          <w:tcPr>
            <w:tcW w:w="2120" w:type="dxa"/>
            <w:vAlign w:val="bottom"/>
          </w:tcPr>
          <w:p>
            <w:pPr>
              <w:spacing w:after="0"/>
              <w:rPr>
                <w:sz w:val="20"/>
                <w:szCs w:val="20"/>
                <w:color w:val="auto"/>
              </w:rPr>
            </w:pPr>
            <w:r>
              <w:rPr>
                <w:rFonts w:ascii="Arial" w:cs="Arial" w:eastAsia="Arial" w:hAnsi="Arial"/>
                <w:sz w:val="16"/>
                <w:szCs w:val="16"/>
                <w:color w:val="auto"/>
              </w:rPr>
              <w:t>Derivative investments</w:t>
            </w:r>
          </w:p>
        </w:tc>
        <w:tc>
          <w:tcPr>
            <w:tcW w:w="22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3</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(2)</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(2)</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6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2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09"/>
        </w:trPr>
        <w:tc>
          <w:tcPr>
            <w:tcW w:w="2120" w:type="dxa"/>
            <w:vAlign w:val="bottom"/>
          </w:tcPr>
          <w:p>
            <w:pPr>
              <w:spacing w:after="0"/>
              <w:rPr>
                <w:sz w:val="20"/>
                <w:szCs w:val="20"/>
                <w:color w:val="auto"/>
              </w:rPr>
            </w:pPr>
            <w:r>
              <w:rPr>
                <w:rFonts w:ascii="Arial" w:cs="Arial" w:eastAsia="Arial" w:hAnsi="Arial"/>
                <w:sz w:val="16"/>
                <w:szCs w:val="16"/>
                <w:color w:val="auto"/>
                <w:w w:val="97"/>
              </w:rPr>
              <w:t>Investments in unconsolidated</w:t>
            </w:r>
          </w:p>
        </w:tc>
        <w:tc>
          <w:tcPr>
            <w:tcW w:w="220" w:type="dxa"/>
            <w:vAlign w:val="bottom"/>
          </w:tcPr>
          <w:p>
            <w:pPr>
              <w:spacing w:after="0"/>
              <w:rPr>
                <w:sz w:val="18"/>
                <w:szCs w:val="18"/>
                <w:color w:val="auto"/>
              </w:rPr>
            </w:pPr>
          </w:p>
        </w:tc>
        <w:tc>
          <w:tcPr>
            <w:tcW w:w="600" w:type="dxa"/>
            <w:vAlign w:val="bottom"/>
            <w:vMerge w:val="restart"/>
          </w:tcPr>
          <w:p>
            <w:pPr>
              <w:jc w:val="right"/>
              <w:spacing w:after="0"/>
              <w:rPr>
                <w:sz w:val="20"/>
                <w:szCs w:val="20"/>
                <w:color w:val="auto"/>
              </w:rPr>
            </w:pPr>
            <w:r>
              <w:rPr>
                <w:rFonts w:ascii="Arial" w:cs="Arial" w:eastAsia="Arial" w:hAnsi="Arial"/>
                <w:sz w:val="16"/>
                <w:szCs w:val="16"/>
                <w:color w:val="auto"/>
              </w:rPr>
              <w:t>272</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vMerge w:val="restart"/>
          </w:tcPr>
          <w:p>
            <w:pPr>
              <w:jc w:val="right"/>
              <w:spacing w:after="0"/>
              <w:rPr>
                <w:sz w:val="20"/>
                <w:szCs w:val="20"/>
                <w:color w:val="auto"/>
              </w:rPr>
            </w:pPr>
            <w:r>
              <w:rPr>
                <w:rFonts w:ascii="Arial" w:cs="Arial" w:eastAsia="Arial" w:hAnsi="Arial"/>
                <w:sz w:val="16"/>
                <w:szCs w:val="16"/>
                <w:color w:val="auto"/>
              </w:rPr>
              <w:t>(2)</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vMerge w:val="restart"/>
          </w:tcPr>
          <w:p>
            <w:pPr>
              <w:jc w:val="right"/>
              <w:ind w:right="2"/>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vMerge w:val="restart"/>
          </w:tcPr>
          <w:p>
            <w:pPr>
              <w:jc w:val="right"/>
              <w:ind w:right="2"/>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vMerge w:val="restart"/>
          </w:tcPr>
          <w:p>
            <w:pPr>
              <w:jc w:val="right"/>
              <w:spacing w:after="0"/>
              <w:rPr>
                <w:sz w:val="20"/>
                <w:szCs w:val="20"/>
                <w:color w:val="auto"/>
              </w:rPr>
            </w:pPr>
            <w:r>
              <w:rPr>
                <w:rFonts w:ascii="Arial" w:cs="Arial" w:eastAsia="Arial" w:hAnsi="Arial"/>
                <w:sz w:val="16"/>
                <w:szCs w:val="16"/>
                <w:color w:val="auto"/>
              </w:rPr>
              <w:t>270</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4"/>
        </w:trPr>
        <w:tc>
          <w:tcPr>
            <w:tcW w:w="2120" w:type="dxa"/>
            <w:vAlign w:val="bottom"/>
          </w:tcPr>
          <w:p>
            <w:pPr>
              <w:spacing w:after="0"/>
              <w:rPr>
                <w:sz w:val="20"/>
                <w:szCs w:val="20"/>
                <w:color w:val="auto"/>
              </w:rPr>
            </w:pPr>
            <w:r>
              <w:rPr>
                <w:rFonts w:ascii="Arial" w:cs="Arial" w:eastAsia="Arial" w:hAnsi="Arial"/>
                <w:sz w:val="16"/>
                <w:szCs w:val="16"/>
                <w:color w:val="auto"/>
              </w:rPr>
              <w:t>affiliates</w:t>
            </w:r>
          </w:p>
        </w:tc>
        <w:tc>
          <w:tcPr>
            <w:tcW w:w="220" w:type="dxa"/>
            <w:vAlign w:val="bottom"/>
          </w:tcPr>
          <w:p>
            <w:pPr>
              <w:spacing w:after="0"/>
              <w:rPr>
                <w:sz w:val="17"/>
                <w:szCs w:val="17"/>
                <w:color w:val="auto"/>
              </w:rPr>
            </w:pPr>
          </w:p>
        </w:tc>
        <w:tc>
          <w:tcPr>
            <w:tcW w:w="60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6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2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49"/>
        </w:trPr>
        <w:tc>
          <w:tcPr>
            <w:tcW w:w="2120" w:type="dxa"/>
            <w:vAlign w:val="bottom"/>
          </w:tcPr>
          <w:p>
            <w:pPr>
              <w:spacing w:after="0"/>
              <w:rPr>
                <w:sz w:val="20"/>
                <w:szCs w:val="20"/>
                <w:color w:val="auto"/>
              </w:rPr>
            </w:pPr>
            <w:r>
              <w:rPr>
                <w:rFonts w:ascii="Arial" w:cs="Arial" w:eastAsia="Arial" w:hAnsi="Arial"/>
                <w:sz w:val="16"/>
                <w:szCs w:val="16"/>
                <w:color w:val="auto"/>
              </w:rPr>
              <w:t>Other assets</w:t>
            </w:r>
          </w:p>
        </w:tc>
        <w:tc>
          <w:tcPr>
            <w:tcW w:w="22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65</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(4)</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85</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(17)</w:t>
            </w: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2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129</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0"/>
        </w:trPr>
        <w:tc>
          <w:tcPr>
            <w:tcW w:w="2120" w:type="dxa"/>
            <w:vAlign w:val="bottom"/>
          </w:tcPr>
          <w:p>
            <w:pPr>
              <w:spacing w:after="0"/>
              <w:rPr>
                <w:sz w:val="20"/>
                <w:szCs w:val="20"/>
                <w:color w:val="auto"/>
              </w:rPr>
            </w:pPr>
            <w:r>
              <w:rPr>
                <w:rFonts w:ascii="Arial" w:cs="Arial" w:eastAsia="Arial" w:hAnsi="Arial"/>
                <w:sz w:val="16"/>
                <w:szCs w:val="16"/>
                <w:color w:val="auto"/>
              </w:rPr>
              <w:t>Short-term investments</w:t>
            </w:r>
          </w:p>
        </w:tc>
        <w:tc>
          <w:tcPr>
            <w:tcW w:w="22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37</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75</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6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(38)</w:t>
            </w: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74</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0"/>
        </w:trPr>
        <w:tc>
          <w:tcPr>
            <w:tcW w:w="2120" w:type="dxa"/>
            <w:vAlign w:val="bottom"/>
          </w:tcPr>
          <w:p>
            <w:pPr>
              <w:spacing w:after="0"/>
              <w:rPr>
                <w:sz w:val="20"/>
                <w:szCs w:val="20"/>
                <w:color w:val="auto"/>
              </w:rPr>
            </w:pPr>
            <w:r>
              <w:rPr>
                <w:rFonts w:ascii="Arial" w:cs="Arial" w:eastAsia="Arial" w:hAnsi="Arial"/>
                <w:sz w:val="16"/>
                <w:szCs w:val="16"/>
                <w:color w:val="auto"/>
              </w:rPr>
              <w:t>Other long-term assets:</w:t>
            </w:r>
          </w:p>
        </w:tc>
        <w:tc>
          <w:tcPr>
            <w:tcW w:w="2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9"/>
        </w:trPr>
        <w:tc>
          <w:tcPr>
            <w:tcW w:w="2120" w:type="dxa"/>
            <w:vAlign w:val="bottom"/>
          </w:tcPr>
          <w:p>
            <w:pPr>
              <w:ind w:left="220"/>
              <w:spacing w:after="0"/>
              <w:rPr>
                <w:sz w:val="20"/>
                <w:szCs w:val="20"/>
                <w:color w:val="auto"/>
              </w:rPr>
            </w:pPr>
            <w:r>
              <w:rPr>
                <w:rFonts w:ascii="Arial" w:cs="Arial" w:eastAsia="Arial" w:hAnsi="Arial"/>
                <w:sz w:val="16"/>
                <w:szCs w:val="16"/>
                <w:color w:val="auto"/>
                <w:w w:val="92"/>
              </w:rPr>
              <w:t>Available-for-sale embedded</w:t>
            </w:r>
          </w:p>
        </w:tc>
        <w:tc>
          <w:tcPr>
            <w:tcW w:w="220" w:type="dxa"/>
            <w:vAlign w:val="bottom"/>
          </w:tcPr>
          <w:p>
            <w:pPr>
              <w:spacing w:after="0"/>
              <w:rPr>
                <w:sz w:val="18"/>
                <w:szCs w:val="18"/>
                <w:color w:val="auto"/>
              </w:rPr>
            </w:pPr>
          </w:p>
        </w:tc>
        <w:tc>
          <w:tcPr>
            <w:tcW w:w="600" w:type="dxa"/>
            <w:vAlign w:val="bottom"/>
            <w:vMerge w:val="restart"/>
          </w:tcPr>
          <w:p>
            <w:pPr>
              <w:jc w:val="right"/>
              <w:spacing w:after="0"/>
              <w:rPr>
                <w:sz w:val="20"/>
                <w:szCs w:val="20"/>
                <w:color w:val="auto"/>
              </w:rPr>
            </w:pPr>
            <w:r>
              <w:rPr>
                <w:rFonts w:ascii="Arial" w:cs="Arial" w:eastAsia="Arial" w:hAnsi="Arial"/>
                <w:sz w:val="16"/>
                <w:szCs w:val="16"/>
                <w:color w:val="auto"/>
              </w:rPr>
              <w:t>32</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vMerge w:val="restart"/>
          </w:tcPr>
          <w:p>
            <w:pPr>
              <w:jc w:val="right"/>
              <w:spacing w:after="0"/>
              <w:rPr>
                <w:sz w:val="20"/>
                <w:szCs w:val="20"/>
                <w:color w:val="auto"/>
              </w:rPr>
            </w:pPr>
            <w:r>
              <w:rPr>
                <w:rFonts w:ascii="Arial" w:cs="Arial" w:eastAsia="Arial" w:hAnsi="Arial"/>
                <w:sz w:val="16"/>
                <w:szCs w:val="16"/>
                <w:color w:val="auto"/>
              </w:rPr>
              <w:t>9</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vMerge w:val="restart"/>
          </w:tcPr>
          <w:p>
            <w:pPr>
              <w:jc w:val="right"/>
              <w:ind w:right="2"/>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vMerge w:val="restart"/>
          </w:tcPr>
          <w:p>
            <w:pPr>
              <w:jc w:val="right"/>
              <w:ind w:right="2"/>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vMerge w:val="restart"/>
          </w:tcPr>
          <w:p>
            <w:pPr>
              <w:jc w:val="right"/>
              <w:spacing w:after="0"/>
              <w:rPr>
                <w:sz w:val="20"/>
                <w:szCs w:val="20"/>
                <w:color w:val="auto"/>
              </w:rPr>
            </w:pPr>
            <w:r>
              <w:rPr>
                <w:rFonts w:ascii="Arial" w:cs="Arial" w:eastAsia="Arial" w:hAnsi="Arial"/>
                <w:sz w:val="16"/>
                <w:szCs w:val="16"/>
                <w:color w:val="auto"/>
              </w:rPr>
              <w:t>41</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vMerge w:val="restart"/>
          </w:tcPr>
          <w:p>
            <w:pPr>
              <w:jc w:val="right"/>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04"/>
        </w:trPr>
        <w:tc>
          <w:tcPr>
            <w:tcW w:w="2120" w:type="dxa"/>
            <w:vAlign w:val="bottom"/>
          </w:tcPr>
          <w:p>
            <w:pPr>
              <w:ind w:left="220"/>
              <w:spacing w:after="0"/>
              <w:rPr>
                <w:sz w:val="20"/>
                <w:szCs w:val="20"/>
                <w:color w:val="auto"/>
              </w:rPr>
            </w:pPr>
            <w:r>
              <w:rPr>
                <w:rFonts w:ascii="Arial" w:cs="Arial" w:eastAsia="Arial" w:hAnsi="Arial"/>
                <w:sz w:val="16"/>
                <w:szCs w:val="16"/>
                <w:color w:val="auto"/>
              </w:rPr>
              <w:t>derivative</w:t>
            </w:r>
          </w:p>
        </w:tc>
        <w:tc>
          <w:tcPr>
            <w:tcW w:w="220" w:type="dxa"/>
            <w:vAlign w:val="bottom"/>
          </w:tcPr>
          <w:p>
            <w:pPr>
              <w:spacing w:after="0"/>
              <w:rPr>
                <w:sz w:val="17"/>
                <w:szCs w:val="17"/>
                <w:color w:val="auto"/>
              </w:rPr>
            </w:pPr>
          </w:p>
        </w:tc>
        <w:tc>
          <w:tcPr>
            <w:tcW w:w="60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6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2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49"/>
        </w:trPr>
        <w:tc>
          <w:tcPr>
            <w:tcW w:w="2120" w:type="dxa"/>
            <w:vAlign w:val="bottom"/>
          </w:tcPr>
          <w:p>
            <w:pPr>
              <w:spacing w:after="0"/>
              <w:rPr>
                <w:sz w:val="20"/>
                <w:szCs w:val="20"/>
                <w:color w:val="auto"/>
              </w:rPr>
            </w:pPr>
            <w:r>
              <w:rPr>
                <w:rFonts w:ascii="Arial" w:cs="Arial" w:eastAsia="Arial" w:hAnsi="Arial"/>
                <w:sz w:val="16"/>
                <w:szCs w:val="16"/>
                <w:color w:val="auto"/>
              </w:rPr>
              <w:t>Reinsurance recoverable:</w:t>
            </w:r>
          </w:p>
        </w:tc>
        <w:tc>
          <w:tcPr>
            <w:tcW w:w="2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9"/>
        </w:trPr>
        <w:tc>
          <w:tcPr>
            <w:tcW w:w="2120" w:type="dxa"/>
            <w:vAlign w:val="bottom"/>
          </w:tcPr>
          <w:p>
            <w:pPr>
              <w:ind w:left="220"/>
              <w:spacing w:after="0"/>
              <w:rPr>
                <w:sz w:val="20"/>
                <w:szCs w:val="20"/>
                <w:color w:val="auto"/>
              </w:rPr>
            </w:pPr>
            <w:r>
              <w:rPr>
                <w:rFonts w:ascii="Arial" w:cs="Arial" w:eastAsia="Arial" w:hAnsi="Arial"/>
                <w:sz w:val="16"/>
                <w:szCs w:val="16"/>
                <w:color w:val="auto"/>
                <w:w w:val="92"/>
              </w:rPr>
              <w:t>Indexed annuities/IUL ceded</w:t>
            </w:r>
          </w:p>
        </w:tc>
        <w:tc>
          <w:tcPr>
            <w:tcW w:w="220" w:type="dxa"/>
            <w:vAlign w:val="bottom"/>
          </w:tcPr>
          <w:p>
            <w:pPr>
              <w:spacing w:after="0"/>
              <w:rPr>
                <w:sz w:val="18"/>
                <w:szCs w:val="18"/>
                <w:color w:val="auto"/>
              </w:rPr>
            </w:pPr>
          </w:p>
        </w:tc>
        <w:tc>
          <w:tcPr>
            <w:tcW w:w="600" w:type="dxa"/>
            <w:vAlign w:val="bottom"/>
            <w:vMerge w:val="restart"/>
          </w:tcPr>
          <w:p>
            <w:pPr>
              <w:jc w:val="right"/>
              <w:spacing w:after="0"/>
              <w:rPr>
                <w:sz w:val="20"/>
                <w:szCs w:val="20"/>
                <w:color w:val="auto"/>
              </w:rPr>
            </w:pPr>
            <w:r>
              <w:rPr>
                <w:rFonts w:ascii="Arial" w:cs="Arial" w:eastAsia="Arial" w:hAnsi="Arial"/>
                <w:sz w:val="16"/>
                <w:szCs w:val="16"/>
                <w:color w:val="auto"/>
              </w:rPr>
              <w:t>98</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vMerge w:val="restart"/>
          </w:tcPr>
          <w:p>
            <w:pPr>
              <w:jc w:val="right"/>
              <w:spacing w:after="0"/>
              <w:rPr>
                <w:sz w:val="20"/>
                <w:szCs w:val="20"/>
                <w:color w:val="auto"/>
              </w:rPr>
            </w:pPr>
            <w:r>
              <w:rPr>
                <w:rFonts w:ascii="Arial" w:cs="Arial" w:eastAsia="Arial" w:hAnsi="Arial"/>
                <w:sz w:val="16"/>
                <w:szCs w:val="16"/>
                <w:color w:val="auto"/>
              </w:rPr>
              <w:t>48</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vMerge w:val="restart"/>
          </w:tcPr>
          <w:p>
            <w:pPr>
              <w:jc w:val="right"/>
              <w:spacing w:after="0"/>
              <w:rPr>
                <w:sz w:val="20"/>
                <w:szCs w:val="20"/>
                <w:color w:val="auto"/>
              </w:rPr>
            </w:pPr>
            <w:r>
              <w:rPr>
                <w:rFonts w:ascii="Arial" w:cs="Arial" w:eastAsia="Arial" w:hAnsi="Arial"/>
                <w:sz w:val="16"/>
                <w:szCs w:val="16"/>
                <w:color w:val="auto"/>
              </w:rPr>
              <w:t>256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vMerge w:val="restart"/>
          </w:tcPr>
          <w:p>
            <w:pPr>
              <w:jc w:val="right"/>
              <w:ind w:right="2"/>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vMerge w:val="restart"/>
          </w:tcPr>
          <w:p>
            <w:pPr>
              <w:jc w:val="right"/>
              <w:spacing w:after="0"/>
              <w:rPr>
                <w:sz w:val="20"/>
                <w:szCs w:val="20"/>
                <w:color w:val="auto"/>
              </w:rPr>
            </w:pPr>
            <w:r>
              <w:rPr>
                <w:rFonts w:ascii="Arial" w:cs="Arial" w:eastAsia="Arial" w:hAnsi="Arial"/>
                <w:sz w:val="16"/>
                <w:szCs w:val="16"/>
                <w:color w:val="auto"/>
              </w:rPr>
              <w:t>(3)</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vMerge w:val="restart"/>
          </w:tcPr>
          <w:p>
            <w:pPr>
              <w:jc w:val="right"/>
              <w:spacing w:after="0"/>
              <w:rPr>
                <w:sz w:val="20"/>
                <w:szCs w:val="20"/>
                <w:color w:val="auto"/>
              </w:rPr>
            </w:pPr>
            <w:r>
              <w:rPr>
                <w:rFonts w:ascii="Arial" w:cs="Arial" w:eastAsia="Arial" w:hAnsi="Arial"/>
                <w:sz w:val="16"/>
                <w:szCs w:val="16"/>
                <w:color w:val="auto"/>
              </w:rPr>
              <w:t>399</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4"/>
        </w:trPr>
        <w:tc>
          <w:tcPr>
            <w:tcW w:w="2120" w:type="dxa"/>
            <w:vAlign w:val="bottom"/>
          </w:tcPr>
          <w:p>
            <w:pPr>
              <w:ind w:left="220"/>
              <w:spacing w:after="0"/>
              <w:rPr>
                <w:sz w:val="20"/>
                <w:szCs w:val="20"/>
                <w:color w:val="auto"/>
              </w:rPr>
            </w:pPr>
            <w:r>
              <w:rPr>
                <w:rFonts w:ascii="Arial" w:cs="Arial" w:eastAsia="Arial" w:hAnsi="Arial"/>
                <w:sz w:val="16"/>
                <w:szCs w:val="16"/>
                <w:color w:val="auto"/>
              </w:rPr>
              <w:t>embedded derivatives</w:t>
            </w:r>
          </w:p>
        </w:tc>
        <w:tc>
          <w:tcPr>
            <w:tcW w:w="220" w:type="dxa"/>
            <w:vAlign w:val="bottom"/>
          </w:tcPr>
          <w:p>
            <w:pPr>
              <w:spacing w:after="0"/>
              <w:rPr>
                <w:sz w:val="17"/>
                <w:szCs w:val="17"/>
                <w:color w:val="auto"/>
              </w:rPr>
            </w:pPr>
          </w:p>
        </w:tc>
        <w:tc>
          <w:tcPr>
            <w:tcW w:w="60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6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2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2120" w:type="dxa"/>
            <w:vAlign w:val="bottom"/>
          </w:tcPr>
          <w:p>
            <w:pPr>
              <w:spacing w:after="0"/>
              <w:rPr>
                <w:sz w:val="20"/>
                <w:szCs w:val="20"/>
                <w:color w:val="auto"/>
              </w:rPr>
            </w:pPr>
            <w:r>
              <w:rPr>
                <w:rFonts w:ascii="Arial" w:cs="Arial" w:eastAsia="Arial" w:hAnsi="Arial"/>
                <w:sz w:val="16"/>
                <w:szCs w:val="16"/>
                <w:color w:val="auto"/>
              </w:rPr>
              <w:t>Prepaid expenses and other</w:t>
            </w: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2120" w:type="dxa"/>
            <w:vAlign w:val="bottom"/>
          </w:tcPr>
          <w:p>
            <w:pPr>
              <w:spacing w:after="0"/>
              <w:rPr>
                <w:sz w:val="20"/>
                <w:szCs w:val="20"/>
                <w:color w:val="auto"/>
              </w:rPr>
            </w:pPr>
            <w:r>
              <w:rPr>
                <w:rFonts w:ascii="Arial" w:cs="Arial" w:eastAsia="Arial" w:hAnsi="Arial"/>
                <w:sz w:val="16"/>
                <w:szCs w:val="16"/>
                <w:color w:val="auto"/>
              </w:rPr>
              <w:t>assets:</w:t>
            </w: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120" w:type="dxa"/>
            <w:vAlign w:val="bottom"/>
          </w:tcPr>
          <w:p>
            <w:pPr>
              <w:ind w:left="220"/>
              <w:spacing w:after="0"/>
              <w:rPr>
                <w:sz w:val="20"/>
                <w:szCs w:val="20"/>
                <w:color w:val="auto"/>
              </w:rPr>
            </w:pPr>
            <w:r>
              <w:rPr>
                <w:rFonts w:ascii="Arial" w:cs="Arial" w:eastAsia="Arial" w:hAnsi="Arial"/>
                <w:sz w:val="16"/>
                <w:szCs w:val="16"/>
                <w:color w:val="auto"/>
              </w:rPr>
              <w:t>Loan receivable (b)</w:t>
            </w:r>
          </w:p>
        </w:tc>
        <w:tc>
          <w:tcPr>
            <w:tcW w:w="22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w:t>
            </w:r>
          </w:p>
        </w:tc>
        <w:tc>
          <w:tcPr>
            <w:tcW w:w="14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w:t>
            </w:r>
          </w:p>
        </w:tc>
        <w:tc>
          <w:tcPr>
            <w:tcW w:w="8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w:t>
            </w:r>
          </w:p>
        </w:tc>
        <w:tc>
          <w:tcPr>
            <w:tcW w:w="6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2"/>
        </w:trPr>
        <w:tc>
          <w:tcPr>
            <w:tcW w:w="2120" w:type="dxa"/>
            <w:vAlign w:val="bottom"/>
          </w:tcPr>
          <w:p>
            <w:pPr>
              <w:ind w:left="340"/>
              <w:spacing w:after="0" w:line="182" w:lineRule="exact"/>
              <w:rPr>
                <w:sz w:val="20"/>
                <w:szCs w:val="20"/>
                <w:color w:val="auto"/>
              </w:rPr>
            </w:pPr>
            <w:r>
              <w:rPr>
                <w:rFonts w:ascii="Arial" w:cs="Arial" w:eastAsia="Arial" w:hAnsi="Arial"/>
                <w:sz w:val="16"/>
                <w:szCs w:val="16"/>
                <w:b w:val="1"/>
                <w:bCs w:val="1"/>
                <w:color w:val="auto"/>
                <w:w w:val="89"/>
              </w:rPr>
              <w:t>Subtotal Level 3 assets at</w:t>
            </w:r>
          </w:p>
        </w:tc>
        <w:tc>
          <w:tcPr>
            <w:tcW w:w="220" w:type="dxa"/>
            <w:vAlign w:val="bottom"/>
            <w:vMerge w:val="restart"/>
          </w:tcPr>
          <w:p>
            <w:pPr>
              <w:ind w:left="40"/>
              <w:spacing w:after="0"/>
              <w:rPr>
                <w:sz w:val="20"/>
                <w:szCs w:val="20"/>
                <w:color w:val="auto"/>
              </w:rPr>
            </w:pPr>
            <w:r>
              <w:rPr>
                <w:rFonts w:ascii="Arial" w:cs="Arial" w:eastAsia="Arial" w:hAnsi="Arial"/>
                <w:sz w:val="16"/>
                <w:szCs w:val="16"/>
                <w:color w:val="auto"/>
              </w:rPr>
              <w:t>$</w:t>
            </w:r>
          </w:p>
        </w:tc>
        <w:tc>
          <w:tcPr>
            <w:tcW w:w="600" w:type="dxa"/>
            <w:vAlign w:val="bottom"/>
            <w:vMerge w:val="restart"/>
          </w:tcPr>
          <w:p>
            <w:pPr>
              <w:jc w:val="right"/>
              <w:spacing w:after="0"/>
              <w:rPr>
                <w:sz w:val="20"/>
                <w:szCs w:val="20"/>
                <w:color w:val="auto"/>
              </w:rPr>
            </w:pPr>
            <w:r>
              <w:rPr>
                <w:rFonts w:ascii="Arial" w:cs="Arial" w:eastAsia="Arial" w:hAnsi="Arial"/>
                <w:sz w:val="16"/>
                <w:szCs w:val="16"/>
                <w:color w:val="auto"/>
              </w:rPr>
              <w:t>11,643</w:t>
            </w:r>
          </w:p>
        </w:tc>
        <w:tc>
          <w:tcPr>
            <w:tcW w:w="360" w:type="dxa"/>
            <w:vAlign w:val="bottom"/>
            <w:gridSpan w:val="2"/>
            <w:vMerge w:val="restart"/>
          </w:tcPr>
          <w:p>
            <w:pPr>
              <w:ind w:left="180"/>
              <w:spacing w:after="0"/>
              <w:rPr>
                <w:sz w:val="20"/>
                <w:szCs w:val="20"/>
                <w:color w:val="auto"/>
              </w:rPr>
            </w:pPr>
            <w:r>
              <w:rPr>
                <w:rFonts w:ascii="Arial" w:cs="Arial" w:eastAsia="Arial" w:hAnsi="Arial"/>
                <w:sz w:val="16"/>
                <w:szCs w:val="16"/>
                <w:color w:val="auto"/>
              </w:rPr>
              <w:t>$</w:t>
            </w:r>
          </w:p>
        </w:tc>
        <w:tc>
          <w:tcPr>
            <w:tcW w:w="520" w:type="dxa"/>
            <w:vAlign w:val="bottom"/>
            <w:vMerge w:val="restart"/>
          </w:tcPr>
          <w:p>
            <w:pPr>
              <w:jc w:val="right"/>
              <w:spacing w:after="0"/>
              <w:rPr>
                <w:sz w:val="20"/>
                <w:szCs w:val="20"/>
                <w:color w:val="auto"/>
              </w:rPr>
            </w:pPr>
            <w:r>
              <w:rPr>
                <w:rFonts w:ascii="Arial" w:cs="Arial" w:eastAsia="Arial" w:hAnsi="Arial"/>
                <w:sz w:val="16"/>
                <w:szCs w:val="16"/>
                <w:color w:val="auto"/>
              </w:rPr>
              <w:t>24</w:t>
            </w:r>
          </w:p>
        </w:tc>
        <w:tc>
          <w:tcPr>
            <w:tcW w:w="220" w:type="dxa"/>
            <w:vAlign w:val="bottom"/>
            <w:gridSpan w:val="2"/>
            <w:vMerge w:val="restart"/>
          </w:tcPr>
          <w:p>
            <w:pPr>
              <w:jc w:val="right"/>
              <w:spacing w:after="0"/>
              <w:rPr>
                <w:sz w:val="20"/>
                <w:szCs w:val="20"/>
                <w:color w:val="auto"/>
              </w:rPr>
            </w:pPr>
            <w:r>
              <w:rPr>
                <w:rFonts w:ascii="Arial" w:cs="Arial" w:eastAsia="Arial" w:hAnsi="Arial"/>
                <w:sz w:val="16"/>
                <w:szCs w:val="16"/>
                <w:color w:val="auto"/>
              </w:rPr>
              <w:t>$</w:t>
            </w:r>
          </w:p>
        </w:tc>
        <w:tc>
          <w:tcPr>
            <w:tcW w:w="600" w:type="dxa"/>
            <w:vAlign w:val="bottom"/>
            <w:vMerge w:val="restart"/>
          </w:tcPr>
          <w:p>
            <w:pPr>
              <w:jc w:val="right"/>
              <w:spacing w:after="0"/>
              <w:rPr>
                <w:sz w:val="20"/>
                <w:szCs w:val="20"/>
                <w:color w:val="auto"/>
              </w:rPr>
            </w:pPr>
            <w:r>
              <w:rPr>
                <w:rFonts w:ascii="Arial" w:cs="Arial" w:eastAsia="Arial" w:hAnsi="Arial"/>
                <w:sz w:val="16"/>
                <w:szCs w:val="16"/>
                <w:color w:val="auto"/>
              </w:rPr>
              <w:t>162</w:t>
            </w:r>
          </w:p>
        </w:tc>
        <w:tc>
          <w:tcPr>
            <w:tcW w:w="340" w:type="dxa"/>
            <w:vAlign w:val="bottom"/>
            <w:gridSpan w:val="2"/>
            <w:vMerge w:val="restart"/>
          </w:tcPr>
          <w:p>
            <w:pPr>
              <w:jc w:val="right"/>
              <w:ind w:right="62"/>
              <w:spacing w:after="0"/>
              <w:rPr>
                <w:sz w:val="20"/>
                <w:szCs w:val="20"/>
                <w:color w:val="auto"/>
              </w:rPr>
            </w:pPr>
            <w:r>
              <w:rPr>
                <w:rFonts w:ascii="Arial" w:cs="Arial" w:eastAsia="Arial" w:hAnsi="Arial"/>
                <w:sz w:val="16"/>
                <w:szCs w:val="16"/>
                <w:color w:val="auto"/>
              </w:rPr>
              <w:t>$</w:t>
            </w:r>
          </w:p>
        </w:tc>
        <w:tc>
          <w:tcPr>
            <w:tcW w:w="560" w:type="dxa"/>
            <w:vAlign w:val="bottom"/>
            <w:vMerge w:val="restart"/>
          </w:tcPr>
          <w:p>
            <w:pPr>
              <w:jc w:val="right"/>
              <w:spacing w:after="0"/>
              <w:rPr>
                <w:sz w:val="20"/>
                <w:szCs w:val="20"/>
                <w:color w:val="auto"/>
              </w:rPr>
            </w:pPr>
            <w:r>
              <w:rPr>
                <w:rFonts w:ascii="Arial" w:cs="Arial" w:eastAsia="Arial" w:hAnsi="Arial"/>
                <w:sz w:val="16"/>
                <w:szCs w:val="16"/>
                <w:color w:val="auto"/>
              </w:rPr>
              <w:t>5,699</w:t>
            </w:r>
          </w:p>
        </w:tc>
        <w:tc>
          <w:tcPr>
            <w:tcW w:w="240" w:type="dxa"/>
            <w:vAlign w:val="bottom"/>
            <w:gridSpan w:val="2"/>
            <w:vMerge w:val="restart"/>
          </w:tcPr>
          <w:p>
            <w:pPr>
              <w:jc w:val="right"/>
              <w:ind w:right="40"/>
              <w:spacing w:after="0"/>
              <w:rPr>
                <w:sz w:val="20"/>
                <w:szCs w:val="20"/>
                <w:color w:val="auto"/>
              </w:rPr>
            </w:pPr>
            <w:r>
              <w:rPr>
                <w:rFonts w:ascii="Arial" w:cs="Arial" w:eastAsia="Arial" w:hAnsi="Arial"/>
                <w:sz w:val="16"/>
                <w:szCs w:val="16"/>
                <w:color w:val="auto"/>
              </w:rPr>
              <w:t>$</w:t>
            </w:r>
          </w:p>
        </w:tc>
        <w:tc>
          <w:tcPr>
            <w:tcW w:w="560" w:type="dxa"/>
            <w:vAlign w:val="bottom"/>
            <w:vMerge w:val="restart"/>
          </w:tcPr>
          <w:p>
            <w:pPr>
              <w:jc w:val="right"/>
              <w:spacing w:after="0"/>
              <w:rPr>
                <w:sz w:val="20"/>
                <w:szCs w:val="20"/>
                <w:color w:val="auto"/>
              </w:rPr>
            </w:pPr>
            <w:r>
              <w:rPr>
                <w:rFonts w:ascii="Arial" w:cs="Arial" w:eastAsia="Arial" w:hAnsi="Arial"/>
                <w:sz w:val="16"/>
                <w:szCs w:val="16"/>
                <w:color w:val="auto"/>
              </w:rPr>
              <w:t>(1,339)</w:t>
            </w:r>
          </w:p>
        </w:tc>
        <w:tc>
          <w:tcPr>
            <w:tcW w:w="380" w:type="dxa"/>
            <w:vAlign w:val="bottom"/>
            <w:gridSpan w:val="2"/>
            <w:vMerge w:val="restart"/>
          </w:tcPr>
          <w:p>
            <w:pPr>
              <w:jc w:val="right"/>
              <w:ind w:right="102"/>
              <w:spacing w:after="0"/>
              <w:rPr>
                <w:sz w:val="20"/>
                <w:szCs w:val="20"/>
                <w:color w:val="auto"/>
              </w:rPr>
            </w:pPr>
            <w:r>
              <w:rPr>
                <w:rFonts w:ascii="Arial" w:cs="Arial" w:eastAsia="Arial" w:hAnsi="Arial"/>
                <w:sz w:val="16"/>
                <w:szCs w:val="16"/>
                <w:color w:val="auto"/>
              </w:rPr>
              <w:t>$</w:t>
            </w:r>
          </w:p>
        </w:tc>
        <w:tc>
          <w:tcPr>
            <w:tcW w:w="620" w:type="dxa"/>
            <w:vAlign w:val="bottom"/>
            <w:vMerge w:val="restart"/>
          </w:tcPr>
          <w:p>
            <w:pPr>
              <w:jc w:val="right"/>
              <w:spacing w:after="0"/>
              <w:rPr>
                <w:sz w:val="20"/>
                <w:szCs w:val="20"/>
                <w:color w:val="auto"/>
              </w:rPr>
            </w:pPr>
            <w:r>
              <w:rPr>
                <w:rFonts w:ascii="Arial" w:cs="Arial" w:eastAsia="Arial" w:hAnsi="Arial"/>
                <w:sz w:val="16"/>
                <w:szCs w:val="16"/>
                <w:color w:val="auto"/>
              </w:rPr>
              <w:t>(1,679)</w:t>
            </w:r>
          </w:p>
        </w:tc>
        <w:tc>
          <w:tcPr>
            <w:tcW w:w="200" w:type="dxa"/>
            <w:vAlign w:val="bottom"/>
            <w:gridSpan w:val="2"/>
            <w:vMerge w:val="restart"/>
          </w:tcPr>
          <w:p>
            <w:pPr>
              <w:jc w:val="right"/>
              <w:spacing w:after="0"/>
              <w:rPr>
                <w:sz w:val="20"/>
                <w:szCs w:val="20"/>
                <w:color w:val="auto"/>
              </w:rPr>
            </w:pPr>
            <w:r>
              <w:rPr>
                <w:rFonts w:ascii="Arial" w:cs="Arial" w:eastAsia="Arial" w:hAnsi="Arial"/>
                <w:sz w:val="16"/>
                <w:szCs w:val="16"/>
                <w:color w:val="auto"/>
              </w:rPr>
              <w:t>$</w:t>
            </w:r>
          </w:p>
        </w:tc>
        <w:tc>
          <w:tcPr>
            <w:tcW w:w="620" w:type="dxa"/>
            <w:vAlign w:val="bottom"/>
            <w:vMerge w:val="restart"/>
          </w:tcPr>
          <w:p>
            <w:pPr>
              <w:jc w:val="right"/>
              <w:spacing w:after="0"/>
              <w:rPr>
                <w:sz w:val="20"/>
                <w:szCs w:val="20"/>
                <w:color w:val="auto"/>
              </w:rPr>
            </w:pPr>
            <w:r>
              <w:rPr>
                <w:rFonts w:ascii="Arial" w:cs="Arial" w:eastAsia="Arial" w:hAnsi="Arial"/>
                <w:sz w:val="16"/>
                <w:szCs w:val="16"/>
                <w:color w:val="auto"/>
              </w:rPr>
              <w:t>(265)</w:t>
            </w:r>
          </w:p>
        </w:tc>
        <w:tc>
          <w:tcPr>
            <w:tcW w:w="240" w:type="dxa"/>
            <w:vAlign w:val="bottom"/>
            <w:gridSpan w:val="2"/>
            <w:vMerge w:val="restart"/>
          </w:tcPr>
          <w:p>
            <w:pPr>
              <w:jc w:val="right"/>
              <w:spacing w:after="0"/>
              <w:rPr>
                <w:sz w:val="20"/>
                <w:szCs w:val="20"/>
                <w:color w:val="auto"/>
              </w:rPr>
            </w:pPr>
            <w:r>
              <w:rPr>
                <w:rFonts w:ascii="Arial" w:cs="Arial" w:eastAsia="Arial" w:hAnsi="Arial"/>
                <w:sz w:val="16"/>
                <w:szCs w:val="16"/>
                <w:color w:val="auto"/>
              </w:rPr>
              <w:t>$</w:t>
            </w:r>
          </w:p>
        </w:tc>
        <w:tc>
          <w:tcPr>
            <w:tcW w:w="520" w:type="dxa"/>
            <w:vAlign w:val="bottom"/>
            <w:vMerge w:val="restart"/>
          </w:tcPr>
          <w:p>
            <w:pPr>
              <w:jc w:val="right"/>
              <w:spacing w:after="0"/>
              <w:rPr>
                <w:sz w:val="20"/>
                <w:szCs w:val="20"/>
                <w:color w:val="auto"/>
              </w:rPr>
            </w:pPr>
            <w:r>
              <w:rPr>
                <w:rFonts w:ascii="Arial" w:cs="Arial" w:eastAsia="Arial" w:hAnsi="Arial"/>
                <w:sz w:val="16"/>
                <w:szCs w:val="16"/>
                <w:color w:val="auto"/>
                <w:w w:val="89"/>
              </w:rPr>
              <w:t>14,245</w:t>
            </w:r>
          </w:p>
        </w:tc>
        <w:tc>
          <w:tcPr>
            <w:tcW w:w="220" w:type="dxa"/>
            <w:vAlign w:val="bottom"/>
            <w:gridSpan w:val="2"/>
            <w:vMerge w:val="restart"/>
          </w:tcPr>
          <w:p>
            <w:pPr>
              <w:ind w:left="120"/>
              <w:spacing w:after="0"/>
              <w:rPr>
                <w:sz w:val="20"/>
                <w:szCs w:val="20"/>
                <w:color w:val="auto"/>
              </w:rPr>
            </w:pPr>
            <w:r>
              <w:rPr>
                <w:rFonts w:ascii="Arial" w:cs="Arial" w:eastAsia="Arial" w:hAnsi="Arial"/>
                <w:sz w:val="16"/>
                <w:szCs w:val="16"/>
                <w:color w:val="auto"/>
                <w:w w:val="89"/>
              </w:rPr>
              <w:t>$</w:t>
            </w:r>
          </w:p>
        </w:tc>
        <w:tc>
          <w:tcPr>
            <w:tcW w:w="680" w:type="dxa"/>
            <w:vAlign w:val="bottom"/>
            <w:vMerge w:val="restart"/>
          </w:tcPr>
          <w:p>
            <w:pPr>
              <w:jc w:val="right"/>
              <w:spacing w:after="0"/>
              <w:rPr>
                <w:sz w:val="20"/>
                <w:szCs w:val="20"/>
                <w:color w:val="auto"/>
              </w:rPr>
            </w:pPr>
            <w:r>
              <w:rPr>
                <w:rFonts w:ascii="Arial" w:cs="Arial" w:eastAsia="Arial" w:hAnsi="Arial"/>
                <w:sz w:val="16"/>
                <w:szCs w:val="16"/>
                <w:color w:val="auto"/>
              </w:rPr>
              <w:t>154</w:t>
            </w:r>
          </w:p>
        </w:tc>
        <w:tc>
          <w:tcPr>
            <w:tcW w:w="0" w:type="dxa"/>
            <w:vAlign w:val="bottom"/>
          </w:tcPr>
          <w:p>
            <w:pPr>
              <w:spacing w:after="0"/>
              <w:rPr>
                <w:sz w:val="1"/>
                <w:szCs w:val="1"/>
                <w:color w:val="auto"/>
              </w:rPr>
            </w:pPr>
          </w:p>
        </w:tc>
      </w:tr>
      <w:tr>
        <w:trPr>
          <w:trHeight w:val="190"/>
        </w:trPr>
        <w:tc>
          <w:tcPr>
            <w:tcW w:w="2120" w:type="dxa"/>
            <w:vAlign w:val="bottom"/>
          </w:tcPr>
          <w:p>
            <w:pPr>
              <w:ind w:left="340"/>
              <w:spacing w:after="0"/>
              <w:rPr>
                <w:sz w:val="20"/>
                <w:szCs w:val="20"/>
                <w:color w:val="auto"/>
              </w:rPr>
            </w:pPr>
            <w:r>
              <w:rPr>
                <w:rFonts w:ascii="Arial" w:cs="Arial" w:eastAsia="Arial" w:hAnsi="Arial"/>
                <w:sz w:val="16"/>
                <w:szCs w:val="16"/>
                <w:b w:val="1"/>
                <w:bCs w:val="1"/>
                <w:color w:val="auto"/>
              </w:rPr>
              <w:t>fair value</w:t>
            </w:r>
          </w:p>
        </w:tc>
        <w:tc>
          <w:tcPr>
            <w:tcW w:w="220" w:type="dxa"/>
            <w:vAlign w:val="bottom"/>
            <w:vMerge w:val="continue"/>
          </w:tcPr>
          <w:p>
            <w:pPr>
              <w:spacing w:after="0"/>
              <w:rPr>
                <w:sz w:val="16"/>
                <w:szCs w:val="16"/>
                <w:color w:val="auto"/>
              </w:rPr>
            </w:pPr>
          </w:p>
        </w:tc>
        <w:tc>
          <w:tcPr>
            <w:tcW w:w="600" w:type="dxa"/>
            <w:vAlign w:val="bottom"/>
            <w:vMerge w:val="continue"/>
          </w:tcPr>
          <w:p>
            <w:pPr>
              <w:spacing w:after="0"/>
              <w:rPr>
                <w:sz w:val="16"/>
                <w:szCs w:val="16"/>
                <w:color w:val="auto"/>
              </w:rPr>
            </w:pPr>
          </w:p>
        </w:tc>
        <w:tc>
          <w:tcPr>
            <w:tcW w:w="360" w:type="dxa"/>
            <w:vAlign w:val="bottom"/>
            <w:gridSpan w:val="2"/>
            <w:vMerge w:val="continue"/>
          </w:tcPr>
          <w:p>
            <w:pPr>
              <w:spacing w:after="0"/>
              <w:rPr>
                <w:sz w:val="16"/>
                <w:szCs w:val="16"/>
                <w:color w:val="auto"/>
              </w:rPr>
            </w:pPr>
          </w:p>
        </w:tc>
        <w:tc>
          <w:tcPr>
            <w:tcW w:w="520" w:type="dxa"/>
            <w:vAlign w:val="bottom"/>
            <w:vMerge w:val="continue"/>
          </w:tcPr>
          <w:p>
            <w:pPr>
              <w:spacing w:after="0"/>
              <w:rPr>
                <w:sz w:val="16"/>
                <w:szCs w:val="16"/>
                <w:color w:val="auto"/>
              </w:rPr>
            </w:pPr>
          </w:p>
        </w:tc>
        <w:tc>
          <w:tcPr>
            <w:tcW w:w="220" w:type="dxa"/>
            <w:vAlign w:val="bottom"/>
            <w:gridSpan w:val="2"/>
            <w:vMerge w:val="continue"/>
          </w:tcPr>
          <w:p>
            <w:pPr>
              <w:spacing w:after="0"/>
              <w:rPr>
                <w:sz w:val="16"/>
                <w:szCs w:val="16"/>
                <w:color w:val="auto"/>
              </w:rPr>
            </w:pPr>
          </w:p>
        </w:tc>
        <w:tc>
          <w:tcPr>
            <w:tcW w:w="600" w:type="dxa"/>
            <w:vAlign w:val="bottom"/>
            <w:vMerge w:val="continue"/>
          </w:tcPr>
          <w:p>
            <w:pPr>
              <w:spacing w:after="0"/>
              <w:rPr>
                <w:sz w:val="16"/>
                <w:szCs w:val="16"/>
                <w:color w:val="auto"/>
              </w:rPr>
            </w:pPr>
          </w:p>
        </w:tc>
        <w:tc>
          <w:tcPr>
            <w:tcW w:w="340" w:type="dxa"/>
            <w:vAlign w:val="bottom"/>
            <w:gridSpan w:val="2"/>
            <w:vMerge w:val="continue"/>
          </w:tcPr>
          <w:p>
            <w:pPr>
              <w:spacing w:after="0"/>
              <w:rPr>
                <w:sz w:val="16"/>
                <w:szCs w:val="16"/>
                <w:color w:val="auto"/>
              </w:rPr>
            </w:pPr>
          </w:p>
        </w:tc>
        <w:tc>
          <w:tcPr>
            <w:tcW w:w="560" w:type="dxa"/>
            <w:vAlign w:val="bottom"/>
            <w:vMerge w:val="continue"/>
          </w:tcPr>
          <w:p>
            <w:pPr>
              <w:spacing w:after="0"/>
              <w:rPr>
                <w:sz w:val="16"/>
                <w:szCs w:val="16"/>
                <w:color w:val="auto"/>
              </w:rPr>
            </w:pPr>
          </w:p>
        </w:tc>
        <w:tc>
          <w:tcPr>
            <w:tcW w:w="240" w:type="dxa"/>
            <w:vAlign w:val="bottom"/>
            <w:gridSpan w:val="2"/>
            <w:vMerge w:val="continue"/>
          </w:tcPr>
          <w:p>
            <w:pPr>
              <w:spacing w:after="0"/>
              <w:rPr>
                <w:sz w:val="16"/>
                <w:szCs w:val="16"/>
                <w:color w:val="auto"/>
              </w:rPr>
            </w:pPr>
          </w:p>
        </w:tc>
        <w:tc>
          <w:tcPr>
            <w:tcW w:w="560" w:type="dxa"/>
            <w:vAlign w:val="bottom"/>
            <w:vMerge w:val="continue"/>
          </w:tcPr>
          <w:p>
            <w:pPr>
              <w:spacing w:after="0"/>
              <w:rPr>
                <w:sz w:val="16"/>
                <w:szCs w:val="16"/>
                <w:color w:val="auto"/>
              </w:rPr>
            </w:pPr>
          </w:p>
        </w:tc>
        <w:tc>
          <w:tcPr>
            <w:tcW w:w="380" w:type="dxa"/>
            <w:vAlign w:val="bottom"/>
            <w:gridSpan w:val="2"/>
            <w:vMerge w:val="continue"/>
          </w:tcPr>
          <w:p>
            <w:pPr>
              <w:spacing w:after="0"/>
              <w:rPr>
                <w:sz w:val="16"/>
                <w:szCs w:val="16"/>
                <w:color w:val="auto"/>
              </w:rPr>
            </w:pPr>
          </w:p>
        </w:tc>
        <w:tc>
          <w:tcPr>
            <w:tcW w:w="620" w:type="dxa"/>
            <w:vAlign w:val="bottom"/>
            <w:vMerge w:val="continue"/>
          </w:tcPr>
          <w:p>
            <w:pPr>
              <w:spacing w:after="0"/>
              <w:rPr>
                <w:sz w:val="16"/>
                <w:szCs w:val="16"/>
                <w:color w:val="auto"/>
              </w:rPr>
            </w:pPr>
          </w:p>
        </w:tc>
        <w:tc>
          <w:tcPr>
            <w:tcW w:w="200" w:type="dxa"/>
            <w:vAlign w:val="bottom"/>
            <w:gridSpan w:val="2"/>
            <w:vMerge w:val="continue"/>
          </w:tcPr>
          <w:p>
            <w:pPr>
              <w:spacing w:after="0"/>
              <w:rPr>
                <w:sz w:val="16"/>
                <w:szCs w:val="16"/>
                <w:color w:val="auto"/>
              </w:rPr>
            </w:pPr>
          </w:p>
        </w:tc>
        <w:tc>
          <w:tcPr>
            <w:tcW w:w="620" w:type="dxa"/>
            <w:vAlign w:val="bottom"/>
            <w:vMerge w:val="continue"/>
          </w:tcPr>
          <w:p>
            <w:pPr>
              <w:spacing w:after="0"/>
              <w:rPr>
                <w:sz w:val="16"/>
                <w:szCs w:val="16"/>
                <w:color w:val="auto"/>
              </w:rPr>
            </w:pPr>
          </w:p>
        </w:tc>
        <w:tc>
          <w:tcPr>
            <w:tcW w:w="240" w:type="dxa"/>
            <w:vAlign w:val="bottom"/>
            <w:gridSpan w:val="2"/>
            <w:vMerge w:val="continue"/>
          </w:tcPr>
          <w:p>
            <w:pPr>
              <w:spacing w:after="0"/>
              <w:rPr>
                <w:sz w:val="16"/>
                <w:szCs w:val="16"/>
                <w:color w:val="auto"/>
              </w:rPr>
            </w:pPr>
          </w:p>
        </w:tc>
        <w:tc>
          <w:tcPr>
            <w:tcW w:w="520" w:type="dxa"/>
            <w:vAlign w:val="bottom"/>
            <w:vMerge w:val="continue"/>
          </w:tcPr>
          <w:p>
            <w:pPr>
              <w:spacing w:after="0"/>
              <w:rPr>
                <w:sz w:val="16"/>
                <w:szCs w:val="16"/>
                <w:color w:val="auto"/>
              </w:rPr>
            </w:pPr>
          </w:p>
        </w:tc>
        <w:tc>
          <w:tcPr>
            <w:tcW w:w="220" w:type="dxa"/>
            <w:vAlign w:val="bottom"/>
            <w:gridSpan w:val="2"/>
            <w:vMerge w:val="continue"/>
          </w:tcPr>
          <w:p>
            <w:pPr>
              <w:spacing w:after="0"/>
              <w:rPr>
                <w:sz w:val="16"/>
                <w:szCs w:val="16"/>
                <w:color w:val="auto"/>
              </w:rPr>
            </w:pPr>
          </w:p>
        </w:tc>
        <w:tc>
          <w:tcPr>
            <w:tcW w:w="6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120" w:type="dxa"/>
            <w:vAlign w:val="bottom"/>
            <w:vMerge w:val="restart"/>
          </w:tcPr>
          <w:p>
            <w:pPr>
              <w:spacing w:after="0"/>
              <w:rPr>
                <w:sz w:val="20"/>
                <w:szCs w:val="20"/>
                <w:color w:val="auto"/>
              </w:rPr>
            </w:pPr>
            <w:r>
              <w:rPr>
                <w:rFonts w:ascii="Arial" w:cs="Arial" w:eastAsia="Arial" w:hAnsi="Arial"/>
                <w:sz w:val="16"/>
                <w:szCs w:val="16"/>
                <w:color w:val="auto"/>
              </w:rPr>
              <w:t>Market risk benefits asset (c)</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120" w:type="dxa"/>
            <w:vAlign w:val="bottom"/>
            <w:vMerge w:val="continue"/>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189</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285</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3"/>
        </w:trPr>
        <w:tc>
          <w:tcPr>
            <w:tcW w:w="2120" w:type="dxa"/>
            <w:vAlign w:val="bottom"/>
          </w:tcPr>
          <w:p>
            <w:pPr>
              <w:ind w:left="340"/>
              <w:spacing w:after="0" w:line="123" w:lineRule="exact"/>
              <w:rPr>
                <w:sz w:val="20"/>
                <w:szCs w:val="20"/>
                <w:color w:val="auto"/>
              </w:rPr>
            </w:pPr>
            <w:r>
              <w:rPr>
                <w:rFonts w:ascii="Arial" w:cs="Arial" w:eastAsia="Arial" w:hAnsi="Arial"/>
                <w:sz w:val="13"/>
                <w:szCs w:val="13"/>
                <w:b w:val="1"/>
                <w:bCs w:val="1"/>
                <w:color w:val="auto"/>
              </w:rPr>
              <w:t>Total Level 3 assets at</w:t>
            </w:r>
          </w:p>
        </w:tc>
        <w:tc>
          <w:tcPr>
            <w:tcW w:w="220" w:type="dxa"/>
            <w:vAlign w:val="bottom"/>
            <w:vMerge w:val="restart"/>
          </w:tcPr>
          <w:p>
            <w:pPr>
              <w:ind w:left="40"/>
              <w:spacing w:after="0"/>
              <w:rPr>
                <w:sz w:val="20"/>
                <w:szCs w:val="20"/>
                <w:color w:val="auto"/>
              </w:rPr>
            </w:pPr>
            <w:r>
              <w:rPr>
                <w:rFonts w:ascii="Arial" w:cs="Arial" w:eastAsia="Arial" w:hAnsi="Arial"/>
                <w:sz w:val="16"/>
                <w:szCs w:val="16"/>
                <w:color w:val="auto"/>
              </w:rPr>
              <w:t>$</w:t>
            </w:r>
          </w:p>
        </w:tc>
        <w:tc>
          <w:tcPr>
            <w:tcW w:w="600" w:type="dxa"/>
            <w:vAlign w:val="bottom"/>
            <w:vMerge w:val="restart"/>
          </w:tcPr>
          <w:p>
            <w:pPr>
              <w:jc w:val="right"/>
              <w:spacing w:after="0"/>
              <w:rPr>
                <w:sz w:val="20"/>
                <w:szCs w:val="20"/>
                <w:color w:val="auto"/>
              </w:rPr>
            </w:pPr>
            <w:r>
              <w:rPr>
                <w:rFonts w:ascii="Arial" w:cs="Arial" w:eastAsia="Arial" w:hAnsi="Arial"/>
                <w:sz w:val="16"/>
                <w:szCs w:val="16"/>
                <w:color w:val="auto"/>
              </w:rPr>
              <w:t>11,832</w:t>
            </w: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40" w:type="dxa"/>
            <w:vAlign w:val="bottom"/>
            <w:gridSpan w:val="2"/>
            <w:vMerge w:val="restart"/>
          </w:tcPr>
          <w:p>
            <w:pPr>
              <w:jc w:val="right"/>
              <w:spacing w:after="0"/>
              <w:rPr>
                <w:sz w:val="20"/>
                <w:szCs w:val="20"/>
                <w:color w:val="auto"/>
              </w:rPr>
            </w:pPr>
            <w:r>
              <w:rPr>
                <w:rFonts w:ascii="Arial" w:cs="Arial" w:eastAsia="Arial" w:hAnsi="Arial"/>
                <w:sz w:val="16"/>
                <w:szCs w:val="16"/>
                <w:color w:val="auto"/>
              </w:rPr>
              <w:t>$</w:t>
            </w:r>
          </w:p>
        </w:tc>
        <w:tc>
          <w:tcPr>
            <w:tcW w:w="520" w:type="dxa"/>
            <w:vAlign w:val="bottom"/>
            <w:vMerge w:val="restart"/>
          </w:tcPr>
          <w:p>
            <w:pPr>
              <w:jc w:val="right"/>
              <w:spacing w:after="0"/>
              <w:rPr>
                <w:sz w:val="20"/>
                <w:szCs w:val="20"/>
                <w:color w:val="auto"/>
              </w:rPr>
            </w:pPr>
            <w:r>
              <w:rPr>
                <w:rFonts w:ascii="Arial" w:cs="Arial" w:eastAsia="Arial" w:hAnsi="Arial"/>
                <w:sz w:val="16"/>
                <w:szCs w:val="16"/>
                <w:color w:val="auto"/>
                <w:w w:val="89"/>
              </w:rPr>
              <w:t>14,530</w:t>
            </w: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0"/>
        </w:trPr>
        <w:tc>
          <w:tcPr>
            <w:tcW w:w="2120" w:type="dxa"/>
            <w:vAlign w:val="bottom"/>
          </w:tcPr>
          <w:p>
            <w:pPr>
              <w:ind w:left="340"/>
              <w:spacing w:after="0"/>
              <w:rPr>
                <w:sz w:val="20"/>
                <w:szCs w:val="20"/>
                <w:color w:val="auto"/>
              </w:rPr>
            </w:pPr>
            <w:r>
              <w:rPr>
                <w:rFonts w:ascii="Arial" w:cs="Arial" w:eastAsia="Arial" w:hAnsi="Arial"/>
                <w:sz w:val="16"/>
                <w:szCs w:val="16"/>
                <w:b w:val="1"/>
                <w:bCs w:val="1"/>
                <w:color w:val="auto"/>
              </w:rPr>
              <w:t>fair value</w:t>
            </w:r>
          </w:p>
        </w:tc>
        <w:tc>
          <w:tcPr>
            <w:tcW w:w="220" w:type="dxa"/>
            <w:vAlign w:val="bottom"/>
            <w:vMerge w:val="continue"/>
          </w:tcPr>
          <w:p>
            <w:pPr>
              <w:spacing w:after="0"/>
              <w:rPr>
                <w:sz w:val="16"/>
                <w:szCs w:val="16"/>
                <w:color w:val="auto"/>
              </w:rPr>
            </w:pPr>
          </w:p>
        </w:tc>
        <w:tc>
          <w:tcPr>
            <w:tcW w:w="60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40" w:type="dxa"/>
            <w:vAlign w:val="bottom"/>
            <w:gridSpan w:val="2"/>
            <w:vMerge w:val="continue"/>
          </w:tcPr>
          <w:p>
            <w:pPr>
              <w:spacing w:after="0"/>
              <w:rPr>
                <w:sz w:val="16"/>
                <w:szCs w:val="16"/>
                <w:color w:val="auto"/>
              </w:rPr>
            </w:pPr>
          </w:p>
        </w:tc>
        <w:tc>
          <w:tcPr>
            <w:tcW w:w="52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120" w:type="dxa"/>
            <w:vAlign w:val="bottom"/>
            <w:vMerge w:val="restart"/>
          </w:tcPr>
          <w:p>
            <w:pPr>
              <w:spacing w:after="0"/>
              <w:rPr>
                <w:sz w:val="20"/>
                <w:szCs w:val="20"/>
                <w:color w:val="auto"/>
              </w:rPr>
            </w:pPr>
            <w:r>
              <w:rPr>
                <w:rFonts w:ascii="Arial" w:cs="Arial" w:eastAsia="Arial" w:hAnsi="Arial"/>
                <w:sz w:val="16"/>
                <w:szCs w:val="16"/>
                <w:b w:val="1"/>
                <w:bCs w:val="1"/>
                <w:color w:val="auto"/>
              </w:rPr>
              <w:t>Liabilities</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212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2120" w:type="dxa"/>
            <w:vAlign w:val="bottom"/>
          </w:tcPr>
          <w:p>
            <w:pPr>
              <w:spacing w:after="0"/>
              <w:rPr>
                <w:sz w:val="20"/>
                <w:szCs w:val="20"/>
                <w:color w:val="auto"/>
              </w:rPr>
            </w:pPr>
            <w:r>
              <w:rPr>
                <w:rFonts w:ascii="Arial" w:cs="Arial" w:eastAsia="Arial" w:hAnsi="Arial"/>
                <w:sz w:val="16"/>
                <w:szCs w:val="16"/>
                <w:color w:val="auto"/>
              </w:rPr>
              <w:t>Indexed annuities/ IUL</w:t>
            </w: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7"/>
        </w:trPr>
        <w:tc>
          <w:tcPr>
            <w:tcW w:w="2120" w:type="dxa"/>
            <w:vAlign w:val="bottom"/>
          </w:tcPr>
          <w:p>
            <w:pPr>
              <w:spacing w:after="0" w:line="157" w:lineRule="exact"/>
              <w:rPr>
                <w:sz w:val="20"/>
                <w:szCs w:val="20"/>
                <w:color w:val="auto"/>
              </w:rPr>
            </w:pPr>
            <w:r>
              <w:rPr>
                <w:rFonts w:ascii="Arial" w:cs="Arial" w:eastAsia="Arial" w:hAnsi="Arial"/>
                <w:sz w:val="16"/>
                <w:szCs w:val="16"/>
                <w:color w:val="auto"/>
                <w:w w:val="93"/>
              </w:rPr>
              <w:t>embedded derivatives, included</w:t>
            </w:r>
          </w:p>
        </w:tc>
        <w:tc>
          <w:tcPr>
            <w:tcW w:w="220" w:type="dxa"/>
            <w:vAlign w:val="bottom"/>
            <w:vMerge w:val="restart"/>
          </w:tcPr>
          <w:p>
            <w:pPr>
              <w:ind w:left="40"/>
              <w:spacing w:after="0"/>
              <w:rPr>
                <w:sz w:val="20"/>
                <w:szCs w:val="20"/>
                <w:color w:val="auto"/>
              </w:rPr>
            </w:pPr>
            <w:r>
              <w:rPr>
                <w:rFonts w:ascii="Arial" w:cs="Arial" w:eastAsia="Arial" w:hAnsi="Arial"/>
                <w:sz w:val="16"/>
                <w:szCs w:val="16"/>
                <w:color w:val="auto"/>
              </w:rPr>
              <w:t>$</w:t>
            </w:r>
          </w:p>
        </w:tc>
        <w:tc>
          <w:tcPr>
            <w:tcW w:w="600" w:type="dxa"/>
            <w:vAlign w:val="bottom"/>
            <w:vMerge w:val="restart"/>
          </w:tcPr>
          <w:p>
            <w:pPr>
              <w:jc w:val="right"/>
              <w:spacing w:after="0"/>
              <w:rPr>
                <w:sz w:val="20"/>
                <w:szCs w:val="20"/>
                <w:color w:val="auto"/>
              </w:rPr>
            </w:pPr>
            <w:r>
              <w:rPr>
                <w:rFonts w:ascii="Arial" w:cs="Arial" w:eastAsia="Arial" w:hAnsi="Arial"/>
                <w:sz w:val="16"/>
                <w:szCs w:val="16"/>
                <w:color w:val="auto"/>
              </w:rPr>
              <w:t>5,220</w:t>
            </w:r>
          </w:p>
        </w:tc>
        <w:tc>
          <w:tcPr>
            <w:tcW w:w="360" w:type="dxa"/>
            <w:vAlign w:val="bottom"/>
            <w:gridSpan w:val="2"/>
            <w:vMerge w:val="restart"/>
          </w:tcPr>
          <w:p>
            <w:pPr>
              <w:ind w:left="180"/>
              <w:spacing w:after="0"/>
              <w:rPr>
                <w:sz w:val="20"/>
                <w:szCs w:val="20"/>
                <w:color w:val="auto"/>
              </w:rPr>
            </w:pPr>
            <w:r>
              <w:rPr>
                <w:rFonts w:ascii="Arial" w:cs="Arial" w:eastAsia="Arial" w:hAnsi="Arial"/>
                <w:sz w:val="16"/>
                <w:szCs w:val="16"/>
                <w:color w:val="auto"/>
              </w:rPr>
              <w:t>$</w:t>
            </w:r>
          </w:p>
        </w:tc>
        <w:tc>
          <w:tcPr>
            <w:tcW w:w="520" w:type="dxa"/>
            <w:vAlign w:val="bottom"/>
            <w:vMerge w:val="restart"/>
          </w:tcPr>
          <w:p>
            <w:pPr>
              <w:jc w:val="right"/>
              <w:spacing w:after="0"/>
              <w:rPr>
                <w:sz w:val="20"/>
                <w:szCs w:val="20"/>
                <w:color w:val="auto"/>
              </w:rPr>
            </w:pPr>
            <w:r>
              <w:rPr>
                <w:rFonts w:ascii="Arial" w:cs="Arial" w:eastAsia="Arial" w:hAnsi="Arial"/>
                <w:sz w:val="16"/>
                <w:szCs w:val="16"/>
                <w:color w:val="auto"/>
              </w:rPr>
              <w:t>450</w:t>
            </w:r>
          </w:p>
        </w:tc>
        <w:tc>
          <w:tcPr>
            <w:tcW w:w="220" w:type="dxa"/>
            <w:vAlign w:val="bottom"/>
            <w:gridSpan w:val="2"/>
            <w:vMerge w:val="restart"/>
          </w:tcPr>
          <w:p>
            <w:pPr>
              <w:jc w:val="right"/>
              <w:spacing w:after="0"/>
              <w:rPr>
                <w:sz w:val="20"/>
                <w:szCs w:val="20"/>
                <w:color w:val="auto"/>
              </w:rPr>
            </w:pPr>
            <w:r>
              <w:rPr>
                <w:rFonts w:ascii="Arial" w:cs="Arial" w:eastAsia="Arial" w:hAnsi="Arial"/>
                <w:sz w:val="16"/>
                <w:szCs w:val="16"/>
                <w:color w:val="auto"/>
              </w:rPr>
              <w:t>$</w:t>
            </w:r>
          </w:p>
        </w:tc>
        <w:tc>
          <w:tcPr>
            <w:tcW w:w="6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340" w:type="dxa"/>
            <w:vAlign w:val="bottom"/>
            <w:gridSpan w:val="2"/>
            <w:vMerge w:val="restart"/>
          </w:tcPr>
          <w:p>
            <w:pPr>
              <w:jc w:val="right"/>
              <w:ind w:right="62"/>
              <w:spacing w:after="0"/>
              <w:rPr>
                <w:sz w:val="20"/>
                <w:szCs w:val="20"/>
                <w:color w:val="auto"/>
              </w:rPr>
            </w:pPr>
            <w:r>
              <w:rPr>
                <w:rFonts w:ascii="Arial" w:cs="Arial" w:eastAsia="Arial" w:hAnsi="Arial"/>
                <w:sz w:val="16"/>
                <w:szCs w:val="16"/>
                <w:color w:val="auto"/>
              </w:rPr>
              <w:t>$</w:t>
            </w:r>
          </w:p>
        </w:tc>
        <w:tc>
          <w:tcPr>
            <w:tcW w:w="560" w:type="dxa"/>
            <w:vAlign w:val="bottom"/>
            <w:vMerge w:val="restart"/>
          </w:tcPr>
          <w:p>
            <w:pPr>
              <w:jc w:val="right"/>
              <w:spacing w:after="0"/>
              <w:rPr>
                <w:sz w:val="20"/>
                <w:szCs w:val="20"/>
                <w:color w:val="auto"/>
              </w:rPr>
            </w:pPr>
            <w:r>
              <w:rPr>
                <w:rFonts w:ascii="Arial" w:cs="Arial" w:eastAsia="Arial" w:hAnsi="Arial"/>
                <w:sz w:val="16"/>
                <w:szCs w:val="16"/>
                <w:color w:val="auto"/>
              </w:rPr>
              <w:t>1,357</w:t>
            </w:r>
          </w:p>
        </w:tc>
        <w:tc>
          <w:tcPr>
            <w:tcW w:w="240" w:type="dxa"/>
            <w:vAlign w:val="bottom"/>
            <w:gridSpan w:val="2"/>
            <w:vMerge w:val="restart"/>
          </w:tcPr>
          <w:p>
            <w:pPr>
              <w:jc w:val="right"/>
              <w:ind w:right="40"/>
              <w:spacing w:after="0"/>
              <w:rPr>
                <w:sz w:val="20"/>
                <w:szCs w:val="20"/>
                <w:color w:val="auto"/>
              </w:rPr>
            </w:pPr>
            <w:r>
              <w:rPr>
                <w:rFonts w:ascii="Arial" w:cs="Arial" w:eastAsia="Arial" w:hAnsi="Arial"/>
                <w:sz w:val="16"/>
                <w:szCs w:val="16"/>
                <w:color w:val="auto"/>
              </w:rPr>
              <w:t>$</w:t>
            </w:r>
          </w:p>
        </w:tc>
        <w:tc>
          <w:tcPr>
            <w:tcW w:w="560" w:type="dxa"/>
            <w:vAlign w:val="bottom"/>
            <w:vMerge w:val="restart"/>
          </w:tcPr>
          <w:p>
            <w:pPr>
              <w:jc w:val="right"/>
              <w:ind w:right="2"/>
              <w:spacing w:after="0"/>
              <w:rPr>
                <w:sz w:val="20"/>
                <w:szCs w:val="20"/>
                <w:color w:val="auto"/>
              </w:rPr>
            </w:pPr>
            <w:r>
              <w:rPr>
                <w:rFonts w:ascii="Arial" w:cs="Arial" w:eastAsia="Arial" w:hAnsi="Arial"/>
                <w:sz w:val="16"/>
                <w:szCs w:val="16"/>
                <w:color w:val="auto"/>
              </w:rPr>
              <w:t>—</w:t>
            </w:r>
          </w:p>
        </w:tc>
        <w:tc>
          <w:tcPr>
            <w:tcW w:w="380" w:type="dxa"/>
            <w:vAlign w:val="bottom"/>
            <w:gridSpan w:val="2"/>
            <w:vMerge w:val="restart"/>
          </w:tcPr>
          <w:p>
            <w:pPr>
              <w:jc w:val="right"/>
              <w:ind w:right="102"/>
              <w:spacing w:after="0"/>
              <w:rPr>
                <w:sz w:val="20"/>
                <w:szCs w:val="20"/>
                <w:color w:val="auto"/>
              </w:rPr>
            </w:pPr>
            <w:r>
              <w:rPr>
                <w:rFonts w:ascii="Arial" w:cs="Arial" w:eastAsia="Arial" w:hAnsi="Arial"/>
                <w:sz w:val="16"/>
                <w:szCs w:val="16"/>
                <w:color w:val="auto"/>
              </w:rPr>
              <w:t>$</w:t>
            </w:r>
          </w:p>
        </w:tc>
        <w:tc>
          <w:tcPr>
            <w:tcW w:w="620" w:type="dxa"/>
            <w:vAlign w:val="bottom"/>
            <w:vMerge w:val="restart"/>
          </w:tcPr>
          <w:p>
            <w:pPr>
              <w:jc w:val="right"/>
              <w:spacing w:after="0"/>
              <w:rPr>
                <w:sz w:val="20"/>
                <w:szCs w:val="20"/>
                <w:color w:val="auto"/>
              </w:rPr>
            </w:pPr>
            <w:r>
              <w:rPr>
                <w:rFonts w:ascii="Arial" w:cs="Arial" w:eastAsia="Arial" w:hAnsi="Arial"/>
                <w:sz w:val="16"/>
                <w:szCs w:val="16"/>
                <w:color w:val="auto"/>
              </w:rPr>
              <w:t>(485)</w:t>
            </w:r>
          </w:p>
        </w:tc>
        <w:tc>
          <w:tcPr>
            <w:tcW w:w="200" w:type="dxa"/>
            <w:vAlign w:val="bottom"/>
            <w:gridSpan w:val="2"/>
            <w:vMerge w:val="restart"/>
          </w:tcPr>
          <w:p>
            <w:pPr>
              <w:jc w:val="right"/>
              <w:spacing w:after="0"/>
              <w:rPr>
                <w:sz w:val="20"/>
                <w:szCs w:val="20"/>
                <w:color w:val="auto"/>
              </w:rPr>
            </w:pPr>
            <w:r>
              <w:rPr>
                <w:rFonts w:ascii="Arial" w:cs="Arial" w:eastAsia="Arial" w:hAnsi="Arial"/>
                <w:sz w:val="16"/>
                <w:szCs w:val="16"/>
                <w:color w:val="auto"/>
              </w:rPr>
              <w:t>$</w:t>
            </w:r>
          </w:p>
        </w:tc>
        <w:tc>
          <w:tcPr>
            <w:tcW w:w="6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240" w:type="dxa"/>
            <w:vAlign w:val="bottom"/>
            <w:gridSpan w:val="2"/>
            <w:vMerge w:val="restart"/>
          </w:tcPr>
          <w:p>
            <w:pPr>
              <w:jc w:val="right"/>
              <w:spacing w:after="0"/>
              <w:rPr>
                <w:sz w:val="20"/>
                <w:szCs w:val="20"/>
                <w:color w:val="auto"/>
              </w:rPr>
            </w:pPr>
            <w:r>
              <w:rPr>
                <w:rFonts w:ascii="Arial" w:cs="Arial" w:eastAsia="Arial" w:hAnsi="Arial"/>
                <w:sz w:val="16"/>
                <w:szCs w:val="16"/>
                <w:color w:val="auto"/>
              </w:rPr>
              <w:t>$</w:t>
            </w:r>
          </w:p>
        </w:tc>
        <w:tc>
          <w:tcPr>
            <w:tcW w:w="520" w:type="dxa"/>
            <w:vAlign w:val="bottom"/>
            <w:vMerge w:val="restart"/>
          </w:tcPr>
          <w:p>
            <w:pPr>
              <w:jc w:val="right"/>
              <w:spacing w:after="0"/>
              <w:rPr>
                <w:sz w:val="20"/>
                <w:szCs w:val="20"/>
                <w:color w:val="auto"/>
              </w:rPr>
            </w:pPr>
            <w:r>
              <w:rPr>
                <w:rFonts w:ascii="Arial" w:cs="Arial" w:eastAsia="Arial" w:hAnsi="Arial"/>
                <w:sz w:val="16"/>
                <w:szCs w:val="16"/>
                <w:color w:val="auto"/>
              </w:rPr>
              <w:t>6,542</w:t>
            </w:r>
          </w:p>
        </w:tc>
        <w:tc>
          <w:tcPr>
            <w:tcW w:w="220" w:type="dxa"/>
            <w:vAlign w:val="bottom"/>
            <w:gridSpan w:val="2"/>
            <w:vMerge w:val="restart"/>
          </w:tcPr>
          <w:p>
            <w:pPr>
              <w:ind w:left="120"/>
              <w:spacing w:after="0"/>
              <w:rPr>
                <w:sz w:val="20"/>
                <w:szCs w:val="20"/>
                <w:color w:val="auto"/>
              </w:rPr>
            </w:pPr>
            <w:r>
              <w:rPr>
                <w:rFonts w:ascii="Arial" w:cs="Arial" w:eastAsia="Arial" w:hAnsi="Arial"/>
                <w:sz w:val="16"/>
                <w:szCs w:val="16"/>
                <w:color w:val="auto"/>
                <w:w w:val="89"/>
              </w:rPr>
              <w:t>$</w:t>
            </w:r>
          </w:p>
        </w:tc>
        <w:tc>
          <w:tcPr>
            <w:tcW w:w="6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4"/>
        </w:trPr>
        <w:tc>
          <w:tcPr>
            <w:tcW w:w="2120" w:type="dxa"/>
            <w:vAlign w:val="bottom"/>
          </w:tcPr>
          <w:p>
            <w:pPr>
              <w:spacing w:after="0"/>
              <w:rPr>
                <w:sz w:val="20"/>
                <w:szCs w:val="20"/>
                <w:color w:val="auto"/>
              </w:rPr>
            </w:pPr>
            <w:r>
              <w:rPr>
                <w:rFonts w:ascii="Arial" w:cs="Arial" w:eastAsia="Arial" w:hAnsi="Arial"/>
                <w:sz w:val="16"/>
                <w:szCs w:val="16"/>
                <w:color w:val="auto"/>
              </w:rPr>
              <w:t>in Contractholder funds</w:t>
            </w:r>
          </w:p>
        </w:tc>
        <w:tc>
          <w:tcPr>
            <w:tcW w:w="220" w:type="dxa"/>
            <w:vAlign w:val="bottom"/>
            <w:vMerge w:val="continue"/>
          </w:tcPr>
          <w:p>
            <w:pPr>
              <w:spacing w:after="0"/>
              <w:rPr>
                <w:sz w:val="17"/>
                <w:szCs w:val="17"/>
                <w:color w:val="auto"/>
              </w:rPr>
            </w:pPr>
          </w:p>
        </w:tc>
        <w:tc>
          <w:tcPr>
            <w:tcW w:w="600" w:type="dxa"/>
            <w:vAlign w:val="bottom"/>
            <w:vMerge w:val="continue"/>
          </w:tcPr>
          <w:p>
            <w:pPr>
              <w:spacing w:after="0"/>
              <w:rPr>
                <w:sz w:val="17"/>
                <w:szCs w:val="17"/>
                <w:color w:val="auto"/>
              </w:rPr>
            </w:pPr>
          </w:p>
        </w:tc>
        <w:tc>
          <w:tcPr>
            <w:tcW w:w="360" w:type="dxa"/>
            <w:vAlign w:val="bottom"/>
            <w:gridSpan w:val="2"/>
            <w:vMerge w:val="continue"/>
          </w:tcPr>
          <w:p>
            <w:pPr>
              <w:spacing w:after="0"/>
              <w:rPr>
                <w:sz w:val="17"/>
                <w:szCs w:val="17"/>
                <w:color w:val="auto"/>
              </w:rPr>
            </w:pPr>
          </w:p>
        </w:tc>
        <w:tc>
          <w:tcPr>
            <w:tcW w:w="520" w:type="dxa"/>
            <w:vAlign w:val="bottom"/>
            <w:vMerge w:val="continue"/>
          </w:tcPr>
          <w:p>
            <w:pPr>
              <w:spacing w:after="0"/>
              <w:rPr>
                <w:sz w:val="17"/>
                <w:szCs w:val="17"/>
                <w:color w:val="auto"/>
              </w:rPr>
            </w:pPr>
          </w:p>
        </w:tc>
        <w:tc>
          <w:tcPr>
            <w:tcW w:w="220" w:type="dxa"/>
            <w:vAlign w:val="bottom"/>
            <w:gridSpan w:val="2"/>
            <w:vMerge w:val="continue"/>
          </w:tcPr>
          <w:p>
            <w:pPr>
              <w:spacing w:after="0"/>
              <w:rPr>
                <w:sz w:val="17"/>
                <w:szCs w:val="17"/>
                <w:color w:val="auto"/>
              </w:rPr>
            </w:pPr>
          </w:p>
        </w:tc>
        <w:tc>
          <w:tcPr>
            <w:tcW w:w="600" w:type="dxa"/>
            <w:vAlign w:val="bottom"/>
            <w:vMerge w:val="continue"/>
          </w:tcPr>
          <w:p>
            <w:pPr>
              <w:spacing w:after="0"/>
              <w:rPr>
                <w:sz w:val="17"/>
                <w:szCs w:val="17"/>
                <w:color w:val="auto"/>
              </w:rPr>
            </w:pPr>
          </w:p>
        </w:tc>
        <w:tc>
          <w:tcPr>
            <w:tcW w:w="340" w:type="dxa"/>
            <w:vAlign w:val="bottom"/>
            <w:gridSpan w:val="2"/>
            <w:vMerge w:val="continue"/>
          </w:tcPr>
          <w:p>
            <w:pPr>
              <w:spacing w:after="0"/>
              <w:rPr>
                <w:sz w:val="17"/>
                <w:szCs w:val="17"/>
                <w:color w:val="auto"/>
              </w:rPr>
            </w:pPr>
          </w:p>
        </w:tc>
        <w:tc>
          <w:tcPr>
            <w:tcW w:w="560" w:type="dxa"/>
            <w:vAlign w:val="bottom"/>
            <w:vMerge w:val="continue"/>
          </w:tcPr>
          <w:p>
            <w:pPr>
              <w:spacing w:after="0"/>
              <w:rPr>
                <w:sz w:val="17"/>
                <w:szCs w:val="17"/>
                <w:color w:val="auto"/>
              </w:rPr>
            </w:pPr>
          </w:p>
        </w:tc>
        <w:tc>
          <w:tcPr>
            <w:tcW w:w="240" w:type="dxa"/>
            <w:vAlign w:val="bottom"/>
            <w:gridSpan w:val="2"/>
            <w:vMerge w:val="continue"/>
          </w:tcPr>
          <w:p>
            <w:pPr>
              <w:spacing w:after="0"/>
              <w:rPr>
                <w:sz w:val="17"/>
                <w:szCs w:val="17"/>
                <w:color w:val="auto"/>
              </w:rPr>
            </w:pPr>
          </w:p>
        </w:tc>
        <w:tc>
          <w:tcPr>
            <w:tcW w:w="560" w:type="dxa"/>
            <w:vAlign w:val="bottom"/>
            <w:vMerge w:val="continue"/>
          </w:tcPr>
          <w:p>
            <w:pPr>
              <w:spacing w:after="0"/>
              <w:rPr>
                <w:sz w:val="17"/>
                <w:szCs w:val="17"/>
                <w:color w:val="auto"/>
              </w:rPr>
            </w:pPr>
          </w:p>
        </w:tc>
        <w:tc>
          <w:tcPr>
            <w:tcW w:w="380" w:type="dxa"/>
            <w:vAlign w:val="bottom"/>
            <w:gridSpan w:val="2"/>
            <w:vMerge w:val="continue"/>
          </w:tcPr>
          <w:p>
            <w:pPr>
              <w:spacing w:after="0"/>
              <w:rPr>
                <w:sz w:val="17"/>
                <w:szCs w:val="17"/>
                <w:color w:val="auto"/>
              </w:rPr>
            </w:pPr>
          </w:p>
        </w:tc>
        <w:tc>
          <w:tcPr>
            <w:tcW w:w="620" w:type="dxa"/>
            <w:vAlign w:val="bottom"/>
            <w:vMerge w:val="continue"/>
          </w:tcPr>
          <w:p>
            <w:pPr>
              <w:spacing w:after="0"/>
              <w:rPr>
                <w:sz w:val="17"/>
                <w:szCs w:val="17"/>
                <w:color w:val="auto"/>
              </w:rPr>
            </w:pPr>
          </w:p>
        </w:tc>
        <w:tc>
          <w:tcPr>
            <w:tcW w:w="200" w:type="dxa"/>
            <w:vAlign w:val="bottom"/>
            <w:gridSpan w:val="2"/>
            <w:vMerge w:val="continue"/>
          </w:tcPr>
          <w:p>
            <w:pPr>
              <w:spacing w:after="0"/>
              <w:rPr>
                <w:sz w:val="17"/>
                <w:szCs w:val="17"/>
                <w:color w:val="auto"/>
              </w:rPr>
            </w:pPr>
          </w:p>
        </w:tc>
        <w:tc>
          <w:tcPr>
            <w:tcW w:w="620" w:type="dxa"/>
            <w:vAlign w:val="bottom"/>
            <w:vMerge w:val="continue"/>
          </w:tcPr>
          <w:p>
            <w:pPr>
              <w:spacing w:after="0"/>
              <w:rPr>
                <w:sz w:val="17"/>
                <w:szCs w:val="17"/>
                <w:color w:val="auto"/>
              </w:rPr>
            </w:pPr>
          </w:p>
        </w:tc>
        <w:tc>
          <w:tcPr>
            <w:tcW w:w="240" w:type="dxa"/>
            <w:vAlign w:val="bottom"/>
            <w:gridSpan w:val="2"/>
            <w:vMerge w:val="continue"/>
          </w:tcPr>
          <w:p>
            <w:pPr>
              <w:spacing w:after="0"/>
              <w:rPr>
                <w:sz w:val="17"/>
                <w:szCs w:val="17"/>
                <w:color w:val="auto"/>
              </w:rPr>
            </w:pPr>
          </w:p>
        </w:tc>
        <w:tc>
          <w:tcPr>
            <w:tcW w:w="520" w:type="dxa"/>
            <w:vAlign w:val="bottom"/>
            <w:vMerge w:val="continue"/>
          </w:tcPr>
          <w:p>
            <w:pPr>
              <w:spacing w:after="0"/>
              <w:rPr>
                <w:sz w:val="17"/>
                <w:szCs w:val="17"/>
                <w:color w:val="auto"/>
              </w:rPr>
            </w:pPr>
          </w:p>
        </w:tc>
        <w:tc>
          <w:tcPr>
            <w:tcW w:w="220" w:type="dxa"/>
            <w:vAlign w:val="bottom"/>
            <w:gridSpan w:val="2"/>
            <w:vMerge w:val="continue"/>
          </w:tcPr>
          <w:p>
            <w:pPr>
              <w:spacing w:after="0"/>
              <w:rPr>
                <w:sz w:val="17"/>
                <w:szCs w:val="17"/>
                <w:color w:val="auto"/>
              </w:rPr>
            </w:pPr>
          </w:p>
        </w:tc>
        <w:tc>
          <w:tcPr>
            <w:tcW w:w="6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120" w:type="dxa"/>
            <w:vAlign w:val="bottom"/>
          </w:tcPr>
          <w:p>
            <w:pPr>
              <w:spacing w:after="0"/>
              <w:rPr>
                <w:sz w:val="20"/>
                <w:szCs w:val="20"/>
                <w:color w:val="auto"/>
              </w:rPr>
            </w:pPr>
            <w:r>
              <w:rPr>
                <w:rFonts w:ascii="Arial" w:cs="Arial" w:eastAsia="Arial" w:hAnsi="Arial"/>
                <w:sz w:val="16"/>
                <w:szCs w:val="16"/>
                <w:color w:val="auto"/>
              </w:rPr>
              <w:t>Foreign currency swaps,</w:t>
            </w: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7"/>
        </w:trPr>
        <w:tc>
          <w:tcPr>
            <w:tcW w:w="2120" w:type="dxa"/>
            <w:vAlign w:val="bottom"/>
          </w:tcPr>
          <w:p>
            <w:pPr>
              <w:spacing w:after="0" w:line="157" w:lineRule="exact"/>
              <w:rPr>
                <w:sz w:val="20"/>
                <w:szCs w:val="20"/>
                <w:color w:val="auto"/>
              </w:rPr>
            </w:pPr>
            <w:r>
              <w:rPr>
                <w:rFonts w:ascii="Arial" w:cs="Arial" w:eastAsia="Arial" w:hAnsi="Arial"/>
                <w:sz w:val="16"/>
                <w:szCs w:val="16"/>
                <w:color w:val="auto"/>
              </w:rPr>
              <w:t>included in Accounts payable</w:t>
            </w:r>
          </w:p>
        </w:tc>
        <w:tc>
          <w:tcPr>
            <w:tcW w:w="220" w:type="dxa"/>
            <w:vAlign w:val="bottom"/>
          </w:tcPr>
          <w:p>
            <w:pPr>
              <w:spacing w:after="0"/>
              <w:rPr>
                <w:sz w:val="13"/>
                <w:szCs w:val="13"/>
                <w:color w:val="auto"/>
              </w:rPr>
            </w:pPr>
          </w:p>
        </w:tc>
        <w:tc>
          <w:tcPr>
            <w:tcW w:w="6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20" w:type="dxa"/>
            <w:vAlign w:val="bottom"/>
            <w:vMerge w:val="restart"/>
          </w:tcPr>
          <w:p>
            <w:pPr>
              <w:jc w:val="right"/>
              <w:spacing w:after="0"/>
              <w:rPr>
                <w:sz w:val="20"/>
                <w:szCs w:val="20"/>
                <w:color w:val="auto"/>
              </w:rPr>
            </w:pPr>
            <w:r>
              <w:rPr>
                <w:rFonts w:ascii="Arial" w:cs="Arial" w:eastAsia="Arial" w:hAnsi="Arial"/>
                <w:sz w:val="16"/>
                <w:szCs w:val="16"/>
                <w:color w:val="auto"/>
              </w:rPr>
              <w:t>9</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vMerge w:val="restart"/>
          </w:tcPr>
          <w:p>
            <w:pPr>
              <w:jc w:val="right"/>
              <w:ind w:right="2"/>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20" w:type="dxa"/>
            <w:vAlign w:val="bottom"/>
            <w:vMerge w:val="restart"/>
          </w:tcPr>
          <w:p>
            <w:pPr>
              <w:jc w:val="right"/>
              <w:ind w:right="2"/>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vMerge w:val="restart"/>
          </w:tcPr>
          <w:p>
            <w:pPr>
              <w:jc w:val="right"/>
              <w:spacing w:after="0"/>
              <w:rPr>
                <w:sz w:val="20"/>
                <w:szCs w:val="20"/>
                <w:color w:val="auto"/>
              </w:rPr>
            </w:pPr>
            <w:r>
              <w:rPr>
                <w:rFonts w:ascii="Arial" w:cs="Arial" w:eastAsia="Arial" w:hAnsi="Arial"/>
                <w:sz w:val="16"/>
                <w:szCs w:val="16"/>
                <w:color w:val="auto"/>
              </w:rPr>
              <w:t>9</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4"/>
        </w:trPr>
        <w:tc>
          <w:tcPr>
            <w:tcW w:w="2120" w:type="dxa"/>
            <w:vAlign w:val="bottom"/>
          </w:tcPr>
          <w:p>
            <w:pPr>
              <w:spacing w:after="0"/>
              <w:rPr>
                <w:sz w:val="20"/>
                <w:szCs w:val="20"/>
                <w:color w:val="auto"/>
              </w:rPr>
            </w:pPr>
            <w:r>
              <w:rPr>
                <w:rFonts w:ascii="Arial" w:cs="Arial" w:eastAsia="Arial" w:hAnsi="Arial"/>
                <w:sz w:val="16"/>
                <w:szCs w:val="16"/>
                <w:color w:val="auto"/>
              </w:rPr>
              <w:t>and accrued liabilities</w:t>
            </w:r>
          </w:p>
        </w:tc>
        <w:tc>
          <w:tcPr>
            <w:tcW w:w="220" w:type="dxa"/>
            <w:vAlign w:val="bottom"/>
          </w:tcPr>
          <w:p>
            <w:pPr>
              <w:spacing w:after="0"/>
              <w:rPr>
                <w:sz w:val="17"/>
                <w:szCs w:val="17"/>
                <w:color w:val="auto"/>
              </w:rPr>
            </w:pPr>
          </w:p>
        </w:tc>
        <w:tc>
          <w:tcPr>
            <w:tcW w:w="60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6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2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120" w:type="dxa"/>
            <w:vAlign w:val="bottom"/>
          </w:tcPr>
          <w:p>
            <w:pPr>
              <w:spacing w:after="0"/>
              <w:rPr>
                <w:sz w:val="20"/>
                <w:szCs w:val="20"/>
                <w:color w:val="auto"/>
              </w:rPr>
            </w:pPr>
            <w:r>
              <w:rPr>
                <w:rFonts w:ascii="Arial" w:cs="Arial" w:eastAsia="Arial" w:hAnsi="Arial"/>
                <w:sz w:val="16"/>
                <w:szCs w:val="16"/>
                <w:color w:val="auto"/>
              </w:rPr>
              <w:t>Contingent consideration,</w:t>
            </w: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7"/>
        </w:trPr>
        <w:tc>
          <w:tcPr>
            <w:tcW w:w="2120" w:type="dxa"/>
            <w:vAlign w:val="bottom"/>
          </w:tcPr>
          <w:p>
            <w:pPr>
              <w:spacing w:after="0" w:line="157" w:lineRule="exact"/>
              <w:rPr>
                <w:sz w:val="20"/>
                <w:szCs w:val="20"/>
                <w:color w:val="auto"/>
              </w:rPr>
            </w:pPr>
            <w:r>
              <w:rPr>
                <w:rFonts w:ascii="Arial" w:cs="Arial" w:eastAsia="Arial" w:hAnsi="Arial"/>
                <w:sz w:val="16"/>
                <w:szCs w:val="16"/>
                <w:color w:val="auto"/>
              </w:rPr>
              <w:t>included in Accounts payable</w:t>
            </w:r>
          </w:p>
        </w:tc>
        <w:tc>
          <w:tcPr>
            <w:tcW w:w="220" w:type="dxa"/>
            <w:vAlign w:val="bottom"/>
          </w:tcPr>
          <w:p>
            <w:pPr>
              <w:spacing w:after="0"/>
              <w:rPr>
                <w:sz w:val="13"/>
                <w:szCs w:val="13"/>
                <w:color w:val="auto"/>
              </w:rPr>
            </w:pPr>
          </w:p>
        </w:tc>
        <w:tc>
          <w:tcPr>
            <w:tcW w:w="600" w:type="dxa"/>
            <w:vAlign w:val="bottom"/>
            <w:vMerge w:val="restart"/>
          </w:tcPr>
          <w:p>
            <w:pPr>
              <w:jc w:val="right"/>
              <w:spacing w:after="0"/>
              <w:rPr>
                <w:sz w:val="20"/>
                <w:szCs w:val="20"/>
                <w:color w:val="auto"/>
              </w:rPr>
            </w:pPr>
            <w:r>
              <w:rPr>
                <w:rFonts w:ascii="Arial" w:cs="Arial" w:eastAsia="Arial" w:hAnsi="Arial"/>
                <w:sz w:val="16"/>
                <w:szCs w:val="16"/>
                <w:color w:val="auto"/>
              </w:rPr>
              <w:t>74</w:t>
            </w: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20" w:type="dxa"/>
            <w:vAlign w:val="bottom"/>
            <w:vMerge w:val="restart"/>
          </w:tcPr>
          <w:p>
            <w:pPr>
              <w:jc w:val="right"/>
              <w:spacing w:after="0"/>
              <w:rPr>
                <w:sz w:val="20"/>
                <w:szCs w:val="20"/>
                <w:color w:val="auto"/>
              </w:rPr>
            </w:pPr>
            <w:r>
              <w:rPr>
                <w:rFonts w:ascii="Arial" w:cs="Arial" w:eastAsia="Arial" w:hAnsi="Arial"/>
                <w:sz w:val="16"/>
                <w:szCs w:val="16"/>
                <w:color w:val="auto"/>
              </w:rPr>
              <w:t>10</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vMerge w:val="restart"/>
          </w:tcPr>
          <w:p>
            <w:pPr>
              <w:jc w:val="right"/>
              <w:ind w:right="2"/>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20" w:type="dxa"/>
            <w:vAlign w:val="bottom"/>
            <w:vMerge w:val="restart"/>
          </w:tcPr>
          <w:p>
            <w:pPr>
              <w:jc w:val="right"/>
              <w:spacing w:after="0"/>
              <w:rPr>
                <w:sz w:val="20"/>
                <w:szCs w:val="20"/>
                <w:color w:val="auto"/>
              </w:rPr>
            </w:pPr>
            <w:r>
              <w:rPr>
                <w:rFonts w:ascii="Arial" w:cs="Arial" w:eastAsia="Arial" w:hAnsi="Arial"/>
                <w:sz w:val="16"/>
                <w:szCs w:val="16"/>
                <w:color w:val="auto"/>
              </w:rPr>
              <w:t>(12)</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vMerge w:val="restart"/>
          </w:tcPr>
          <w:p>
            <w:pPr>
              <w:jc w:val="right"/>
              <w:spacing w:after="0"/>
              <w:rPr>
                <w:sz w:val="20"/>
                <w:szCs w:val="20"/>
                <w:color w:val="auto"/>
              </w:rPr>
            </w:pPr>
            <w:r>
              <w:rPr>
                <w:rFonts w:ascii="Arial" w:cs="Arial" w:eastAsia="Arial" w:hAnsi="Arial"/>
                <w:sz w:val="16"/>
                <w:szCs w:val="16"/>
                <w:color w:val="auto"/>
              </w:rPr>
              <w:t>72</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2120" w:type="dxa"/>
            <w:vAlign w:val="bottom"/>
          </w:tcPr>
          <w:p>
            <w:pPr>
              <w:spacing w:after="0"/>
              <w:rPr>
                <w:sz w:val="20"/>
                <w:szCs w:val="20"/>
                <w:color w:val="auto"/>
              </w:rPr>
            </w:pPr>
            <w:r>
              <w:rPr>
                <w:rFonts w:ascii="Arial" w:cs="Arial" w:eastAsia="Arial" w:hAnsi="Arial"/>
                <w:sz w:val="16"/>
                <w:szCs w:val="16"/>
                <w:color w:val="auto"/>
              </w:rPr>
              <w:t>and accrued liabilities</w:t>
            </w:r>
          </w:p>
        </w:tc>
        <w:tc>
          <w:tcPr>
            <w:tcW w:w="2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vMerge w:val="continue"/>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vMerge w:val="continue"/>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vMerge w:val="continue"/>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vMerge w:val="continue"/>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2120" w:type="dxa"/>
            <w:vAlign w:val="bottom"/>
          </w:tcPr>
          <w:p>
            <w:pPr>
              <w:ind w:left="340"/>
              <w:spacing w:after="0" w:line="182" w:lineRule="exact"/>
              <w:rPr>
                <w:sz w:val="20"/>
                <w:szCs w:val="20"/>
                <w:color w:val="auto"/>
              </w:rPr>
            </w:pPr>
            <w:r>
              <w:rPr>
                <w:rFonts w:ascii="Arial" w:cs="Arial" w:eastAsia="Arial" w:hAnsi="Arial"/>
                <w:sz w:val="16"/>
                <w:szCs w:val="16"/>
                <w:b w:val="1"/>
                <w:bCs w:val="1"/>
                <w:color w:val="auto"/>
              </w:rPr>
              <w:t>Subtotal Level 3</w:t>
            </w:r>
          </w:p>
        </w:tc>
        <w:tc>
          <w:tcPr>
            <w:tcW w:w="220" w:type="dxa"/>
            <w:vAlign w:val="bottom"/>
            <w:vMerge w:val="restart"/>
          </w:tcPr>
          <w:p>
            <w:pPr>
              <w:ind w:left="40"/>
              <w:spacing w:after="0"/>
              <w:rPr>
                <w:sz w:val="20"/>
                <w:szCs w:val="20"/>
                <w:color w:val="auto"/>
              </w:rPr>
            </w:pPr>
            <w:r>
              <w:rPr>
                <w:rFonts w:ascii="Arial" w:cs="Arial" w:eastAsia="Arial" w:hAnsi="Arial"/>
                <w:sz w:val="16"/>
                <w:szCs w:val="16"/>
                <w:color w:val="auto"/>
              </w:rPr>
              <w:t>$</w:t>
            </w:r>
          </w:p>
        </w:tc>
        <w:tc>
          <w:tcPr>
            <w:tcW w:w="600" w:type="dxa"/>
            <w:vAlign w:val="bottom"/>
            <w:vMerge w:val="restart"/>
          </w:tcPr>
          <w:p>
            <w:pPr>
              <w:jc w:val="right"/>
              <w:spacing w:after="0"/>
              <w:rPr>
                <w:sz w:val="20"/>
                <w:szCs w:val="20"/>
                <w:color w:val="auto"/>
              </w:rPr>
            </w:pPr>
            <w:r>
              <w:rPr>
                <w:rFonts w:ascii="Arial" w:cs="Arial" w:eastAsia="Arial" w:hAnsi="Arial"/>
                <w:sz w:val="16"/>
                <w:szCs w:val="16"/>
                <w:color w:val="auto"/>
              </w:rPr>
              <w:t>5,294</w:t>
            </w:r>
          </w:p>
        </w:tc>
        <w:tc>
          <w:tcPr>
            <w:tcW w:w="360" w:type="dxa"/>
            <w:vAlign w:val="bottom"/>
            <w:gridSpan w:val="2"/>
            <w:vMerge w:val="restart"/>
          </w:tcPr>
          <w:p>
            <w:pPr>
              <w:ind w:left="180"/>
              <w:spacing w:after="0"/>
              <w:rPr>
                <w:sz w:val="20"/>
                <w:szCs w:val="20"/>
                <w:color w:val="auto"/>
              </w:rPr>
            </w:pPr>
            <w:r>
              <w:rPr>
                <w:rFonts w:ascii="Arial" w:cs="Arial" w:eastAsia="Arial" w:hAnsi="Arial"/>
                <w:sz w:val="16"/>
                <w:szCs w:val="16"/>
                <w:color w:val="auto"/>
              </w:rPr>
              <w:t>$</w:t>
            </w:r>
          </w:p>
        </w:tc>
        <w:tc>
          <w:tcPr>
            <w:tcW w:w="520" w:type="dxa"/>
            <w:vAlign w:val="bottom"/>
            <w:vMerge w:val="restart"/>
          </w:tcPr>
          <w:p>
            <w:pPr>
              <w:jc w:val="right"/>
              <w:spacing w:after="0"/>
              <w:rPr>
                <w:sz w:val="20"/>
                <w:szCs w:val="20"/>
                <w:color w:val="auto"/>
              </w:rPr>
            </w:pPr>
            <w:r>
              <w:rPr>
                <w:rFonts w:ascii="Arial" w:cs="Arial" w:eastAsia="Arial" w:hAnsi="Arial"/>
                <w:sz w:val="16"/>
                <w:szCs w:val="16"/>
                <w:color w:val="auto"/>
              </w:rPr>
              <w:t>469</w:t>
            </w:r>
          </w:p>
        </w:tc>
        <w:tc>
          <w:tcPr>
            <w:tcW w:w="220" w:type="dxa"/>
            <w:vAlign w:val="bottom"/>
            <w:gridSpan w:val="2"/>
            <w:vMerge w:val="restart"/>
          </w:tcPr>
          <w:p>
            <w:pPr>
              <w:jc w:val="right"/>
              <w:spacing w:after="0"/>
              <w:rPr>
                <w:sz w:val="20"/>
                <w:szCs w:val="20"/>
                <w:color w:val="auto"/>
              </w:rPr>
            </w:pPr>
            <w:r>
              <w:rPr>
                <w:rFonts w:ascii="Arial" w:cs="Arial" w:eastAsia="Arial" w:hAnsi="Arial"/>
                <w:sz w:val="16"/>
                <w:szCs w:val="16"/>
                <w:color w:val="auto"/>
              </w:rPr>
              <w:t>$</w:t>
            </w:r>
          </w:p>
        </w:tc>
        <w:tc>
          <w:tcPr>
            <w:tcW w:w="6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340" w:type="dxa"/>
            <w:vAlign w:val="bottom"/>
            <w:gridSpan w:val="2"/>
            <w:vMerge w:val="restart"/>
          </w:tcPr>
          <w:p>
            <w:pPr>
              <w:jc w:val="right"/>
              <w:ind w:right="62"/>
              <w:spacing w:after="0"/>
              <w:rPr>
                <w:sz w:val="20"/>
                <w:szCs w:val="20"/>
                <w:color w:val="auto"/>
              </w:rPr>
            </w:pPr>
            <w:r>
              <w:rPr>
                <w:rFonts w:ascii="Arial" w:cs="Arial" w:eastAsia="Arial" w:hAnsi="Arial"/>
                <w:sz w:val="16"/>
                <w:szCs w:val="16"/>
                <w:color w:val="auto"/>
              </w:rPr>
              <w:t>$</w:t>
            </w:r>
          </w:p>
        </w:tc>
        <w:tc>
          <w:tcPr>
            <w:tcW w:w="560" w:type="dxa"/>
            <w:vAlign w:val="bottom"/>
            <w:vMerge w:val="restart"/>
          </w:tcPr>
          <w:p>
            <w:pPr>
              <w:jc w:val="right"/>
              <w:spacing w:after="0"/>
              <w:rPr>
                <w:sz w:val="20"/>
                <w:szCs w:val="20"/>
                <w:color w:val="auto"/>
              </w:rPr>
            </w:pPr>
            <w:r>
              <w:rPr>
                <w:rFonts w:ascii="Arial" w:cs="Arial" w:eastAsia="Arial" w:hAnsi="Arial"/>
                <w:sz w:val="16"/>
                <w:szCs w:val="16"/>
                <w:color w:val="auto"/>
              </w:rPr>
              <w:t>1,357</w:t>
            </w:r>
          </w:p>
        </w:tc>
        <w:tc>
          <w:tcPr>
            <w:tcW w:w="240" w:type="dxa"/>
            <w:vAlign w:val="bottom"/>
            <w:gridSpan w:val="2"/>
            <w:vMerge w:val="restart"/>
          </w:tcPr>
          <w:p>
            <w:pPr>
              <w:jc w:val="right"/>
              <w:ind w:right="40"/>
              <w:spacing w:after="0"/>
              <w:rPr>
                <w:sz w:val="20"/>
                <w:szCs w:val="20"/>
                <w:color w:val="auto"/>
              </w:rPr>
            </w:pPr>
            <w:r>
              <w:rPr>
                <w:rFonts w:ascii="Arial" w:cs="Arial" w:eastAsia="Arial" w:hAnsi="Arial"/>
                <w:sz w:val="16"/>
                <w:szCs w:val="16"/>
                <w:color w:val="auto"/>
              </w:rPr>
              <w:t>$</w:t>
            </w:r>
          </w:p>
        </w:tc>
        <w:tc>
          <w:tcPr>
            <w:tcW w:w="560" w:type="dxa"/>
            <w:vAlign w:val="bottom"/>
            <w:vMerge w:val="restart"/>
          </w:tcPr>
          <w:p>
            <w:pPr>
              <w:jc w:val="right"/>
              <w:ind w:right="2"/>
              <w:spacing w:after="0"/>
              <w:rPr>
                <w:sz w:val="20"/>
                <w:szCs w:val="20"/>
                <w:color w:val="auto"/>
              </w:rPr>
            </w:pPr>
            <w:r>
              <w:rPr>
                <w:rFonts w:ascii="Arial" w:cs="Arial" w:eastAsia="Arial" w:hAnsi="Arial"/>
                <w:sz w:val="16"/>
                <w:szCs w:val="16"/>
                <w:color w:val="auto"/>
              </w:rPr>
              <w:t>—</w:t>
            </w:r>
          </w:p>
        </w:tc>
        <w:tc>
          <w:tcPr>
            <w:tcW w:w="380" w:type="dxa"/>
            <w:vAlign w:val="bottom"/>
            <w:gridSpan w:val="2"/>
            <w:vMerge w:val="restart"/>
          </w:tcPr>
          <w:p>
            <w:pPr>
              <w:jc w:val="right"/>
              <w:ind w:right="102"/>
              <w:spacing w:after="0"/>
              <w:rPr>
                <w:sz w:val="20"/>
                <w:szCs w:val="20"/>
                <w:color w:val="auto"/>
              </w:rPr>
            </w:pPr>
            <w:r>
              <w:rPr>
                <w:rFonts w:ascii="Arial" w:cs="Arial" w:eastAsia="Arial" w:hAnsi="Arial"/>
                <w:sz w:val="16"/>
                <w:szCs w:val="16"/>
                <w:color w:val="auto"/>
              </w:rPr>
              <w:t>$</w:t>
            </w:r>
          </w:p>
        </w:tc>
        <w:tc>
          <w:tcPr>
            <w:tcW w:w="620" w:type="dxa"/>
            <w:vAlign w:val="bottom"/>
            <w:vMerge w:val="restart"/>
          </w:tcPr>
          <w:p>
            <w:pPr>
              <w:jc w:val="right"/>
              <w:spacing w:after="0"/>
              <w:rPr>
                <w:sz w:val="20"/>
                <w:szCs w:val="20"/>
                <w:color w:val="auto"/>
              </w:rPr>
            </w:pPr>
            <w:r>
              <w:rPr>
                <w:rFonts w:ascii="Arial" w:cs="Arial" w:eastAsia="Arial" w:hAnsi="Arial"/>
                <w:sz w:val="16"/>
                <w:szCs w:val="16"/>
                <w:color w:val="auto"/>
              </w:rPr>
              <w:t>(497)</w:t>
            </w:r>
          </w:p>
        </w:tc>
        <w:tc>
          <w:tcPr>
            <w:tcW w:w="200" w:type="dxa"/>
            <w:vAlign w:val="bottom"/>
            <w:gridSpan w:val="2"/>
            <w:vMerge w:val="restart"/>
          </w:tcPr>
          <w:p>
            <w:pPr>
              <w:jc w:val="right"/>
              <w:spacing w:after="0"/>
              <w:rPr>
                <w:sz w:val="20"/>
                <w:szCs w:val="20"/>
                <w:color w:val="auto"/>
              </w:rPr>
            </w:pPr>
            <w:r>
              <w:rPr>
                <w:rFonts w:ascii="Arial" w:cs="Arial" w:eastAsia="Arial" w:hAnsi="Arial"/>
                <w:sz w:val="16"/>
                <w:szCs w:val="16"/>
                <w:color w:val="auto"/>
              </w:rPr>
              <w:t>$</w:t>
            </w:r>
          </w:p>
        </w:tc>
        <w:tc>
          <w:tcPr>
            <w:tcW w:w="6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240" w:type="dxa"/>
            <w:vAlign w:val="bottom"/>
            <w:gridSpan w:val="2"/>
            <w:vMerge w:val="restart"/>
          </w:tcPr>
          <w:p>
            <w:pPr>
              <w:jc w:val="right"/>
              <w:spacing w:after="0"/>
              <w:rPr>
                <w:sz w:val="20"/>
                <w:szCs w:val="20"/>
                <w:color w:val="auto"/>
              </w:rPr>
            </w:pPr>
            <w:r>
              <w:rPr>
                <w:rFonts w:ascii="Arial" w:cs="Arial" w:eastAsia="Arial" w:hAnsi="Arial"/>
                <w:sz w:val="16"/>
                <w:szCs w:val="16"/>
                <w:color w:val="auto"/>
              </w:rPr>
              <w:t>$</w:t>
            </w:r>
          </w:p>
        </w:tc>
        <w:tc>
          <w:tcPr>
            <w:tcW w:w="520" w:type="dxa"/>
            <w:vAlign w:val="bottom"/>
            <w:vMerge w:val="restart"/>
          </w:tcPr>
          <w:p>
            <w:pPr>
              <w:jc w:val="right"/>
              <w:spacing w:after="0"/>
              <w:rPr>
                <w:sz w:val="20"/>
                <w:szCs w:val="20"/>
                <w:color w:val="auto"/>
              </w:rPr>
            </w:pPr>
            <w:r>
              <w:rPr>
                <w:rFonts w:ascii="Arial" w:cs="Arial" w:eastAsia="Arial" w:hAnsi="Arial"/>
                <w:sz w:val="16"/>
                <w:szCs w:val="16"/>
                <w:color w:val="auto"/>
              </w:rPr>
              <w:t>6,623</w:t>
            </w:r>
          </w:p>
        </w:tc>
        <w:tc>
          <w:tcPr>
            <w:tcW w:w="220" w:type="dxa"/>
            <w:vAlign w:val="bottom"/>
            <w:gridSpan w:val="2"/>
            <w:vMerge w:val="restart"/>
          </w:tcPr>
          <w:p>
            <w:pPr>
              <w:ind w:left="120"/>
              <w:spacing w:after="0"/>
              <w:rPr>
                <w:sz w:val="20"/>
                <w:szCs w:val="20"/>
                <w:color w:val="auto"/>
              </w:rPr>
            </w:pPr>
            <w:r>
              <w:rPr>
                <w:rFonts w:ascii="Arial" w:cs="Arial" w:eastAsia="Arial" w:hAnsi="Arial"/>
                <w:sz w:val="16"/>
                <w:szCs w:val="16"/>
                <w:color w:val="auto"/>
                <w:w w:val="89"/>
              </w:rPr>
              <w:t>$</w:t>
            </w:r>
          </w:p>
        </w:tc>
        <w:tc>
          <w:tcPr>
            <w:tcW w:w="6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0"/>
        </w:trPr>
        <w:tc>
          <w:tcPr>
            <w:tcW w:w="2120" w:type="dxa"/>
            <w:vAlign w:val="bottom"/>
          </w:tcPr>
          <w:p>
            <w:pPr>
              <w:ind w:left="340"/>
              <w:spacing w:after="0"/>
              <w:rPr>
                <w:sz w:val="20"/>
                <w:szCs w:val="20"/>
                <w:color w:val="auto"/>
              </w:rPr>
            </w:pPr>
            <w:r>
              <w:rPr>
                <w:rFonts w:ascii="Arial" w:cs="Arial" w:eastAsia="Arial" w:hAnsi="Arial"/>
                <w:sz w:val="16"/>
                <w:szCs w:val="16"/>
                <w:b w:val="1"/>
                <w:bCs w:val="1"/>
                <w:color w:val="auto"/>
              </w:rPr>
              <w:t>liabilities at fair value</w:t>
            </w:r>
          </w:p>
        </w:tc>
        <w:tc>
          <w:tcPr>
            <w:tcW w:w="220" w:type="dxa"/>
            <w:vAlign w:val="bottom"/>
            <w:vMerge w:val="continue"/>
          </w:tcPr>
          <w:p>
            <w:pPr>
              <w:spacing w:after="0"/>
              <w:rPr>
                <w:sz w:val="16"/>
                <w:szCs w:val="16"/>
                <w:color w:val="auto"/>
              </w:rPr>
            </w:pPr>
          </w:p>
        </w:tc>
        <w:tc>
          <w:tcPr>
            <w:tcW w:w="600" w:type="dxa"/>
            <w:vAlign w:val="bottom"/>
            <w:vMerge w:val="continue"/>
          </w:tcPr>
          <w:p>
            <w:pPr>
              <w:spacing w:after="0"/>
              <w:rPr>
                <w:sz w:val="16"/>
                <w:szCs w:val="16"/>
                <w:color w:val="auto"/>
              </w:rPr>
            </w:pPr>
          </w:p>
        </w:tc>
        <w:tc>
          <w:tcPr>
            <w:tcW w:w="360" w:type="dxa"/>
            <w:vAlign w:val="bottom"/>
            <w:gridSpan w:val="2"/>
            <w:vMerge w:val="continue"/>
          </w:tcPr>
          <w:p>
            <w:pPr>
              <w:spacing w:after="0"/>
              <w:rPr>
                <w:sz w:val="16"/>
                <w:szCs w:val="16"/>
                <w:color w:val="auto"/>
              </w:rPr>
            </w:pPr>
          </w:p>
        </w:tc>
        <w:tc>
          <w:tcPr>
            <w:tcW w:w="520" w:type="dxa"/>
            <w:vAlign w:val="bottom"/>
            <w:vMerge w:val="continue"/>
          </w:tcPr>
          <w:p>
            <w:pPr>
              <w:spacing w:after="0"/>
              <w:rPr>
                <w:sz w:val="16"/>
                <w:szCs w:val="16"/>
                <w:color w:val="auto"/>
              </w:rPr>
            </w:pPr>
          </w:p>
        </w:tc>
        <w:tc>
          <w:tcPr>
            <w:tcW w:w="220" w:type="dxa"/>
            <w:vAlign w:val="bottom"/>
            <w:gridSpan w:val="2"/>
            <w:vMerge w:val="continue"/>
          </w:tcPr>
          <w:p>
            <w:pPr>
              <w:spacing w:after="0"/>
              <w:rPr>
                <w:sz w:val="16"/>
                <w:szCs w:val="16"/>
                <w:color w:val="auto"/>
              </w:rPr>
            </w:pPr>
          </w:p>
        </w:tc>
        <w:tc>
          <w:tcPr>
            <w:tcW w:w="600" w:type="dxa"/>
            <w:vAlign w:val="bottom"/>
            <w:vMerge w:val="continue"/>
          </w:tcPr>
          <w:p>
            <w:pPr>
              <w:spacing w:after="0"/>
              <w:rPr>
                <w:sz w:val="16"/>
                <w:szCs w:val="16"/>
                <w:color w:val="auto"/>
              </w:rPr>
            </w:pPr>
          </w:p>
        </w:tc>
        <w:tc>
          <w:tcPr>
            <w:tcW w:w="340" w:type="dxa"/>
            <w:vAlign w:val="bottom"/>
            <w:gridSpan w:val="2"/>
            <w:vMerge w:val="continue"/>
          </w:tcPr>
          <w:p>
            <w:pPr>
              <w:spacing w:after="0"/>
              <w:rPr>
                <w:sz w:val="16"/>
                <w:szCs w:val="16"/>
                <w:color w:val="auto"/>
              </w:rPr>
            </w:pPr>
          </w:p>
        </w:tc>
        <w:tc>
          <w:tcPr>
            <w:tcW w:w="560" w:type="dxa"/>
            <w:vAlign w:val="bottom"/>
            <w:vMerge w:val="continue"/>
          </w:tcPr>
          <w:p>
            <w:pPr>
              <w:spacing w:after="0"/>
              <w:rPr>
                <w:sz w:val="16"/>
                <w:szCs w:val="16"/>
                <w:color w:val="auto"/>
              </w:rPr>
            </w:pPr>
          </w:p>
        </w:tc>
        <w:tc>
          <w:tcPr>
            <w:tcW w:w="240" w:type="dxa"/>
            <w:vAlign w:val="bottom"/>
            <w:gridSpan w:val="2"/>
            <w:vMerge w:val="continue"/>
          </w:tcPr>
          <w:p>
            <w:pPr>
              <w:spacing w:after="0"/>
              <w:rPr>
                <w:sz w:val="16"/>
                <w:szCs w:val="16"/>
                <w:color w:val="auto"/>
              </w:rPr>
            </w:pPr>
          </w:p>
        </w:tc>
        <w:tc>
          <w:tcPr>
            <w:tcW w:w="560" w:type="dxa"/>
            <w:vAlign w:val="bottom"/>
            <w:vMerge w:val="continue"/>
          </w:tcPr>
          <w:p>
            <w:pPr>
              <w:spacing w:after="0"/>
              <w:rPr>
                <w:sz w:val="16"/>
                <w:szCs w:val="16"/>
                <w:color w:val="auto"/>
              </w:rPr>
            </w:pPr>
          </w:p>
        </w:tc>
        <w:tc>
          <w:tcPr>
            <w:tcW w:w="380" w:type="dxa"/>
            <w:vAlign w:val="bottom"/>
            <w:gridSpan w:val="2"/>
            <w:vMerge w:val="continue"/>
          </w:tcPr>
          <w:p>
            <w:pPr>
              <w:spacing w:after="0"/>
              <w:rPr>
                <w:sz w:val="16"/>
                <w:szCs w:val="16"/>
                <w:color w:val="auto"/>
              </w:rPr>
            </w:pPr>
          </w:p>
        </w:tc>
        <w:tc>
          <w:tcPr>
            <w:tcW w:w="620" w:type="dxa"/>
            <w:vAlign w:val="bottom"/>
            <w:vMerge w:val="continue"/>
          </w:tcPr>
          <w:p>
            <w:pPr>
              <w:spacing w:after="0"/>
              <w:rPr>
                <w:sz w:val="16"/>
                <w:szCs w:val="16"/>
                <w:color w:val="auto"/>
              </w:rPr>
            </w:pPr>
          </w:p>
        </w:tc>
        <w:tc>
          <w:tcPr>
            <w:tcW w:w="200" w:type="dxa"/>
            <w:vAlign w:val="bottom"/>
            <w:gridSpan w:val="2"/>
            <w:vMerge w:val="continue"/>
          </w:tcPr>
          <w:p>
            <w:pPr>
              <w:spacing w:after="0"/>
              <w:rPr>
                <w:sz w:val="16"/>
                <w:szCs w:val="16"/>
                <w:color w:val="auto"/>
              </w:rPr>
            </w:pPr>
          </w:p>
        </w:tc>
        <w:tc>
          <w:tcPr>
            <w:tcW w:w="620" w:type="dxa"/>
            <w:vAlign w:val="bottom"/>
            <w:vMerge w:val="continue"/>
          </w:tcPr>
          <w:p>
            <w:pPr>
              <w:spacing w:after="0"/>
              <w:rPr>
                <w:sz w:val="16"/>
                <w:szCs w:val="16"/>
                <w:color w:val="auto"/>
              </w:rPr>
            </w:pPr>
          </w:p>
        </w:tc>
        <w:tc>
          <w:tcPr>
            <w:tcW w:w="240" w:type="dxa"/>
            <w:vAlign w:val="bottom"/>
            <w:gridSpan w:val="2"/>
            <w:vMerge w:val="continue"/>
          </w:tcPr>
          <w:p>
            <w:pPr>
              <w:spacing w:after="0"/>
              <w:rPr>
                <w:sz w:val="16"/>
                <w:szCs w:val="16"/>
                <w:color w:val="auto"/>
              </w:rPr>
            </w:pPr>
          </w:p>
        </w:tc>
        <w:tc>
          <w:tcPr>
            <w:tcW w:w="520" w:type="dxa"/>
            <w:vAlign w:val="bottom"/>
            <w:vMerge w:val="continue"/>
          </w:tcPr>
          <w:p>
            <w:pPr>
              <w:spacing w:after="0"/>
              <w:rPr>
                <w:sz w:val="16"/>
                <w:szCs w:val="16"/>
                <w:color w:val="auto"/>
              </w:rPr>
            </w:pPr>
          </w:p>
        </w:tc>
        <w:tc>
          <w:tcPr>
            <w:tcW w:w="220" w:type="dxa"/>
            <w:vAlign w:val="bottom"/>
            <w:gridSpan w:val="2"/>
            <w:vMerge w:val="continue"/>
          </w:tcPr>
          <w:p>
            <w:pPr>
              <w:spacing w:after="0"/>
              <w:rPr>
                <w:sz w:val="16"/>
                <w:szCs w:val="16"/>
                <w:color w:val="auto"/>
              </w:rPr>
            </w:pPr>
          </w:p>
        </w:tc>
        <w:tc>
          <w:tcPr>
            <w:tcW w:w="6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120" w:type="dxa"/>
            <w:vAlign w:val="bottom"/>
            <w:vMerge w:val="restart"/>
          </w:tcPr>
          <w:p>
            <w:pPr>
              <w:spacing w:after="0"/>
              <w:rPr>
                <w:sz w:val="20"/>
                <w:szCs w:val="20"/>
                <w:color w:val="auto"/>
              </w:rPr>
            </w:pPr>
            <w:r>
              <w:rPr>
                <w:rFonts w:ascii="Arial" w:cs="Arial" w:eastAsia="Arial" w:hAnsi="Arial"/>
                <w:sz w:val="16"/>
                <w:szCs w:val="16"/>
                <w:color w:val="auto"/>
                <w:w w:val="95"/>
              </w:rPr>
              <w:t>Market Risk benefits liability (c)</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120" w:type="dxa"/>
            <w:vAlign w:val="bottom"/>
            <w:vMerge w:val="continue"/>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549</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903</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2120" w:type="dxa"/>
            <w:vAlign w:val="bottom"/>
          </w:tcPr>
          <w:p>
            <w:pPr>
              <w:ind w:left="340"/>
              <w:spacing w:after="0" w:line="182" w:lineRule="exact"/>
              <w:rPr>
                <w:sz w:val="20"/>
                <w:szCs w:val="20"/>
                <w:color w:val="auto"/>
              </w:rPr>
            </w:pPr>
            <w:r>
              <w:rPr>
                <w:rFonts w:ascii="Arial" w:cs="Arial" w:eastAsia="Arial" w:hAnsi="Arial"/>
                <w:sz w:val="16"/>
                <w:szCs w:val="16"/>
                <w:b w:val="1"/>
                <w:bCs w:val="1"/>
                <w:color w:val="auto"/>
                <w:w w:val="93"/>
              </w:rPr>
              <w:t>Total Level 3 liabilities at</w:t>
            </w:r>
          </w:p>
        </w:tc>
        <w:tc>
          <w:tcPr>
            <w:tcW w:w="220" w:type="dxa"/>
            <w:vAlign w:val="bottom"/>
            <w:vMerge w:val="restart"/>
          </w:tcPr>
          <w:p>
            <w:pPr>
              <w:ind w:left="40"/>
              <w:spacing w:after="0"/>
              <w:rPr>
                <w:sz w:val="20"/>
                <w:szCs w:val="20"/>
                <w:color w:val="auto"/>
              </w:rPr>
            </w:pPr>
            <w:r>
              <w:rPr>
                <w:rFonts w:ascii="Arial" w:cs="Arial" w:eastAsia="Arial" w:hAnsi="Arial"/>
                <w:sz w:val="16"/>
                <w:szCs w:val="16"/>
                <w:color w:val="auto"/>
              </w:rPr>
              <w:t>$</w:t>
            </w:r>
          </w:p>
        </w:tc>
        <w:tc>
          <w:tcPr>
            <w:tcW w:w="600" w:type="dxa"/>
            <w:vAlign w:val="bottom"/>
            <w:vMerge w:val="restart"/>
          </w:tcPr>
          <w:p>
            <w:pPr>
              <w:jc w:val="right"/>
              <w:spacing w:after="0"/>
              <w:rPr>
                <w:sz w:val="20"/>
                <w:szCs w:val="20"/>
                <w:color w:val="auto"/>
              </w:rPr>
            </w:pPr>
            <w:r>
              <w:rPr>
                <w:rFonts w:ascii="Arial" w:cs="Arial" w:eastAsia="Arial" w:hAnsi="Arial"/>
                <w:sz w:val="16"/>
                <w:szCs w:val="16"/>
                <w:color w:val="auto"/>
              </w:rPr>
              <w:t>5,843</w:t>
            </w: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40" w:type="dxa"/>
            <w:vAlign w:val="bottom"/>
            <w:gridSpan w:val="2"/>
            <w:vMerge w:val="restart"/>
          </w:tcPr>
          <w:p>
            <w:pPr>
              <w:jc w:val="right"/>
              <w:spacing w:after="0"/>
              <w:rPr>
                <w:sz w:val="20"/>
                <w:szCs w:val="20"/>
                <w:color w:val="auto"/>
              </w:rPr>
            </w:pPr>
            <w:r>
              <w:rPr>
                <w:rFonts w:ascii="Arial" w:cs="Arial" w:eastAsia="Arial" w:hAnsi="Arial"/>
                <w:sz w:val="16"/>
                <w:szCs w:val="16"/>
                <w:color w:val="auto"/>
              </w:rPr>
              <w:t>$</w:t>
            </w:r>
          </w:p>
        </w:tc>
        <w:tc>
          <w:tcPr>
            <w:tcW w:w="520" w:type="dxa"/>
            <w:vAlign w:val="bottom"/>
            <w:vMerge w:val="restart"/>
          </w:tcPr>
          <w:p>
            <w:pPr>
              <w:jc w:val="right"/>
              <w:spacing w:after="0"/>
              <w:rPr>
                <w:sz w:val="20"/>
                <w:szCs w:val="20"/>
                <w:color w:val="auto"/>
              </w:rPr>
            </w:pPr>
            <w:r>
              <w:rPr>
                <w:rFonts w:ascii="Arial" w:cs="Arial" w:eastAsia="Arial" w:hAnsi="Arial"/>
                <w:sz w:val="16"/>
                <w:szCs w:val="16"/>
                <w:color w:val="auto"/>
              </w:rPr>
              <w:t>7,526</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2120" w:type="dxa"/>
            <w:vAlign w:val="bottom"/>
          </w:tcPr>
          <w:p>
            <w:pPr>
              <w:ind w:left="340"/>
              <w:spacing w:after="0"/>
              <w:rPr>
                <w:sz w:val="20"/>
                <w:szCs w:val="20"/>
                <w:color w:val="auto"/>
              </w:rPr>
            </w:pPr>
            <w:r>
              <w:rPr>
                <w:rFonts w:ascii="Arial" w:cs="Arial" w:eastAsia="Arial" w:hAnsi="Arial"/>
                <w:sz w:val="16"/>
                <w:szCs w:val="16"/>
                <w:b w:val="1"/>
                <w:bCs w:val="1"/>
                <w:color w:val="auto"/>
              </w:rPr>
              <w:t>fair value</w:t>
            </w:r>
          </w:p>
        </w:tc>
        <w:tc>
          <w:tcPr>
            <w:tcW w:w="220" w:type="dxa"/>
            <w:vAlign w:val="bottom"/>
            <w:vMerge w:val="continue"/>
          </w:tcPr>
          <w:p>
            <w:pPr>
              <w:spacing w:after="0"/>
              <w:rPr>
                <w:sz w:val="16"/>
                <w:szCs w:val="16"/>
                <w:color w:val="auto"/>
              </w:rPr>
            </w:pPr>
          </w:p>
        </w:tc>
        <w:tc>
          <w:tcPr>
            <w:tcW w:w="60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40" w:type="dxa"/>
            <w:vAlign w:val="bottom"/>
            <w:gridSpan w:val="2"/>
            <w:vMerge w:val="continue"/>
          </w:tcPr>
          <w:p>
            <w:pPr>
              <w:spacing w:after="0"/>
              <w:rPr>
                <w:sz w:val="16"/>
                <w:szCs w:val="16"/>
                <w:color w:val="auto"/>
              </w:rPr>
            </w:pPr>
          </w:p>
        </w:tc>
        <w:tc>
          <w:tcPr>
            <w:tcW w:w="52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43180</wp:posOffset>
            </wp:positionH>
            <wp:positionV relativeFrom="paragraph">
              <wp:posOffset>-6723380</wp:posOffset>
            </wp:positionV>
            <wp:extent cx="6297930" cy="673036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83">
                      <a:extLst>
                        <a:ext uri="{28A0092B-C50C-407E-A947-70E740481C1C}"/>
                      </a:extLst>
                    </a:blip>
                    <a:srcRect/>
                    <a:stretch>
                      <a:fillRect/>
                    </a:stretch>
                  </pic:blipFill>
                  <pic:spPr bwMode="auto">
                    <a:xfrm>
                      <a:off x="0" y="0"/>
                      <a:ext cx="6297930" cy="6730365"/>
                    </a:xfrm>
                    <a:prstGeom prst="rect">
                      <a:avLst/>
                    </a:prstGeom>
                    <a:noFill/>
                  </pic:spPr>
                </pic:pic>
              </a:graphicData>
            </a:graphic>
          </wp:anchor>
        </w:drawing>
      </w:r>
    </w:p>
    <w:p>
      <w:pPr>
        <w:ind w:left="347" w:hanging="347"/>
        <w:spacing w:after="0"/>
        <w:tabs>
          <w:tab w:leader="none" w:pos="347" w:val="left"/>
        </w:tabs>
        <w:numPr>
          <w:ilvl w:val="0"/>
          <w:numId w:val="49"/>
        </w:numPr>
        <w:rPr>
          <w:rFonts w:ascii="Arial" w:cs="Arial" w:eastAsia="Arial" w:hAnsi="Arial"/>
          <w:sz w:val="16"/>
          <w:szCs w:val="16"/>
          <w:color w:val="auto"/>
        </w:rPr>
      </w:pPr>
      <w:r>
        <w:rPr>
          <w:rFonts w:ascii="Arial" w:cs="Arial" w:eastAsia="Arial" w:hAnsi="Arial"/>
          <w:sz w:val="16"/>
          <w:szCs w:val="16"/>
          <w:color w:val="auto"/>
        </w:rPr>
        <w:t>The net transfers out of Level 3 during the year ended December 31, 2025 were exclusively to Level 2.</w:t>
      </w:r>
    </w:p>
    <w:p>
      <w:pPr>
        <w:spacing w:after="0" w:line="19" w:lineRule="exact"/>
        <w:rPr>
          <w:rFonts w:ascii="Arial" w:cs="Arial" w:eastAsia="Arial" w:hAnsi="Arial"/>
          <w:sz w:val="16"/>
          <w:szCs w:val="16"/>
          <w:color w:val="auto"/>
        </w:rPr>
      </w:pPr>
    </w:p>
    <w:p>
      <w:pPr>
        <w:ind w:left="347" w:hanging="347"/>
        <w:spacing w:after="0"/>
        <w:tabs>
          <w:tab w:leader="none" w:pos="347" w:val="left"/>
        </w:tabs>
        <w:numPr>
          <w:ilvl w:val="0"/>
          <w:numId w:val="49"/>
        </w:numPr>
        <w:rPr>
          <w:rFonts w:ascii="Arial" w:cs="Arial" w:eastAsia="Arial" w:hAnsi="Arial"/>
          <w:sz w:val="16"/>
          <w:szCs w:val="16"/>
          <w:color w:val="auto"/>
        </w:rPr>
      </w:pPr>
      <w:r>
        <w:rPr>
          <w:rFonts w:ascii="Arial" w:cs="Arial" w:eastAsia="Arial" w:hAnsi="Arial"/>
          <w:sz w:val="16"/>
          <w:szCs w:val="16"/>
          <w:color w:val="auto"/>
        </w:rPr>
        <w:t xml:space="preserve">Purchases represent advances on the loan commitment to Roar. Refer to Note G </w:t>
      </w:r>
      <w:r>
        <w:rPr>
          <w:rFonts w:ascii="Arial" w:cs="Arial" w:eastAsia="Arial" w:hAnsi="Arial"/>
          <w:sz w:val="16"/>
          <w:szCs w:val="16"/>
          <w:b w:val="1"/>
          <w:bCs w:val="1"/>
          <w:i w:val="1"/>
          <w:iCs w:val="1"/>
          <w:color w:val="auto"/>
        </w:rPr>
        <w:t>Commitments and Contingencies</w:t>
      </w:r>
      <w:r>
        <w:rPr>
          <w:rFonts w:ascii="Arial" w:cs="Arial" w:eastAsia="Arial" w:hAnsi="Arial"/>
          <w:sz w:val="16"/>
          <w:szCs w:val="16"/>
          <w:color w:val="auto"/>
        </w:rPr>
        <w:t xml:space="preserve"> for further details.</w:t>
      </w:r>
    </w:p>
    <w:p>
      <w:pPr>
        <w:sectPr>
          <w:pgSz w:w="11880" w:h="15480" w:orient="portrait"/>
          <w:cols w:equalWidth="0" w:num="1">
            <w:col w:w="10047"/>
          </w:cols>
          <w:pgMar w:left="913" w:top="772" w:right="920" w:bottom="0" w:gutter="0" w:footer="0" w:header="0"/>
        </w:sectPr>
      </w:pPr>
    </w:p>
    <w:p>
      <w:pPr>
        <w:spacing w:after="0" w:line="200" w:lineRule="exact"/>
        <w:rPr>
          <w:sz w:val="20"/>
          <w:szCs w:val="20"/>
          <w:color w:val="auto"/>
        </w:rPr>
      </w:pPr>
    </w:p>
    <w:p>
      <w:pPr>
        <w:spacing w:after="0" w:line="330" w:lineRule="exact"/>
        <w:rPr>
          <w:sz w:val="20"/>
          <w:szCs w:val="20"/>
          <w:color w:val="auto"/>
        </w:rPr>
      </w:pPr>
    </w:p>
    <w:p>
      <w:pPr>
        <w:jc w:val="center"/>
        <w:ind w:right="-6"/>
        <w:spacing w:after="0"/>
        <w:rPr>
          <w:sz w:val="20"/>
          <w:szCs w:val="20"/>
          <w:color w:val="auto"/>
        </w:rPr>
      </w:pPr>
      <w:r>
        <w:rPr>
          <w:rFonts w:ascii="Arial" w:cs="Arial" w:eastAsia="Arial" w:hAnsi="Arial"/>
          <w:sz w:val="16"/>
          <w:szCs w:val="16"/>
          <w:color w:val="auto"/>
        </w:rPr>
        <w:t>129</w:t>
      </w:r>
    </w:p>
    <w:p>
      <w:pPr>
        <w:sectPr>
          <w:pgSz w:w="11880" w:h="15480" w:orient="portrait"/>
          <w:cols w:equalWidth="0" w:num="1">
            <w:col w:w="10047"/>
          </w:cols>
          <w:pgMar w:left="913" w:top="772" w:right="920" w:bottom="0" w:gutter="0" w:footer="0" w:header="0"/>
          <w:type w:val="continuous"/>
        </w:sectPr>
      </w:pPr>
    </w:p>
    <w:bookmarkStart w:id="141" w:name="page142"/>
    <w:bookmarkEnd w:id="141"/>
    <w:p>
      <w:pPr>
        <w:ind w:left="347" w:hanging="347"/>
        <w:spacing w:after="0"/>
        <w:tabs>
          <w:tab w:leader="none" w:pos="347" w:val="left"/>
        </w:tabs>
        <w:numPr>
          <w:ilvl w:val="0"/>
          <w:numId w:val="50"/>
        </w:numPr>
        <w:rPr>
          <w:rFonts w:ascii="Arial" w:cs="Arial" w:eastAsia="Arial" w:hAnsi="Arial"/>
          <w:sz w:val="16"/>
          <w:szCs w:val="16"/>
          <w:color w:val="auto"/>
        </w:rPr>
      </w:pPr>
      <w:r>
        <w:rPr>
          <w:rFonts w:ascii="Arial" w:cs="Arial" w:eastAsia="Arial" w:hAnsi="Arial"/>
          <w:sz w:val="16"/>
          <w:szCs w:val="16"/>
          <w:color w:val="auto"/>
        </w:rPr>
        <w:t xml:space="preserve">Refer to Note W </w:t>
      </w:r>
      <w:r>
        <w:rPr>
          <w:rFonts w:ascii="Arial" w:cs="Arial" w:eastAsia="Arial" w:hAnsi="Arial"/>
          <w:sz w:val="16"/>
          <w:szCs w:val="16"/>
          <w:b w:val="1"/>
          <w:bCs w:val="1"/>
          <w:i w:val="1"/>
          <w:iCs w:val="1"/>
          <w:color w:val="auto"/>
        </w:rPr>
        <w:t>Market Risk Benefits</w:t>
      </w:r>
      <w:r>
        <w:rPr>
          <w:rFonts w:ascii="Arial" w:cs="Arial" w:eastAsia="Arial" w:hAnsi="Arial"/>
          <w:sz w:val="16"/>
          <w:szCs w:val="16"/>
          <w:color w:val="auto"/>
        </w:rPr>
        <w:t xml:space="preserve"> for roll forward activity of the net Market Risk Benefits Asset and Liability.</w:t>
      </w:r>
    </w:p>
    <w:p>
      <w:pPr>
        <w:spacing w:after="0" w:line="200" w:lineRule="exact"/>
        <w:rPr>
          <w:sz w:val="20"/>
          <w:szCs w:val="20"/>
          <w:color w:val="auto"/>
        </w:rPr>
      </w:pPr>
    </w:p>
    <w:p>
      <w:pPr>
        <w:spacing w:after="0" w:line="240" w:lineRule="exact"/>
        <w:rPr>
          <w:sz w:val="20"/>
          <w:szCs w:val="20"/>
          <w:color w:val="auto"/>
        </w:rPr>
      </w:pPr>
    </w:p>
    <w:tbl>
      <w:tblPr>
        <w:tblLayout w:type="fixed"/>
        <w:tblInd w:w="47" w:type="dxa"/>
        <w:tblCellMar>
          <w:top w:w="0" w:type="dxa"/>
          <w:left w:w="0" w:type="dxa"/>
          <w:bottom w:w="0" w:type="dxa"/>
          <w:right w:w="0" w:type="dxa"/>
        </w:tblCellMar>
      </w:tblPr>
      <w:tr>
        <w:trPr>
          <w:trHeight w:val="213"/>
        </w:trPr>
        <w:tc>
          <w:tcPr>
            <w:tcW w:w="22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720" w:type="dxa"/>
            <w:vAlign w:val="bottom"/>
            <w:tcBorders>
              <w:bottom w:val="single" w:sz="8" w:color="auto"/>
            </w:tcBorders>
            <w:gridSpan w:val="9"/>
          </w:tcPr>
          <w:p>
            <w:pPr>
              <w:jc w:val="right"/>
              <w:ind w:right="42"/>
              <w:spacing w:after="0"/>
              <w:rPr>
                <w:sz w:val="20"/>
                <w:szCs w:val="20"/>
                <w:color w:val="auto"/>
              </w:rPr>
            </w:pPr>
            <w:r>
              <w:rPr>
                <w:rFonts w:ascii="Arial" w:cs="Arial" w:eastAsia="Arial" w:hAnsi="Arial"/>
                <w:sz w:val="16"/>
                <w:szCs w:val="16"/>
                <w:b w:val="1"/>
                <w:bCs w:val="1"/>
                <w:color w:val="auto"/>
              </w:rPr>
              <w:t>Year ended December 31, 2024</w:t>
            </w:r>
          </w:p>
        </w:tc>
        <w:tc>
          <w:tcPr>
            <w:tcW w:w="6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60" w:type="dxa"/>
            <w:vAlign w:val="bottom"/>
            <w:gridSpan w:val="5"/>
          </w:tcPr>
          <w:p>
            <w:pPr>
              <w:jc w:val="right"/>
              <w:ind w:right="22"/>
              <w:spacing w:after="0"/>
              <w:rPr>
                <w:sz w:val="20"/>
                <w:szCs w:val="20"/>
                <w:color w:val="auto"/>
              </w:rPr>
            </w:pPr>
            <w:r>
              <w:rPr>
                <w:rFonts w:ascii="Arial" w:cs="Arial" w:eastAsia="Arial" w:hAnsi="Arial"/>
                <w:sz w:val="16"/>
                <w:szCs w:val="16"/>
                <w:b w:val="1"/>
                <w:bCs w:val="1"/>
                <w:color w:val="auto"/>
                <w:w w:val="91"/>
              </w:rPr>
              <w:t>Total Gains (Losses)</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vMerge w:val="restart"/>
          </w:tcPr>
          <w:p>
            <w:pPr>
              <w:jc w:val="center"/>
              <w:ind w:right="22"/>
              <w:spacing w:after="0"/>
              <w:rPr>
                <w:sz w:val="20"/>
                <w:szCs w:val="20"/>
                <w:color w:val="auto"/>
              </w:rPr>
            </w:pPr>
            <w:r>
              <w:rPr>
                <w:rFonts w:ascii="Arial" w:cs="Arial" w:eastAsia="Arial" w:hAnsi="Arial"/>
                <w:sz w:val="16"/>
                <w:szCs w:val="16"/>
                <w:b w:val="1"/>
                <w:bCs w:val="1"/>
                <w:color w:val="auto"/>
                <w:w w:val="92"/>
              </w:rPr>
              <w:t>Net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
        </w:trPr>
        <w:tc>
          <w:tcPr>
            <w:tcW w:w="2280" w:type="dxa"/>
            <w:vAlign w:val="bottom"/>
          </w:tcPr>
          <w:p>
            <w:pPr>
              <w:spacing w:after="0"/>
              <w:rPr>
                <w:sz w:val="3"/>
                <w:szCs w:val="3"/>
                <w:color w:val="auto"/>
              </w:rPr>
            </w:pPr>
          </w:p>
        </w:tc>
        <w:tc>
          <w:tcPr>
            <w:tcW w:w="26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180" w:type="dxa"/>
            <w:vAlign w:val="bottom"/>
          </w:tcPr>
          <w:p>
            <w:pPr>
              <w:spacing w:after="0"/>
              <w:rPr>
                <w:sz w:val="3"/>
                <w:szCs w:val="3"/>
                <w:color w:val="auto"/>
              </w:rPr>
            </w:pPr>
          </w:p>
        </w:tc>
        <w:tc>
          <w:tcPr>
            <w:tcW w:w="6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57"/>
        </w:trPr>
        <w:tc>
          <w:tcPr>
            <w:tcW w:w="2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gridSpan w:val="2"/>
          </w:tcPr>
          <w:p>
            <w:pPr>
              <w:jc w:val="center"/>
              <w:spacing w:after="0" w:line="157" w:lineRule="exact"/>
              <w:rPr>
                <w:sz w:val="20"/>
                <w:szCs w:val="20"/>
                <w:color w:val="auto"/>
              </w:rPr>
            </w:pPr>
            <w:r>
              <w:rPr>
                <w:rFonts w:ascii="Arial" w:cs="Arial" w:eastAsia="Arial" w:hAnsi="Arial"/>
                <w:sz w:val="16"/>
                <w:szCs w:val="16"/>
                <w:b w:val="1"/>
                <w:bCs w:val="1"/>
                <w:color w:val="auto"/>
                <w:w w:val="90"/>
              </w:rPr>
              <w:t>transfer</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40" w:type="dxa"/>
            <w:vAlign w:val="bottom"/>
            <w:gridSpan w:val="2"/>
            <w:vMerge w:val="restart"/>
          </w:tcPr>
          <w:p>
            <w:pPr>
              <w:jc w:val="center"/>
              <w:spacing w:after="0"/>
              <w:rPr>
                <w:sz w:val="20"/>
                <w:szCs w:val="20"/>
                <w:color w:val="auto"/>
              </w:rPr>
            </w:pPr>
            <w:r>
              <w:rPr>
                <w:rFonts w:ascii="Arial" w:cs="Arial" w:eastAsia="Arial" w:hAnsi="Arial"/>
                <w:sz w:val="16"/>
                <w:szCs w:val="16"/>
                <w:b w:val="1"/>
                <w:bCs w:val="1"/>
                <w:color w:val="auto"/>
                <w:w w:val="90"/>
              </w:rPr>
              <w:t>Change in</w:t>
            </w:r>
          </w:p>
        </w:tc>
        <w:tc>
          <w:tcPr>
            <w:tcW w:w="0" w:type="dxa"/>
            <w:vAlign w:val="bottom"/>
          </w:tcPr>
          <w:p>
            <w:pPr>
              <w:spacing w:after="0"/>
              <w:rPr>
                <w:sz w:val="1"/>
                <w:szCs w:val="1"/>
                <w:color w:val="auto"/>
              </w:rPr>
            </w:pPr>
          </w:p>
        </w:tc>
      </w:tr>
      <w:tr>
        <w:trPr>
          <w:trHeight w:val="157"/>
        </w:trPr>
        <w:tc>
          <w:tcPr>
            <w:tcW w:w="2280" w:type="dxa"/>
            <w:vAlign w:val="bottom"/>
          </w:tcPr>
          <w:p>
            <w:pPr>
              <w:spacing w:after="0"/>
              <w:rPr>
                <w:sz w:val="13"/>
                <w:szCs w:val="13"/>
                <w:color w:val="auto"/>
              </w:rPr>
            </w:pPr>
          </w:p>
        </w:tc>
        <w:tc>
          <w:tcPr>
            <w:tcW w:w="820" w:type="dxa"/>
            <w:vAlign w:val="bottom"/>
            <w:gridSpan w:val="2"/>
            <w:vMerge w:val="restart"/>
          </w:tcPr>
          <w:p>
            <w:pPr>
              <w:ind w:left="60"/>
              <w:spacing w:after="0"/>
              <w:rPr>
                <w:sz w:val="20"/>
                <w:szCs w:val="20"/>
                <w:color w:val="auto"/>
              </w:rPr>
            </w:pPr>
            <w:r>
              <w:rPr>
                <w:rFonts w:ascii="Arial" w:cs="Arial" w:eastAsia="Arial" w:hAnsi="Arial"/>
                <w:sz w:val="16"/>
                <w:szCs w:val="16"/>
                <w:b w:val="1"/>
                <w:bCs w:val="1"/>
                <w:color w:val="auto"/>
                <w:w w:val="92"/>
              </w:rPr>
              <w:t>Balance at</w:t>
            </w:r>
          </w:p>
        </w:tc>
        <w:tc>
          <w:tcPr>
            <w:tcW w:w="80" w:type="dxa"/>
            <w:vAlign w:val="bottom"/>
          </w:tcPr>
          <w:p>
            <w:pPr>
              <w:spacing w:after="0"/>
              <w:rPr>
                <w:sz w:val="13"/>
                <w:szCs w:val="13"/>
                <w:color w:val="auto"/>
              </w:rPr>
            </w:pPr>
          </w:p>
        </w:tc>
        <w:tc>
          <w:tcPr>
            <w:tcW w:w="740" w:type="dxa"/>
            <w:vAlign w:val="bottom"/>
            <w:gridSpan w:val="2"/>
            <w:vMerge w:val="restart"/>
          </w:tcPr>
          <w:p>
            <w:pPr>
              <w:jc w:val="right"/>
              <w:ind w:right="2"/>
              <w:spacing w:after="0"/>
              <w:rPr>
                <w:sz w:val="20"/>
                <w:szCs w:val="20"/>
                <w:color w:val="auto"/>
              </w:rPr>
            </w:pPr>
            <w:r>
              <w:rPr>
                <w:rFonts w:ascii="Arial" w:cs="Arial" w:eastAsia="Arial" w:hAnsi="Arial"/>
                <w:sz w:val="16"/>
                <w:szCs w:val="16"/>
                <w:b w:val="1"/>
                <w:bCs w:val="1"/>
                <w:color w:val="auto"/>
                <w:w w:val="97"/>
              </w:rPr>
              <w:t>Included</w:t>
            </w:r>
          </w:p>
        </w:tc>
        <w:tc>
          <w:tcPr>
            <w:tcW w:w="80" w:type="dxa"/>
            <w:vAlign w:val="bottom"/>
          </w:tcPr>
          <w:p>
            <w:pPr>
              <w:spacing w:after="0"/>
              <w:rPr>
                <w:sz w:val="13"/>
                <w:szCs w:val="13"/>
                <w:color w:val="auto"/>
              </w:rPr>
            </w:pPr>
          </w:p>
        </w:tc>
        <w:tc>
          <w:tcPr>
            <w:tcW w:w="740" w:type="dxa"/>
            <w:vAlign w:val="bottom"/>
            <w:gridSpan w:val="2"/>
            <w:vMerge w:val="restart"/>
          </w:tcPr>
          <w:p>
            <w:pPr>
              <w:jc w:val="center"/>
              <w:spacing w:after="0"/>
              <w:rPr>
                <w:sz w:val="20"/>
                <w:szCs w:val="20"/>
                <w:color w:val="auto"/>
              </w:rPr>
            </w:pPr>
            <w:r>
              <w:rPr>
                <w:rFonts w:ascii="Arial" w:cs="Arial" w:eastAsia="Arial" w:hAnsi="Arial"/>
                <w:sz w:val="16"/>
                <w:szCs w:val="16"/>
                <w:b w:val="1"/>
                <w:bCs w:val="1"/>
                <w:color w:val="auto"/>
                <w:w w:val="88"/>
              </w:rPr>
              <w:t>Included</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gridSpan w:val="2"/>
          </w:tcPr>
          <w:p>
            <w:pPr>
              <w:jc w:val="center"/>
              <w:spacing w:after="0" w:line="157" w:lineRule="exact"/>
              <w:rPr>
                <w:sz w:val="20"/>
                <w:szCs w:val="20"/>
                <w:color w:val="auto"/>
              </w:rPr>
            </w:pPr>
            <w:r>
              <w:rPr>
                <w:rFonts w:ascii="Arial" w:cs="Arial" w:eastAsia="Arial" w:hAnsi="Arial"/>
                <w:sz w:val="16"/>
                <w:szCs w:val="16"/>
                <w:b w:val="1"/>
                <w:bCs w:val="1"/>
                <w:color w:val="auto"/>
                <w:w w:val="94"/>
              </w:rPr>
              <w:t>In (Out)</w:t>
            </w:r>
          </w:p>
        </w:tc>
        <w:tc>
          <w:tcPr>
            <w:tcW w:w="80" w:type="dxa"/>
            <w:vAlign w:val="bottom"/>
          </w:tcPr>
          <w:p>
            <w:pPr>
              <w:spacing w:after="0"/>
              <w:rPr>
                <w:sz w:val="13"/>
                <w:szCs w:val="13"/>
                <w:color w:val="auto"/>
              </w:rPr>
            </w:pPr>
          </w:p>
        </w:tc>
        <w:tc>
          <w:tcPr>
            <w:tcW w:w="760" w:type="dxa"/>
            <w:vAlign w:val="bottom"/>
            <w:gridSpan w:val="2"/>
            <w:vMerge w:val="restart"/>
          </w:tcPr>
          <w:p>
            <w:pPr>
              <w:jc w:val="right"/>
              <w:ind w:right="42"/>
              <w:spacing w:after="0"/>
              <w:rPr>
                <w:sz w:val="20"/>
                <w:szCs w:val="20"/>
                <w:color w:val="auto"/>
              </w:rPr>
            </w:pPr>
            <w:r>
              <w:rPr>
                <w:rFonts w:ascii="Arial" w:cs="Arial" w:eastAsia="Arial" w:hAnsi="Arial"/>
                <w:sz w:val="16"/>
                <w:szCs w:val="16"/>
                <w:b w:val="1"/>
                <w:bCs w:val="1"/>
                <w:color w:val="auto"/>
              </w:rPr>
              <w:t>Balance</w:t>
            </w:r>
          </w:p>
        </w:tc>
        <w:tc>
          <w:tcPr>
            <w:tcW w:w="40" w:type="dxa"/>
            <w:vAlign w:val="bottom"/>
          </w:tcPr>
          <w:p>
            <w:pPr>
              <w:spacing w:after="0"/>
              <w:rPr>
                <w:sz w:val="13"/>
                <w:szCs w:val="13"/>
                <w:color w:val="auto"/>
              </w:rPr>
            </w:pPr>
          </w:p>
        </w:tc>
        <w:tc>
          <w:tcPr>
            <w:tcW w:w="84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280" w:type="dxa"/>
            <w:vAlign w:val="bottom"/>
          </w:tcPr>
          <w:p>
            <w:pPr>
              <w:spacing w:after="0"/>
              <w:rPr>
                <w:sz w:val="13"/>
                <w:szCs w:val="13"/>
                <w:color w:val="auto"/>
              </w:rPr>
            </w:pPr>
          </w:p>
        </w:tc>
        <w:tc>
          <w:tcPr>
            <w:tcW w:w="82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jc w:val="center"/>
              <w:ind w:right="42"/>
              <w:spacing w:after="0" w:line="157" w:lineRule="exact"/>
              <w:rPr>
                <w:sz w:val="20"/>
                <w:szCs w:val="20"/>
                <w:color w:val="auto"/>
              </w:rPr>
            </w:pPr>
            <w:r>
              <w:rPr>
                <w:rFonts w:ascii="Arial" w:cs="Arial" w:eastAsia="Arial" w:hAnsi="Arial"/>
                <w:sz w:val="16"/>
                <w:szCs w:val="16"/>
                <w:b w:val="1"/>
                <w:bCs w:val="1"/>
                <w:color w:val="auto"/>
                <w:w w:val="92"/>
              </w:rPr>
              <w:t>of</w:t>
            </w:r>
          </w:p>
        </w:tc>
        <w:tc>
          <w:tcPr>
            <w:tcW w:w="80" w:type="dxa"/>
            <w:vAlign w:val="bottom"/>
          </w:tcPr>
          <w:p>
            <w:pPr>
              <w:spacing w:after="0"/>
              <w:rPr>
                <w:sz w:val="13"/>
                <w:szCs w:val="13"/>
                <w:color w:val="auto"/>
              </w:rPr>
            </w:pPr>
          </w:p>
        </w:tc>
        <w:tc>
          <w:tcPr>
            <w:tcW w:w="760" w:type="dxa"/>
            <w:vAlign w:val="bottom"/>
            <w:gridSpan w:val="2"/>
            <w:vMerge w:val="continue"/>
          </w:tcPr>
          <w:p>
            <w:pPr>
              <w:spacing w:after="0"/>
              <w:rPr>
                <w:sz w:val="13"/>
                <w:szCs w:val="13"/>
                <w:color w:val="auto"/>
              </w:rPr>
            </w:pPr>
          </w:p>
        </w:tc>
        <w:tc>
          <w:tcPr>
            <w:tcW w:w="40" w:type="dxa"/>
            <w:vAlign w:val="bottom"/>
          </w:tcPr>
          <w:p>
            <w:pPr>
              <w:spacing w:after="0"/>
              <w:rPr>
                <w:sz w:val="13"/>
                <w:szCs w:val="13"/>
                <w:color w:val="auto"/>
              </w:rPr>
            </w:pPr>
          </w:p>
        </w:tc>
        <w:tc>
          <w:tcPr>
            <w:tcW w:w="840" w:type="dxa"/>
            <w:vAlign w:val="bottom"/>
            <w:gridSpan w:val="2"/>
          </w:tcPr>
          <w:p>
            <w:pPr>
              <w:ind w:left="60"/>
              <w:spacing w:after="0" w:line="157" w:lineRule="exact"/>
              <w:rPr>
                <w:sz w:val="20"/>
                <w:szCs w:val="20"/>
                <w:color w:val="auto"/>
              </w:rPr>
            </w:pPr>
            <w:r>
              <w:rPr>
                <w:rFonts w:ascii="Arial" w:cs="Arial" w:eastAsia="Arial" w:hAnsi="Arial"/>
                <w:sz w:val="16"/>
                <w:szCs w:val="16"/>
                <w:b w:val="1"/>
                <w:bCs w:val="1"/>
                <w:color w:val="auto"/>
                <w:w w:val="93"/>
              </w:rPr>
              <w:t>Unrealized</w:t>
            </w:r>
          </w:p>
        </w:tc>
        <w:tc>
          <w:tcPr>
            <w:tcW w:w="0" w:type="dxa"/>
            <w:vAlign w:val="bottom"/>
          </w:tcPr>
          <w:p>
            <w:pPr>
              <w:spacing w:after="0"/>
              <w:rPr>
                <w:sz w:val="1"/>
                <w:szCs w:val="1"/>
                <w:color w:val="auto"/>
              </w:rPr>
            </w:pPr>
          </w:p>
        </w:tc>
      </w:tr>
      <w:tr>
        <w:trPr>
          <w:trHeight w:val="157"/>
        </w:trPr>
        <w:tc>
          <w:tcPr>
            <w:tcW w:w="2280" w:type="dxa"/>
            <w:vAlign w:val="bottom"/>
          </w:tcPr>
          <w:p>
            <w:pPr>
              <w:spacing w:after="0"/>
              <w:rPr>
                <w:sz w:val="13"/>
                <w:szCs w:val="13"/>
                <w:color w:val="auto"/>
              </w:rPr>
            </w:pPr>
          </w:p>
        </w:tc>
        <w:tc>
          <w:tcPr>
            <w:tcW w:w="820" w:type="dxa"/>
            <w:vAlign w:val="bottom"/>
            <w:gridSpan w:val="2"/>
          </w:tcPr>
          <w:p>
            <w:pPr>
              <w:ind w:left="60"/>
              <w:spacing w:after="0" w:line="157" w:lineRule="exact"/>
              <w:rPr>
                <w:sz w:val="20"/>
                <w:szCs w:val="20"/>
                <w:color w:val="auto"/>
              </w:rPr>
            </w:pPr>
            <w:r>
              <w:rPr>
                <w:rFonts w:ascii="Arial" w:cs="Arial" w:eastAsia="Arial" w:hAnsi="Arial"/>
                <w:sz w:val="16"/>
                <w:szCs w:val="16"/>
                <w:b w:val="1"/>
                <w:bCs w:val="1"/>
                <w:color w:val="auto"/>
                <w:w w:val="94"/>
              </w:rPr>
              <w:t>Beginning</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20" w:type="dxa"/>
            <w:vAlign w:val="bottom"/>
          </w:tcPr>
          <w:p>
            <w:pPr>
              <w:jc w:val="right"/>
              <w:ind w:right="222"/>
              <w:spacing w:after="0" w:line="157" w:lineRule="exact"/>
              <w:rPr>
                <w:sz w:val="20"/>
                <w:szCs w:val="20"/>
                <w:color w:val="auto"/>
              </w:rPr>
            </w:pPr>
            <w:r>
              <w:rPr>
                <w:rFonts w:ascii="Arial" w:cs="Arial" w:eastAsia="Arial" w:hAnsi="Arial"/>
                <w:sz w:val="16"/>
                <w:szCs w:val="16"/>
                <w:b w:val="1"/>
                <w:bCs w:val="1"/>
                <w:color w:val="auto"/>
              </w:rPr>
              <w:t>in</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jc w:val="center"/>
              <w:ind w:right="62"/>
              <w:spacing w:after="0" w:line="157" w:lineRule="exact"/>
              <w:rPr>
                <w:sz w:val="20"/>
                <w:szCs w:val="20"/>
                <w:color w:val="auto"/>
              </w:rPr>
            </w:pPr>
            <w:r>
              <w:rPr>
                <w:rFonts w:ascii="Arial" w:cs="Arial" w:eastAsia="Arial" w:hAnsi="Arial"/>
                <w:sz w:val="16"/>
                <w:szCs w:val="16"/>
                <w:b w:val="1"/>
                <w:bCs w:val="1"/>
                <w:color w:val="auto"/>
                <w:w w:val="98"/>
              </w:rPr>
              <w:t>in</w:t>
            </w:r>
          </w:p>
        </w:tc>
        <w:tc>
          <w:tcPr>
            <w:tcW w:w="80" w:type="dxa"/>
            <w:vAlign w:val="bottom"/>
          </w:tcPr>
          <w:p>
            <w:pPr>
              <w:spacing w:after="0"/>
              <w:rPr>
                <w:sz w:val="13"/>
                <w:szCs w:val="13"/>
                <w:color w:val="auto"/>
              </w:rPr>
            </w:pPr>
          </w:p>
        </w:tc>
        <w:tc>
          <w:tcPr>
            <w:tcW w:w="820" w:type="dxa"/>
            <w:vAlign w:val="bottom"/>
            <w:gridSpan w:val="2"/>
            <w:vMerge w:val="restart"/>
          </w:tcPr>
          <w:p>
            <w:pPr>
              <w:jc w:val="right"/>
              <w:ind w:right="2"/>
              <w:spacing w:after="0"/>
              <w:rPr>
                <w:sz w:val="20"/>
                <w:szCs w:val="20"/>
                <w:color w:val="auto"/>
              </w:rPr>
            </w:pPr>
            <w:r>
              <w:rPr>
                <w:rFonts w:ascii="Arial" w:cs="Arial" w:eastAsia="Arial" w:hAnsi="Arial"/>
                <w:sz w:val="16"/>
                <w:szCs w:val="16"/>
                <w:b w:val="1"/>
                <w:bCs w:val="1"/>
                <w:color w:val="auto"/>
                <w:w w:val="88"/>
              </w:rPr>
              <w:t>Purchases</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vMerge w:val="restart"/>
          </w:tcPr>
          <w:p>
            <w:pPr>
              <w:jc w:val="right"/>
              <w:ind w:right="122"/>
              <w:spacing w:after="0"/>
              <w:rPr>
                <w:sz w:val="20"/>
                <w:szCs w:val="20"/>
                <w:color w:val="auto"/>
              </w:rPr>
            </w:pPr>
            <w:r>
              <w:rPr>
                <w:rFonts w:ascii="Arial" w:cs="Arial" w:eastAsia="Arial" w:hAnsi="Arial"/>
                <w:sz w:val="16"/>
                <w:szCs w:val="16"/>
                <w:b w:val="1"/>
                <w:bCs w:val="1"/>
                <w:color w:val="auto"/>
                <w:w w:val="85"/>
              </w:rPr>
              <w:t>Sales</w:t>
            </w:r>
          </w:p>
        </w:tc>
        <w:tc>
          <w:tcPr>
            <w:tcW w:w="80" w:type="dxa"/>
            <w:vAlign w:val="bottom"/>
          </w:tcPr>
          <w:p>
            <w:pPr>
              <w:spacing w:after="0"/>
              <w:rPr>
                <w:sz w:val="13"/>
                <w:szCs w:val="13"/>
                <w:color w:val="auto"/>
              </w:rPr>
            </w:pPr>
          </w:p>
        </w:tc>
        <w:tc>
          <w:tcPr>
            <w:tcW w:w="920" w:type="dxa"/>
            <w:vAlign w:val="bottom"/>
            <w:gridSpan w:val="2"/>
            <w:vMerge w:val="restart"/>
          </w:tcPr>
          <w:p>
            <w:pPr>
              <w:jc w:val="right"/>
              <w:ind w:right="2"/>
              <w:spacing w:after="0"/>
              <w:rPr>
                <w:sz w:val="20"/>
                <w:szCs w:val="20"/>
                <w:color w:val="auto"/>
              </w:rPr>
            </w:pPr>
            <w:r>
              <w:rPr>
                <w:rFonts w:ascii="Arial" w:cs="Arial" w:eastAsia="Arial" w:hAnsi="Arial"/>
                <w:sz w:val="16"/>
                <w:szCs w:val="16"/>
                <w:b w:val="1"/>
                <w:bCs w:val="1"/>
                <w:color w:val="auto"/>
                <w:w w:val="90"/>
              </w:rPr>
              <w:t>Settlements</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jc w:val="center"/>
              <w:ind w:right="22"/>
              <w:spacing w:after="0" w:line="157" w:lineRule="exact"/>
              <w:rPr>
                <w:sz w:val="20"/>
                <w:szCs w:val="20"/>
                <w:color w:val="auto"/>
              </w:rPr>
            </w:pPr>
            <w:r>
              <w:rPr>
                <w:rFonts w:ascii="Arial" w:cs="Arial" w:eastAsia="Arial" w:hAnsi="Arial"/>
                <w:sz w:val="16"/>
                <w:szCs w:val="16"/>
                <w:b w:val="1"/>
                <w:bCs w:val="1"/>
                <w:color w:val="auto"/>
                <w:w w:val="88"/>
              </w:rPr>
              <w:t>Level 3</w:t>
            </w:r>
          </w:p>
        </w:tc>
        <w:tc>
          <w:tcPr>
            <w:tcW w:w="80" w:type="dxa"/>
            <w:vAlign w:val="bottom"/>
          </w:tcPr>
          <w:p>
            <w:pPr>
              <w:spacing w:after="0"/>
              <w:rPr>
                <w:sz w:val="13"/>
                <w:szCs w:val="13"/>
                <w:color w:val="auto"/>
              </w:rPr>
            </w:pPr>
          </w:p>
        </w:tc>
        <w:tc>
          <w:tcPr>
            <w:tcW w:w="760" w:type="dxa"/>
            <w:vAlign w:val="bottom"/>
            <w:gridSpan w:val="2"/>
          </w:tcPr>
          <w:p>
            <w:pPr>
              <w:ind w:left="60"/>
              <w:spacing w:after="0" w:line="157" w:lineRule="exact"/>
              <w:rPr>
                <w:sz w:val="20"/>
                <w:szCs w:val="20"/>
                <w:color w:val="auto"/>
              </w:rPr>
            </w:pPr>
            <w:r>
              <w:rPr>
                <w:rFonts w:ascii="Arial" w:cs="Arial" w:eastAsia="Arial" w:hAnsi="Arial"/>
                <w:sz w:val="16"/>
                <w:szCs w:val="16"/>
                <w:b w:val="1"/>
                <w:bCs w:val="1"/>
                <w:color w:val="auto"/>
                <w:w w:val="99"/>
              </w:rPr>
              <w:t>at End of</w:t>
            </w: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jc w:val="center"/>
              <w:ind w:right="82"/>
              <w:spacing w:after="0" w:line="157" w:lineRule="exact"/>
              <w:rPr>
                <w:sz w:val="20"/>
                <w:szCs w:val="20"/>
                <w:color w:val="auto"/>
              </w:rPr>
            </w:pPr>
            <w:r>
              <w:rPr>
                <w:rFonts w:ascii="Arial" w:cs="Arial" w:eastAsia="Arial" w:hAnsi="Arial"/>
                <w:sz w:val="16"/>
                <w:szCs w:val="16"/>
                <w:b w:val="1"/>
                <w:bCs w:val="1"/>
                <w:color w:val="auto"/>
                <w:w w:val="90"/>
              </w:rPr>
              <w:t>Incl in</w:t>
            </w:r>
          </w:p>
        </w:tc>
        <w:tc>
          <w:tcPr>
            <w:tcW w:w="0" w:type="dxa"/>
            <w:vAlign w:val="bottom"/>
          </w:tcPr>
          <w:p>
            <w:pPr>
              <w:spacing w:after="0"/>
              <w:rPr>
                <w:sz w:val="1"/>
                <w:szCs w:val="1"/>
                <w:color w:val="auto"/>
              </w:rPr>
            </w:pPr>
          </w:p>
        </w:tc>
      </w:tr>
      <w:tr>
        <w:trPr>
          <w:trHeight w:val="210"/>
        </w:trPr>
        <w:tc>
          <w:tcPr>
            <w:tcW w:w="2280" w:type="dxa"/>
            <w:vAlign w:val="bottom"/>
          </w:tcPr>
          <w:p>
            <w:pPr>
              <w:spacing w:after="0"/>
              <w:rPr>
                <w:sz w:val="18"/>
                <w:szCs w:val="18"/>
                <w:color w:val="auto"/>
              </w:rPr>
            </w:pPr>
          </w:p>
        </w:tc>
        <w:tc>
          <w:tcPr>
            <w:tcW w:w="820" w:type="dxa"/>
            <w:vAlign w:val="bottom"/>
            <w:tcBorders>
              <w:bottom w:val="single" w:sz="8" w:color="auto"/>
            </w:tcBorders>
            <w:gridSpan w:val="2"/>
          </w:tcPr>
          <w:p>
            <w:pPr>
              <w:jc w:val="right"/>
              <w:ind w:right="22"/>
              <w:spacing w:after="0"/>
              <w:rPr>
                <w:sz w:val="20"/>
                <w:szCs w:val="20"/>
                <w:color w:val="auto"/>
              </w:rPr>
            </w:pPr>
            <w:r>
              <w:rPr>
                <w:rFonts w:ascii="Arial" w:cs="Arial" w:eastAsia="Arial" w:hAnsi="Arial"/>
                <w:sz w:val="16"/>
                <w:szCs w:val="16"/>
                <w:b w:val="1"/>
                <w:bCs w:val="1"/>
                <w:color w:val="auto"/>
              </w:rPr>
              <w:t>of Period</w:t>
            </w:r>
          </w:p>
        </w:tc>
        <w:tc>
          <w:tcPr>
            <w:tcW w:w="80" w:type="dxa"/>
            <w:vAlign w:val="bottom"/>
          </w:tcPr>
          <w:p>
            <w:pPr>
              <w:spacing w:after="0"/>
              <w:rPr>
                <w:sz w:val="18"/>
                <w:szCs w:val="18"/>
                <w:color w:val="auto"/>
              </w:rPr>
            </w:pPr>
          </w:p>
        </w:tc>
        <w:tc>
          <w:tcPr>
            <w:tcW w:w="740" w:type="dxa"/>
            <w:vAlign w:val="bottom"/>
            <w:tcBorders>
              <w:bottom w:val="single" w:sz="8" w:color="auto"/>
            </w:tcBorders>
            <w:gridSpan w:val="2"/>
          </w:tcPr>
          <w:p>
            <w:pPr>
              <w:ind w:left="60"/>
              <w:spacing w:after="0"/>
              <w:rPr>
                <w:sz w:val="20"/>
                <w:szCs w:val="20"/>
                <w:color w:val="auto"/>
              </w:rPr>
            </w:pPr>
            <w:r>
              <w:rPr>
                <w:rFonts w:ascii="Arial" w:cs="Arial" w:eastAsia="Arial" w:hAnsi="Arial"/>
                <w:sz w:val="16"/>
                <w:szCs w:val="16"/>
                <w:b w:val="1"/>
                <w:bCs w:val="1"/>
                <w:color w:val="auto"/>
                <w:w w:val="96"/>
              </w:rPr>
              <w:t>Earnings</w:t>
            </w: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center"/>
              <w:ind w:right="62"/>
              <w:spacing w:after="0"/>
              <w:rPr>
                <w:sz w:val="20"/>
                <w:szCs w:val="20"/>
                <w:color w:val="auto"/>
              </w:rPr>
            </w:pPr>
            <w:r>
              <w:rPr>
                <w:rFonts w:ascii="Arial" w:cs="Arial" w:eastAsia="Arial" w:hAnsi="Arial"/>
                <w:sz w:val="16"/>
                <w:szCs w:val="16"/>
                <w:b w:val="1"/>
                <w:bCs w:val="1"/>
                <w:color w:val="auto"/>
              </w:rPr>
              <w:t>AOCI</w:t>
            </w:r>
          </w:p>
        </w:tc>
        <w:tc>
          <w:tcPr>
            <w:tcW w:w="80" w:type="dxa"/>
            <w:vAlign w:val="bottom"/>
          </w:tcPr>
          <w:p>
            <w:pPr>
              <w:spacing w:after="0"/>
              <w:rPr>
                <w:sz w:val="18"/>
                <w:szCs w:val="18"/>
                <w:color w:val="auto"/>
              </w:rPr>
            </w:pPr>
          </w:p>
        </w:tc>
        <w:tc>
          <w:tcPr>
            <w:tcW w:w="820" w:type="dxa"/>
            <w:vAlign w:val="bottom"/>
            <w:tcBorders>
              <w:bottom w:val="single" w:sz="8" w:color="auto"/>
            </w:tcBorders>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Borders>
              <w:bottom w:val="single" w:sz="8" w:color="auto"/>
            </w:tcBorders>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center"/>
              <w:ind w:right="42"/>
              <w:spacing w:after="0"/>
              <w:rPr>
                <w:sz w:val="20"/>
                <w:szCs w:val="20"/>
                <w:color w:val="auto"/>
              </w:rPr>
            </w:pPr>
            <w:r>
              <w:rPr>
                <w:rFonts w:ascii="Arial" w:cs="Arial" w:eastAsia="Arial" w:hAnsi="Arial"/>
                <w:sz w:val="16"/>
                <w:szCs w:val="16"/>
                <w:b w:val="1"/>
                <w:bCs w:val="1"/>
                <w:color w:val="auto"/>
                <w:w w:val="91"/>
              </w:rPr>
              <w:t>(a)</w:t>
            </w: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82"/>
              <w:spacing w:after="0"/>
              <w:rPr>
                <w:sz w:val="20"/>
                <w:szCs w:val="20"/>
                <w:color w:val="auto"/>
              </w:rPr>
            </w:pPr>
            <w:r>
              <w:rPr>
                <w:rFonts w:ascii="Arial" w:cs="Arial" w:eastAsia="Arial" w:hAnsi="Arial"/>
                <w:sz w:val="16"/>
                <w:szCs w:val="16"/>
                <w:b w:val="1"/>
                <w:bCs w:val="1"/>
                <w:color w:val="auto"/>
                <w:w w:val="88"/>
              </w:rPr>
              <w:t>Period</w:t>
            </w:r>
          </w:p>
        </w:tc>
        <w:tc>
          <w:tcPr>
            <w:tcW w:w="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center"/>
              <w:ind w:right="82"/>
              <w:spacing w:after="0"/>
              <w:rPr>
                <w:sz w:val="20"/>
                <w:szCs w:val="20"/>
                <w:color w:val="auto"/>
              </w:rPr>
            </w:pPr>
            <w:r>
              <w:rPr>
                <w:rFonts w:ascii="Arial" w:cs="Arial" w:eastAsia="Arial" w:hAnsi="Arial"/>
                <w:sz w:val="16"/>
                <w:szCs w:val="16"/>
                <w:b w:val="1"/>
                <w:bCs w:val="1"/>
                <w:color w:val="auto"/>
              </w:rPr>
              <w:t>OCI</w:t>
            </w:r>
          </w:p>
        </w:tc>
        <w:tc>
          <w:tcPr>
            <w:tcW w:w="0" w:type="dxa"/>
            <w:vAlign w:val="bottom"/>
          </w:tcPr>
          <w:p>
            <w:pPr>
              <w:spacing w:after="0"/>
              <w:rPr>
                <w:sz w:val="1"/>
                <w:szCs w:val="1"/>
                <w:color w:val="auto"/>
              </w:rPr>
            </w:pPr>
          </w:p>
        </w:tc>
      </w:tr>
      <w:tr>
        <w:trPr>
          <w:trHeight w:val="223"/>
        </w:trPr>
        <w:tc>
          <w:tcPr>
            <w:tcW w:w="2280" w:type="dxa"/>
            <w:vAlign w:val="bottom"/>
          </w:tcPr>
          <w:p>
            <w:pPr>
              <w:spacing w:after="0"/>
              <w:rPr>
                <w:sz w:val="20"/>
                <w:szCs w:val="20"/>
                <w:color w:val="auto"/>
              </w:rPr>
            </w:pPr>
            <w:r>
              <w:rPr>
                <w:rFonts w:ascii="Arial" w:cs="Arial" w:eastAsia="Arial" w:hAnsi="Arial"/>
                <w:sz w:val="16"/>
                <w:szCs w:val="16"/>
                <w:b w:val="1"/>
                <w:bCs w:val="1"/>
                <w:color w:val="auto"/>
              </w:rPr>
              <w:t>Assets</w:t>
            </w:r>
          </w:p>
        </w:tc>
        <w:tc>
          <w:tcPr>
            <w:tcW w:w="2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280" w:type="dxa"/>
            <w:vAlign w:val="bottom"/>
          </w:tcPr>
          <w:p>
            <w:pPr>
              <w:spacing w:after="0"/>
              <w:rPr>
                <w:sz w:val="20"/>
                <w:szCs w:val="20"/>
                <w:color w:val="auto"/>
              </w:rPr>
            </w:pPr>
            <w:r>
              <w:rPr>
                <w:rFonts w:ascii="Arial" w:cs="Arial" w:eastAsia="Arial" w:hAnsi="Arial"/>
                <w:sz w:val="16"/>
                <w:szCs w:val="16"/>
                <w:color w:val="auto"/>
                <w:w w:val="92"/>
              </w:rPr>
              <w:t>Fixed maturity securities available-</w:t>
            </w: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2280" w:type="dxa"/>
            <w:vAlign w:val="bottom"/>
          </w:tcPr>
          <w:p>
            <w:pPr>
              <w:spacing w:after="0"/>
              <w:rPr>
                <w:sz w:val="20"/>
                <w:szCs w:val="20"/>
                <w:color w:val="auto"/>
              </w:rPr>
            </w:pPr>
            <w:r>
              <w:rPr>
                <w:rFonts w:ascii="Arial" w:cs="Arial" w:eastAsia="Arial" w:hAnsi="Arial"/>
                <w:sz w:val="16"/>
                <w:szCs w:val="16"/>
                <w:color w:val="auto"/>
              </w:rPr>
              <w:t>for-sale:</w:t>
            </w:r>
          </w:p>
        </w:tc>
        <w:tc>
          <w:tcPr>
            <w:tcW w:w="2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9"/>
        </w:trPr>
        <w:tc>
          <w:tcPr>
            <w:tcW w:w="2280" w:type="dxa"/>
            <w:vAlign w:val="bottom"/>
          </w:tcPr>
          <w:p>
            <w:pPr>
              <w:ind w:left="220"/>
              <w:spacing w:after="0"/>
              <w:rPr>
                <w:sz w:val="20"/>
                <w:szCs w:val="20"/>
                <w:color w:val="auto"/>
              </w:rPr>
            </w:pPr>
            <w:r>
              <w:rPr>
                <w:rFonts w:ascii="Arial" w:cs="Arial" w:eastAsia="Arial" w:hAnsi="Arial"/>
                <w:sz w:val="16"/>
                <w:szCs w:val="16"/>
                <w:color w:val="auto"/>
              </w:rPr>
              <w:t>Asset-backed securities</w:t>
            </w:r>
          </w:p>
        </w:tc>
        <w:tc>
          <w:tcPr>
            <w:tcW w:w="260" w:type="dxa"/>
            <w:vAlign w:val="bottom"/>
          </w:tcPr>
          <w:p>
            <w:pPr>
              <w:ind w:left="40"/>
              <w:spacing w:after="0"/>
              <w:rPr>
                <w:sz w:val="20"/>
                <w:szCs w:val="20"/>
                <w:color w:val="auto"/>
              </w:rPr>
            </w:pPr>
            <w:r>
              <w:rPr>
                <w:rFonts w:ascii="Arial" w:cs="Arial" w:eastAsia="Arial" w:hAnsi="Arial"/>
                <w:sz w:val="16"/>
                <w:szCs w:val="16"/>
                <w:color w:val="auto"/>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7,122</w:t>
            </w:r>
          </w:p>
        </w:tc>
        <w:tc>
          <w:tcPr>
            <w:tcW w:w="300" w:type="dxa"/>
            <w:vAlign w:val="bottom"/>
            <w:gridSpan w:val="2"/>
          </w:tcPr>
          <w:p>
            <w:pPr>
              <w:ind w:left="120"/>
              <w:spacing w:after="0"/>
              <w:rPr>
                <w:sz w:val="20"/>
                <w:szCs w:val="20"/>
                <w:color w:val="auto"/>
              </w:rPr>
            </w:pPr>
            <w:r>
              <w:rPr>
                <w:rFonts w:ascii="Arial" w:cs="Arial" w:eastAsia="Arial" w:hAnsi="Arial"/>
                <w:sz w:val="16"/>
                <w:szCs w:val="16"/>
                <w:color w:val="auto"/>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19</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128</w:t>
            </w:r>
          </w:p>
        </w:tc>
        <w:tc>
          <w:tcPr>
            <w:tcW w:w="340" w:type="dxa"/>
            <w:vAlign w:val="bottom"/>
            <w:gridSpan w:val="2"/>
          </w:tcPr>
          <w:p>
            <w:pPr>
              <w:jc w:val="right"/>
              <w:ind w:right="62"/>
              <w:spacing w:after="0"/>
              <w:rPr>
                <w:sz w:val="20"/>
                <w:szCs w:val="20"/>
                <w:color w:val="auto"/>
              </w:rPr>
            </w:pPr>
            <w:r>
              <w:rPr>
                <w:rFonts w:ascii="Arial" w:cs="Arial" w:eastAsia="Arial" w:hAnsi="Arial"/>
                <w:sz w:val="16"/>
                <w:szCs w:val="16"/>
                <w:color w:val="auto"/>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5,104</w:t>
            </w:r>
          </w:p>
        </w:tc>
        <w:tc>
          <w:tcPr>
            <w:tcW w:w="24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(2,825)</w:t>
            </w:r>
          </w:p>
        </w:tc>
        <w:tc>
          <w:tcPr>
            <w:tcW w:w="400" w:type="dxa"/>
            <w:vAlign w:val="bottom"/>
            <w:gridSpan w:val="2"/>
          </w:tcPr>
          <w:p>
            <w:pPr>
              <w:jc w:val="right"/>
              <w:ind w:right="122"/>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(1,210)</w:t>
            </w: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(195)</w:t>
            </w:r>
          </w:p>
        </w:tc>
        <w:tc>
          <w:tcPr>
            <w:tcW w:w="220" w:type="dxa"/>
            <w:vAlign w:val="bottom"/>
            <w:gridSpan w:val="2"/>
          </w:tcPr>
          <w:p>
            <w:pPr>
              <w:ind w:left="140"/>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ind w:right="2"/>
              <w:spacing w:after="0"/>
              <w:rPr>
                <w:sz w:val="20"/>
                <w:szCs w:val="20"/>
                <w:color w:val="auto"/>
              </w:rPr>
            </w:pPr>
            <w:r>
              <w:rPr>
                <w:rFonts w:ascii="Arial" w:cs="Arial" w:eastAsia="Arial" w:hAnsi="Arial"/>
                <w:sz w:val="16"/>
                <w:szCs w:val="16"/>
                <w:color w:val="auto"/>
              </w:rPr>
              <w:t>8,143</w:t>
            </w:r>
          </w:p>
        </w:tc>
        <w:tc>
          <w:tcPr>
            <w:tcW w:w="220" w:type="dxa"/>
            <w:vAlign w:val="bottom"/>
            <w:gridSpan w:val="2"/>
          </w:tcPr>
          <w:p>
            <w:pPr>
              <w:ind w:left="100"/>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130</w:t>
            </w:r>
          </w:p>
        </w:tc>
        <w:tc>
          <w:tcPr>
            <w:tcW w:w="0" w:type="dxa"/>
            <w:vAlign w:val="bottom"/>
          </w:tcPr>
          <w:p>
            <w:pPr>
              <w:spacing w:after="0"/>
              <w:rPr>
                <w:sz w:val="1"/>
                <w:szCs w:val="1"/>
                <w:color w:val="auto"/>
              </w:rPr>
            </w:pPr>
          </w:p>
        </w:tc>
      </w:tr>
      <w:tr>
        <w:trPr>
          <w:trHeight w:val="209"/>
        </w:trPr>
        <w:tc>
          <w:tcPr>
            <w:tcW w:w="2280" w:type="dxa"/>
            <w:vAlign w:val="bottom"/>
          </w:tcPr>
          <w:p>
            <w:pPr>
              <w:ind w:left="220"/>
              <w:spacing w:after="0"/>
              <w:rPr>
                <w:sz w:val="20"/>
                <w:szCs w:val="20"/>
                <w:color w:val="auto"/>
              </w:rPr>
            </w:pPr>
            <w:r>
              <w:rPr>
                <w:rFonts w:ascii="Arial" w:cs="Arial" w:eastAsia="Arial" w:hAnsi="Arial"/>
                <w:sz w:val="16"/>
                <w:szCs w:val="16"/>
                <w:color w:val="auto"/>
                <w:w w:val="95"/>
              </w:rPr>
              <w:t>Commercial mortgage-backed</w:t>
            </w:r>
          </w:p>
        </w:tc>
        <w:tc>
          <w:tcPr>
            <w:tcW w:w="260" w:type="dxa"/>
            <w:vAlign w:val="bottom"/>
          </w:tcPr>
          <w:p>
            <w:pPr>
              <w:spacing w:after="0"/>
              <w:rPr>
                <w:sz w:val="18"/>
                <w:szCs w:val="18"/>
                <w:color w:val="auto"/>
              </w:rPr>
            </w:pPr>
          </w:p>
        </w:tc>
        <w:tc>
          <w:tcPr>
            <w:tcW w:w="560" w:type="dxa"/>
            <w:vAlign w:val="bottom"/>
            <w:vMerge w:val="restart"/>
          </w:tcPr>
          <w:p>
            <w:pPr>
              <w:jc w:val="right"/>
              <w:spacing w:after="0"/>
              <w:rPr>
                <w:sz w:val="20"/>
                <w:szCs w:val="20"/>
                <w:color w:val="auto"/>
              </w:rPr>
            </w:pPr>
            <w:r>
              <w:rPr>
                <w:rFonts w:ascii="Arial" w:cs="Arial" w:eastAsia="Arial" w:hAnsi="Arial"/>
                <w:sz w:val="16"/>
                <w:szCs w:val="16"/>
                <w:color w:val="auto"/>
              </w:rPr>
              <w:t>18</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vMerge w:val="restart"/>
          </w:tcPr>
          <w:p>
            <w:pPr>
              <w:jc w:val="right"/>
              <w:spacing w:after="0"/>
              <w:rPr>
                <w:sz w:val="20"/>
                <w:szCs w:val="20"/>
                <w:color w:val="auto"/>
              </w:rPr>
            </w:pPr>
            <w:r>
              <w:rPr>
                <w:rFonts w:ascii="Arial" w:cs="Arial" w:eastAsia="Arial" w:hAnsi="Arial"/>
                <w:sz w:val="16"/>
                <w:szCs w:val="16"/>
                <w:color w:val="auto"/>
              </w:rPr>
              <w:t>58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vMerge w:val="restart"/>
          </w:tcPr>
          <w:p>
            <w:pPr>
              <w:jc w:val="right"/>
              <w:spacing w:after="0"/>
              <w:rPr>
                <w:sz w:val="20"/>
                <w:szCs w:val="20"/>
                <w:color w:val="auto"/>
              </w:rPr>
            </w:pPr>
            <w:r>
              <w:rPr>
                <w:rFonts w:ascii="Arial" w:cs="Arial" w:eastAsia="Arial" w:hAnsi="Arial"/>
                <w:sz w:val="16"/>
                <w:szCs w:val="16"/>
                <w:color w:val="auto"/>
              </w:rPr>
              <w:t>(76)</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vMerge w:val="restart"/>
          </w:tcPr>
          <w:p>
            <w:pPr>
              <w:jc w:val="right"/>
              <w:ind w:right="2"/>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4"/>
        </w:trPr>
        <w:tc>
          <w:tcPr>
            <w:tcW w:w="2280" w:type="dxa"/>
            <w:vAlign w:val="bottom"/>
          </w:tcPr>
          <w:p>
            <w:pPr>
              <w:ind w:left="220"/>
              <w:spacing w:after="0"/>
              <w:rPr>
                <w:sz w:val="20"/>
                <w:szCs w:val="20"/>
                <w:color w:val="auto"/>
              </w:rPr>
            </w:pPr>
            <w:r>
              <w:rPr>
                <w:rFonts w:ascii="Arial" w:cs="Arial" w:eastAsia="Arial" w:hAnsi="Arial"/>
                <w:sz w:val="16"/>
                <w:szCs w:val="16"/>
                <w:color w:val="auto"/>
              </w:rPr>
              <w:t>securities</w:t>
            </w:r>
          </w:p>
        </w:tc>
        <w:tc>
          <w:tcPr>
            <w:tcW w:w="260" w:type="dxa"/>
            <w:vAlign w:val="bottom"/>
          </w:tcPr>
          <w:p>
            <w:pPr>
              <w:spacing w:after="0"/>
              <w:rPr>
                <w:sz w:val="17"/>
                <w:szCs w:val="17"/>
                <w:color w:val="auto"/>
              </w:rPr>
            </w:pPr>
          </w:p>
        </w:tc>
        <w:tc>
          <w:tcPr>
            <w:tcW w:w="56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6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49"/>
        </w:trPr>
        <w:tc>
          <w:tcPr>
            <w:tcW w:w="2280" w:type="dxa"/>
            <w:vAlign w:val="bottom"/>
          </w:tcPr>
          <w:p>
            <w:pPr>
              <w:ind w:left="220"/>
              <w:spacing w:after="0"/>
              <w:rPr>
                <w:sz w:val="20"/>
                <w:szCs w:val="20"/>
                <w:color w:val="auto"/>
              </w:rPr>
            </w:pPr>
            <w:r>
              <w:rPr>
                <w:rFonts w:ascii="Arial" w:cs="Arial" w:eastAsia="Arial" w:hAnsi="Arial"/>
                <w:sz w:val="16"/>
                <w:szCs w:val="16"/>
                <w:color w:val="auto"/>
              </w:rPr>
              <w:t>Corporates</w:t>
            </w:r>
          </w:p>
        </w:tc>
        <w:tc>
          <w:tcPr>
            <w:tcW w:w="26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1,979</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(3)</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81</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1,148</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(100)</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(139)</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(9)</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tcPr>
          <w:p>
            <w:pPr>
              <w:jc w:val="right"/>
              <w:ind w:right="2"/>
              <w:spacing w:after="0"/>
              <w:rPr>
                <w:sz w:val="20"/>
                <w:szCs w:val="20"/>
                <w:color w:val="auto"/>
              </w:rPr>
            </w:pPr>
            <w:r>
              <w:rPr>
                <w:rFonts w:ascii="Arial" w:cs="Arial" w:eastAsia="Arial" w:hAnsi="Arial"/>
                <w:sz w:val="16"/>
                <w:szCs w:val="16"/>
                <w:color w:val="auto"/>
              </w:rPr>
              <w:t>2,957</w:t>
            </w: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80</w:t>
            </w:r>
          </w:p>
        </w:tc>
        <w:tc>
          <w:tcPr>
            <w:tcW w:w="0" w:type="dxa"/>
            <w:vAlign w:val="bottom"/>
          </w:tcPr>
          <w:p>
            <w:pPr>
              <w:spacing w:after="0"/>
              <w:rPr>
                <w:sz w:val="1"/>
                <w:szCs w:val="1"/>
                <w:color w:val="auto"/>
              </w:rPr>
            </w:pPr>
          </w:p>
        </w:tc>
      </w:tr>
      <w:tr>
        <w:trPr>
          <w:trHeight w:val="250"/>
        </w:trPr>
        <w:tc>
          <w:tcPr>
            <w:tcW w:w="2280" w:type="dxa"/>
            <w:vAlign w:val="bottom"/>
          </w:tcPr>
          <w:p>
            <w:pPr>
              <w:ind w:left="220"/>
              <w:spacing w:after="0"/>
              <w:rPr>
                <w:sz w:val="20"/>
                <w:szCs w:val="20"/>
                <w:color w:val="auto"/>
              </w:rPr>
            </w:pPr>
            <w:r>
              <w:rPr>
                <w:rFonts w:ascii="Arial" w:cs="Arial" w:eastAsia="Arial" w:hAnsi="Arial"/>
                <w:sz w:val="16"/>
                <w:szCs w:val="16"/>
                <w:color w:val="auto"/>
              </w:rPr>
              <w:t>Municipals</w:t>
            </w:r>
          </w:p>
        </w:tc>
        <w:tc>
          <w:tcPr>
            <w:tcW w:w="26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49</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(50)</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09"/>
        </w:trPr>
        <w:tc>
          <w:tcPr>
            <w:tcW w:w="2280" w:type="dxa"/>
            <w:vAlign w:val="bottom"/>
          </w:tcPr>
          <w:p>
            <w:pPr>
              <w:ind w:left="220"/>
              <w:spacing w:after="0"/>
              <w:rPr>
                <w:sz w:val="20"/>
                <w:szCs w:val="20"/>
                <w:color w:val="auto"/>
              </w:rPr>
            </w:pPr>
            <w:r>
              <w:rPr>
                <w:rFonts w:ascii="Arial" w:cs="Arial" w:eastAsia="Arial" w:hAnsi="Arial"/>
                <w:sz w:val="16"/>
                <w:szCs w:val="16"/>
                <w:color w:val="auto"/>
                <w:w w:val="98"/>
              </w:rPr>
              <w:t>Residential mortgage-backed</w:t>
            </w:r>
          </w:p>
        </w:tc>
        <w:tc>
          <w:tcPr>
            <w:tcW w:w="260" w:type="dxa"/>
            <w:vAlign w:val="bottom"/>
          </w:tcPr>
          <w:p>
            <w:pPr>
              <w:spacing w:after="0"/>
              <w:rPr>
                <w:sz w:val="18"/>
                <w:szCs w:val="18"/>
                <w:color w:val="auto"/>
              </w:rPr>
            </w:pPr>
          </w:p>
        </w:tc>
        <w:tc>
          <w:tcPr>
            <w:tcW w:w="560" w:type="dxa"/>
            <w:vAlign w:val="bottom"/>
            <w:vMerge w:val="restart"/>
          </w:tcPr>
          <w:p>
            <w:pPr>
              <w:jc w:val="right"/>
              <w:spacing w:after="0"/>
              <w:rPr>
                <w:sz w:val="20"/>
                <w:szCs w:val="20"/>
                <w:color w:val="auto"/>
              </w:rPr>
            </w:pPr>
            <w:r>
              <w:rPr>
                <w:rFonts w:ascii="Arial" w:cs="Arial" w:eastAsia="Arial" w:hAnsi="Arial"/>
                <w:sz w:val="16"/>
                <w:szCs w:val="16"/>
                <w:color w:val="auto"/>
              </w:rPr>
              <w:t>3</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vMerge w:val="restart"/>
          </w:tcPr>
          <w:p>
            <w:pPr>
              <w:jc w:val="right"/>
              <w:spacing w:after="0"/>
              <w:rPr>
                <w:sz w:val="20"/>
                <w:szCs w:val="20"/>
                <w:color w:val="auto"/>
              </w:rPr>
            </w:pPr>
            <w:r>
              <w:rPr>
                <w:rFonts w:ascii="Arial" w:cs="Arial" w:eastAsia="Arial" w:hAnsi="Arial"/>
                <w:sz w:val="16"/>
                <w:szCs w:val="16"/>
                <w:color w:val="auto"/>
              </w:rPr>
              <w:t>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vMerge w:val="restart"/>
          </w:tcPr>
          <w:p>
            <w:pPr>
              <w:jc w:val="right"/>
              <w:spacing w:after="0"/>
              <w:rPr>
                <w:sz w:val="20"/>
                <w:szCs w:val="20"/>
                <w:color w:val="auto"/>
              </w:rPr>
            </w:pPr>
            <w:r>
              <w:rPr>
                <w:rFonts w:ascii="Arial" w:cs="Arial" w:eastAsia="Arial" w:hAnsi="Arial"/>
                <w:sz w:val="16"/>
                <w:szCs w:val="16"/>
                <w:color w:val="auto"/>
              </w:rPr>
              <w:t>(1)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vMerge w:val="restart"/>
          </w:tcPr>
          <w:p>
            <w:pPr>
              <w:jc w:val="right"/>
              <w:ind w:right="2"/>
              <w:spacing w:after="0"/>
              <w:rPr>
                <w:sz w:val="20"/>
                <w:szCs w:val="20"/>
                <w:color w:val="auto"/>
              </w:rPr>
            </w:pPr>
            <w:r>
              <w:rPr>
                <w:rFonts w:ascii="Arial" w:cs="Arial" w:eastAsia="Arial" w:hAnsi="Arial"/>
                <w:sz w:val="16"/>
                <w:szCs w:val="16"/>
                <w:color w:val="auto"/>
              </w:rPr>
              <w:t>3</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4"/>
        </w:trPr>
        <w:tc>
          <w:tcPr>
            <w:tcW w:w="2280" w:type="dxa"/>
            <w:vAlign w:val="bottom"/>
          </w:tcPr>
          <w:p>
            <w:pPr>
              <w:ind w:left="220"/>
              <w:spacing w:after="0"/>
              <w:rPr>
                <w:sz w:val="20"/>
                <w:szCs w:val="20"/>
                <w:color w:val="auto"/>
              </w:rPr>
            </w:pPr>
            <w:r>
              <w:rPr>
                <w:rFonts w:ascii="Arial" w:cs="Arial" w:eastAsia="Arial" w:hAnsi="Arial"/>
                <w:sz w:val="16"/>
                <w:szCs w:val="16"/>
                <w:color w:val="auto"/>
              </w:rPr>
              <w:t>securities</w:t>
            </w:r>
          </w:p>
        </w:tc>
        <w:tc>
          <w:tcPr>
            <w:tcW w:w="260" w:type="dxa"/>
            <w:vAlign w:val="bottom"/>
          </w:tcPr>
          <w:p>
            <w:pPr>
              <w:spacing w:after="0"/>
              <w:rPr>
                <w:sz w:val="17"/>
                <w:szCs w:val="17"/>
                <w:color w:val="auto"/>
              </w:rPr>
            </w:pPr>
          </w:p>
        </w:tc>
        <w:tc>
          <w:tcPr>
            <w:tcW w:w="56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6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49"/>
        </w:trPr>
        <w:tc>
          <w:tcPr>
            <w:tcW w:w="2280" w:type="dxa"/>
            <w:vAlign w:val="bottom"/>
          </w:tcPr>
          <w:p>
            <w:pPr>
              <w:ind w:left="220"/>
              <w:spacing w:after="0"/>
              <w:rPr>
                <w:sz w:val="20"/>
                <w:szCs w:val="20"/>
                <w:color w:val="auto"/>
              </w:rPr>
            </w:pPr>
            <w:r>
              <w:rPr>
                <w:rFonts w:ascii="Arial" w:cs="Arial" w:eastAsia="Arial" w:hAnsi="Arial"/>
                <w:sz w:val="16"/>
                <w:szCs w:val="16"/>
                <w:color w:val="auto"/>
              </w:rPr>
              <w:t>Foreign Governments</w:t>
            </w:r>
          </w:p>
        </w:tc>
        <w:tc>
          <w:tcPr>
            <w:tcW w:w="26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16</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(11)</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tcPr>
          <w:p>
            <w:pPr>
              <w:jc w:val="right"/>
              <w:ind w:right="2"/>
              <w:spacing w:after="0"/>
              <w:rPr>
                <w:sz w:val="20"/>
                <w:szCs w:val="20"/>
                <w:color w:val="auto"/>
              </w:rPr>
            </w:pPr>
            <w:r>
              <w:rPr>
                <w:rFonts w:ascii="Arial" w:cs="Arial" w:eastAsia="Arial" w:hAnsi="Arial"/>
                <w:sz w:val="16"/>
                <w:szCs w:val="16"/>
                <w:color w:val="auto"/>
              </w:rPr>
              <w:t>4</w:t>
            </w: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50"/>
        </w:trPr>
        <w:tc>
          <w:tcPr>
            <w:tcW w:w="2280" w:type="dxa"/>
            <w:vAlign w:val="bottom"/>
          </w:tcPr>
          <w:p>
            <w:pPr>
              <w:spacing w:after="0"/>
              <w:rPr>
                <w:sz w:val="20"/>
                <w:szCs w:val="20"/>
                <w:color w:val="auto"/>
              </w:rPr>
            </w:pPr>
            <w:r>
              <w:rPr>
                <w:rFonts w:ascii="Arial" w:cs="Arial" w:eastAsia="Arial" w:hAnsi="Arial"/>
                <w:sz w:val="16"/>
                <w:szCs w:val="16"/>
                <w:color w:val="auto"/>
              </w:rPr>
              <w:t>Preferred securities</w:t>
            </w:r>
          </w:p>
        </w:tc>
        <w:tc>
          <w:tcPr>
            <w:tcW w:w="26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8</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tcPr>
          <w:p>
            <w:pPr>
              <w:jc w:val="right"/>
              <w:ind w:right="2"/>
              <w:spacing w:after="0"/>
              <w:rPr>
                <w:sz w:val="20"/>
                <w:szCs w:val="20"/>
                <w:color w:val="auto"/>
              </w:rPr>
            </w:pPr>
            <w:r>
              <w:rPr>
                <w:rFonts w:ascii="Arial" w:cs="Arial" w:eastAsia="Arial" w:hAnsi="Arial"/>
                <w:sz w:val="16"/>
                <w:szCs w:val="16"/>
                <w:color w:val="auto"/>
              </w:rPr>
              <w:t>8</w:t>
            </w: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0"/>
        </w:trPr>
        <w:tc>
          <w:tcPr>
            <w:tcW w:w="2280" w:type="dxa"/>
            <w:vAlign w:val="bottom"/>
          </w:tcPr>
          <w:p>
            <w:pPr>
              <w:spacing w:after="0"/>
              <w:rPr>
                <w:sz w:val="20"/>
                <w:szCs w:val="20"/>
                <w:color w:val="auto"/>
              </w:rPr>
            </w:pPr>
            <w:r>
              <w:rPr>
                <w:rFonts w:ascii="Arial" w:cs="Arial" w:eastAsia="Arial" w:hAnsi="Arial"/>
                <w:sz w:val="16"/>
                <w:szCs w:val="16"/>
                <w:color w:val="auto"/>
              </w:rPr>
              <w:t>Equity securities</w:t>
            </w:r>
          </w:p>
        </w:tc>
        <w:tc>
          <w:tcPr>
            <w:tcW w:w="26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15</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(5)</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tcPr>
          <w:p>
            <w:pPr>
              <w:jc w:val="right"/>
              <w:ind w:right="2"/>
              <w:spacing w:after="0"/>
              <w:rPr>
                <w:sz w:val="20"/>
                <w:szCs w:val="20"/>
                <w:color w:val="auto"/>
              </w:rPr>
            </w:pPr>
            <w:r>
              <w:rPr>
                <w:rFonts w:ascii="Arial" w:cs="Arial" w:eastAsia="Arial" w:hAnsi="Arial"/>
                <w:sz w:val="16"/>
                <w:szCs w:val="16"/>
                <w:color w:val="auto"/>
              </w:rPr>
              <w:t>10</w:t>
            </w: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0"/>
        </w:trPr>
        <w:tc>
          <w:tcPr>
            <w:tcW w:w="2280" w:type="dxa"/>
            <w:vAlign w:val="bottom"/>
          </w:tcPr>
          <w:p>
            <w:pPr>
              <w:spacing w:after="0"/>
              <w:rPr>
                <w:sz w:val="20"/>
                <w:szCs w:val="20"/>
                <w:color w:val="auto"/>
              </w:rPr>
            </w:pPr>
            <w:r>
              <w:rPr>
                <w:rFonts w:ascii="Arial" w:cs="Arial" w:eastAsia="Arial" w:hAnsi="Arial"/>
                <w:sz w:val="16"/>
                <w:szCs w:val="16"/>
                <w:color w:val="auto"/>
              </w:rPr>
              <w:t>Derivative investments</w:t>
            </w:r>
          </w:p>
        </w:tc>
        <w:tc>
          <w:tcPr>
            <w:tcW w:w="26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57</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(50)</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3</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(7)</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tcPr>
          <w:p>
            <w:pPr>
              <w:jc w:val="right"/>
              <w:ind w:right="2"/>
              <w:spacing w:after="0"/>
              <w:rPr>
                <w:sz w:val="20"/>
                <w:szCs w:val="20"/>
                <w:color w:val="auto"/>
              </w:rPr>
            </w:pPr>
            <w:r>
              <w:rPr>
                <w:rFonts w:ascii="Arial" w:cs="Arial" w:eastAsia="Arial" w:hAnsi="Arial"/>
                <w:sz w:val="16"/>
                <w:szCs w:val="16"/>
                <w:color w:val="auto"/>
              </w:rPr>
              <w:t>3</w:t>
            </w: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09"/>
        </w:trPr>
        <w:tc>
          <w:tcPr>
            <w:tcW w:w="2280" w:type="dxa"/>
            <w:vAlign w:val="bottom"/>
          </w:tcPr>
          <w:p>
            <w:pPr>
              <w:spacing w:after="0"/>
              <w:rPr>
                <w:sz w:val="20"/>
                <w:szCs w:val="20"/>
                <w:color w:val="auto"/>
              </w:rPr>
            </w:pPr>
            <w:r>
              <w:rPr>
                <w:rFonts w:ascii="Arial" w:cs="Arial" w:eastAsia="Arial" w:hAnsi="Arial"/>
                <w:sz w:val="16"/>
                <w:szCs w:val="16"/>
                <w:color w:val="auto"/>
              </w:rPr>
              <w:t>Investments in unconsolidated</w:t>
            </w:r>
          </w:p>
        </w:tc>
        <w:tc>
          <w:tcPr>
            <w:tcW w:w="260" w:type="dxa"/>
            <w:vAlign w:val="bottom"/>
          </w:tcPr>
          <w:p>
            <w:pPr>
              <w:spacing w:after="0"/>
              <w:rPr>
                <w:sz w:val="18"/>
                <w:szCs w:val="18"/>
                <w:color w:val="auto"/>
              </w:rPr>
            </w:pPr>
          </w:p>
        </w:tc>
        <w:tc>
          <w:tcPr>
            <w:tcW w:w="560" w:type="dxa"/>
            <w:vAlign w:val="bottom"/>
            <w:vMerge w:val="restart"/>
          </w:tcPr>
          <w:p>
            <w:pPr>
              <w:jc w:val="right"/>
              <w:spacing w:after="0"/>
              <w:rPr>
                <w:sz w:val="20"/>
                <w:szCs w:val="20"/>
                <w:color w:val="auto"/>
              </w:rPr>
            </w:pPr>
            <w:r>
              <w:rPr>
                <w:rFonts w:ascii="Arial" w:cs="Arial" w:eastAsia="Arial" w:hAnsi="Arial"/>
                <w:sz w:val="16"/>
                <w:szCs w:val="16"/>
                <w:color w:val="auto"/>
              </w:rPr>
              <w:t>285</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vMerge w:val="restart"/>
          </w:tcPr>
          <w:p>
            <w:pPr>
              <w:jc w:val="right"/>
              <w:spacing w:after="0"/>
              <w:rPr>
                <w:sz w:val="20"/>
                <w:szCs w:val="20"/>
                <w:color w:val="auto"/>
              </w:rPr>
            </w:pPr>
            <w:r>
              <w:rPr>
                <w:rFonts w:ascii="Arial" w:cs="Arial" w:eastAsia="Arial" w:hAnsi="Arial"/>
                <w:sz w:val="16"/>
                <w:szCs w:val="16"/>
                <w:color w:val="auto"/>
              </w:rPr>
              <w:t>79</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vMerge w:val="restart"/>
          </w:tcPr>
          <w:p>
            <w:pPr>
              <w:jc w:val="right"/>
              <w:spacing w:after="0"/>
              <w:rPr>
                <w:sz w:val="20"/>
                <w:szCs w:val="20"/>
                <w:color w:val="auto"/>
              </w:rPr>
            </w:pPr>
            <w:r>
              <w:rPr>
                <w:rFonts w:ascii="Arial" w:cs="Arial" w:eastAsia="Arial" w:hAnsi="Arial"/>
                <w:sz w:val="16"/>
                <w:szCs w:val="16"/>
                <w:color w:val="auto"/>
              </w:rPr>
              <w:t>(92)</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vMerge w:val="restart"/>
          </w:tcPr>
          <w:p>
            <w:pPr>
              <w:jc w:val="right"/>
              <w:ind w:right="2"/>
              <w:spacing w:after="0"/>
              <w:rPr>
                <w:sz w:val="20"/>
                <w:szCs w:val="20"/>
                <w:color w:val="auto"/>
              </w:rPr>
            </w:pPr>
            <w:r>
              <w:rPr>
                <w:rFonts w:ascii="Arial" w:cs="Arial" w:eastAsia="Arial" w:hAnsi="Arial"/>
                <w:sz w:val="16"/>
                <w:szCs w:val="16"/>
                <w:color w:val="auto"/>
              </w:rPr>
              <w:t>272</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4"/>
        </w:trPr>
        <w:tc>
          <w:tcPr>
            <w:tcW w:w="2280" w:type="dxa"/>
            <w:vAlign w:val="bottom"/>
          </w:tcPr>
          <w:p>
            <w:pPr>
              <w:spacing w:after="0"/>
              <w:rPr>
                <w:sz w:val="20"/>
                <w:szCs w:val="20"/>
                <w:color w:val="auto"/>
              </w:rPr>
            </w:pPr>
            <w:r>
              <w:rPr>
                <w:rFonts w:ascii="Arial" w:cs="Arial" w:eastAsia="Arial" w:hAnsi="Arial"/>
                <w:sz w:val="16"/>
                <w:szCs w:val="16"/>
                <w:color w:val="auto"/>
              </w:rPr>
              <w:t>affiliates</w:t>
            </w:r>
          </w:p>
        </w:tc>
        <w:tc>
          <w:tcPr>
            <w:tcW w:w="260" w:type="dxa"/>
            <w:vAlign w:val="bottom"/>
          </w:tcPr>
          <w:p>
            <w:pPr>
              <w:spacing w:after="0"/>
              <w:rPr>
                <w:sz w:val="17"/>
                <w:szCs w:val="17"/>
                <w:color w:val="auto"/>
              </w:rPr>
            </w:pPr>
          </w:p>
        </w:tc>
        <w:tc>
          <w:tcPr>
            <w:tcW w:w="56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6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49"/>
        </w:trPr>
        <w:tc>
          <w:tcPr>
            <w:tcW w:w="2280" w:type="dxa"/>
            <w:vAlign w:val="bottom"/>
          </w:tcPr>
          <w:p>
            <w:pPr>
              <w:spacing w:after="0"/>
              <w:rPr>
                <w:sz w:val="20"/>
                <w:szCs w:val="20"/>
                <w:color w:val="auto"/>
              </w:rPr>
            </w:pPr>
            <w:r>
              <w:rPr>
                <w:rFonts w:ascii="Arial" w:cs="Arial" w:eastAsia="Arial" w:hAnsi="Arial"/>
                <w:sz w:val="16"/>
                <w:szCs w:val="16"/>
                <w:color w:val="auto"/>
              </w:rPr>
              <w:t>Other assets</w:t>
            </w:r>
          </w:p>
        </w:tc>
        <w:tc>
          <w:tcPr>
            <w:tcW w:w="26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65</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tcPr>
          <w:p>
            <w:pPr>
              <w:jc w:val="right"/>
              <w:ind w:right="2"/>
              <w:spacing w:after="0"/>
              <w:rPr>
                <w:sz w:val="20"/>
                <w:szCs w:val="20"/>
                <w:color w:val="auto"/>
              </w:rPr>
            </w:pPr>
            <w:r>
              <w:rPr>
                <w:rFonts w:ascii="Arial" w:cs="Arial" w:eastAsia="Arial" w:hAnsi="Arial"/>
                <w:sz w:val="16"/>
                <w:szCs w:val="16"/>
                <w:color w:val="auto"/>
              </w:rPr>
              <w:t>65</w:t>
            </w: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0"/>
        </w:trPr>
        <w:tc>
          <w:tcPr>
            <w:tcW w:w="2280" w:type="dxa"/>
            <w:vAlign w:val="bottom"/>
          </w:tcPr>
          <w:p>
            <w:pPr>
              <w:spacing w:after="0"/>
              <w:rPr>
                <w:sz w:val="20"/>
                <w:szCs w:val="20"/>
                <w:color w:val="auto"/>
              </w:rPr>
            </w:pPr>
            <w:r>
              <w:rPr>
                <w:rFonts w:ascii="Arial" w:cs="Arial" w:eastAsia="Arial" w:hAnsi="Arial"/>
                <w:sz w:val="16"/>
                <w:szCs w:val="16"/>
                <w:color w:val="auto"/>
              </w:rPr>
              <w:t>Short-term investments</w:t>
            </w:r>
          </w:p>
        </w:tc>
        <w:tc>
          <w:tcPr>
            <w:tcW w:w="26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236</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(190)</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(9)</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tcPr>
          <w:p>
            <w:pPr>
              <w:jc w:val="right"/>
              <w:ind w:right="2"/>
              <w:spacing w:after="0"/>
              <w:rPr>
                <w:sz w:val="20"/>
                <w:szCs w:val="20"/>
                <w:color w:val="auto"/>
              </w:rPr>
            </w:pPr>
            <w:r>
              <w:rPr>
                <w:rFonts w:ascii="Arial" w:cs="Arial" w:eastAsia="Arial" w:hAnsi="Arial"/>
                <w:sz w:val="16"/>
                <w:szCs w:val="16"/>
                <w:color w:val="auto"/>
              </w:rPr>
              <w:t>37</w:t>
            </w: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0"/>
        </w:trPr>
        <w:tc>
          <w:tcPr>
            <w:tcW w:w="2280" w:type="dxa"/>
            <w:vAlign w:val="bottom"/>
          </w:tcPr>
          <w:p>
            <w:pPr>
              <w:spacing w:after="0"/>
              <w:rPr>
                <w:sz w:val="20"/>
                <w:szCs w:val="20"/>
                <w:color w:val="auto"/>
              </w:rPr>
            </w:pPr>
            <w:r>
              <w:rPr>
                <w:rFonts w:ascii="Arial" w:cs="Arial" w:eastAsia="Arial" w:hAnsi="Arial"/>
                <w:sz w:val="16"/>
                <w:szCs w:val="16"/>
                <w:color w:val="auto"/>
              </w:rPr>
              <w:t>Other long-term assets:</w:t>
            </w:r>
          </w:p>
        </w:tc>
        <w:tc>
          <w:tcPr>
            <w:tcW w:w="2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9"/>
        </w:trPr>
        <w:tc>
          <w:tcPr>
            <w:tcW w:w="2280" w:type="dxa"/>
            <w:vAlign w:val="bottom"/>
          </w:tcPr>
          <w:p>
            <w:pPr>
              <w:ind w:left="220"/>
              <w:spacing w:after="0"/>
              <w:rPr>
                <w:sz w:val="20"/>
                <w:szCs w:val="20"/>
                <w:color w:val="auto"/>
              </w:rPr>
            </w:pPr>
            <w:r>
              <w:rPr>
                <w:rFonts w:ascii="Arial" w:cs="Arial" w:eastAsia="Arial" w:hAnsi="Arial"/>
                <w:sz w:val="16"/>
                <w:szCs w:val="16"/>
                <w:color w:val="auto"/>
              </w:rPr>
              <w:t>Available-for-sale embedded</w:t>
            </w:r>
          </w:p>
        </w:tc>
        <w:tc>
          <w:tcPr>
            <w:tcW w:w="260" w:type="dxa"/>
            <w:vAlign w:val="bottom"/>
          </w:tcPr>
          <w:p>
            <w:pPr>
              <w:spacing w:after="0"/>
              <w:rPr>
                <w:sz w:val="18"/>
                <w:szCs w:val="18"/>
                <w:color w:val="auto"/>
              </w:rPr>
            </w:pPr>
          </w:p>
        </w:tc>
        <w:tc>
          <w:tcPr>
            <w:tcW w:w="560" w:type="dxa"/>
            <w:vAlign w:val="bottom"/>
            <w:vMerge w:val="restart"/>
          </w:tcPr>
          <w:p>
            <w:pPr>
              <w:jc w:val="right"/>
              <w:spacing w:after="0"/>
              <w:rPr>
                <w:sz w:val="20"/>
                <w:szCs w:val="20"/>
                <w:color w:val="auto"/>
              </w:rPr>
            </w:pPr>
            <w:r>
              <w:rPr>
                <w:rFonts w:ascii="Arial" w:cs="Arial" w:eastAsia="Arial" w:hAnsi="Arial"/>
                <w:sz w:val="16"/>
                <w:szCs w:val="16"/>
                <w:color w:val="auto"/>
              </w:rPr>
              <w:t>27</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vMerge w:val="restart"/>
          </w:tcPr>
          <w:p>
            <w:pPr>
              <w:jc w:val="right"/>
              <w:spacing w:after="0"/>
              <w:rPr>
                <w:sz w:val="20"/>
                <w:szCs w:val="20"/>
                <w:color w:val="auto"/>
              </w:rPr>
            </w:pPr>
            <w:r>
              <w:rPr>
                <w:rFonts w:ascii="Arial" w:cs="Arial" w:eastAsia="Arial" w:hAnsi="Arial"/>
                <w:sz w:val="16"/>
                <w:szCs w:val="16"/>
                <w:color w:val="auto"/>
              </w:rPr>
              <w:t>5</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vMerge w:val="restart"/>
          </w:tcPr>
          <w:p>
            <w:pPr>
              <w:jc w:val="right"/>
              <w:ind w:right="2"/>
              <w:spacing w:after="0"/>
              <w:rPr>
                <w:sz w:val="20"/>
                <w:szCs w:val="20"/>
                <w:color w:val="auto"/>
              </w:rPr>
            </w:pPr>
            <w:r>
              <w:rPr>
                <w:rFonts w:ascii="Arial" w:cs="Arial" w:eastAsia="Arial" w:hAnsi="Arial"/>
                <w:sz w:val="16"/>
                <w:szCs w:val="16"/>
                <w:color w:val="auto"/>
              </w:rPr>
              <w:t>32</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vMerge w:val="restart"/>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04"/>
        </w:trPr>
        <w:tc>
          <w:tcPr>
            <w:tcW w:w="2280" w:type="dxa"/>
            <w:vAlign w:val="bottom"/>
          </w:tcPr>
          <w:p>
            <w:pPr>
              <w:ind w:left="220"/>
              <w:spacing w:after="0"/>
              <w:rPr>
                <w:sz w:val="20"/>
                <w:szCs w:val="20"/>
                <w:color w:val="auto"/>
              </w:rPr>
            </w:pPr>
            <w:r>
              <w:rPr>
                <w:rFonts w:ascii="Arial" w:cs="Arial" w:eastAsia="Arial" w:hAnsi="Arial"/>
                <w:sz w:val="16"/>
                <w:szCs w:val="16"/>
                <w:color w:val="auto"/>
              </w:rPr>
              <w:t>derivative</w:t>
            </w:r>
          </w:p>
        </w:tc>
        <w:tc>
          <w:tcPr>
            <w:tcW w:w="260" w:type="dxa"/>
            <w:vAlign w:val="bottom"/>
          </w:tcPr>
          <w:p>
            <w:pPr>
              <w:spacing w:after="0"/>
              <w:rPr>
                <w:sz w:val="17"/>
                <w:szCs w:val="17"/>
                <w:color w:val="auto"/>
              </w:rPr>
            </w:pPr>
          </w:p>
        </w:tc>
        <w:tc>
          <w:tcPr>
            <w:tcW w:w="56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6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49"/>
        </w:trPr>
        <w:tc>
          <w:tcPr>
            <w:tcW w:w="2280" w:type="dxa"/>
            <w:vAlign w:val="bottom"/>
          </w:tcPr>
          <w:p>
            <w:pPr>
              <w:ind w:left="220"/>
              <w:spacing w:after="0"/>
              <w:rPr>
                <w:sz w:val="20"/>
                <w:szCs w:val="20"/>
                <w:color w:val="auto"/>
              </w:rPr>
            </w:pPr>
            <w:r>
              <w:rPr>
                <w:rFonts w:ascii="Arial" w:cs="Arial" w:eastAsia="Arial" w:hAnsi="Arial"/>
                <w:sz w:val="16"/>
                <w:szCs w:val="16"/>
                <w:color w:val="auto"/>
              </w:rPr>
              <w:t>Credit linked note</w:t>
            </w:r>
          </w:p>
        </w:tc>
        <w:tc>
          <w:tcPr>
            <w:tcW w:w="26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10</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1</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(11)</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0"/>
        </w:trPr>
        <w:tc>
          <w:tcPr>
            <w:tcW w:w="2280" w:type="dxa"/>
            <w:vAlign w:val="bottom"/>
          </w:tcPr>
          <w:p>
            <w:pPr>
              <w:spacing w:after="0"/>
              <w:rPr>
                <w:sz w:val="20"/>
                <w:szCs w:val="20"/>
                <w:color w:val="auto"/>
              </w:rPr>
            </w:pPr>
            <w:r>
              <w:rPr>
                <w:rFonts w:ascii="Arial" w:cs="Arial" w:eastAsia="Arial" w:hAnsi="Arial"/>
                <w:sz w:val="16"/>
                <w:szCs w:val="16"/>
                <w:color w:val="auto"/>
              </w:rPr>
              <w:t>Reinsurance recoverable:</w:t>
            </w:r>
          </w:p>
        </w:tc>
        <w:tc>
          <w:tcPr>
            <w:tcW w:w="2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9"/>
        </w:trPr>
        <w:tc>
          <w:tcPr>
            <w:tcW w:w="2280" w:type="dxa"/>
            <w:vAlign w:val="bottom"/>
          </w:tcPr>
          <w:p>
            <w:pPr>
              <w:ind w:left="240"/>
              <w:spacing w:after="0"/>
              <w:rPr>
                <w:sz w:val="20"/>
                <w:szCs w:val="20"/>
                <w:color w:val="auto"/>
              </w:rPr>
            </w:pPr>
            <w:r>
              <w:rPr>
                <w:rFonts w:ascii="Arial" w:cs="Arial" w:eastAsia="Arial" w:hAnsi="Arial"/>
                <w:sz w:val="16"/>
                <w:szCs w:val="16"/>
                <w:color w:val="auto"/>
                <w:w w:val="99"/>
              </w:rPr>
              <w:t>Indexed annuities/IUL ceded</w:t>
            </w:r>
          </w:p>
        </w:tc>
        <w:tc>
          <w:tcPr>
            <w:tcW w:w="260" w:type="dxa"/>
            <w:vAlign w:val="bottom"/>
          </w:tcPr>
          <w:p>
            <w:pPr>
              <w:spacing w:after="0"/>
              <w:rPr>
                <w:sz w:val="18"/>
                <w:szCs w:val="18"/>
                <w:color w:val="auto"/>
              </w:rPr>
            </w:pPr>
          </w:p>
        </w:tc>
        <w:tc>
          <w:tcPr>
            <w:tcW w:w="560" w:type="dxa"/>
            <w:vAlign w:val="bottom"/>
            <w:vMerge w:val="restart"/>
          </w:tcPr>
          <w:p>
            <w:pPr>
              <w:jc w:val="right"/>
              <w:spacing w:after="0"/>
              <w:rPr>
                <w:sz w:val="20"/>
                <w:szCs w:val="20"/>
                <w:color w:val="auto"/>
              </w:rPr>
            </w:pPr>
            <w:r>
              <w:rPr>
                <w:rFonts w:ascii="Arial" w:cs="Arial" w:eastAsia="Arial" w:hAnsi="Arial"/>
                <w:sz w:val="16"/>
                <w:szCs w:val="16"/>
                <w:color w:val="auto"/>
              </w:rPr>
              <w:t>20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vMerge w:val="restart"/>
          </w:tcPr>
          <w:p>
            <w:pPr>
              <w:jc w:val="right"/>
              <w:spacing w:after="0"/>
              <w:rPr>
                <w:sz w:val="20"/>
                <w:szCs w:val="20"/>
                <w:color w:val="auto"/>
              </w:rPr>
            </w:pPr>
            <w:r>
              <w:rPr>
                <w:rFonts w:ascii="Arial" w:cs="Arial" w:eastAsia="Arial" w:hAnsi="Arial"/>
                <w:sz w:val="16"/>
                <w:szCs w:val="16"/>
                <w:color w:val="auto"/>
              </w:rPr>
              <w:t>(2)</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vMerge w:val="restart"/>
          </w:tcPr>
          <w:p>
            <w:pPr>
              <w:jc w:val="right"/>
              <w:spacing w:after="0"/>
              <w:rPr>
                <w:sz w:val="20"/>
                <w:szCs w:val="20"/>
                <w:color w:val="auto"/>
              </w:rPr>
            </w:pPr>
            <w:r>
              <w:rPr>
                <w:rFonts w:ascii="Arial" w:cs="Arial" w:eastAsia="Arial" w:hAnsi="Arial"/>
                <w:sz w:val="16"/>
                <w:szCs w:val="16"/>
                <w:color w:val="auto"/>
              </w:rPr>
              <w:t>81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vMerge w:val="restart"/>
          </w:tcPr>
          <w:p>
            <w:pPr>
              <w:jc w:val="right"/>
              <w:spacing w:after="0"/>
              <w:rPr>
                <w:sz w:val="20"/>
                <w:szCs w:val="20"/>
                <w:color w:val="auto"/>
              </w:rPr>
            </w:pPr>
            <w:r>
              <w:rPr>
                <w:rFonts w:ascii="Arial" w:cs="Arial" w:eastAsia="Arial" w:hAnsi="Arial"/>
                <w:sz w:val="16"/>
                <w:szCs w:val="16"/>
                <w:color w:val="auto"/>
              </w:rPr>
              <w:t>(1)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vMerge w:val="restart"/>
          </w:tcPr>
          <w:p>
            <w:pPr>
              <w:jc w:val="right"/>
              <w:ind w:right="2"/>
              <w:spacing w:after="0"/>
              <w:rPr>
                <w:sz w:val="20"/>
                <w:szCs w:val="20"/>
                <w:color w:val="auto"/>
              </w:rPr>
            </w:pPr>
            <w:r>
              <w:rPr>
                <w:rFonts w:ascii="Arial" w:cs="Arial" w:eastAsia="Arial" w:hAnsi="Arial"/>
                <w:sz w:val="16"/>
                <w:szCs w:val="16"/>
                <w:color w:val="auto"/>
              </w:rPr>
              <w:t>98</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4"/>
        </w:trPr>
        <w:tc>
          <w:tcPr>
            <w:tcW w:w="2280" w:type="dxa"/>
            <w:vAlign w:val="bottom"/>
          </w:tcPr>
          <w:p>
            <w:pPr>
              <w:ind w:left="240"/>
              <w:spacing w:after="0"/>
              <w:rPr>
                <w:sz w:val="20"/>
                <w:szCs w:val="20"/>
                <w:color w:val="auto"/>
              </w:rPr>
            </w:pPr>
            <w:r>
              <w:rPr>
                <w:rFonts w:ascii="Arial" w:cs="Arial" w:eastAsia="Arial" w:hAnsi="Arial"/>
                <w:sz w:val="16"/>
                <w:szCs w:val="16"/>
                <w:color w:val="auto"/>
              </w:rPr>
              <w:t>embedded derivatives</w:t>
            </w:r>
          </w:p>
        </w:tc>
        <w:tc>
          <w:tcPr>
            <w:tcW w:w="260" w:type="dxa"/>
            <w:vAlign w:val="bottom"/>
          </w:tcPr>
          <w:p>
            <w:pPr>
              <w:spacing w:after="0"/>
              <w:rPr>
                <w:sz w:val="17"/>
                <w:szCs w:val="17"/>
                <w:color w:val="auto"/>
              </w:rPr>
            </w:pPr>
          </w:p>
        </w:tc>
        <w:tc>
          <w:tcPr>
            <w:tcW w:w="56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6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49"/>
        </w:trPr>
        <w:tc>
          <w:tcPr>
            <w:tcW w:w="2280" w:type="dxa"/>
            <w:vAlign w:val="bottom"/>
          </w:tcPr>
          <w:p>
            <w:pPr>
              <w:spacing w:after="0"/>
              <w:rPr>
                <w:sz w:val="20"/>
                <w:szCs w:val="20"/>
                <w:color w:val="auto"/>
              </w:rPr>
            </w:pPr>
            <w:r>
              <w:rPr>
                <w:rFonts w:ascii="Arial" w:cs="Arial" w:eastAsia="Arial" w:hAnsi="Arial"/>
                <w:sz w:val="16"/>
                <w:szCs w:val="16"/>
                <w:color w:val="auto"/>
                <w:w w:val="88"/>
              </w:rPr>
              <w:t>Prepaid expenses and other assets:</w:t>
            </w:r>
          </w:p>
        </w:tc>
        <w:tc>
          <w:tcPr>
            <w:tcW w:w="2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280" w:type="dxa"/>
            <w:vAlign w:val="bottom"/>
          </w:tcPr>
          <w:p>
            <w:pPr>
              <w:ind w:left="220"/>
              <w:spacing w:after="0"/>
              <w:rPr>
                <w:sz w:val="20"/>
                <w:szCs w:val="20"/>
                <w:color w:val="auto"/>
              </w:rPr>
            </w:pPr>
            <w:r>
              <w:rPr>
                <w:rFonts w:ascii="Arial" w:cs="Arial" w:eastAsia="Arial" w:hAnsi="Arial"/>
                <w:sz w:val="16"/>
                <w:szCs w:val="16"/>
                <w:color w:val="auto"/>
              </w:rPr>
              <w:t>Loan receivable (b)</w:t>
            </w:r>
          </w:p>
        </w:tc>
        <w:tc>
          <w:tcPr>
            <w:tcW w:w="26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11</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tcPr>
          <w:p>
            <w:pPr>
              <w:jc w:val="right"/>
              <w:ind w:right="2"/>
              <w:spacing w:after="0"/>
              <w:rPr>
                <w:sz w:val="20"/>
                <w:szCs w:val="20"/>
                <w:color w:val="auto"/>
              </w:rPr>
            </w:pPr>
            <w:r>
              <w:rPr>
                <w:rFonts w:ascii="Arial" w:cs="Arial" w:eastAsia="Arial" w:hAnsi="Arial"/>
                <w:sz w:val="16"/>
                <w:szCs w:val="16"/>
                <w:color w:val="auto"/>
              </w:rPr>
              <w:t>11</w:t>
            </w: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2280" w:type="dxa"/>
            <w:vAlign w:val="bottom"/>
          </w:tcPr>
          <w:p>
            <w:pPr>
              <w:ind w:left="360"/>
              <w:spacing w:after="0"/>
              <w:rPr>
                <w:sz w:val="20"/>
                <w:szCs w:val="20"/>
                <w:color w:val="auto"/>
              </w:rPr>
            </w:pPr>
            <w:r>
              <w:rPr>
                <w:rFonts w:ascii="Arial" w:cs="Arial" w:eastAsia="Arial" w:hAnsi="Arial"/>
                <w:sz w:val="16"/>
                <w:szCs w:val="16"/>
                <w:b w:val="1"/>
                <w:bCs w:val="1"/>
                <w:color w:val="auto"/>
                <w:w w:val="97"/>
              </w:rPr>
              <w:t>Subtotal Level 3 assets at</w:t>
            </w:r>
          </w:p>
        </w:tc>
        <w:tc>
          <w:tcPr>
            <w:tcW w:w="260" w:type="dxa"/>
            <w:vAlign w:val="bottom"/>
            <w:vMerge w:val="restart"/>
          </w:tcPr>
          <w:p>
            <w:pPr>
              <w:ind w:left="40"/>
              <w:spacing w:after="0"/>
              <w:rPr>
                <w:sz w:val="20"/>
                <w:szCs w:val="20"/>
                <w:color w:val="auto"/>
              </w:rPr>
            </w:pPr>
            <w:r>
              <w:rPr>
                <w:rFonts w:ascii="Arial" w:cs="Arial" w:eastAsia="Arial" w:hAnsi="Arial"/>
                <w:sz w:val="16"/>
                <w:szCs w:val="16"/>
                <w:color w:val="auto"/>
              </w:rPr>
              <w:t>$</w:t>
            </w:r>
          </w:p>
        </w:tc>
        <w:tc>
          <w:tcPr>
            <w:tcW w:w="560" w:type="dxa"/>
            <w:vAlign w:val="bottom"/>
            <w:vMerge w:val="restart"/>
          </w:tcPr>
          <w:p>
            <w:pPr>
              <w:jc w:val="right"/>
              <w:spacing w:after="0"/>
              <w:rPr>
                <w:sz w:val="20"/>
                <w:szCs w:val="20"/>
                <w:color w:val="auto"/>
              </w:rPr>
            </w:pPr>
            <w:r>
              <w:rPr>
                <w:rFonts w:ascii="Arial" w:cs="Arial" w:eastAsia="Arial" w:hAnsi="Arial"/>
                <w:sz w:val="16"/>
                <w:szCs w:val="16"/>
                <w:color w:val="auto"/>
              </w:rPr>
              <w:t>9,609</w:t>
            </w:r>
          </w:p>
        </w:tc>
        <w:tc>
          <w:tcPr>
            <w:tcW w:w="300" w:type="dxa"/>
            <w:vAlign w:val="bottom"/>
            <w:gridSpan w:val="2"/>
            <w:vMerge w:val="restart"/>
          </w:tcPr>
          <w:p>
            <w:pPr>
              <w:ind w:left="120"/>
              <w:spacing w:after="0"/>
              <w:rPr>
                <w:sz w:val="20"/>
                <w:szCs w:val="20"/>
                <w:color w:val="auto"/>
              </w:rPr>
            </w:pPr>
            <w:r>
              <w:rPr>
                <w:rFonts w:ascii="Arial" w:cs="Arial" w:eastAsia="Arial" w:hAnsi="Arial"/>
                <w:sz w:val="16"/>
                <w:szCs w:val="16"/>
                <w:color w:val="auto"/>
              </w:rPr>
              <w:t>$</w:t>
            </w:r>
          </w:p>
        </w:tc>
        <w:tc>
          <w:tcPr>
            <w:tcW w:w="520" w:type="dxa"/>
            <w:vAlign w:val="bottom"/>
            <w:vMerge w:val="restart"/>
          </w:tcPr>
          <w:p>
            <w:pPr>
              <w:jc w:val="right"/>
              <w:spacing w:after="0"/>
              <w:rPr>
                <w:sz w:val="20"/>
                <w:szCs w:val="20"/>
                <w:color w:val="auto"/>
              </w:rPr>
            </w:pPr>
            <w:r>
              <w:rPr>
                <w:rFonts w:ascii="Arial" w:cs="Arial" w:eastAsia="Arial" w:hAnsi="Arial"/>
                <w:sz w:val="16"/>
                <w:szCs w:val="16"/>
                <w:color w:val="auto"/>
              </w:rPr>
              <w:t>39</w:t>
            </w:r>
          </w:p>
        </w:tc>
        <w:tc>
          <w:tcPr>
            <w:tcW w:w="220" w:type="dxa"/>
            <w:vAlign w:val="bottom"/>
            <w:gridSpan w:val="2"/>
            <w:vMerge w:val="restart"/>
          </w:tcPr>
          <w:p>
            <w:pPr>
              <w:jc w:val="right"/>
              <w:spacing w:after="0"/>
              <w:rPr>
                <w:sz w:val="20"/>
                <w:szCs w:val="20"/>
                <w:color w:val="auto"/>
              </w:rPr>
            </w:pPr>
            <w:r>
              <w:rPr>
                <w:rFonts w:ascii="Arial" w:cs="Arial" w:eastAsia="Arial" w:hAnsi="Arial"/>
                <w:sz w:val="16"/>
                <w:szCs w:val="16"/>
                <w:color w:val="auto"/>
              </w:rPr>
              <w:t>$</w:t>
            </w:r>
          </w:p>
        </w:tc>
        <w:tc>
          <w:tcPr>
            <w:tcW w:w="600" w:type="dxa"/>
            <w:vAlign w:val="bottom"/>
            <w:vMerge w:val="restart"/>
          </w:tcPr>
          <w:p>
            <w:pPr>
              <w:jc w:val="right"/>
              <w:spacing w:after="0"/>
              <w:rPr>
                <w:sz w:val="20"/>
                <w:szCs w:val="20"/>
                <w:color w:val="auto"/>
              </w:rPr>
            </w:pPr>
            <w:r>
              <w:rPr>
                <w:rFonts w:ascii="Arial" w:cs="Arial" w:eastAsia="Arial" w:hAnsi="Arial"/>
                <w:sz w:val="16"/>
                <w:szCs w:val="16"/>
                <w:color w:val="auto"/>
              </w:rPr>
              <w:t>217</w:t>
            </w:r>
          </w:p>
        </w:tc>
        <w:tc>
          <w:tcPr>
            <w:tcW w:w="340" w:type="dxa"/>
            <w:vAlign w:val="bottom"/>
            <w:gridSpan w:val="2"/>
            <w:vMerge w:val="restart"/>
          </w:tcPr>
          <w:p>
            <w:pPr>
              <w:jc w:val="right"/>
              <w:ind w:right="62"/>
              <w:spacing w:after="0"/>
              <w:rPr>
                <w:sz w:val="20"/>
                <w:szCs w:val="20"/>
                <w:color w:val="auto"/>
              </w:rPr>
            </w:pPr>
            <w:r>
              <w:rPr>
                <w:rFonts w:ascii="Arial" w:cs="Arial" w:eastAsia="Arial" w:hAnsi="Arial"/>
                <w:sz w:val="16"/>
                <w:szCs w:val="16"/>
                <w:color w:val="auto"/>
              </w:rPr>
              <w:t>$</w:t>
            </w:r>
          </w:p>
        </w:tc>
        <w:tc>
          <w:tcPr>
            <w:tcW w:w="560" w:type="dxa"/>
            <w:vAlign w:val="bottom"/>
            <w:vMerge w:val="restart"/>
          </w:tcPr>
          <w:p>
            <w:pPr>
              <w:jc w:val="right"/>
              <w:spacing w:after="0"/>
              <w:rPr>
                <w:sz w:val="20"/>
                <w:szCs w:val="20"/>
                <w:color w:val="auto"/>
              </w:rPr>
            </w:pPr>
            <w:r>
              <w:rPr>
                <w:rFonts w:ascii="Arial" w:cs="Arial" w:eastAsia="Arial" w:hAnsi="Arial"/>
                <w:sz w:val="16"/>
                <w:szCs w:val="16"/>
                <w:color w:val="auto"/>
              </w:rPr>
              <w:t>6,704</w:t>
            </w:r>
          </w:p>
        </w:tc>
        <w:tc>
          <w:tcPr>
            <w:tcW w:w="240" w:type="dxa"/>
            <w:vAlign w:val="bottom"/>
            <w:gridSpan w:val="2"/>
            <w:vMerge w:val="restart"/>
          </w:tcPr>
          <w:p>
            <w:pPr>
              <w:jc w:val="right"/>
              <w:ind w:right="40"/>
              <w:spacing w:after="0"/>
              <w:rPr>
                <w:sz w:val="20"/>
                <w:szCs w:val="20"/>
                <w:color w:val="auto"/>
              </w:rPr>
            </w:pPr>
            <w:r>
              <w:rPr>
                <w:rFonts w:ascii="Arial" w:cs="Arial" w:eastAsia="Arial" w:hAnsi="Arial"/>
                <w:sz w:val="16"/>
                <w:szCs w:val="16"/>
                <w:color w:val="auto"/>
              </w:rPr>
              <w:t>$</w:t>
            </w:r>
          </w:p>
        </w:tc>
        <w:tc>
          <w:tcPr>
            <w:tcW w:w="580" w:type="dxa"/>
            <w:vAlign w:val="bottom"/>
            <w:vMerge w:val="restart"/>
          </w:tcPr>
          <w:p>
            <w:pPr>
              <w:jc w:val="right"/>
              <w:spacing w:after="0"/>
              <w:rPr>
                <w:sz w:val="20"/>
                <w:szCs w:val="20"/>
                <w:color w:val="auto"/>
              </w:rPr>
            </w:pPr>
            <w:r>
              <w:rPr>
                <w:rFonts w:ascii="Arial" w:cs="Arial" w:eastAsia="Arial" w:hAnsi="Arial"/>
                <w:sz w:val="16"/>
                <w:szCs w:val="16"/>
                <w:color w:val="auto"/>
              </w:rPr>
              <w:t>(3,165)</w:t>
            </w:r>
          </w:p>
        </w:tc>
        <w:tc>
          <w:tcPr>
            <w:tcW w:w="400" w:type="dxa"/>
            <w:vAlign w:val="bottom"/>
            <w:gridSpan w:val="2"/>
            <w:vMerge w:val="restart"/>
          </w:tcPr>
          <w:p>
            <w:pPr>
              <w:jc w:val="right"/>
              <w:ind w:right="122"/>
              <w:spacing w:after="0"/>
              <w:rPr>
                <w:sz w:val="20"/>
                <w:szCs w:val="20"/>
                <w:color w:val="auto"/>
              </w:rPr>
            </w:pPr>
            <w:r>
              <w:rPr>
                <w:rFonts w:ascii="Arial" w:cs="Arial" w:eastAsia="Arial" w:hAnsi="Arial"/>
                <w:sz w:val="16"/>
                <w:szCs w:val="16"/>
                <w:color w:val="auto"/>
              </w:rPr>
              <w:t>$</w:t>
            </w:r>
          </w:p>
        </w:tc>
        <w:tc>
          <w:tcPr>
            <w:tcW w:w="600" w:type="dxa"/>
            <w:vAlign w:val="bottom"/>
            <w:vMerge w:val="restart"/>
          </w:tcPr>
          <w:p>
            <w:pPr>
              <w:jc w:val="right"/>
              <w:spacing w:after="0"/>
              <w:rPr>
                <w:sz w:val="20"/>
                <w:szCs w:val="20"/>
                <w:color w:val="auto"/>
              </w:rPr>
            </w:pPr>
            <w:r>
              <w:rPr>
                <w:rFonts w:ascii="Arial" w:cs="Arial" w:eastAsia="Arial" w:hAnsi="Arial"/>
                <w:sz w:val="16"/>
                <w:szCs w:val="16"/>
                <w:color w:val="auto"/>
              </w:rPr>
              <w:t>(1,381)</w:t>
            </w:r>
          </w:p>
        </w:tc>
        <w:tc>
          <w:tcPr>
            <w:tcW w:w="200" w:type="dxa"/>
            <w:vAlign w:val="bottom"/>
            <w:gridSpan w:val="2"/>
            <w:vMerge w:val="restart"/>
          </w:tcPr>
          <w:p>
            <w:pPr>
              <w:jc w:val="right"/>
              <w:spacing w:after="0"/>
              <w:rPr>
                <w:sz w:val="20"/>
                <w:szCs w:val="20"/>
                <w:color w:val="auto"/>
              </w:rPr>
            </w:pPr>
            <w:r>
              <w:rPr>
                <w:rFonts w:ascii="Arial" w:cs="Arial" w:eastAsia="Arial" w:hAnsi="Arial"/>
                <w:sz w:val="16"/>
                <w:szCs w:val="16"/>
                <w:color w:val="auto"/>
              </w:rPr>
              <w:t>$</w:t>
            </w:r>
          </w:p>
        </w:tc>
        <w:tc>
          <w:tcPr>
            <w:tcW w:w="620" w:type="dxa"/>
            <w:vAlign w:val="bottom"/>
            <w:vMerge w:val="restart"/>
          </w:tcPr>
          <w:p>
            <w:pPr>
              <w:jc w:val="right"/>
              <w:spacing w:after="0"/>
              <w:rPr>
                <w:sz w:val="20"/>
                <w:szCs w:val="20"/>
                <w:color w:val="auto"/>
              </w:rPr>
            </w:pPr>
            <w:r>
              <w:rPr>
                <w:rFonts w:ascii="Arial" w:cs="Arial" w:eastAsia="Arial" w:hAnsi="Arial"/>
                <w:sz w:val="16"/>
                <w:szCs w:val="16"/>
                <w:color w:val="auto"/>
              </w:rPr>
              <w:t>(380)</w:t>
            </w:r>
          </w:p>
        </w:tc>
        <w:tc>
          <w:tcPr>
            <w:tcW w:w="220" w:type="dxa"/>
            <w:vAlign w:val="bottom"/>
            <w:gridSpan w:val="2"/>
            <w:vMerge w:val="restart"/>
          </w:tcPr>
          <w:p>
            <w:pPr>
              <w:ind w:left="140"/>
              <w:spacing w:after="0"/>
              <w:rPr>
                <w:sz w:val="20"/>
                <w:szCs w:val="20"/>
                <w:color w:val="auto"/>
              </w:rPr>
            </w:pPr>
            <w:r>
              <w:rPr>
                <w:rFonts w:ascii="Arial" w:cs="Arial" w:eastAsia="Arial" w:hAnsi="Arial"/>
                <w:sz w:val="15"/>
                <w:szCs w:val="15"/>
                <w:color w:val="auto"/>
                <w:w w:val="71"/>
              </w:rPr>
              <w:t>$</w:t>
            </w:r>
          </w:p>
        </w:tc>
        <w:tc>
          <w:tcPr>
            <w:tcW w:w="620" w:type="dxa"/>
            <w:vAlign w:val="bottom"/>
            <w:vMerge w:val="restart"/>
          </w:tcPr>
          <w:p>
            <w:pPr>
              <w:jc w:val="right"/>
              <w:ind w:right="2"/>
              <w:spacing w:after="0"/>
              <w:rPr>
                <w:sz w:val="20"/>
                <w:szCs w:val="20"/>
                <w:color w:val="auto"/>
              </w:rPr>
            </w:pPr>
            <w:r>
              <w:rPr>
                <w:rFonts w:ascii="Arial" w:cs="Arial" w:eastAsia="Arial" w:hAnsi="Arial"/>
                <w:sz w:val="16"/>
                <w:szCs w:val="16"/>
                <w:color w:val="auto"/>
              </w:rPr>
              <w:t>11,643</w:t>
            </w:r>
          </w:p>
        </w:tc>
        <w:tc>
          <w:tcPr>
            <w:tcW w:w="220" w:type="dxa"/>
            <w:vAlign w:val="bottom"/>
            <w:gridSpan w:val="2"/>
            <w:vMerge w:val="restart"/>
          </w:tcPr>
          <w:p>
            <w:pPr>
              <w:ind w:left="100"/>
              <w:spacing w:after="0"/>
              <w:rPr>
                <w:sz w:val="20"/>
                <w:szCs w:val="20"/>
                <w:color w:val="auto"/>
              </w:rPr>
            </w:pPr>
            <w:r>
              <w:rPr>
                <w:rFonts w:ascii="Arial" w:cs="Arial" w:eastAsia="Arial" w:hAnsi="Arial"/>
                <w:sz w:val="16"/>
                <w:szCs w:val="16"/>
                <w:color w:val="auto"/>
              </w:rPr>
              <w:t>$</w:t>
            </w:r>
          </w:p>
        </w:tc>
        <w:tc>
          <w:tcPr>
            <w:tcW w:w="660" w:type="dxa"/>
            <w:vAlign w:val="bottom"/>
            <w:vMerge w:val="restart"/>
          </w:tcPr>
          <w:p>
            <w:pPr>
              <w:jc w:val="right"/>
              <w:spacing w:after="0"/>
              <w:rPr>
                <w:sz w:val="20"/>
                <w:szCs w:val="20"/>
                <w:color w:val="auto"/>
              </w:rPr>
            </w:pPr>
            <w:r>
              <w:rPr>
                <w:rFonts w:ascii="Arial" w:cs="Arial" w:eastAsia="Arial" w:hAnsi="Arial"/>
                <w:sz w:val="16"/>
                <w:szCs w:val="16"/>
                <w:color w:val="auto"/>
              </w:rPr>
              <w:t>216</w:t>
            </w:r>
          </w:p>
        </w:tc>
        <w:tc>
          <w:tcPr>
            <w:tcW w:w="0" w:type="dxa"/>
            <w:vAlign w:val="bottom"/>
          </w:tcPr>
          <w:p>
            <w:pPr>
              <w:spacing w:after="0"/>
              <w:rPr>
                <w:sz w:val="1"/>
                <w:szCs w:val="1"/>
                <w:color w:val="auto"/>
              </w:rPr>
            </w:pPr>
          </w:p>
        </w:tc>
      </w:tr>
      <w:tr>
        <w:trPr>
          <w:trHeight w:val="190"/>
        </w:trPr>
        <w:tc>
          <w:tcPr>
            <w:tcW w:w="2280" w:type="dxa"/>
            <w:vAlign w:val="bottom"/>
          </w:tcPr>
          <w:p>
            <w:pPr>
              <w:ind w:left="360"/>
              <w:spacing w:after="0"/>
              <w:rPr>
                <w:sz w:val="20"/>
                <w:szCs w:val="20"/>
                <w:color w:val="auto"/>
              </w:rPr>
            </w:pPr>
            <w:r>
              <w:rPr>
                <w:rFonts w:ascii="Arial" w:cs="Arial" w:eastAsia="Arial" w:hAnsi="Arial"/>
                <w:sz w:val="16"/>
                <w:szCs w:val="16"/>
                <w:b w:val="1"/>
                <w:bCs w:val="1"/>
                <w:color w:val="auto"/>
              </w:rPr>
              <w:t>fair value</w:t>
            </w:r>
          </w:p>
        </w:tc>
        <w:tc>
          <w:tcPr>
            <w:tcW w:w="260" w:type="dxa"/>
            <w:vAlign w:val="bottom"/>
            <w:vMerge w:val="continue"/>
          </w:tcPr>
          <w:p>
            <w:pPr>
              <w:spacing w:after="0"/>
              <w:rPr>
                <w:sz w:val="16"/>
                <w:szCs w:val="16"/>
                <w:color w:val="auto"/>
              </w:rPr>
            </w:pPr>
          </w:p>
        </w:tc>
        <w:tc>
          <w:tcPr>
            <w:tcW w:w="560" w:type="dxa"/>
            <w:vAlign w:val="bottom"/>
            <w:vMerge w:val="continue"/>
          </w:tcPr>
          <w:p>
            <w:pPr>
              <w:spacing w:after="0"/>
              <w:rPr>
                <w:sz w:val="16"/>
                <w:szCs w:val="16"/>
                <w:color w:val="auto"/>
              </w:rPr>
            </w:pPr>
          </w:p>
        </w:tc>
        <w:tc>
          <w:tcPr>
            <w:tcW w:w="300" w:type="dxa"/>
            <w:vAlign w:val="bottom"/>
            <w:gridSpan w:val="2"/>
            <w:vMerge w:val="continue"/>
          </w:tcPr>
          <w:p>
            <w:pPr>
              <w:spacing w:after="0"/>
              <w:rPr>
                <w:sz w:val="16"/>
                <w:szCs w:val="16"/>
                <w:color w:val="auto"/>
              </w:rPr>
            </w:pPr>
          </w:p>
        </w:tc>
        <w:tc>
          <w:tcPr>
            <w:tcW w:w="520" w:type="dxa"/>
            <w:vAlign w:val="bottom"/>
            <w:vMerge w:val="continue"/>
          </w:tcPr>
          <w:p>
            <w:pPr>
              <w:spacing w:after="0"/>
              <w:rPr>
                <w:sz w:val="16"/>
                <w:szCs w:val="16"/>
                <w:color w:val="auto"/>
              </w:rPr>
            </w:pPr>
          </w:p>
        </w:tc>
        <w:tc>
          <w:tcPr>
            <w:tcW w:w="220" w:type="dxa"/>
            <w:vAlign w:val="bottom"/>
            <w:gridSpan w:val="2"/>
            <w:vMerge w:val="continue"/>
          </w:tcPr>
          <w:p>
            <w:pPr>
              <w:spacing w:after="0"/>
              <w:rPr>
                <w:sz w:val="16"/>
                <w:szCs w:val="16"/>
                <w:color w:val="auto"/>
              </w:rPr>
            </w:pPr>
          </w:p>
        </w:tc>
        <w:tc>
          <w:tcPr>
            <w:tcW w:w="600" w:type="dxa"/>
            <w:vAlign w:val="bottom"/>
            <w:vMerge w:val="continue"/>
          </w:tcPr>
          <w:p>
            <w:pPr>
              <w:spacing w:after="0"/>
              <w:rPr>
                <w:sz w:val="16"/>
                <w:szCs w:val="16"/>
                <w:color w:val="auto"/>
              </w:rPr>
            </w:pPr>
          </w:p>
        </w:tc>
        <w:tc>
          <w:tcPr>
            <w:tcW w:w="340" w:type="dxa"/>
            <w:vAlign w:val="bottom"/>
            <w:gridSpan w:val="2"/>
            <w:vMerge w:val="continue"/>
          </w:tcPr>
          <w:p>
            <w:pPr>
              <w:spacing w:after="0"/>
              <w:rPr>
                <w:sz w:val="16"/>
                <w:szCs w:val="16"/>
                <w:color w:val="auto"/>
              </w:rPr>
            </w:pPr>
          </w:p>
        </w:tc>
        <w:tc>
          <w:tcPr>
            <w:tcW w:w="560" w:type="dxa"/>
            <w:vAlign w:val="bottom"/>
            <w:vMerge w:val="continue"/>
          </w:tcPr>
          <w:p>
            <w:pPr>
              <w:spacing w:after="0"/>
              <w:rPr>
                <w:sz w:val="16"/>
                <w:szCs w:val="16"/>
                <w:color w:val="auto"/>
              </w:rPr>
            </w:pPr>
          </w:p>
        </w:tc>
        <w:tc>
          <w:tcPr>
            <w:tcW w:w="240" w:type="dxa"/>
            <w:vAlign w:val="bottom"/>
            <w:gridSpan w:val="2"/>
            <w:vMerge w:val="continue"/>
          </w:tcPr>
          <w:p>
            <w:pPr>
              <w:spacing w:after="0"/>
              <w:rPr>
                <w:sz w:val="16"/>
                <w:szCs w:val="16"/>
                <w:color w:val="auto"/>
              </w:rPr>
            </w:pPr>
          </w:p>
        </w:tc>
        <w:tc>
          <w:tcPr>
            <w:tcW w:w="580" w:type="dxa"/>
            <w:vAlign w:val="bottom"/>
            <w:vMerge w:val="continue"/>
          </w:tcPr>
          <w:p>
            <w:pPr>
              <w:spacing w:after="0"/>
              <w:rPr>
                <w:sz w:val="16"/>
                <w:szCs w:val="16"/>
                <w:color w:val="auto"/>
              </w:rPr>
            </w:pPr>
          </w:p>
        </w:tc>
        <w:tc>
          <w:tcPr>
            <w:tcW w:w="400" w:type="dxa"/>
            <w:vAlign w:val="bottom"/>
            <w:gridSpan w:val="2"/>
            <w:vMerge w:val="continue"/>
          </w:tcPr>
          <w:p>
            <w:pPr>
              <w:spacing w:after="0"/>
              <w:rPr>
                <w:sz w:val="16"/>
                <w:szCs w:val="16"/>
                <w:color w:val="auto"/>
              </w:rPr>
            </w:pPr>
          </w:p>
        </w:tc>
        <w:tc>
          <w:tcPr>
            <w:tcW w:w="600" w:type="dxa"/>
            <w:vAlign w:val="bottom"/>
            <w:vMerge w:val="continue"/>
          </w:tcPr>
          <w:p>
            <w:pPr>
              <w:spacing w:after="0"/>
              <w:rPr>
                <w:sz w:val="16"/>
                <w:szCs w:val="16"/>
                <w:color w:val="auto"/>
              </w:rPr>
            </w:pPr>
          </w:p>
        </w:tc>
        <w:tc>
          <w:tcPr>
            <w:tcW w:w="200" w:type="dxa"/>
            <w:vAlign w:val="bottom"/>
            <w:gridSpan w:val="2"/>
            <w:vMerge w:val="continue"/>
          </w:tcPr>
          <w:p>
            <w:pPr>
              <w:spacing w:after="0"/>
              <w:rPr>
                <w:sz w:val="16"/>
                <w:szCs w:val="16"/>
                <w:color w:val="auto"/>
              </w:rPr>
            </w:pPr>
          </w:p>
        </w:tc>
        <w:tc>
          <w:tcPr>
            <w:tcW w:w="620" w:type="dxa"/>
            <w:vAlign w:val="bottom"/>
            <w:vMerge w:val="continue"/>
          </w:tcPr>
          <w:p>
            <w:pPr>
              <w:spacing w:after="0"/>
              <w:rPr>
                <w:sz w:val="16"/>
                <w:szCs w:val="16"/>
                <w:color w:val="auto"/>
              </w:rPr>
            </w:pPr>
          </w:p>
        </w:tc>
        <w:tc>
          <w:tcPr>
            <w:tcW w:w="220" w:type="dxa"/>
            <w:vAlign w:val="bottom"/>
            <w:gridSpan w:val="2"/>
            <w:vMerge w:val="continue"/>
          </w:tcPr>
          <w:p>
            <w:pPr>
              <w:spacing w:after="0"/>
              <w:rPr>
                <w:sz w:val="16"/>
                <w:szCs w:val="16"/>
                <w:color w:val="auto"/>
              </w:rPr>
            </w:pPr>
          </w:p>
        </w:tc>
        <w:tc>
          <w:tcPr>
            <w:tcW w:w="620" w:type="dxa"/>
            <w:vAlign w:val="bottom"/>
            <w:vMerge w:val="continue"/>
          </w:tcPr>
          <w:p>
            <w:pPr>
              <w:spacing w:after="0"/>
              <w:rPr>
                <w:sz w:val="16"/>
                <w:szCs w:val="16"/>
                <w:color w:val="auto"/>
              </w:rPr>
            </w:pPr>
          </w:p>
        </w:tc>
        <w:tc>
          <w:tcPr>
            <w:tcW w:w="220" w:type="dxa"/>
            <w:vAlign w:val="bottom"/>
            <w:gridSpan w:val="2"/>
            <w:vMerge w:val="continue"/>
          </w:tcPr>
          <w:p>
            <w:pPr>
              <w:spacing w:after="0"/>
              <w:rPr>
                <w:sz w:val="16"/>
                <w:szCs w:val="16"/>
                <w:color w:val="auto"/>
              </w:rPr>
            </w:pPr>
          </w:p>
        </w:tc>
        <w:tc>
          <w:tcPr>
            <w:tcW w:w="6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280" w:type="dxa"/>
            <w:vAlign w:val="bottom"/>
            <w:vMerge w:val="restart"/>
          </w:tcPr>
          <w:p>
            <w:pPr>
              <w:spacing w:after="0"/>
              <w:rPr>
                <w:sz w:val="20"/>
                <w:szCs w:val="20"/>
                <w:color w:val="auto"/>
              </w:rPr>
            </w:pPr>
            <w:r>
              <w:rPr>
                <w:rFonts w:ascii="Arial" w:cs="Arial" w:eastAsia="Arial" w:hAnsi="Arial"/>
                <w:sz w:val="16"/>
                <w:szCs w:val="16"/>
                <w:color w:val="auto"/>
              </w:rPr>
              <w:t>Market risk benefits asset (c)</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280" w:type="dxa"/>
            <w:vAlign w:val="bottom"/>
            <w:vMerge w:val="continue"/>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88</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189</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2280" w:type="dxa"/>
            <w:vAlign w:val="bottom"/>
          </w:tcPr>
          <w:p>
            <w:pPr>
              <w:ind w:left="360"/>
              <w:spacing w:after="0" w:line="182" w:lineRule="exact"/>
              <w:rPr>
                <w:sz w:val="20"/>
                <w:szCs w:val="20"/>
                <w:color w:val="auto"/>
              </w:rPr>
            </w:pPr>
            <w:r>
              <w:rPr>
                <w:rFonts w:ascii="Arial" w:cs="Arial" w:eastAsia="Arial" w:hAnsi="Arial"/>
                <w:sz w:val="16"/>
                <w:szCs w:val="16"/>
                <w:b w:val="1"/>
                <w:bCs w:val="1"/>
                <w:color w:val="auto"/>
                <w:w w:val="95"/>
              </w:rPr>
              <w:t>Total Level 3 assets at fair</w:t>
            </w:r>
          </w:p>
        </w:tc>
        <w:tc>
          <w:tcPr>
            <w:tcW w:w="260" w:type="dxa"/>
            <w:vAlign w:val="bottom"/>
            <w:vMerge w:val="restart"/>
          </w:tcPr>
          <w:p>
            <w:pPr>
              <w:ind w:left="40"/>
              <w:spacing w:after="0"/>
              <w:rPr>
                <w:sz w:val="20"/>
                <w:szCs w:val="20"/>
                <w:color w:val="auto"/>
              </w:rPr>
            </w:pPr>
            <w:r>
              <w:rPr>
                <w:rFonts w:ascii="Arial" w:cs="Arial" w:eastAsia="Arial" w:hAnsi="Arial"/>
                <w:sz w:val="16"/>
                <w:szCs w:val="16"/>
                <w:color w:val="auto"/>
              </w:rPr>
              <w:t>$</w:t>
            </w:r>
          </w:p>
        </w:tc>
        <w:tc>
          <w:tcPr>
            <w:tcW w:w="560" w:type="dxa"/>
            <w:vAlign w:val="bottom"/>
            <w:vMerge w:val="restart"/>
          </w:tcPr>
          <w:p>
            <w:pPr>
              <w:jc w:val="right"/>
              <w:spacing w:after="0"/>
              <w:rPr>
                <w:sz w:val="20"/>
                <w:szCs w:val="20"/>
                <w:color w:val="auto"/>
              </w:rPr>
            </w:pPr>
            <w:r>
              <w:rPr>
                <w:rFonts w:ascii="Arial" w:cs="Arial" w:eastAsia="Arial" w:hAnsi="Arial"/>
                <w:sz w:val="16"/>
                <w:szCs w:val="16"/>
                <w:color w:val="auto"/>
              </w:rPr>
              <w:t>9,697</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gridSpan w:val="2"/>
            <w:vMerge w:val="restart"/>
          </w:tcPr>
          <w:p>
            <w:pPr>
              <w:ind w:left="140"/>
              <w:spacing w:after="0"/>
              <w:rPr>
                <w:sz w:val="20"/>
                <w:szCs w:val="20"/>
                <w:color w:val="auto"/>
              </w:rPr>
            </w:pPr>
            <w:r>
              <w:rPr>
                <w:rFonts w:ascii="Arial" w:cs="Arial" w:eastAsia="Arial" w:hAnsi="Arial"/>
                <w:sz w:val="15"/>
                <w:szCs w:val="15"/>
                <w:color w:val="auto"/>
                <w:w w:val="71"/>
              </w:rPr>
              <w:t>$</w:t>
            </w:r>
          </w:p>
        </w:tc>
        <w:tc>
          <w:tcPr>
            <w:tcW w:w="620" w:type="dxa"/>
            <w:vAlign w:val="bottom"/>
            <w:vMerge w:val="restart"/>
          </w:tcPr>
          <w:p>
            <w:pPr>
              <w:jc w:val="right"/>
              <w:ind w:right="2"/>
              <w:spacing w:after="0"/>
              <w:rPr>
                <w:sz w:val="20"/>
                <w:szCs w:val="20"/>
                <w:color w:val="auto"/>
              </w:rPr>
            </w:pPr>
            <w:r>
              <w:rPr>
                <w:rFonts w:ascii="Arial" w:cs="Arial" w:eastAsia="Arial" w:hAnsi="Arial"/>
                <w:sz w:val="16"/>
                <w:szCs w:val="16"/>
                <w:color w:val="auto"/>
              </w:rPr>
              <w:t>11,832</w:t>
            </w: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2280" w:type="dxa"/>
            <w:vAlign w:val="bottom"/>
          </w:tcPr>
          <w:p>
            <w:pPr>
              <w:ind w:left="360"/>
              <w:spacing w:after="0"/>
              <w:rPr>
                <w:sz w:val="20"/>
                <w:szCs w:val="20"/>
                <w:color w:val="auto"/>
              </w:rPr>
            </w:pPr>
            <w:r>
              <w:rPr>
                <w:rFonts w:ascii="Arial" w:cs="Arial" w:eastAsia="Arial" w:hAnsi="Arial"/>
                <w:sz w:val="16"/>
                <w:szCs w:val="16"/>
                <w:b w:val="1"/>
                <w:bCs w:val="1"/>
                <w:color w:val="auto"/>
              </w:rPr>
              <w:t>value</w:t>
            </w:r>
          </w:p>
        </w:tc>
        <w:tc>
          <w:tcPr>
            <w:tcW w:w="260" w:type="dxa"/>
            <w:vAlign w:val="bottom"/>
            <w:vMerge w:val="continue"/>
          </w:tcPr>
          <w:p>
            <w:pPr>
              <w:spacing w:after="0"/>
              <w:rPr>
                <w:sz w:val="16"/>
                <w:szCs w:val="16"/>
                <w:color w:val="auto"/>
              </w:rPr>
            </w:pPr>
          </w:p>
        </w:tc>
        <w:tc>
          <w:tcPr>
            <w:tcW w:w="5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gridSpan w:val="2"/>
            <w:vMerge w:val="continue"/>
          </w:tcPr>
          <w:p>
            <w:pPr>
              <w:spacing w:after="0"/>
              <w:rPr>
                <w:sz w:val="16"/>
                <w:szCs w:val="16"/>
                <w:color w:val="auto"/>
              </w:rPr>
            </w:pPr>
          </w:p>
        </w:tc>
        <w:tc>
          <w:tcPr>
            <w:tcW w:w="6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280" w:type="dxa"/>
            <w:vAlign w:val="bottom"/>
            <w:vMerge w:val="restart"/>
          </w:tcPr>
          <w:p>
            <w:pPr>
              <w:spacing w:after="0"/>
              <w:rPr>
                <w:sz w:val="20"/>
                <w:szCs w:val="20"/>
                <w:color w:val="auto"/>
              </w:rPr>
            </w:pPr>
            <w:r>
              <w:rPr>
                <w:rFonts w:ascii="Arial" w:cs="Arial" w:eastAsia="Arial" w:hAnsi="Arial"/>
                <w:sz w:val="16"/>
                <w:szCs w:val="16"/>
                <w:b w:val="1"/>
                <w:bCs w:val="1"/>
                <w:color w:val="auto"/>
              </w:rPr>
              <w:t>Liabilities</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228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280" w:type="dxa"/>
            <w:vAlign w:val="bottom"/>
          </w:tcPr>
          <w:p>
            <w:pPr>
              <w:spacing w:after="0"/>
              <w:rPr>
                <w:sz w:val="20"/>
                <w:szCs w:val="20"/>
                <w:color w:val="auto"/>
              </w:rPr>
            </w:pPr>
            <w:r>
              <w:rPr>
                <w:rFonts w:ascii="Arial" w:cs="Arial" w:eastAsia="Arial" w:hAnsi="Arial"/>
                <w:sz w:val="16"/>
                <w:szCs w:val="16"/>
                <w:color w:val="auto"/>
              </w:rPr>
              <w:t>Indexed annuities embedded</w:t>
            </w: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7"/>
        </w:trPr>
        <w:tc>
          <w:tcPr>
            <w:tcW w:w="2280" w:type="dxa"/>
            <w:vAlign w:val="bottom"/>
          </w:tcPr>
          <w:p>
            <w:pPr>
              <w:spacing w:after="0" w:line="157" w:lineRule="exact"/>
              <w:rPr>
                <w:sz w:val="20"/>
                <w:szCs w:val="20"/>
                <w:color w:val="auto"/>
              </w:rPr>
            </w:pPr>
            <w:r>
              <w:rPr>
                <w:rFonts w:ascii="Arial" w:cs="Arial" w:eastAsia="Arial" w:hAnsi="Arial"/>
                <w:sz w:val="16"/>
                <w:szCs w:val="16"/>
                <w:color w:val="auto"/>
              </w:rPr>
              <w:t>derivatives, included in</w:t>
            </w:r>
          </w:p>
        </w:tc>
        <w:tc>
          <w:tcPr>
            <w:tcW w:w="260" w:type="dxa"/>
            <w:vAlign w:val="bottom"/>
            <w:vMerge w:val="restart"/>
          </w:tcPr>
          <w:p>
            <w:pPr>
              <w:ind w:left="40"/>
              <w:spacing w:after="0"/>
              <w:rPr>
                <w:sz w:val="20"/>
                <w:szCs w:val="20"/>
                <w:color w:val="auto"/>
              </w:rPr>
            </w:pPr>
            <w:r>
              <w:rPr>
                <w:rFonts w:ascii="Arial" w:cs="Arial" w:eastAsia="Arial" w:hAnsi="Arial"/>
                <w:sz w:val="16"/>
                <w:szCs w:val="16"/>
                <w:color w:val="auto"/>
              </w:rPr>
              <w:t>$</w:t>
            </w:r>
          </w:p>
        </w:tc>
        <w:tc>
          <w:tcPr>
            <w:tcW w:w="560" w:type="dxa"/>
            <w:vAlign w:val="bottom"/>
            <w:vMerge w:val="restart"/>
          </w:tcPr>
          <w:p>
            <w:pPr>
              <w:jc w:val="right"/>
              <w:spacing w:after="0"/>
              <w:rPr>
                <w:sz w:val="20"/>
                <w:szCs w:val="20"/>
                <w:color w:val="auto"/>
              </w:rPr>
            </w:pPr>
            <w:r>
              <w:rPr>
                <w:rFonts w:ascii="Arial" w:cs="Arial" w:eastAsia="Arial" w:hAnsi="Arial"/>
                <w:sz w:val="16"/>
                <w:szCs w:val="16"/>
                <w:color w:val="auto"/>
              </w:rPr>
              <w:t>4,258</w:t>
            </w:r>
          </w:p>
        </w:tc>
        <w:tc>
          <w:tcPr>
            <w:tcW w:w="300" w:type="dxa"/>
            <w:vAlign w:val="bottom"/>
            <w:gridSpan w:val="2"/>
            <w:vMerge w:val="restart"/>
          </w:tcPr>
          <w:p>
            <w:pPr>
              <w:ind w:left="120"/>
              <w:spacing w:after="0"/>
              <w:rPr>
                <w:sz w:val="20"/>
                <w:szCs w:val="20"/>
                <w:color w:val="auto"/>
              </w:rPr>
            </w:pPr>
            <w:r>
              <w:rPr>
                <w:rFonts w:ascii="Arial" w:cs="Arial" w:eastAsia="Arial" w:hAnsi="Arial"/>
                <w:sz w:val="16"/>
                <w:szCs w:val="16"/>
                <w:color w:val="auto"/>
              </w:rPr>
              <w:t>$</w:t>
            </w:r>
          </w:p>
        </w:tc>
        <w:tc>
          <w:tcPr>
            <w:tcW w:w="520" w:type="dxa"/>
            <w:vAlign w:val="bottom"/>
            <w:vMerge w:val="restart"/>
          </w:tcPr>
          <w:p>
            <w:pPr>
              <w:jc w:val="right"/>
              <w:spacing w:after="0"/>
              <w:rPr>
                <w:sz w:val="20"/>
                <w:szCs w:val="20"/>
                <w:color w:val="auto"/>
              </w:rPr>
            </w:pPr>
            <w:r>
              <w:rPr>
                <w:rFonts w:ascii="Arial" w:cs="Arial" w:eastAsia="Arial" w:hAnsi="Arial"/>
                <w:sz w:val="16"/>
                <w:szCs w:val="16"/>
                <w:color w:val="auto"/>
              </w:rPr>
              <w:t>45</w:t>
            </w:r>
          </w:p>
        </w:tc>
        <w:tc>
          <w:tcPr>
            <w:tcW w:w="220" w:type="dxa"/>
            <w:vAlign w:val="bottom"/>
            <w:gridSpan w:val="2"/>
            <w:vMerge w:val="restart"/>
          </w:tcPr>
          <w:p>
            <w:pPr>
              <w:jc w:val="right"/>
              <w:spacing w:after="0"/>
              <w:rPr>
                <w:sz w:val="20"/>
                <w:szCs w:val="20"/>
                <w:color w:val="auto"/>
              </w:rPr>
            </w:pPr>
            <w:r>
              <w:rPr>
                <w:rFonts w:ascii="Arial" w:cs="Arial" w:eastAsia="Arial" w:hAnsi="Arial"/>
                <w:sz w:val="16"/>
                <w:szCs w:val="16"/>
                <w:color w:val="auto"/>
              </w:rPr>
              <w:t>$</w:t>
            </w:r>
          </w:p>
        </w:tc>
        <w:tc>
          <w:tcPr>
            <w:tcW w:w="6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340" w:type="dxa"/>
            <w:vAlign w:val="bottom"/>
            <w:gridSpan w:val="2"/>
            <w:vMerge w:val="restart"/>
          </w:tcPr>
          <w:p>
            <w:pPr>
              <w:jc w:val="right"/>
              <w:ind w:right="62"/>
              <w:spacing w:after="0"/>
              <w:rPr>
                <w:sz w:val="20"/>
                <w:szCs w:val="20"/>
                <w:color w:val="auto"/>
              </w:rPr>
            </w:pPr>
            <w:r>
              <w:rPr>
                <w:rFonts w:ascii="Arial" w:cs="Arial" w:eastAsia="Arial" w:hAnsi="Arial"/>
                <w:sz w:val="16"/>
                <w:szCs w:val="16"/>
                <w:color w:val="auto"/>
              </w:rPr>
              <w:t>$</w:t>
            </w:r>
          </w:p>
        </w:tc>
        <w:tc>
          <w:tcPr>
            <w:tcW w:w="560" w:type="dxa"/>
            <w:vAlign w:val="bottom"/>
            <w:vMerge w:val="restart"/>
          </w:tcPr>
          <w:p>
            <w:pPr>
              <w:jc w:val="right"/>
              <w:spacing w:after="0"/>
              <w:rPr>
                <w:sz w:val="20"/>
                <w:szCs w:val="20"/>
                <w:color w:val="auto"/>
              </w:rPr>
            </w:pPr>
            <w:r>
              <w:rPr>
                <w:rFonts w:ascii="Arial" w:cs="Arial" w:eastAsia="Arial" w:hAnsi="Arial"/>
                <w:sz w:val="16"/>
                <w:szCs w:val="16"/>
                <w:color w:val="auto"/>
              </w:rPr>
              <w:t>1,351</w:t>
            </w:r>
          </w:p>
        </w:tc>
        <w:tc>
          <w:tcPr>
            <w:tcW w:w="240" w:type="dxa"/>
            <w:vAlign w:val="bottom"/>
            <w:gridSpan w:val="2"/>
            <w:vMerge w:val="restart"/>
          </w:tcPr>
          <w:p>
            <w:pPr>
              <w:jc w:val="right"/>
              <w:ind w:right="40"/>
              <w:spacing w:after="0"/>
              <w:rPr>
                <w:sz w:val="20"/>
                <w:szCs w:val="20"/>
                <w:color w:val="auto"/>
              </w:rPr>
            </w:pPr>
            <w:r>
              <w:rPr>
                <w:rFonts w:ascii="Arial" w:cs="Arial" w:eastAsia="Arial" w:hAnsi="Arial"/>
                <w:sz w:val="16"/>
                <w:szCs w:val="16"/>
                <w:color w:val="auto"/>
              </w:rPr>
              <w:t>$</w:t>
            </w:r>
          </w:p>
        </w:tc>
        <w:tc>
          <w:tcPr>
            <w:tcW w:w="5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400" w:type="dxa"/>
            <w:vAlign w:val="bottom"/>
            <w:gridSpan w:val="2"/>
            <w:vMerge w:val="restart"/>
          </w:tcPr>
          <w:p>
            <w:pPr>
              <w:jc w:val="right"/>
              <w:ind w:right="122"/>
              <w:spacing w:after="0"/>
              <w:rPr>
                <w:sz w:val="20"/>
                <w:szCs w:val="20"/>
                <w:color w:val="auto"/>
              </w:rPr>
            </w:pPr>
            <w:r>
              <w:rPr>
                <w:rFonts w:ascii="Arial" w:cs="Arial" w:eastAsia="Arial" w:hAnsi="Arial"/>
                <w:sz w:val="16"/>
                <w:szCs w:val="16"/>
                <w:color w:val="auto"/>
              </w:rPr>
              <w:t>$</w:t>
            </w:r>
          </w:p>
        </w:tc>
        <w:tc>
          <w:tcPr>
            <w:tcW w:w="600" w:type="dxa"/>
            <w:vAlign w:val="bottom"/>
            <w:vMerge w:val="restart"/>
          </w:tcPr>
          <w:p>
            <w:pPr>
              <w:jc w:val="right"/>
              <w:spacing w:after="0"/>
              <w:rPr>
                <w:sz w:val="20"/>
                <w:szCs w:val="20"/>
                <w:color w:val="auto"/>
              </w:rPr>
            </w:pPr>
            <w:r>
              <w:rPr>
                <w:rFonts w:ascii="Arial" w:cs="Arial" w:eastAsia="Arial" w:hAnsi="Arial"/>
                <w:sz w:val="16"/>
                <w:szCs w:val="16"/>
                <w:color w:val="auto"/>
              </w:rPr>
              <w:t>(434)</w:t>
            </w:r>
          </w:p>
        </w:tc>
        <w:tc>
          <w:tcPr>
            <w:tcW w:w="200" w:type="dxa"/>
            <w:vAlign w:val="bottom"/>
            <w:gridSpan w:val="2"/>
            <w:vMerge w:val="restart"/>
          </w:tcPr>
          <w:p>
            <w:pPr>
              <w:jc w:val="right"/>
              <w:spacing w:after="0"/>
              <w:rPr>
                <w:sz w:val="20"/>
                <w:szCs w:val="20"/>
                <w:color w:val="auto"/>
              </w:rPr>
            </w:pPr>
            <w:r>
              <w:rPr>
                <w:rFonts w:ascii="Arial" w:cs="Arial" w:eastAsia="Arial" w:hAnsi="Arial"/>
                <w:sz w:val="16"/>
                <w:szCs w:val="16"/>
                <w:color w:val="auto"/>
              </w:rPr>
              <w:t>$</w:t>
            </w:r>
          </w:p>
        </w:tc>
        <w:tc>
          <w:tcPr>
            <w:tcW w:w="6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220" w:type="dxa"/>
            <w:vAlign w:val="bottom"/>
            <w:gridSpan w:val="2"/>
            <w:vMerge w:val="restart"/>
          </w:tcPr>
          <w:p>
            <w:pPr>
              <w:ind w:left="140"/>
              <w:spacing w:after="0"/>
              <w:rPr>
                <w:sz w:val="20"/>
                <w:szCs w:val="20"/>
                <w:color w:val="auto"/>
              </w:rPr>
            </w:pPr>
            <w:r>
              <w:rPr>
                <w:rFonts w:ascii="Arial" w:cs="Arial" w:eastAsia="Arial" w:hAnsi="Arial"/>
                <w:sz w:val="15"/>
                <w:szCs w:val="15"/>
                <w:color w:val="auto"/>
                <w:w w:val="71"/>
              </w:rPr>
              <w:t>$</w:t>
            </w:r>
          </w:p>
        </w:tc>
        <w:tc>
          <w:tcPr>
            <w:tcW w:w="620" w:type="dxa"/>
            <w:vAlign w:val="bottom"/>
            <w:vMerge w:val="restart"/>
          </w:tcPr>
          <w:p>
            <w:pPr>
              <w:jc w:val="right"/>
              <w:ind w:right="2"/>
              <w:spacing w:after="0"/>
              <w:rPr>
                <w:sz w:val="20"/>
                <w:szCs w:val="20"/>
                <w:color w:val="auto"/>
              </w:rPr>
            </w:pPr>
            <w:r>
              <w:rPr>
                <w:rFonts w:ascii="Arial" w:cs="Arial" w:eastAsia="Arial" w:hAnsi="Arial"/>
                <w:sz w:val="16"/>
                <w:szCs w:val="16"/>
                <w:color w:val="auto"/>
              </w:rPr>
              <w:t>5,220</w:t>
            </w:r>
          </w:p>
        </w:tc>
        <w:tc>
          <w:tcPr>
            <w:tcW w:w="220" w:type="dxa"/>
            <w:vAlign w:val="bottom"/>
            <w:gridSpan w:val="2"/>
            <w:vMerge w:val="restart"/>
          </w:tcPr>
          <w:p>
            <w:pPr>
              <w:ind w:left="100"/>
              <w:spacing w:after="0"/>
              <w:rPr>
                <w:sz w:val="20"/>
                <w:szCs w:val="20"/>
                <w:color w:val="auto"/>
              </w:rPr>
            </w:pPr>
            <w:r>
              <w:rPr>
                <w:rFonts w:ascii="Arial" w:cs="Arial" w:eastAsia="Arial" w:hAnsi="Arial"/>
                <w:sz w:val="16"/>
                <w:szCs w:val="16"/>
                <w:color w:val="auto"/>
              </w:rPr>
              <w:t>$</w:t>
            </w:r>
          </w:p>
        </w:tc>
        <w:tc>
          <w:tcPr>
            <w:tcW w:w="6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4"/>
        </w:trPr>
        <w:tc>
          <w:tcPr>
            <w:tcW w:w="2280" w:type="dxa"/>
            <w:vAlign w:val="bottom"/>
          </w:tcPr>
          <w:p>
            <w:pPr>
              <w:spacing w:after="0"/>
              <w:rPr>
                <w:sz w:val="20"/>
                <w:szCs w:val="20"/>
                <w:color w:val="auto"/>
              </w:rPr>
            </w:pPr>
            <w:r>
              <w:rPr>
                <w:rFonts w:ascii="Arial" w:cs="Arial" w:eastAsia="Arial" w:hAnsi="Arial"/>
                <w:sz w:val="16"/>
                <w:szCs w:val="16"/>
                <w:color w:val="auto"/>
              </w:rPr>
              <w:t>Contractholder funds</w:t>
            </w:r>
          </w:p>
        </w:tc>
        <w:tc>
          <w:tcPr>
            <w:tcW w:w="260" w:type="dxa"/>
            <w:vAlign w:val="bottom"/>
            <w:vMerge w:val="continue"/>
          </w:tcPr>
          <w:p>
            <w:pPr>
              <w:spacing w:after="0"/>
              <w:rPr>
                <w:sz w:val="17"/>
                <w:szCs w:val="17"/>
                <w:color w:val="auto"/>
              </w:rPr>
            </w:pPr>
          </w:p>
        </w:tc>
        <w:tc>
          <w:tcPr>
            <w:tcW w:w="560" w:type="dxa"/>
            <w:vAlign w:val="bottom"/>
            <w:vMerge w:val="continue"/>
          </w:tcPr>
          <w:p>
            <w:pPr>
              <w:spacing w:after="0"/>
              <w:rPr>
                <w:sz w:val="17"/>
                <w:szCs w:val="17"/>
                <w:color w:val="auto"/>
              </w:rPr>
            </w:pPr>
          </w:p>
        </w:tc>
        <w:tc>
          <w:tcPr>
            <w:tcW w:w="300" w:type="dxa"/>
            <w:vAlign w:val="bottom"/>
            <w:gridSpan w:val="2"/>
            <w:vMerge w:val="continue"/>
          </w:tcPr>
          <w:p>
            <w:pPr>
              <w:spacing w:after="0"/>
              <w:rPr>
                <w:sz w:val="17"/>
                <w:szCs w:val="17"/>
                <w:color w:val="auto"/>
              </w:rPr>
            </w:pPr>
          </w:p>
        </w:tc>
        <w:tc>
          <w:tcPr>
            <w:tcW w:w="520" w:type="dxa"/>
            <w:vAlign w:val="bottom"/>
            <w:vMerge w:val="continue"/>
          </w:tcPr>
          <w:p>
            <w:pPr>
              <w:spacing w:after="0"/>
              <w:rPr>
                <w:sz w:val="17"/>
                <w:szCs w:val="17"/>
                <w:color w:val="auto"/>
              </w:rPr>
            </w:pPr>
          </w:p>
        </w:tc>
        <w:tc>
          <w:tcPr>
            <w:tcW w:w="220" w:type="dxa"/>
            <w:vAlign w:val="bottom"/>
            <w:gridSpan w:val="2"/>
            <w:vMerge w:val="continue"/>
          </w:tcPr>
          <w:p>
            <w:pPr>
              <w:spacing w:after="0"/>
              <w:rPr>
                <w:sz w:val="17"/>
                <w:szCs w:val="17"/>
                <w:color w:val="auto"/>
              </w:rPr>
            </w:pPr>
          </w:p>
        </w:tc>
        <w:tc>
          <w:tcPr>
            <w:tcW w:w="600" w:type="dxa"/>
            <w:vAlign w:val="bottom"/>
            <w:vMerge w:val="continue"/>
          </w:tcPr>
          <w:p>
            <w:pPr>
              <w:spacing w:after="0"/>
              <w:rPr>
                <w:sz w:val="17"/>
                <w:szCs w:val="17"/>
                <w:color w:val="auto"/>
              </w:rPr>
            </w:pPr>
          </w:p>
        </w:tc>
        <w:tc>
          <w:tcPr>
            <w:tcW w:w="340" w:type="dxa"/>
            <w:vAlign w:val="bottom"/>
            <w:gridSpan w:val="2"/>
            <w:vMerge w:val="continue"/>
          </w:tcPr>
          <w:p>
            <w:pPr>
              <w:spacing w:after="0"/>
              <w:rPr>
                <w:sz w:val="17"/>
                <w:szCs w:val="17"/>
                <w:color w:val="auto"/>
              </w:rPr>
            </w:pPr>
          </w:p>
        </w:tc>
        <w:tc>
          <w:tcPr>
            <w:tcW w:w="560" w:type="dxa"/>
            <w:vAlign w:val="bottom"/>
            <w:vMerge w:val="continue"/>
          </w:tcPr>
          <w:p>
            <w:pPr>
              <w:spacing w:after="0"/>
              <w:rPr>
                <w:sz w:val="17"/>
                <w:szCs w:val="17"/>
                <w:color w:val="auto"/>
              </w:rPr>
            </w:pPr>
          </w:p>
        </w:tc>
        <w:tc>
          <w:tcPr>
            <w:tcW w:w="240" w:type="dxa"/>
            <w:vAlign w:val="bottom"/>
            <w:gridSpan w:val="2"/>
            <w:vMerge w:val="continue"/>
          </w:tcPr>
          <w:p>
            <w:pPr>
              <w:spacing w:after="0"/>
              <w:rPr>
                <w:sz w:val="17"/>
                <w:szCs w:val="17"/>
                <w:color w:val="auto"/>
              </w:rPr>
            </w:pPr>
          </w:p>
        </w:tc>
        <w:tc>
          <w:tcPr>
            <w:tcW w:w="580" w:type="dxa"/>
            <w:vAlign w:val="bottom"/>
            <w:vMerge w:val="continue"/>
          </w:tcPr>
          <w:p>
            <w:pPr>
              <w:spacing w:after="0"/>
              <w:rPr>
                <w:sz w:val="17"/>
                <w:szCs w:val="17"/>
                <w:color w:val="auto"/>
              </w:rPr>
            </w:pPr>
          </w:p>
        </w:tc>
        <w:tc>
          <w:tcPr>
            <w:tcW w:w="400" w:type="dxa"/>
            <w:vAlign w:val="bottom"/>
            <w:gridSpan w:val="2"/>
            <w:vMerge w:val="continue"/>
          </w:tcPr>
          <w:p>
            <w:pPr>
              <w:spacing w:after="0"/>
              <w:rPr>
                <w:sz w:val="17"/>
                <w:szCs w:val="17"/>
                <w:color w:val="auto"/>
              </w:rPr>
            </w:pPr>
          </w:p>
        </w:tc>
        <w:tc>
          <w:tcPr>
            <w:tcW w:w="600" w:type="dxa"/>
            <w:vAlign w:val="bottom"/>
            <w:vMerge w:val="continue"/>
          </w:tcPr>
          <w:p>
            <w:pPr>
              <w:spacing w:after="0"/>
              <w:rPr>
                <w:sz w:val="17"/>
                <w:szCs w:val="17"/>
                <w:color w:val="auto"/>
              </w:rPr>
            </w:pPr>
          </w:p>
        </w:tc>
        <w:tc>
          <w:tcPr>
            <w:tcW w:w="200" w:type="dxa"/>
            <w:vAlign w:val="bottom"/>
            <w:gridSpan w:val="2"/>
            <w:vMerge w:val="continue"/>
          </w:tcPr>
          <w:p>
            <w:pPr>
              <w:spacing w:after="0"/>
              <w:rPr>
                <w:sz w:val="17"/>
                <w:szCs w:val="17"/>
                <w:color w:val="auto"/>
              </w:rPr>
            </w:pPr>
          </w:p>
        </w:tc>
        <w:tc>
          <w:tcPr>
            <w:tcW w:w="620" w:type="dxa"/>
            <w:vAlign w:val="bottom"/>
            <w:vMerge w:val="continue"/>
          </w:tcPr>
          <w:p>
            <w:pPr>
              <w:spacing w:after="0"/>
              <w:rPr>
                <w:sz w:val="17"/>
                <w:szCs w:val="17"/>
                <w:color w:val="auto"/>
              </w:rPr>
            </w:pPr>
          </w:p>
        </w:tc>
        <w:tc>
          <w:tcPr>
            <w:tcW w:w="220" w:type="dxa"/>
            <w:vAlign w:val="bottom"/>
            <w:gridSpan w:val="2"/>
            <w:vMerge w:val="continue"/>
          </w:tcPr>
          <w:p>
            <w:pPr>
              <w:spacing w:after="0"/>
              <w:rPr>
                <w:sz w:val="17"/>
                <w:szCs w:val="17"/>
                <w:color w:val="auto"/>
              </w:rPr>
            </w:pPr>
          </w:p>
        </w:tc>
        <w:tc>
          <w:tcPr>
            <w:tcW w:w="620" w:type="dxa"/>
            <w:vAlign w:val="bottom"/>
            <w:vMerge w:val="continue"/>
          </w:tcPr>
          <w:p>
            <w:pPr>
              <w:spacing w:after="0"/>
              <w:rPr>
                <w:sz w:val="17"/>
                <w:szCs w:val="17"/>
                <w:color w:val="auto"/>
              </w:rPr>
            </w:pPr>
          </w:p>
        </w:tc>
        <w:tc>
          <w:tcPr>
            <w:tcW w:w="220" w:type="dxa"/>
            <w:vAlign w:val="bottom"/>
            <w:gridSpan w:val="2"/>
            <w:vMerge w:val="continue"/>
          </w:tcPr>
          <w:p>
            <w:pPr>
              <w:spacing w:after="0"/>
              <w:rPr>
                <w:sz w:val="17"/>
                <w:szCs w:val="17"/>
                <w:color w:val="auto"/>
              </w:rPr>
            </w:pPr>
          </w:p>
        </w:tc>
        <w:tc>
          <w:tcPr>
            <w:tcW w:w="6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411"/>
        </w:trPr>
        <w:tc>
          <w:tcPr>
            <w:tcW w:w="2280" w:type="dxa"/>
            <w:vAlign w:val="bottom"/>
          </w:tcPr>
          <w:p>
            <w:pPr>
              <w:spacing w:after="0"/>
              <w:rPr>
                <w:sz w:val="20"/>
                <w:szCs w:val="20"/>
                <w:color w:val="auto"/>
              </w:rPr>
            </w:pPr>
            <w:r>
              <w:rPr>
                <w:rFonts w:ascii="Arial" w:cs="Arial" w:eastAsia="Arial" w:hAnsi="Arial"/>
                <w:sz w:val="16"/>
                <w:szCs w:val="16"/>
                <w:color w:val="auto"/>
              </w:rPr>
              <w:t>Interest rate swaps</w:t>
            </w:r>
          </w:p>
        </w:tc>
        <w:tc>
          <w:tcPr>
            <w:tcW w:w="26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28</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(28)</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4"/>
        </w:trPr>
        <w:tc>
          <w:tcPr>
            <w:tcW w:w="2280" w:type="dxa"/>
            <w:vAlign w:val="bottom"/>
          </w:tcPr>
          <w:p>
            <w:pPr>
              <w:spacing w:after="0"/>
              <w:rPr>
                <w:sz w:val="20"/>
                <w:szCs w:val="20"/>
                <w:color w:val="auto"/>
              </w:rPr>
            </w:pPr>
            <w:r>
              <w:rPr>
                <w:rFonts w:ascii="Arial" w:cs="Arial" w:eastAsia="Arial" w:hAnsi="Arial"/>
                <w:sz w:val="16"/>
                <w:szCs w:val="16"/>
                <w:color w:val="auto"/>
                <w:w w:val="92"/>
              </w:rPr>
              <w:t>Contingent consideration, included</w:t>
            </w: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7"/>
        </w:trPr>
        <w:tc>
          <w:tcPr>
            <w:tcW w:w="2280" w:type="dxa"/>
            <w:vAlign w:val="bottom"/>
          </w:tcPr>
          <w:p>
            <w:pPr>
              <w:spacing w:after="0" w:line="157" w:lineRule="exact"/>
              <w:rPr>
                <w:sz w:val="20"/>
                <w:szCs w:val="20"/>
                <w:color w:val="auto"/>
              </w:rPr>
            </w:pPr>
            <w:r>
              <w:rPr>
                <w:rFonts w:ascii="Arial" w:cs="Arial" w:eastAsia="Arial" w:hAnsi="Arial"/>
                <w:sz w:val="16"/>
                <w:szCs w:val="16"/>
                <w:color w:val="auto"/>
                <w:w w:val="95"/>
              </w:rPr>
              <w:t>in Accounts payable and accrued</w:t>
            </w:r>
          </w:p>
        </w:tc>
        <w:tc>
          <w:tcPr>
            <w:tcW w:w="260" w:type="dxa"/>
            <w:vAlign w:val="bottom"/>
          </w:tcPr>
          <w:p>
            <w:pPr>
              <w:spacing w:after="0"/>
              <w:rPr>
                <w:sz w:val="13"/>
                <w:szCs w:val="13"/>
                <w:color w:val="auto"/>
              </w:rPr>
            </w:pPr>
          </w:p>
        </w:tc>
        <w:tc>
          <w:tcPr>
            <w:tcW w:w="5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20" w:type="dxa"/>
            <w:vAlign w:val="bottom"/>
            <w:vMerge w:val="restart"/>
          </w:tcPr>
          <w:p>
            <w:pPr>
              <w:jc w:val="right"/>
              <w:spacing w:after="0"/>
              <w:rPr>
                <w:sz w:val="20"/>
                <w:szCs w:val="20"/>
                <w:color w:val="auto"/>
              </w:rPr>
            </w:pPr>
            <w:r>
              <w:rPr>
                <w:rFonts w:ascii="Arial" w:cs="Arial" w:eastAsia="Arial" w:hAnsi="Arial"/>
                <w:sz w:val="16"/>
                <w:szCs w:val="16"/>
                <w:color w:val="auto"/>
              </w:rPr>
              <w:t>26</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60" w:type="dxa"/>
            <w:vAlign w:val="bottom"/>
            <w:vMerge w:val="restart"/>
          </w:tcPr>
          <w:p>
            <w:pPr>
              <w:jc w:val="right"/>
              <w:spacing w:after="0"/>
              <w:rPr>
                <w:sz w:val="20"/>
                <w:szCs w:val="20"/>
                <w:color w:val="auto"/>
              </w:rPr>
            </w:pPr>
            <w:r>
              <w:rPr>
                <w:rFonts w:ascii="Arial" w:cs="Arial" w:eastAsia="Arial" w:hAnsi="Arial"/>
                <w:sz w:val="16"/>
                <w:szCs w:val="16"/>
                <w:color w:val="auto"/>
              </w:rPr>
              <w:t>48</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vMerge w:val="restart"/>
          </w:tcPr>
          <w:p>
            <w:pPr>
              <w:jc w:val="right"/>
              <w:ind w:right="2"/>
              <w:spacing w:after="0"/>
              <w:rPr>
                <w:sz w:val="20"/>
                <w:szCs w:val="20"/>
                <w:color w:val="auto"/>
              </w:rPr>
            </w:pPr>
            <w:r>
              <w:rPr>
                <w:rFonts w:ascii="Arial" w:cs="Arial" w:eastAsia="Arial" w:hAnsi="Arial"/>
                <w:sz w:val="16"/>
                <w:szCs w:val="16"/>
                <w:color w:val="auto"/>
              </w:rPr>
              <w:t>74</w:t>
            </w: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4"/>
        </w:trPr>
        <w:tc>
          <w:tcPr>
            <w:tcW w:w="2280" w:type="dxa"/>
            <w:vAlign w:val="bottom"/>
          </w:tcPr>
          <w:p>
            <w:pPr>
              <w:spacing w:after="0"/>
              <w:rPr>
                <w:sz w:val="20"/>
                <w:szCs w:val="20"/>
                <w:color w:val="auto"/>
              </w:rPr>
            </w:pPr>
            <w:r>
              <w:rPr>
                <w:rFonts w:ascii="Arial" w:cs="Arial" w:eastAsia="Arial" w:hAnsi="Arial"/>
                <w:sz w:val="16"/>
                <w:szCs w:val="16"/>
                <w:color w:val="auto"/>
              </w:rPr>
              <w:t>liabilities</w:t>
            </w:r>
          </w:p>
        </w:tc>
        <w:tc>
          <w:tcPr>
            <w:tcW w:w="260" w:type="dxa"/>
            <w:vAlign w:val="bottom"/>
          </w:tcPr>
          <w:p>
            <w:pPr>
              <w:spacing w:after="0"/>
              <w:rPr>
                <w:sz w:val="17"/>
                <w:szCs w:val="17"/>
                <w:color w:val="auto"/>
              </w:rPr>
            </w:pPr>
          </w:p>
        </w:tc>
        <w:tc>
          <w:tcPr>
            <w:tcW w:w="56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6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2280" w:type="dxa"/>
            <w:vAlign w:val="bottom"/>
          </w:tcPr>
          <w:p>
            <w:pPr>
              <w:ind w:left="360"/>
              <w:spacing w:after="0"/>
              <w:rPr>
                <w:sz w:val="20"/>
                <w:szCs w:val="20"/>
                <w:color w:val="auto"/>
              </w:rPr>
            </w:pPr>
            <w:r>
              <w:rPr>
                <w:rFonts w:ascii="Arial" w:cs="Arial" w:eastAsia="Arial" w:hAnsi="Arial"/>
                <w:sz w:val="16"/>
                <w:szCs w:val="16"/>
                <w:b w:val="1"/>
                <w:bCs w:val="1"/>
                <w:color w:val="auto"/>
                <w:w w:val="95"/>
              </w:rPr>
              <w:t>Subtotal Total liabilities at</w:t>
            </w:r>
          </w:p>
        </w:tc>
        <w:tc>
          <w:tcPr>
            <w:tcW w:w="260" w:type="dxa"/>
            <w:vAlign w:val="bottom"/>
            <w:vMerge w:val="restart"/>
          </w:tcPr>
          <w:p>
            <w:pPr>
              <w:ind w:left="40"/>
              <w:spacing w:after="0"/>
              <w:rPr>
                <w:sz w:val="20"/>
                <w:szCs w:val="20"/>
                <w:color w:val="auto"/>
              </w:rPr>
            </w:pPr>
            <w:r>
              <w:rPr>
                <w:rFonts w:ascii="Arial" w:cs="Arial" w:eastAsia="Arial" w:hAnsi="Arial"/>
                <w:sz w:val="16"/>
                <w:szCs w:val="16"/>
                <w:color w:val="auto"/>
              </w:rPr>
              <w:t>$</w:t>
            </w:r>
          </w:p>
        </w:tc>
        <w:tc>
          <w:tcPr>
            <w:tcW w:w="560" w:type="dxa"/>
            <w:vAlign w:val="bottom"/>
            <w:vMerge w:val="restart"/>
          </w:tcPr>
          <w:p>
            <w:pPr>
              <w:jc w:val="right"/>
              <w:spacing w:after="0"/>
              <w:rPr>
                <w:sz w:val="20"/>
                <w:szCs w:val="20"/>
                <w:color w:val="auto"/>
              </w:rPr>
            </w:pPr>
            <w:r>
              <w:rPr>
                <w:rFonts w:ascii="Arial" w:cs="Arial" w:eastAsia="Arial" w:hAnsi="Arial"/>
                <w:sz w:val="16"/>
                <w:szCs w:val="16"/>
                <w:color w:val="auto"/>
              </w:rPr>
              <w:t>4,258</w:t>
            </w:r>
          </w:p>
        </w:tc>
        <w:tc>
          <w:tcPr>
            <w:tcW w:w="300" w:type="dxa"/>
            <w:vAlign w:val="bottom"/>
            <w:gridSpan w:val="2"/>
            <w:vMerge w:val="restart"/>
          </w:tcPr>
          <w:p>
            <w:pPr>
              <w:ind w:left="120"/>
              <w:spacing w:after="0"/>
              <w:rPr>
                <w:sz w:val="20"/>
                <w:szCs w:val="20"/>
                <w:color w:val="auto"/>
              </w:rPr>
            </w:pPr>
            <w:r>
              <w:rPr>
                <w:rFonts w:ascii="Arial" w:cs="Arial" w:eastAsia="Arial" w:hAnsi="Arial"/>
                <w:sz w:val="16"/>
                <w:szCs w:val="16"/>
                <w:color w:val="auto"/>
              </w:rPr>
              <w:t>$</w:t>
            </w:r>
          </w:p>
        </w:tc>
        <w:tc>
          <w:tcPr>
            <w:tcW w:w="520" w:type="dxa"/>
            <w:vAlign w:val="bottom"/>
            <w:vMerge w:val="restart"/>
          </w:tcPr>
          <w:p>
            <w:pPr>
              <w:jc w:val="right"/>
              <w:spacing w:after="0"/>
              <w:rPr>
                <w:sz w:val="20"/>
                <w:szCs w:val="20"/>
                <w:color w:val="auto"/>
              </w:rPr>
            </w:pPr>
            <w:r>
              <w:rPr>
                <w:rFonts w:ascii="Arial" w:cs="Arial" w:eastAsia="Arial" w:hAnsi="Arial"/>
                <w:sz w:val="16"/>
                <w:szCs w:val="16"/>
                <w:color w:val="auto"/>
              </w:rPr>
              <w:t>99</w:t>
            </w:r>
          </w:p>
        </w:tc>
        <w:tc>
          <w:tcPr>
            <w:tcW w:w="220" w:type="dxa"/>
            <w:vAlign w:val="bottom"/>
            <w:gridSpan w:val="2"/>
            <w:vMerge w:val="restart"/>
          </w:tcPr>
          <w:p>
            <w:pPr>
              <w:jc w:val="right"/>
              <w:spacing w:after="0"/>
              <w:rPr>
                <w:sz w:val="20"/>
                <w:szCs w:val="20"/>
                <w:color w:val="auto"/>
              </w:rPr>
            </w:pPr>
            <w:r>
              <w:rPr>
                <w:rFonts w:ascii="Arial" w:cs="Arial" w:eastAsia="Arial" w:hAnsi="Arial"/>
                <w:sz w:val="16"/>
                <w:szCs w:val="16"/>
                <w:color w:val="auto"/>
              </w:rPr>
              <w:t>$</w:t>
            </w:r>
          </w:p>
        </w:tc>
        <w:tc>
          <w:tcPr>
            <w:tcW w:w="6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340" w:type="dxa"/>
            <w:vAlign w:val="bottom"/>
            <w:gridSpan w:val="2"/>
            <w:vMerge w:val="restart"/>
          </w:tcPr>
          <w:p>
            <w:pPr>
              <w:jc w:val="right"/>
              <w:ind w:right="62"/>
              <w:spacing w:after="0"/>
              <w:rPr>
                <w:sz w:val="20"/>
                <w:szCs w:val="20"/>
                <w:color w:val="auto"/>
              </w:rPr>
            </w:pPr>
            <w:r>
              <w:rPr>
                <w:rFonts w:ascii="Arial" w:cs="Arial" w:eastAsia="Arial" w:hAnsi="Arial"/>
                <w:sz w:val="16"/>
                <w:szCs w:val="16"/>
                <w:color w:val="auto"/>
              </w:rPr>
              <w:t>$</w:t>
            </w:r>
          </w:p>
        </w:tc>
        <w:tc>
          <w:tcPr>
            <w:tcW w:w="560" w:type="dxa"/>
            <w:vAlign w:val="bottom"/>
            <w:vMerge w:val="restart"/>
          </w:tcPr>
          <w:p>
            <w:pPr>
              <w:jc w:val="right"/>
              <w:spacing w:after="0"/>
              <w:rPr>
                <w:sz w:val="20"/>
                <w:szCs w:val="20"/>
                <w:color w:val="auto"/>
              </w:rPr>
            </w:pPr>
            <w:r>
              <w:rPr>
                <w:rFonts w:ascii="Arial" w:cs="Arial" w:eastAsia="Arial" w:hAnsi="Arial"/>
                <w:sz w:val="16"/>
                <w:szCs w:val="16"/>
                <w:color w:val="auto"/>
              </w:rPr>
              <w:t>1,399</w:t>
            </w:r>
          </w:p>
        </w:tc>
        <w:tc>
          <w:tcPr>
            <w:tcW w:w="240" w:type="dxa"/>
            <w:vAlign w:val="bottom"/>
            <w:gridSpan w:val="2"/>
            <w:vMerge w:val="restart"/>
          </w:tcPr>
          <w:p>
            <w:pPr>
              <w:jc w:val="right"/>
              <w:ind w:right="40"/>
              <w:spacing w:after="0"/>
              <w:rPr>
                <w:sz w:val="20"/>
                <w:szCs w:val="20"/>
                <w:color w:val="auto"/>
              </w:rPr>
            </w:pPr>
            <w:r>
              <w:rPr>
                <w:rFonts w:ascii="Arial" w:cs="Arial" w:eastAsia="Arial" w:hAnsi="Arial"/>
                <w:sz w:val="16"/>
                <w:szCs w:val="16"/>
                <w:color w:val="auto"/>
              </w:rPr>
              <w:t>$</w:t>
            </w:r>
          </w:p>
        </w:tc>
        <w:tc>
          <w:tcPr>
            <w:tcW w:w="5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400" w:type="dxa"/>
            <w:vAlign w:val="bottom"/>
            <w:gridSpan w:val="2"/>
            <w:vMerge w:val="restart"/>
          </w:tcPr>
          <w:p>
            <w:pPr>
              <w:jc w:val="right"/>
              <w:ind w:right="122"/>
              <w:spacing w:after="0"/>
              <w:rPr>
                <w:sz w:val="20"/>
                <w:szCs w:val="20"/>
                <w:color w:val="auto"/>
              </w:rPr>
            </w:pPr>
            <w:r>
              <w:rPr>
                <w:rFonts w:ascii="Arial" w:cs="Arial" w:eastAsia="Arial" w:hAnsi="Arial"/>
                <w:sz w:val="16"/>
                <w:szCs w:val="16"/>
                <w:color w:val="auto"/>
              </w:rPr>
              <w:t>$</w:t>
            </w:r>
          </w:p>
        </w:tc>
        <w:tc>
          <w:tcPr>
            <w:tcW w:w="600" w:type="dxa"/>
            <w:vAlign w:val="bottom"/>
            <w:vMerge w:val="restart"/>
          </w:tcPr>
          <w:p>
            <w:pPr>
              <w:jc w:val="right"/>
              <w:spacing w:after="0"/>
              <w:rPr>
                <w:sz w:val="20"/>
                <w:szCs w:val="20"/>
                <w:color w:val="auto"/>
              </w:rPr>
            </w:pPr>
            <w:r>
              <w:rPr>
                <w:rFonts w:ascii="Arial" w:cs="Arial" w:eastAsia="Arial" w:hAnsi="Arial"/>
                <w:sz w:val="16"/>
                <w:szCs w:val="16"/>
                <w:color w:val="auto"/>
              </w:rPr>
              <w:t>(434)</w:t>
            </w:r>
          </w:p>
        </w:tc>
        <w:tc>
          <w:tcPr>
            <w:tcW w:w="200" w:type="dxa"/>
            <w:vAlign w:val="bottom"/>
            <w:gridSpan w:val="2"/>
            <w:vMerge w:val="restart"/>
          </w:tcPr>
          <w:p>
            <w:pPr>
              <w:jc w:val="right"/>
              <w:spacing w:after="0"/>
              <w:rPr>
                <w:sz w:val="20"/>
                <w:szCs w:val="20"/>
                <w:color w:val="auto"/>
              </w:rPr>
            </w:pPr>
            <w:r>
              <w:rPr>
                <w:rFonts w:ascii="Arial" w:cs="Arial" w:eastAsia="Arial" w:hAnsi="Arial"/>
                <w:sz w:val="16"/>
                <w:szCs w:val="16"/>
                <w:color w:val="auto"/>
              </w:rPr>
              <w:t>$</w:t>
            </w:r>
          </w:p>
        </w:tc>
        <w:tc>
          <w:tcPr>
            <w:tcW w:w="620" w:type="dxa"/>
            <w:vAlign w:val="bottom"/>
            <w:vMerge w:val="restart"/>
          </w:tcPr>
          <w:p>
            <w:pPr>
              <w:jc w:val="right"/>
              <w:spacing w:after="0"/>
              <w:rPr>
                <w:sz w:val="20"/>
                <w:szCs w:val="20"/>
                <w:color w:val="auto"/>
              </w:rPr>
            </w:pPr>
            <w:r>
              <w:rPr>
                <w:rFonts w:ascii="Arial" w:cs="Arial" w:eastAsia="Arial" w:hAnsi="Arial"/>
                <w:sz w:val="16"/>
                <w:szCs w:val="16"/>
                <w:color w:val="auto"/>
              </w:rPr>
              <w:t>(28)</w:t>
            </w:r>
          </w:p>
        </w:tc>
        <w:tc>
          <w:tcPr>
            <w:tcW w:w="220" w:type="dxa"/>
            <w:vAlign w:val="bottom"/>
            <w:gridSpan w:val="2"/>
            <w:vMerge w:val="restart"/>
          </w:tcPr>
          <w:p>
            <w:pPr>
              <w:ind w:left="140"/>
              <w:spacing w:after="0"/>
              <w:rPr>
                <w:sz w:val="20"/>
                <w:szCs w:val="20"/>
                <w:color w:val="auto"/>
              </w:rPr>
            </w:pPr>
            <w:r>
              <w:rPr>
                <w:rFonts w:ascii="Arial" w:cs="Arial" w:eastAsia="Arial" w:hAnsi="Arial"/>
                <w:sz w:val="15"/>
                <w:szCs w:val="15"/>
                <w:color w:val="auto"/>
                <w:w w:val="71"/>
              </w:rPr>
              <w:t>$</w:t>
            </w:r>
          </w:p>
        </w:tc>
        <w:tc>
          <w:tcPr>
            <w:tcW w:w="620" w:type="dxa"/>
            <w:vAlign w:val="bottom"/>
            <w:vMerge w:val="restart"/>
          </w:tcPr>
          <w:p>
            <w:pPr>
              <w:jc w:val="right"/>
              <w:ind w:right="2"/>
              <w:spacing w:after="0"/>
              <w:rPr>
                <w:sz w:val="20"/>
                <w:szCs w:val="20"/>
                <w:color w:val="auto"/>
              </w:rPr>
            </w:pPr>
            <w:r>
              <w:rPr>
                <w:rFonts w:ascii="Arial" w:cs="Arial" w:eastAsia="Arial" w:hAnsi="Arial"/>
                <w:sz w:val="16"/>
                <w:szCs w:val="16"/>
                <w:color w:val="auto"/>
              </w:rPr>
              <w:t>5,294</w:t>
            </w:r>
          </w:p>
        </w:tc>
        <w:tc>
          <w:tcPr>
            <w:tcW w:w="220" w:type="dxa"/>
            <w:vAlign w:val="bottom"/>
            <w:gridSpan w:val="2"/>
            <w:vMerge w:val="restart"/>
          </w:tcPr>
          <w:p>
            <w:pPr>
              <w:ind w:left="100"/>
              <w:spacing w:after="0"/>
              <w:rPr>
                <w:sz w:val="20"/>
                <w:szCs w:val="20"/>
                <w:color w:val="auto"/>
              </w:rPr>
            </w:pPr>
            <w:r>
              <w:rPr>
                <w:rFonts w:ascii="Arial" w:cs="Arial" w:eastAsia="Arial" w:hAnsi="Arial"/>
                <w:sz w:val="16"/>
                <w:szCs w:val="16"/>
                <w:color w:val="auto"/>
              </w:rPr>
              <w:t>$</w:t>
            </w:r>
          </w:p>
        </w:tc>
        <w:tc>
          <w:tcPr>
            <w:tcW w:w="6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0"/>
        </w:trPr>
        <w:tc>
          <w:tcPr>
            <w:tcW w:w="2280" w:type="dxa"/>
            <w:vAlign w:val="bottom"/>
          </w:tcPr>
          <w:p>
            <w:pPr>
              <w:ind w:left="360"/>
              <w:spacing w:after="0"/>
              <w:rPr>
                <w:sz w:val="20"/>
                <w:szCs w:val="20"/>
                <w:color w:val="auto"/>
              </w:rPr>
            </w:pPr>
            <w:r>
              <w:rPr>
                <w:rFonts w:ascii="Arial" w:cs="Arial" w:eastAsia="Arial" w:hAnsi="Arial"/>
                <w:sz w:val="16"/>
                <w:szCs w:val="16"/>
                <w:b w:val="1"/>
                <w:bCs w:val="1"/>
                <w:color w:val="auto"/>
              </w:rPr>
              <w:t>Level 3 fair value</w:t>
            </w:r>
          </w:p>
        </w:tc>
        <w:tc>
          <w:tcPr>
            <w:tcW w:w="260" w:type="dxa"/>
            <w:vAlign w:val="bottom"/>
            <w:vMerge w:val="continue"/>
          </w:tcPr>
          <w:p>
            <w:pPr>
              <w:spacing w:after="0"/>
              <w:rPr>
                <w:sz w:val="16"/>
                <w:szCs w:val="16"/>
                <w:color w:val="auto"/>
              </w:rPr>
            </w:pPr>
          </w:p>
        </w:tc>
        <w:tc>
          <w:tcPr>
            <w:tcW w:w="560" w:type="dxa"/>
            <w:vAlign w:val="bottom"/>
            <w:vMerge w:val="continue"/>
          </w:tcPr>
          <w:p>
            <w:pPr>
              <w:spacing w:after="0"/>
              <w:rPr>
                <w:sz w:val="16"/>
                <w:szCs w:val="16"/>
                <w:color w:val="auto"/>
              </w:rPr>
            </w:pPr>
          </w:p>
        </w:tc>
        <w:tc>
          <w:tcPr>
            <w:tcW w:w="300" w:type="dxa"/>
            <w:vAlign w:val="bottom"/>
            <w:gridSpan w:val="2"/>
            <w:vMerge w:val="continue"/>
          </w:tcPr>
          <w:p>
            <w:pPr>
              <w:spacing w:after="0"/>
              <w:rPr>
                <w:sz w:val="16"/>
                <w:szCs w:val="16"/>
                <w:color w:val="auto"/>
              </w:rPr>
            </w:pPr>
          </w:p>
        </w:tc>
        <w:tc>
          <w:tcPr>
            <w:tcW w:w="520" w:type="dxa"/>
            <w:vAlign w:val="bottom"/>
            <w:vMerge w:val="continue"/>
          </w:tcPr>
          <w:p>
            <w:pPr>
              <w:spacing w:after="0"/>
              <w:rPr>
                <w:sz w:val="16"/>
                <w:szCs w:val="16"/>
                <w:color w:val="auto"/>
              </w:rPr>
            </w:pPr>
          </w:p>
        </w:tc>
        <w:tc>
          <w:tcPr>
            <w:tcW w:w="220" w:type="dxa"/>
            <w:vAlign w:val="bottom"/>
            <w:gridSpan w:val="2"/>
            <w:vMerge w:val="continue"/>
          </w:tcPr>
          <w:p>
            <w:pPr>
              <w:spacing w:after="0"/>
              <w:rPr>
                <w:sz w:val="16"/>
                <w:szCs w:val="16"/>
                <w:color w:val="auto"/>
              </w:rPr>
            </w:pPr>
          </w:p>
        </w:tc>
        <w:tc>
          <w:tcPr>
            <w:tcW w:w="600" w:type="dxa"/>
            <w:vAlign w:val="bottom"/>
            <w:vMerge w:val="continue"/>
          </w:tcPr>
          <w:p>
            <w:pPr>
              <w:spacing w:after="0"/>
              <w:rPr>
                <w:sz w:val="16"/>
                <w:szCs w:val="16"/>
                <w:color w:val="auto"/>
              </w:rPr>
            </w:pPr>
          </w:p>
        </w:tc>
        <w:tc>
          <w:tcPr>
            <w:tcW w:w="340" w:type="dxa"/>
            <w:vAlign w:val="bottom"/>
            <w:gridSpan w:val="2"/>
            <w:vMerge w:val="continue"/>
          </w:tcPr>
          <w:p>
            <w:pPr>
              <w:spacing w:after="0"/>
              <w:rPr>
                <w:sz w:val="16"/>
                <w:szCs w:val="16"/>
                <w:color w:val="auto"/>
              </w:rPr>
            </w:pPr>
          </w:p>
        </w:tc>
        <w:tc>
          <w:tcPr>
            <w:tcW w:w="560" w:type="dxa"/>
            <w:vAlign w:val="bottom"/>
            <w:vMerge w:val="continue"/>
          </w:tcPr>
          <w:p>
            <w:pPr>
              <w:spacing w:after="0"/>
              <w:rPr>
                <w:sz w:val="16"/>
                <w:szCs w:val="16"/>
                <w:color w:val="auto"/>
              </w:rPr>
            </w:pPr>
          </w:p>
        </w:tc>
        <w:tc>
          <w:tcPr>
            <w:tcW w:w="240" w:type="dxa"/>
            <w:vAlign w:val="bottom"/>
            <w:gridSpan w:val="2"/>
            <w:vMerge w:val="continue"/>
          </w:tcPr>
          <w:p>
            <w:pPr>
              <w:spacing w:after="0"/>
              <w:rPr>
                <w:sz w:val="16"/>
                <w:szCs w:val="16"/>
                <w:color w:val="auto"/>
              </w:rPr>
            </w:pPr>
          </w:p>
        </w:tc>
        <w:tc>
          <w:tcPr>
            <w:tcW w:w="580" w:type="dxa"/>
            <w:vAlign w:val="bottom"/>
            <w:vMerge w:val="continue"/>
          </w:tcPr>
          <w:p>
            <w:pPr>
              <w:spacing w:after="0"/>
              <w:rPr>
                <w:sz w:val="16"/>
                <w:szCs w:val="16"/>
                <w:color w:val="auto"/>
              </w:rPr>
            </w:pPr>
          </w:p>
        </w:tc>
        <w:tc>
          <w:tcPr>
            <w:tcW w:w="400" w:type="dxa"/>
            <w:vAlign w:val="bottom"/>
            <w:gridSpan w:val="2"/>
            <w:vMerge w:val="continue"/>
          </w:tcPr>
          <w:p>
            <w:pPr>
              <w:spacing w:after="0"/>
              <w:rPr>
                <w:sz w:val="16"/>
                <w:szCs w:val="16"/>
                <w:color w:val="auto"/>
              </w:rPr>
            </w:pPr>
          </w:p>
        </w:tc>
        <w:tc>
          <w:tcPr>
            <w:tcW w:w="600" w:type="dxa"/>
            <w:vAlign w:val="bottom"/>
            <w:vMerge w:val="continue"/>
          </w:tcPr>
          <w:p>
            <w:pPr>
              <w:spacing w:after="0"/>
              <w:rPr>
                <w:sz w:val="16"/>
                <w:szCs w:val="16"/>
                <w:color w:val="auto"/>
              </w:rPr>
            </w:pPr>
          </w:p>
        </w:tc>
        <w:tc>
          <w:tcPr>
            <w:tcW w:w="200" w:type="dxa"/>
            <w:vAlign w:val="bottom"/>
            <w:gridSpan w:val="2"/>
            <w:vMerge w:val="continue"/>
          </w:tcPr>
          <w:p>
            <w:pPr>
              <w:spacing w:after="0"/>
              <w:rPr>
                <w:sz w:val="16"/>
                <w:szCs w:val="16"/>
                <w:color w:val="auto"/>
              </w:rPr>
            </w:pPr>
          </w:p>
        </w:tc>
        <w:tc>
          <w:tcPr>
            <w:tcW w:w="620" w:type="dxa"/>
            <w:vAlign w:val="bottom"/>
            <w:vMerge w:val="continue"/>
          </w:tcPr>
          <w:p>
            <w:pPr>
              <w:spacing w:after="0"/>
              <w:rPr>
                <w:sz w:val="16"/>
                <w:szCs w:val="16"/>
                <w:color w:val="auto"/>
              </w:rPr>
            </w:pPr>
          </w:p>
        </w:tc>
        <w:tc>
          <w:tcPr>
            <w:tcW w:w="220" w:type="dxa"/>
            <w:vAlign w:val="bottom"/>
            <w:gridSpan w:val="2"/>
            <w:vMerge w:val="continue"/>
          </w:tcPr>
          <w:p>
            <w:pPr>
              <w:spacing w:after="0"/>
              <w:rPr>
                <w:sz w:val="16"/>
                <w:szCs w:val="16"/>
                <w:color w:val="auto"/>
              </w:rPr>
            </w:pPr>
          </w:p>
        </w:tc>
        <w:tc>
          <w:tcPr>
            <w:tcW w:w="620" w:type="dxa"/>
            <w:vAlign w:val="bottom"/>
            <w:vMerge w:val="continue"/>
          </w:tcPr>
          <w:p>
            <w:pPr>
              <w:spacing w:after="0"/>
              <w:rPr>
                <w:sz w:val="16"/>
                <w:szCs w:val="16"/>
                <w:color w:val="auto"/>
              </w:rPr>
            </w:pPr>
          </w:p>
        </w:tc>
        <w:tc>
          <w:tcPr>
            <w:tcW w:w="220" w:type="dxa"/>
            <w:vAlign w:val="bottom"/>
            <w:gridSpan w:val="2"/>
            <w:vMerge w:val="continue"/>
          </w:tcPr>
          <w:p>
            <w:pPr>
              <w:spacing w:after="0"/>
              <w:rPr>
                <w:sz w:val="16"/>
                <w:szCs w:val="16"/>
                <w:color w:val="auto"/>
              </w:rPr>
            </w:pPr>
          </w:p>
        </w:tc>
        <w:tc>
          <w:tcPr>
            <w:tcW w:w="6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280" w:type="dxa"/>
            <w:vAlign w:val="bottom"/>
            <w:vMerge w:val="restart"/>
          </w:tcPr>
          <w:p>
            <w:pPr>
              <w:spacing w:after="0"/>
              <w:rPr>
                <w:sz w:val="20"/>
                <w:szCs w:val="20"/>
                <w:color w:val="auto"/>
              </w:rPr>
            </w:pPr>
            <w:r>
              <w:rPr>
                <w:rFonts w:ascii="Arial" w:cs="Arial" w:eastAsia="Arial" w:hAnsi="Arial"/>
                <w:sz w:val="16"/>
                <w:szCs w:val="16"/>
                <w:color w:val="auto"/>
              </w:rPr>
              <w:t>Market risk benefits liability (c)</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280" w:type="dxa"/>
            <w:vAlign w:val="bottom"/>
            <w:vMerge w:val="continue"/>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403</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549</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2280" w:type="dxa"/>
            <w:vAlign w:val="bottom"/>
          </w:tcPr>
          <w:p>
            <w:pPr>
              <w:ind w:left="360"/>
              <w:spacing w:after="0" w:line="182" w:lineRule="exact"/>
              <w:rPr>
                <w:sz w:val="20"/>
                <w:szCs w:val="20"/>
                <w:color w:val="auto"/>
              </w:rPr>
            </w:pPr>
            <w:r>
              <w:rPr>
                <w:rFonts w:ascii="Arial" w:cs="Arial" w:eastAsia="Arial" w:hAnsi="Arial"/>
                <w:sz w:val="16"/>
                <w:szCs w:val="16"/>
                <w:b w:val="1"/>
                <w:bCs w:val="1"/>
                <w:color w:val="auto"/>
              </w:rPr>
              <w:t>Total Level 3 liabilities at</w:t>
            </w:r>
          </w:p>
        </w:tc>
        <w:tc>
          <w:tcPr>
            <w:tcW w:w="260" w:type="dxa"/>
            <w:vAlign w:val="bottom"/>
            <w:vMerge w:val="restart"/>
          </w:tcPr>
          <w:p>
            <w:pPr>
              <w:ind w:left="40"/>
              <w:spacing w:after="0"/>
              <w:rPr>
                <w:sz w:val="20"/>
                <w:szCs w:val="20"/>
                <w:color w:val="auto"/>
              </w:rPr>
            </w:pPr>
            <w:r>
              <w:rPr>
                <w:rFonts w:ascii="Arial" w:cs="Arial" w:eastAsia="Arial" w:hAnsi="Arial"/>
                <w:sz w:val="16"/>
                <w:szCs w:val="16"/>
                <w:color w:val="auto"/>
              </w:rPr>
              <w:t>$</w:t>
            </w:r>
          </w:p>
        </w:tc>
        <w:tc>
          <w:tcPr>
            <w:tcW w:w="560" w:type="dxa"/>
            <w:vAlign w:val="bottom"/>
            <w:vMerge w:val="restart"/>
          </w:tcPr>
          <w:p>
            <w:pPr>
              <w:jc w:val="right"/>
              <w:spacing w:after="0"/>
              <w:rPr>
                <w:sz w:val="20"/>
                <w:szCs w:val="20"/>
                <w:color w:val="auto"/>
              </w:rPr>
            </w:pPr>
            <w:r>
              <w:rPr>
                <w:rFonts w:ascii="Arial" w:cs="Arial" w:eastAsia="Arial" w:hAnsi="Arial"/>
                <w:sz w:val="16"/>
                <w:szCs w:val="16"/>
                <w:color w:val="auto"/>
              </w:rPr>
              <w:t>4,661</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gridSpan w:val="2"/>
            <w:vMerge w:val="restart"/>
          </w:tcPr>
          <w:p>
            <w:pPr>
              <w:ind w:left="140"/>
              <w:spacing w:after="0"/>
              <w:rPr>
                <w:sz w:val="20"/>
                <w:szCs w:val="20"/>
                <w:color w:val="auto"/>
              </w:rPr>
            </w:pPr>
            <w:r>
              <w:rPr>
                <w:rFonts w:ascii="Arial" w:cs="Arial" w:eastAsia="Arial" w:hAnsi="Arial"/>
                <w:sz w:val="15"/>
                <w:szCs w:val="15"/>
                <w:color w:val="auto"/>
                <w:w w:val="71"/>
              </w:rPr>
              <w:t>$</w:t>
            </w:r>
          </w:p>
        </w:tc>
        <w:tc>
          <w:tcPr>
            <w:tcW w:w="620" w:type="dxa"/>
            <w:vAlign w:val="bottom"/>
            <w:vMerge w:val="restart"/>
          </w:tcPr>
          <w:p>
            <w:pPr>
              <w:jc w:val="right"/>
              <w:ind w:right="2"/>
              <w:spacing w:after="0"/>
              <w:rPr>
                <w:sz w:val="20"/>
                <w:szCs w:val="20"/>
                <w:color w:val="auto"/>
              </w:rPr>
            </w:pPr>
            <w:r>
              <w:rPr>
                <w:rFonts w:ascii="Arial" w:cs="Arial" w:eastAsia="Arial" w:hAnsi="Arial"/>
                <w:sz w:val="16"/>
                <w:szCs w:val="16"/>
                <w:color w:val="auto"/>
              </w:rPr>
              <w:t>5,843</w:t>
            </w: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2280" w:type="dxa"/>
            <w:vAlign w:val="bottom"/>
          </w:tcPr>
          <w:p>
            <w:pPr>
              <w:ind w:left="360"/>
              <w:spacing w:after="0"/>
              <w:rPr>
                <w:sz w:val="20"/>
                <w:szCs w:val="20"/>
                <w:color w:val="auto"/>
              </w:rPr>
            </w:pPr>
            <w:r>
              <w:rPr>
                <w:rFonts w:ascii="Arial" w:cs="Arial" w:eastAsia="Arial" w:hAnsi="Arial"/>
                <w:sz w:val="16"/>
                <w:szCs w:val="16"/>
                <w:b w:val="1"/>
                <w:bCs w:val="1"/>
                <w:color w:val="auto"/>
              </w:rPr>
              <w:t>fair value</w:t>
            </w:r>
          </w:p>
        </w:tc>
        <w:tc>
          <w:tcPr>
            <w:tcW w:w="260" w:type="dxa"/>
            <w:vAlign w:val="bottom"/>
            <w:vMerge w:val="continue"/>
          </w:tcPr>
          <w:p>
            <w:pPr>
              <w:spacing w:after="0"/>
              <w:rPr>
                <w:sz w:val="16"/>
                <w:szCs w:val="16"/>
                <w:color w:val="auto"/>
              </w:rPr>
            </w:pPr>
          </w:p>
        </w:tc>
        <w:tc>
          <w:tcPr>
            <w:tcW w:w="5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gridSpan w:val="2"/>
            <w:vMerge w:val="continue"/>
          </w:tcPr>
          <w:p>
            <w:pPr>
              <w:spacing w:after="0"/>
              <w:rPr>
                <w:sz w:val="16"/>
                <w:szCs w:val="16"/>
                <w:color w:val="auto"/>
              </w:rPr>
            </w:pPr>
          </w:p>
        </w:tc>
        <w:tc>
          <w:tcPr>
            <w:tcW w:w="6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2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-6331585</wp:posOffset>
            </wp:positionV>
            <wp:extent cx="6410325" cy="633857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84">
                      <a:extLst>
                        <a:ext uri="{28A0092B-C50C-407E-A947-70E740481C1C}"/>
                      </a:extLst>
                    </a:blip>
                    <a:srcRect/>
                    <a:stretch>
                      <a:fillRect/>
                    </a:stretch>
                  </pic:blipFill>
                  <pic:spPr bwMode="auto">
                    <a:xfrm>
                      <a:off x="0" y="0"/>
                      <a:ext cx="6410325" cy="6338570"/>
                    </a:xfrm>
                    <a:prstGeom prst="rect">
                      <a:avLst/>
                    </a:prstGeom>
                    <a:noFill/>
                  </pic:spPr>
                </pic:pic>
              </a:graphicData>
            </a:graphic>
          </wp:anchor>
        </w:drawing>
      </w:r>
    </w:p>
    <w:p>
      <w:pPr>
        <w:ind w:left="327" w:hanging="327"/>
        <w:spacing w:after="0"/>
        <w:tabs>
          <w:tab w:leader="none" w:pos="327" w:val="left"/>
        </w:tabs>
        <w:numPr>
          <w:ilvl w:val="0"/>
          <w:numId w:val="51"/>
        </w:numPr>
        <w:rPr>
          <w:rFonts w:ascii="Arial" w:cs="Arial" w:eastAsia="Arial" w:hAnsi="Arial"/>
          <w:sz w:val="16"/>
          <w:szCs w:val="16"/>
          <w:color w:val="auto"/>
        </w:rPr>
      </w:pPr>
      <w:r>
        <w:rPr>
          <w:rFonts w:ascii="Arial" w:cs="Arial" w:eastAsia="Arial" w:hAnsi="Arial"/>
          <w:sz w:val="16"/>
          <w:szCs w:val="16"/>
          <w:color w:val="auto"/>
        </w:rPr>
        <w:t>The net transfers out of Level 3 during the year ended December 31, 2024 were exclusively to Level 2.</w:t>
      </w:r>
    </w:p>
    <w:p>
      <w:pPr>
        <w:spacing w:after="0" w:line="19" w:lineRule="exact"/>
        <w:rPr>
          <w:rFonts w:ascii="Arial" w:cs="Arial" w:eastAsia="Arial" w:hAnsi="Arial"/>
          <w:sz w:val="16"/>
          <w:szCs w:val="16"/>
          <w:color w:val="auto"/>
        </w:rPr>
      </w:pPr>
    </w:p>
    <w:p>
      <w:pPr>
        <w:ind w:left="347" w:hanging="347"/>
        <w:spacing w:after="0"/>
        <w:tabs>
          <w:tab w:leader="none" w:pos="347" w:val="left"/>
        </w:tabs>
        <w:numPr>
          <w:ilvl w:val="0"/>
          <w:numId w:val="51"/>
        </w:numPr>
        <w:rPr>
          <w:rFonts w:ascii="Arial" w:cs="Arial" w:eastAsia="Arial" w:hAnsi="Arial"/>
          <w:sz w:val="16"/>
          <w:szCs w:val="16"/>
          <w:color w:val="auto"/>
        </w:rPr>
      </w:pPr>
      <w:r>
        <w:rPr>
          <w:rFonts w:ascii="Arial" w:cs="Arial" w:eastAsia="Arial" w:hAnsi="Arial"/>
          <w:sz w:val="16"/>
          <w:szCs w:val="16"/>
          <w:color w:val="auto"/>
        </w:rPr>
        <w:t xml:space="preserve">Purchases represent advances on the loan commitment to Roar. Refer to Note G </w:t>
      </w:r>
      <w:r>
        <w:rPr>
          <w:rFonts w:ascii="Arial" w:cs="Arial" w:eastAsia="Arial" w:hAnsi="Arial"/>
          <w:sz w:val="16"/>
          <w:szCs w:val="16"/>
          <w:b w:val="1"/>
          <w:bCs w:val="1"/>
          <w:i w:val="1"/>
          <w:iCs w:val="1"/>
          <w:color w:val="auto"/>
        </w:rPr>
        <w:t>Commitments and Contingencies</w:t>
      </w:r>
      <w:r>
        <w:rPr>
          <w:rFonts w:ascii="Arial" w:cs="Arial" w:eastAsia="Arial" w:hAnsi="Arial"/>
          <w:sz w:val="16"/>
          <w:szCs w:val="16"/>
          <w:color w:val="auto"/>
        </w:rPr>
        <w:t xml:space="preserve"> for further details.</w:t>
      </w:r>
    </w:p>
    <w:p>
      <w:pPr>
        <w:spacing w:after="0" w:line="4" w:lineRule="exact"/>
        <w:rPr>
          <w:rFonts w:ascii="Arial" w:cs="Arial" w:eastAsia="Arial" w:hAnsi="Arial"/>
          <w:sz w:val="16"/>
          <w:szCs w:val="16"/>
          <w:color w:val="auto"/>
        </w:rPr>
      </w:pPr>
    </w:p>
    <w:p>
      <w:pPr>
        <w:ind w:left="327" w:hanging="327"/>
        <w:spacing w:after="0"/>
        <w:tabs>
          <w:tab w:leader="none" w:pos="327" w:val="left"/>
        </w:tabs>
        <w:numPr>
          <w:ilvl w:val="0"/>
          <w:numId w:val="51"/>
        </w:numPr>
        <w:rPr>
          <w:rFonts w:ascii="Arial" w:cs="Arial" w:eastAsia="Arial" w:hAnsi="Arial"/>
          <w:sz w:val="16"/>
          <w:szCs w:val="16"/>
          <w:color w:val="auto"/>
        </w:rPr>
      </w:pPr>
      <w:r>
        <w:rPr>
          <w:rFonts w:ascii="Arial" w:cs="Arial" w:eastAsia="Arial" w:hAnsi="Arial"/>
          <w:sz w:val="16"/>
          <w:szCs w:val="16"/>
          <w:color w:val="auto"/>
        </w:rPr>
        <w:t xml:space="preserve">Refer to Note W </w:t>
      </w:r>
      <w:r>
        <w:rPr>
          <w:rFonts w:ascii="Arial" w:cs="Arial" w:eastAsia="Arial" w:hAnsi="Arial"/>
          <w:sz w:val="16"/>
          <w:szCs w:val="16"/>
          <w:b w:val="1"/>
          <w:bCs w:val="1"/>
          <w:i w:val="1"/>
          <w:iCs w:val="1"/>
          <w:color w:val="auto"/>
        </w:rPr>
        <w:t>Market Risk Benefits</w:t>
      </w:r>
      <w:r>
        <w:rPr>
          <w:rFonts w:ascii="Arial" w:cs="Arial" w:eastAsia="Arial" w:hAnsi="Arial"/>
          <w:sz w:val="16"/>
          <w:szCs w:val="16"/>
          <w:color w:val="auto"/>
        </w:rPr>
        <w:t xml:space="preserve"> for roll forward activity of the net Market risk benefits asset and liability.</w:t>
      </w:r>
    </w:p>
    <w:p>
      <w:pPr>
        <w:spacing w:after="0" w:line="158" w:lineRule="exact"/>
        <w:rPr>
          <w:sz w:val="20"/>
          <w:szCs w:val="20"/>
          <w:color w:val="auto"/>
        </w:rPr>
      </w:pPr>
    </w:p>
    <w:p>
      <w:pPr>
        <w:ind w:left="7"/>
        <w:spacing w:after="0"/>
        <w:rPr>
          <w:sz w:val="20"/>
          <w:szCs w:val="20"/>
          <w:color w:val="auto"/>
        </w:rPr>
      </w:pPr>
      <w:r>
        <w:rPr>
          <w:rFonts w:ascii="Arial" w:cs="Arial" w:eastAsia="Arial" w:hAnsi="Arial"/>
          <w:sz w:val="20"/>
          <w:szCs w:val="20"/>
          <w:b w:val="1"/>
          <w:bCs w:val="1"/>
          <w:i w:val="1"/>
          <w:iCs w:val="1"/>
          <w:color w:val="auto"/>
        </w:rPr>
        <w:t>Fair Value Option</w:t>
      </w:r>
    </w:p>
    <w:p>
      <w:pPr>
        <w:sectPr>
          <w:pgSz w:w="11880" w:h="15480" w:orient="portrait"/>
          <w:cols w:equalWidth="0" w:num="1">
            <w:col w:w="10047"/>
          </w:cols>
          <w:pgMar w:left="913" w:top="782"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6"/>
        <w:spacing w:after="0"/>
        <w:rPr>
          <w:sz w:val="20"/>
          <w:szCs w:val="20"/>
          <w:color w:val="auto"/>
        </w:rPr>
      </w:pPr>
      <w:r>
        <w:rPr>
          <w:rFonts w:ascii="Arial" w:cs="Arial" w:eastAsia="Arial" w:hAnsi="Arial"/>
          <w:sz w:val="16"/>
          <w:szCs w:val="16"/>
          <w:color w:val="auto"/>
        </w:rPr>
        <w:t>130</w:t>
      </w:r>
    </w:p>
    <w:p>
      <w:pPr>
        <w:sectPr>
          <w:pgSz w:w="11880" w:h="15480" w:orient="portrait"/>
          <w:cols w:equalWidth="0" w:num="1">
            <w:col w:w="10047"/>
          </w:cols>
          <w:pgMar w:left="913" w:top="782" w:right="920" w:bottom="0" w:gutter="0" w:footer="0" w:header="0"/>
          <w:type w:val="continuous"/>
        </w:sectPr>
      </w:pPr>
    </w:p>
    <w:bookmarkStart w:id="142" w:name="page143"/>
    <w:bookmarkEnd w:id="142"/>
    <w:p>
      <w:pPr>
        <w:jc w:val="both"/>
        <w:ind w:firstLine="353"/>
        <w:spacing w:after="0" w:line="325" w:lineRule="auto"/>
        <w:rPr>
          <w:sz w:val="20"/>
          <w:szCs w:val="20"/>
          <w:color w:val="auto"/>
        </w:rPr>
      </w:pPr>
      <w:r>
        <w:rPr>
          <w:rFonts w:ascii="Arial" w:cs="Arial" w:eastAsia="Arial" w:hAnsi="Arial"/>
          <w:sz w:val="17"/>
          <w:szCs w:val="17"/>
          <w:color w:val="auto"/>
        </w:rPr>
        <w:t xml:space="preserve">F&amp;G has elected the FVO for certain investments held by consolidated VIEs, including certain loans reported in other long term investments. See Note D </w:t>
      </w:r>
      <w:r>
        <w:rPr>
          <w:rFonts w:ascii="Arial" w:cs="Arial" w:eastAsia="Arial" w:hAnsi="Arial"/>
          <w:sz w:val="17"/>
          <w:szCs w:val="17"/>
          <w:b w:val="1"/>
          <w:bCs w:val="1"/>
          <w:i w:val="1"/>
          <w:iCs w:val="1"/>
          <w:color w:val="auto"/>
        </w:rPr>
        <w:t>Investments</w:t>
      </w:r>
      <w:r>
        <w:rPr>
          <w:rFonts w:ascii="Arial" w:cs="Arial" w:eastAsia="Arial" w:hAnsi="Arial"/>
          <w:sz w:val="17"/>
          <w:szCs w:val="17"/>
          <w:color w:val="auto"/>
        </w:rPr>
        <w:t xml:space="preserve"> for additional information on our investments in VIEs. As discussed above, we have also elected the FVO for certain other investments in unconsolidated affiliates and for a loan receivable.</w:t>
      </w:r>
    </w:p>
    <w:p>
      <w:pPr>
        <w:spacing w:after="0" w:line="147"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 presents information regarding the assets for which the fair value option was elected.</w:t>
      </w:r>
    </w:p>
    <w:p>
      <w:pPr>
        <w:spacing w:after="0" w:line="314" w:lineRule="exact"/>
        <w:rPr>
          <w:sz w:val="20"/>
          <w:szCs w:val="20"/>
          <w:color w:val="auto"/>
        </w:rPr>
      </w:pPr>
    </w:p>
    <w:tbl>
      <w:tblPr>
        <w:tblLayout w:type="fixed"/>
        <w:tblInd w:w="40" w:type="dxa"/>
        <w:tblCellMar>
          <w:top w:w="0" w:type="dxa"/>
          <w:left w:w="0" w:type="dxa"/>
          <w:bottom w:w="0" w:type="dxa"/>
          <w:right w:w="0" w:type="dxa"/>
        </w:tblCellMar>
      </w:tblPr>
      <w:tr>
        <w:trPr>
          <w:trHeight w:val="213"/>
        </w:trPr>
        <w:tc>
          <w:tcPr>
            <w:tcW w:w="7400" w:type="dxa"/>
            <w:vAlign w:val="bottom"/>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6"/>
                <w:szCs w:val="16"/>
                <w:b w:val="1"/>
                <w:bCs w:val="1"/>
                <w:color w:val="auto"/>
                <w:w w:val="88"/>
              </w:rPr>
              <w:t>December 31,</w:t>
            </w:r>
          </w:p>
        </w:tc>
        <w:tc>
          <w:tcPr>
            <w:tcW w:w="820" w:type="dxa"/>
            <w:vAlign w:val="bottom"/>
            <w:tcBorders>
              <w:bottom w:val="single" w:sz="8" w:color="auto"/>
            </w:tcBorders>
          </w:tcPr>
          <w:p>
            <w:pPr>
              <w:spacing w:after="0"/>
              <w:rPr>
                <w:sz w:val="18"/>
                <w:szCs w:val="18"/>
                <w:color w:val="auto"/>
              </w:rPr>
            </w:pPr>
          </w:p>
        </w:tc>
      </w:tr>
      <w:tr>
        <w:trPr>
          <w:trHeight w:val="215"/>
        </w:trPr>
        <w:tc>
          <w:tcPr>
            <w:tcW w:w="7400" w:type="dxa"/>
            <w:vAlign w:val="bottom"/>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2025</w:t>
            </w:r>
          </w:p>
        </w:tc>
        <w:tc>
          <w:tcPr>
            <w:tcW w:w="44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402"/>
              <w:spacing w:after="0"/>
              <w:rPr>
                <w:sz w:val="20"/>
                <w:szCs w:val="20"/>
                <w:color w:val="auto"/>
              </w:rPr>
            </w:pPr>
            <w:r>
              <w:rPr>
                <w:rFonts w:ascii="Arial" w:cs="Arial" w:eastAsia="Arial" w:hAnsi="Arial"/>
                <w:sz w:val="16"/>
                <w:szCs w:val="16"/>
                <w:b w:val="1"/>
                <w:bCs w:val="1"/>
                <w:color w:val="auto"/>
                <w:w w:val="89"/>
              </w:rPr>
              <w:t>2024</w:t>
            </w:r>
          </w:p>
        </w:tc>
      </w:tr>
      <w:tr>
        <w:trPr>
          <w:trHeight w:val="208"/>
        </w:trPr>
        <w:tc>
          <w:tcPr>
            <w:tcW w:w="7400" w:type="dxa"/>
            <w:vAlign w:val="bottom"/>
          </w:tcPr>
          <w:p>
            <w:pPr>
              <w:spacing w:after="0"/>
              <w:rPr>
                <w:sz w:val="20"/>
                <w:szCs w:val="20"/>
                <w:color w:val="auto"/>
              </w:rPr>
            </w:pPr>
            <w:r>
              <w:rPr>
                <w:rFonts w:ascii="Arial" w:cs="Arial" w:eastAsia="Arial" w:hAnsi="Arial"/>
                <w:sz w:val="16"/>
                <w:szCs w:val="16"/>
                <w:b w:val="1"/>
                <w:bCs w:val="1"/>
                <w:color w:val="auto"/>
              </w:rPr>
              <w:t>Assets</w:t>
            </w:r>
          </w:p>
        </w:tc>
        <w:tc>
          <w:tcPr>
            <w:tcW w:w="8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35"/>
        </w:trPr>
        <w:tc>
          <w:tcPr>
            <w:tcW w:w="7400" w:type="dxa"/>
            <w:vAlign w:val="bottom"/>
          </w:tcPr>
          <w:p>
            <w:pPr>
              <w:spacing w:after="0"/>
              <w:rPr>
                <w:sz w:val="20"/>
                <w:szCs w:val="20"/>
                <w:color w:val="auto"/>
              </w:rPr>
            </w:pPr>
            <w:r>
              <w:rPr>
                <w:rFonts w:ascii="Arial" w:cs="Arial" w:eastAsia="Arial" w:hAnsi="Arial"/>
                <w:sz w:val="16"/>
                <w:szCs w:val="16"/>
                <w:color w:val="auto"/>
              </w:rPr>
              <w:t>Investments in unconsolidated affiliates</w:t>
            </w:r>
          </w:p>
        </w:tc>
        <w:tc>
          <w:tcPr>
            <w:tcW w:w="820" w:type="dxa"/>
            <w:vAlign w:val="bottom"/>
          </w:tcPr>
          <w:p>
            <w:pPr>
              <w:jc w:val="right"/>
              <w:ind w:right="622"/>
              <w:spacing w:after="0"/>
              <w:rPr>
                <w:sz w:val="20"/>
                <w:szCs w:val="20"/>
                <w:color w:val="auto"/>
              </w:rPr>
            </w:pPr>
            <w:r>
              <w:rPr>
                <w:rFonts w:ascii="Arial" w:cs="Arial" w:eastAsia="Arial" w:hAnsi="Arial"/>
                <w:sz w:val="16"/>
                <w:szCs w:val="16"/>
                <w:color w:val="auto"/>
              </w:rPr>
              <w:t>$</w:t>
            </w:r>
          </w:p>
        </w:tc>
        <w:tc>
          <w:tcPr>
            <w:tcW w:w="440" w:type="dxa"/>
            <w:vAlign w:val="bottom"/>
          </w:tcPr>
          <w:p>
            <w:pPr>
              <w:jc w:val="right"/>
              <w:spacing w:after="0"/>
              <w:rPr>
                <w:sz w:val="20"/>
                <w:szCs w:val="20"/>
                <w:color w:val="auto"/>
              </w:rPr>
            </w:pPr>
            <w:r>
              <w:rPr>
                <w:rFonts w:ascii="Arial" w:cs="Arial" w:eastAsia="Arial" w:hAnsi="Arial"/>
                <w:sz w:val="16"/>
                <w:szCs w:val="16"/>
                <w:color w:val="auto"/>
              </w:rPr>
              <w:t>270</w:t>
            </w:r>
          </w:p>
        </w:tc>
        <w:tc>
          <w:tcPr>
            <w:tcW w:w="52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272</w:t>
            </w:r>
          </w:p>
        </w:tc>
      </w:tr>
      <w:tr>
        <w:trPr>
          <w:trHeight w:val="235"/>
        </w:trPr>
        <w:tc>
          <w:tcPr>
            <w:tcW w:w="7400" w:type="dxa"/>
            <w:vAlign w:val="bottom"/>
          </w:tcPr>
          <w:p>
            <w:pPr>
              <w:spacing w:after="0"/>
              <w:rPr>
                <w:sz w:val="20"/>
                <w:szCs w:val="20"/>
                <w:color w:val="auto"/>
              </w:rPr>
            </w:pPr>
            <w:r>
              <w:rPr>
                <w:rFonts w:ascii="Arial" w:cs="Arial" w:eastAsia="Arial" w:hAnsi="Arial"/>
                <w:sz w:val="16"/>
                <w:szCs w:val="16"/>
                <w:color w:val="auto"/>
              </w:rPr>
              <w:t>Other loans, within other long-term investments (a)</w:t>
            </w:r>
          </w:p>
        </w:tc>
        <w:tc>
          <w:tcPr>
            <w:tcW w:w="8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235"/>
        </w:trPr>
        <w:tc>
          <w:tcPr>
            <w:tcW w:w="7400" w:type="dxa"/>
            <w:vAlign w:val="bottom"/>
          </w:tcPr>
          <w:p>
            <w:pPr>
              <w:spacing w:after="0"/>
              <w:rPr>
                <w:sz w:val="20"/>
                <w:szCs w:val="20"/>
                <w:color w:val="auto"/>
              </w:rPr>
            </w:pPr>
            <w:r>
              <w:rPr>
                <w:rFonts w:ascii="Arial" w:cs="Arial" w:eastAsia="Arial" w:hAnsi="Arial"/>
                <w:sz w:val="16"/>
                <w:szCs w:val="16"/>
                <w:color w:val="auto"/>
              </w:rPr>
              <w:t>Fair Value</w:t>
            </w:r>
          </w:p>
        </w:tc>
        <w:tc>
          <w:tcPr>
            <w:tcW w:w="820" w:type="dxa"/>
            <w:vAlign w:val="bottom"/>
          </w:tcPr>
          <w:p>
            <w:pPr>
              <w:jc w:val="right"/>
              <w:ind w:right="622"/>
              <w:spacing w:after="0"/>
              <w:rPr>
                <w:sz w:val="20"/>
                <w:szCs w:val="20"/>
                <w:color w:val="auto"/>
              </w:rPr>
            </w:pPr>
            <w:r>
              <w:rPr>
                <w:rFonts w:ascii="Arial" w:cs="Arial" w:eastAsia="Arial" w:hAnsi="Arial"/>
                <w:sz w:val="16"/>
                <w:szCs w:val="16"/>
                <w:color w:val="auto"/>
              </w:rPr>
              <w:t>$</w:t>
            </w:r>
          </w:p>
        </w:tc>
        <w:tc>
          <w:tcPr>
            <w:tcW w:w="440" w:type="dxa"/>
            <w:vAlign w:val="bottom"/>
          </w:tcPr>
          <w:p>
            <w:pPr>
              <w:jc w:val="right"/>
              <w:spacing w:after="0"/>
              <w:rPr>
                <w:sz w:val="20"/>
                <w:szCs w:val="20"/>
                <w:color w:val="auto"/>
              </w:rPr>
            </w:pPr>
            <w:r>
              <w:rPr>
                <w:rFonts w:ascii="Arial" w:cs="Arial" w:eastAsia="Arial" w:hAnsi="Arial"/>
                <w:sz w:val="16"/>
                <w:szCs w:val="16"/>
                <w:color w:val="auto"/>
              </w:rPr>
              <w:t>248</w:t>
            </w:r>
          </w:p>
        </w:tc>
        <w:tc>
          <w:tcPr>
            <w:tcW w:w="52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35"/>
        </w:trPr>
        <w:tc>
          <w:tcPr>
            <w:tcW w:w="7400" w:type="dxa"/>
            <w:vAlign w:val="bottom"/>
          </w:tcPr>
          <w:p>
            <w:pPr>
              <w:spacing w:after="0"/>
              <w:rPr>
                <w:sz w:val="20"/>
                <w:szCs w:val="20"/>
                <w:color w:val="auto"/>
              </w:rPr>
            </w:pPr>
            <w:r>
              <w:rPr>
                <w:rFonts w:ascii="Arial" w:cs="Arial" w:eastAsia="Arial" w:hAnsi="Arial"/>
                <w:sz w:val="16"/>
                <w:szCs w:val="16"/>
                <w:color w:val="auto"/>
              </w:rPr>
              <w:t>Aggregate unpaid principal</w:t>
            </w:r>
          </w:p>
        </w:tc>
        <w:tc>
          <w:tcPr>
            <w:tcW w:w="82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250</w:t>
            </w:r>
          </w:p>
        </w:tc>
        <w:tc>
          <w:tcPr>
            <w:tcW w:w="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35"/>
        </w:trPr>
        <w:tc>
          <w:tcPr>
            <w:tcW w:w="7400" w:type="dxa"/>
            <w:vAlign w:val="bottom"/>
          </w:tcPr>
          <w:p>
            <w:pPr>
              <w:spacing w:after="0"/>
              <w:rPr>
                <w:sz w:val="20"/>
                <w:szCs w:val="20"/>
                <w:color w:val="auto"/>
              </w:rPr>
            </w:pPr>
            <w:r>
              <w:rPr>
                <w:rFonts w:ascii="Arial" w:cs="Arial" w:eastAsia="Arial" w:hAnsi="Arial"/>
                <w:sz w:val="16"/>
                <w:szCs w:val="16"/>
                <w:color w:val="auto"/>
              </w:rPr>
              <w:t>Loan receivable, within prepaid expenses and other assets (a)</w:t>
            </w:r>
          </w:p>
        </w:tc>
        <w:tc>
          <w:tcPr>
            <w:tcW w:w="8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235"/>
        </w:trPr>
        <w:tc>
          <w:tcPr>
            <w:tcW w:w="7400" w:type="dxa"/>
            <w:vAlign w:val="bottom"/>
          </w:tcPr>
          <w:p>
            <w:pPr>
              <w:spacing w:after="0"/>
              <w:rPr>
                <w:sz w:val="20"/>
                <w:szCs w:val="20"/>
                <w:color w:val="auto"/>
              </w:rPr>
            </w:pPr>
            <w:r>
              <w:rPr>
                <w:rFonts w:ascii="Arial" w:cs="Arial" w:eastAsia="Arial" w:hAnsi="Arial"/>
                <w:sz w:val="16"/>
                <w:szCs w:val="16"/>
                <w:color w:val="auto"/>
              </w:rPr>
              <w:t>Fair Value</w:t>
            </w:r>
          </w:p>
        </w:tc>
        <w:tc>
          <w:tcPr>
            <w:tcW w:w="820" w:type="dxa"/>
            <w:vAlign w:val="bottom"/>
          </w:tcPr>
          <w:p>
            <w:pPr>
              <w:jc w:val="right"/>
              <w:ind w:right="622"/>
              <w:spacing w:after="0"/>
              <w:rPr>
                <w:sz w:val="20"/>
                <w:szCs w:val="20"/>
                <w:color w:val="auto"/>
              </w:rPr>
            </w:pPr>
            <w:r>
              <w:rPr>
                <w:rFonts w:ascii="Arial" w:cs="Arial" w:eastAsia="Arial" w:hAnsi="Arial"/>
                <w:sz w:val="16"/>
                <w:szCs w:val="16"/>
                <w:color w:val="auto"/>
              </w:rPr>
              <w:t>$</w:t>
            </w:r>
          </w:p>
        </w:tc>
        <w:tc>
          <w:tcPr>
            <w:tcW w:w="440" w:type="dxa"/>
            <w:vAlign w:val="bottom"/>
          </w:tcPr>
          <w:p>
            <w:pPr>
              <w:jc w:val="right"/>
              <w:spacing w:after="0"/>
              <w:rPr>
                <w:sz w:val="20"/>
                <w:szCs w:val="20"/>
                <w:color w:val="auto"/>
              </w:rPr>
            </w:pPr>
            <w:r>
              <w:rPr>
                <w:rFonts w:ascii="Arial" w:cs="Arial" w:eastAsia="Arial" w:hAnsi="Arial"/>
                <w:sz w:val="16"/>
                <w:szCs w:val="16"/>
                <w:color w:val="auto"/>
              </w:rPr>
              <w:t>24</w:t>
            </w:r>
          </w:p>
        </w:tc>
        <w:tc>
          <w:tcPr>
            <w:tcW w:w="52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11</w:t>
            </w:r>
          </w:p>
        </w:tc>
      </w:tr>
      <w:tr>
        <w:trPr>
          <w:trHeight w:val="235"/>
        </w:trPr>
        <w:tc>
          <w:tcPr>
            <w:tcW w:w="7400" w:type="dxa"/>
            <w:vAlign w:val="bottom"/>
          </w:tcPr>
          <w:p>
            <w:pPr>
              <w:spacing w:after="0"/>
              <w:rPr>
                <w:sz w:val="20"/>
                <w:szCs w:val="20"/>
                <w:color w:val="auto"/>
              </w:rPr>
            </w:pPr>
            <w:r>
              <w:rPr>
                <w:rFonts w:ascii="Arial" w:cs="Arial" w:eastAsia="Arial" w:hAnsi="Arial"/>
                <w:sz w:val="16"/>
                <w:szCs w:val="16"/>
                <w:color w:val="auto"/>
              </w:rPr>
              <w:t>Aggregate unpaid principal</w:t>
            </w:r>
          </w:p>
        </w:tc>
        <w:tc>
          <w:tcPr>
            <w:tcW w:w="82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24</w:t>
            </w:r>
          </w:p>
        </w:tc>
        <w:tc>
          <w:tcPr>
            <w:tcW w:w="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11</w:t>
            </w:r>
          </w:p>
        </w:tc>
      </w:tr>
      <w:tr>
        <w:trPr>
          <w:trHeight w:val="270"/>
        </w:trPr>
        <w:tc>
          <w:tcPr>
            <w:tcW w:w="7400" w:type="dxa"/>
            <w:vAlign w:val="bottom"/>
          </w:tcPr>
          <w:p>
            <w:pPr>
              <w:ind w:left="300"/>
              <w:spacing w:after="0"/>
              <w:rPr>
                <w:sz w:val="20"/>
                <w:szCs w:val="20"/>
                <w:color w:val="auto"/>
              </w:rPr>
            </w:pPr>
            <w:r>
              <w:rPr>
                <w:rFonts w:ascii="Arial" w:cs="Arial" w:eastAsia="Arial" w:hAnsi="Arial"/>
                <w:sz w:val="16"/>
                <w:szCs w:val="16"/>
                <w:color w:val="auto"/>
              </w:rPr>
              <w:t>(a) No loans are 90 days or more past due or on nonaccrual status</w:t>
            </w:r>
          </w:p>
        </w:tc>
        <w:tc>
          <w:tcPr>
            <w:tcW w:w="8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20" w:type="dxa"/>
            <w:vAlign w:val="bottom"/>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-1367155</wp:posOffset>
            </wp:positionV>
            <wp:extent cx="6410325" cy="122047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85">
                      <a:extLst>
                        <a:ext uri="{28A0092B-C50C-407E-A947-70E740481C1C}"/>
                      </a:extLst>
                    </a:blip>
                    <a:srcRect/>
                    <a:stretch>
                      <a:fillRect/>
                    </a:stretch>
                  </pic:blipFill>
                  <pic:spPr bwMode="auto">
                    <a:xfrm>
                      <a:off x="0" y="0"/>
                      <a:ext cx="6410325" cy="1220470"/>
                    </a:xfrm>
                    <a:prstGeom prst="rect">
                      <a:avLst/>
                    </a:prstGeom>
                    <a:noFill/>
                  </pic:spPr>
                </pic:pic>
              </a:graphicData>
            </a:graphic>
          </wp:anchor>
        </w:drawing>
      </w:r>
    </w:p>
    <w:p>
      <w:pPr>
        <w:spacing w:after="0" w:line="188" w:lineRule="exact"/>
        <w:rPr>
          <w:sz w:val="20"/>
          <w:szCs w:val="20"/>
          <w:color w:val="auto"/>
        </w:rPr>
      </w:pPr>
    </w:p>
    <w:p>
      <w:pPr>
        <w:jc w:val="both"/>
        <w:ind w:firstLine="353"/>
        <w:spacing w:after="0" w:line="361" w:lineRule="auto"/>
        <w:rPr>
          <w:sz w:val="20"/>
          <w:szCs w:val="20"/>
          <w:color w:val="auto"/>
        </w:rPr>
      </w:pPr>
      <w:r>
        <w:rPr>
          <w:rFonts w:ascii="Arial" w:cs="Arial" w:eastAsia="Arial" w:hAnsi="Arial"/>
          <w:sz w:val="17"/>
          <w:szCs w:val="17"/>
          <w:color w:val="auto"/>
        </w:rPr>
        <w:t>The following table presents information regarding the impact of changes in fair value of assets for which the fair value option was elected which are reported within Recognized gains and losses, net on the Consolidated Statements of Earnings.</w:t>
      </w:r>
    </w:p>
    <w:p>
      <w:pPr>
        <w:spacing w:after="0" w:line="191" w:lineRule="exact"/>
        <w:rPr>
          <w:sz w:val="20"/>
          <w:szCs w:val="20"/>
          <w:color w:val="auto"/>
        </w:rPr>
      </w:pPr>
    </w:p>
    <w:p>
      <w:pPr>
        <w:ind w:left="8280"/>
        <w:spacing w:after="0"/>
        <w:rPr>
          <w:sz w:val="20"/>
          <w:szCs w:val="20"/>
          <w:color w:val="auto"/>
        </w:rPr>
      </w:pPr>
      <w:r>
        <w:rPr>
          <w:rFonts w:ascii="Arial" w:cs="Arial" w:eastAsia="Arial" w:hAnsi="Arial"/>
          <w:sz w:val="16"/>
          <w:szCs w:val="16"/>
          <w:b w:val="1"/>
          <w:bCs w:val="1"/>
          <w:color w:val="auto"/>
        </w:rPr>
        <w:t>December 31,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4718050</wp:posOffset>
                </wp:positionH>
                <wp:positionV relativeFrom="paragraph">
                  <wp:posOffset>24130</wp:posOffset>
                </wp:positionV>
                <wp:extent cx="1661795" cy="0"/>
                <wp:wrapNone/>
                <wp:docPr id="122" name="Shape 12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66179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122" o:spid="_x0000_s114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71.5pt,1.9pt" to="502.35pt,1.9pt" o:allowincell="f" strokecolor="#000000" strokeweight="1pt"/>
            </w:pict>
          </mc:Fallback>
        </mc:AlternateContent>
      </w:r>
    </w:p>
    <w:p>
      <w:pPr>
        <w:spacing w:after="0" w:line="31" w:lineRule="exact"/>
        <w:rPr>
          <w:sz w:val="20"/>
          <w:szCs w:val="20"/>
          <w:color w:val="auto"/>
        </w:rPr>
      </w:pPr>
    </w:p>
    <w:tbl>
      <w:tblPr>
        <w:tblLayout w:type="fixed"/>
        <w:tblInd w:w="40" w:type="dxa"/>
        <w:tblCellMar>
          <w:top w:w="0" w:type="dxa"/>
          <w:left w:w="0" w:type="dxa"/>
          <w:bottom w:w="0" w:type="dxa"/>
          <w:right w:w="0" w:type="dxa"/>
        </w:tblCellMar>
      </w:tblPr>
      <w:tr>
        <w:trPr>
          <w:trHeight w:val="213"/>
        </w:trPr>
        <w:tc>
          <w:tcPr>
            <w:tcW w:w="7400" w:type="dxa"/>
            <w:vAlign w:val="bottom"/>
          </w:tcPr>
          <w:p>
            <w:pPr>
              <w:spacing w:after="0"/>
              <w:rPr>
                <w:sz w:val="18"/>
                <w:szCs w:val="18"/>
                <w:color w:val="auto"/>
              </w:rPr>
            </w:pPr>
          </w:p>
        </w:tc>
        <w:tc>
          <w:tcPr>
            <w:tcW w:w="92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b w:val="1"/>
                <w:bCs w:val="1"/>
                <w:color w:val="auto"/>
              </w:rPr>
              <w:t>2025</w:t>
            </w:r>
          </w:p>
        </w:tc>
        <w:tc>
          <w:tcPr>
            <w:tcW w:w="34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280" w:type="dxa"/>
            <w:vAlign w:val="bottom"/>
            <w:tcBorders>
              <w:bottom w:val="single" w:sz="8" w:color="auto"/>
            </w:tcBorders>
          </w:tcPr>
          <w:p>
            <w:pPr>
              <w:jc w:val="right"/>
              <w:ind w:right="402"/>
              <w:spacing w:after="0"/>
              <w:rPr>
                <w:sz w:val="20"/>
                <w:szCs w:val="20"/>
                <w:color w:val="auto"/>
              </w:rPr>
            </w:pPr>
            <w:r>
              <w:rPr>
                <w:rFonts w:ascii="Arial" w:cs="Arial" w:eastAsia="Arial" w:hAnsi="Arial"/>
                <w:sz w:val="16"/>
                <w:szCs w:val="16"/>
                <w:b w:val="1"/>
                <w:bCs w:val="1"/>
                <w:color w:val="auto"/>
              </w:rPr>
              <w:t>2024</w:t>
            </w:r>
          </w:p>
        </w:tc>
      </w:tr>
      <w:tr>
        <w:trPr>
          <w:trHeight w:val="208"/>
        </w:trPr>
        <w:tc>
          <w:tcPr>
            <w:tcW w:w="8320" w:type="dxa"/>
            <w:vAlign w:val="bottom"/>
            <w:gridSpan w:val="2"/>
          </w:tcPr>
          <w:p>
            <w:pPr>
              <w:jc w:val="right"/>
              <w:ind w:right="5742"/>
              <w:spacing w:after="0"/>
              <w:rPr>
                <w:sz w:val="20"/>
                <w:szCs w:val="20"/>
                <w:color w:val="auto"/>
              </w:rPr>
            </w:pPr>
            <w:r>
              <w:rPr>
                <w:rFonts w:ascii="Arial" w:cs="Arial" w:eastAsia="Arial" w:hAnsi="Arial"/>
                <w:sz w:val="16"/>
                <w:szCs w:val="16"/>
                <w:color w:val="auto"/>
                <w:w w:val="89"/>
              </w:rPr>
              <w:t>Investments in unconsolidated affiliates</w:t>
            </w:r>
          </w:p>
        </w:tc>
        <w:tc>
          <w:tcPr>
            <w:tcW w:w="340" w:type="dxa"/>
            <w:vAlign w:val="bottom"/>
          </w:tcPr>
          <w:p>
            <w:pPr>
              <w:jc w:val="right"/>
              <w:spacing w:after="0"/>
              <w:rPr>
                <w:sz w:val="20"/>
                <w:szCs w:val="20"/>
                <w:color w:val="auto"/>
              </w:rPr>
            </w:pPr>
            <w:r>
              <w:rPr>
                <w:rFonts w:ascii="Arial" w:cs="Arial" w:eastAsia="Arial" w:hAnsi="Arial"/>
                <w:sz w:val="16"/>
                <w:szCs w:val="16"/>
                <w:color w:val="auto"/>
              </w:rPr>
              <w:t>(2)</w:t>
            </w:r>
          </w:p>
        </w:tc>
        <w:tc>
          <w:tcPr>
            <w:tcW w:w="1340" w:type="dxa"/>
            <w:vAlign w:val="bottom"/>
            <w:gridSpan w:val="2"/>
          </w:tcPr>
          <w:p>
            <w:pPr>
              <w:jc w:val="right"/>
              <w:spacing w:after="0"/>
              <w:rPr>
                <w:sz w:val="20"/>
                <w:szCs w:val="20"/>
                <w:color w:val="auto"/>
              </w:rPr>
            </w:pPr>
            <w:r>
              <w:rPr>
                <w:rFonts w:ascii="Arial" w:cs="Arial" w:eastAsia="Arial" w:hAnsi="Arial"/>
                <w:sz w:val="16"/>
                <w:szCs w:val="16"/>
                <w:color w:val="auto"/>
              </w:rPr>
              <w:t>79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-150495</wp:posOffset>
            </wp:positionV>
            <wp:extent cx="6410325" cy="17462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86">
                      <a:extLst>
                        <a:ext uri="{28A0092B-C50C-407E-A947-70E740481C1C}"/>
                      </a:extLst>
                    </a:blip>
                    <a:srcRect/>
                    <a:stretch>
                      <a:fillRect/>
                    </a:stretch>
                  </pic:blipFill>
                  <pic:spPr bwMode="auto">
                    <a:xfrm>
                      <a:off x="0" y="0"/>
                      <a:ext cx="6410325" cy="174625"/>
                    </a:xfrm>
                    <a:prstGeom prst="rect">
                      <a:avLst/>
                    </a:prstGeom>
                    <a:noFill/>
                  </pic:spPr>
                </pic:pic>
              </a:graphicData>
            </a:graphic>
          </wp:anchor>
        </w:drawing>
      </w:r>
    </w:p>
    <w:p>
      <w:pPr>
        <w:spacing w:after="0" w:line="26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Valuation Methodologies and Associated Inputs for Financial Instruments Not Carried at Fair Value</w:t>
      </w:r>
    </w:p>
    <w:p>
      <w:pPr>
        <w:spacing w:after="0" w:line="130" w:lineRule="exact"/>
        <w:rPr>
          <w:sz w:val="20"/>
          <w:szCs w:val="20"/>
          <w:color w:val="auto"/>
        </w:rPr>
      </w:pPr>
    </w:p>
    <w:p>
      <w:pPr>
        <w:jc w:val="both"/>
        <w:ind w:firstLine="353"/>
        <w:spacing w:after="0" w:line="254" w:lineRule="auto"/>
        <w:rPr>
          <w:sz w:val="20"/>
          <w:szCs w:val="20"/>
          <w:color w:val="auto"/>
        </w:rPr>
      </w:pPr>
      <w:r>
        <w:rPr>
          <w:rFonts w:ascii="Arial" w:cs="Arial" w:eastAsia="Arial" w:hAnsi="Arial"/>
          <w:sz w:val="20"/>
          <w:szCs w:val="20"/>
          <w:color w:val="auto"/>
        </w:rPr>
        <w:t>The following discussion outlines the methodologies and assumptions used to determine the fair value of our financial instruments not carried at fair value. Considerable judgment is required to develop these assumptions used to measure fair value. Accordingly, the estimates shown are not necessarily indicative of the amounts that would be realized in a one-time, current market exchange of all of our financial instruments.</w:t>
      </w:r>
    </w:p>
    <w:p>
      <w:pPr>
        <w:spacing w:after="0" w:line="8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Mortgage Loans</w:t>
      </w:r>
    </w:p>
    <w:p>
      <w:pPr>
        <w:spacing w:after="0" w:line="125" w:lineRule="exact"/>
        <w:rPr>
          <w:sz w:val="20"/>
          <w:szCs w:val="20"/>
          <w:color w:val="auto"/>
        </w:rPr>
      </w:pPr>
    </w:p>
    <w:p>
      <w:pPr>
        <w:jc w:val="both"/>
        <w:ind w:firstLine="353"/>
        <w:spacing w:after="0" w:line="251" w:lineRule="auto"/>
        <w:rPr>
          <w:sz w:val="20"/>
          <w:szCs w:val="20"/>
          <w:color w:val="auto"/>
        </w:rPr>
      </w:pPr>
      <w:r>
        <w:rPr>
          <w:rFonts w:ascii="Arial" w:cs="Arial" w:eastAsia="Arial" w:hAnsi="Arial"/>
          <w:sz w:val="20"/>
          <w:szCs w:val="20"/>
          <w:color w:val="auto"/>
        </w:rPr>
        <w:t>The fair value of mortgage loans is established using a discounted cash flow method based on internal credit rating, maturity, and future income. This yield-based approach is sourced from our third-party vendor. The internal ratings for mortgages in good standing are based on property type, location, market conditions, occupancy, debt service coverage, loan-to-value, quality of tenancy, borrower, and payment record. The inputs used to measure the fair value of our mortgage loans are classified as Level 3 within the fair value hierarchy.</w:t>
      </w:r>
    </w:p>
    <w:p>
      <w:pPr>
        <w:spacing w:after="0" w:line="8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Investments in Unconsolidated affiliates</w:t>
      </w:r>
    </w:p>
    <w:p>
      <w:pPr>
        <w:spacing w:after="0" w:line="125" w:lineRule="exact"/>
        <w:rPr>
          <w:sz w:val="20"/>
          <w:szCs w:val="20"/>
          <w:color w:val="auto"/>
        </w:rPr>
      </w:pPr>
    </w:p>
    <w:p>
      <w:pPr>
        <w:jc w:val="both"/>
        <w:ind w:firstLine="353"/>
        <w:spacing w:after="0" w:line="271" w:lineRule="auto"/>
        <w:rPr>
          <w:sz w:val="20"/>
          <w:szCs w:val="20"/>
          <w:color w:val="auto"/>
        </w:rPr>
      </w:pPr>
      <w:r>
        <w:rPr>
          <w:rFonts w:ascii="Arial" w:cs="Arial" w:eastAsia="Arial" w:hAnsi="Arial"/>
          <w:sz w:val="19"/>
          <w:szCs w:val="19"/>
          <w:color w:val="auto"/>
        </w:rPr>
        <w:t>In our F&amp;G segment, the fair value of Investments in unconsolidated affiliates is determined using NAV as a practical expedient and are included in the NAV column in the table below. In our Title segment, Investments in unconsolidated affiliates are accounted for under the equity method of accounting. In our Title segment, Investments in unconsolidated affiliates were $288 million and $166 million as of December 31, 2025 and 2024, respectively.</w:t>
      </w:r>
    </w:p>
    <w:p>
      <w:pPr>
        <w:spacing w:after="0" w:line="7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Policy Loans (included within Other long-term investments)</w:t>
      </w:r>
    </w:p>
    <w:p>
      <w:pPr>
        <w:spacing w:after="0" w:line="125" w:lineRule="exact"/>
        <w:rPr>
          <w:sz w:val="20"/>
          <w:szCs w:val="20"/>
          <w:color w:val="auto"/>
        </w:rPr>
      </w:pPr>
    </w:p>
    <w:p>
      <w:pPr>
        <w:jc w:val="both"/>
        <w:ind w:firstLine="353"/>
        <w:spacing w:after="0" w:line="258" w:lineRule="auto"/>
        <w:rPr>
          <w:sz w:val="20"/>
          <w:szCs w:val="20"/>
          <w:color w:val="auto"/>
        </w:rPr>
      </w:pPr>
      <w:r>
        <w:rPr>
          <w:rFonts w:ascii="Arial" w:cs="Arial" w:eastAsia="Arial" w:hAnsi="Arial"/>
          <w:sz w:val="20"/>
          <w:szCs w:val="20"/>
          <w:color w:val="auto"/>
        </w:rPr>
        <w:t>Policy loans are reported at the unpaid principal balance and are fully collateralized by the cash surrender value of underlying insurance policies. The carrying value of the policy loans approximates the fair value and are classified as Level 3 in the fair value hierarchy.</w:t>
      </w:r>
    </w:p>
    <w:p>
      <w:pPr>
        <w:spacing w:after="0" w:line="8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Company Owned Life Insurance (included within Other long-term investments)</w:t>
      </w:r>
    </w:p>
    <w:p>
      <w:pPr>
        <w:spacing w:after="0" w:line="125" w:lineRule="exact"/>
        <w:rPr>
          <w:sz w:val="20"/>
          <w:szCs w:val="20"/>
          <w:color w:val="auto"/>
        </w:rPr>
      </w:pPr>
    </w:p>
    <w:p>
      <w:pPr>
        <w:jc w:val="both"/>
        <w:ind w:firstLine="353"/>
        <w:spacing w:after="0" w:line="258" w:lineRule="auto"/>
        <w:rPr>
          <w:sz w:val="20"/>
          <w:szCs w:val="20"/>
          <w:color w:val="auto"/>
        </w:rPr>
      </w:pPr>
      <w:r>
        <w:rPr>
          <w:rFonts w:ascii="Arial" w:cs="Arial" w:eastAsia="Arial" w:hAnsi="Arial"/>
          <w:sz w:val="20"/>
          <w:szCs w:val="20"/>
          <w:color w:val="auto"/>
        </w:rPr>
        <w:t>Company owned life insurance ("COLI") is a life insurance program used to finance certain employee benefit expenses. The fair value of COLI is based on net realizable value, which is generally cash surrender value. COLI is classified as Level 3 within the fair value hierarchy.</w:t>
      </w:r>
    </w:p>
    <w:p>
      <w:pPr>
        <w:sectPr>
          <w:pgSz w:w="11880" w:h="15480" w:orient="portrait"/>
          <w:cols w:equalWidth="0" w:num="1">
            <w:col w:w="10040"/>
          </w:cols>
          <w:pgMar w:left="920" w:top="772"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131</w:t>
      </w:r>
    </w:p>
    <w:p>
      <w:pPr>
        <w:sectPr>
          <w:pgSz w:w="11880" w:h="15480" w:orient="portrait"/>
          <w:cols w:equalWidth="0" w:num="1">
            <w:col w:w="10040"/>
          </w:cols>
          <w:pgMar w:left="920" w:top="772" w:right="920" w:bottom="0" w:gutter="0" w:footer="0" w:header="0"/>
          <w:type w:val="continuous"/>
        </w:sectPr>
      </w:pPr>
    </w:p>
    <w:bookmarkStart w:id="143" w:name="page144"/>
    <w:bookmarkEnd w:id="143"/>
    <w:p>
      <w:pPr>
        <w:spacing w:after="0"/>
        <w:rPr>
          <w:sz w:val="20"/>
          <w:szCs w:val="20"/>
          <w:color w:val="auto"/>
        </w:rPr>
      </w:pPr>
      <w:r>
        <w:rPr>
          <w:rFonts w:ascii="Arial" w:cs="Arial" w:eastAsia="Arial" w:hAnsi="Arial"/>
          <w:sz w:val="20"/>
          <w:szCs w:val="20"/>
          <w:b w:val="1"/>
          <w:bCs w:val="1"/>
          <w:i w:val="1"/>
          <w:iCs w:val="1"/>
          <w:color w:val="auto"/>
        </w:rPr>
        <w:t>Other Invested Assets (included within Other long-term investments)</w:t>
      </w:r>
    </w:p>
    <w:p>
      <w:pPr>
        <w:spacing w:after="0" w:line="125" w:lineRule="exact"/>
        <w:rPr>
          <w:sz w:val="20"/>
          <w:szCs w:val="20"/>
          <w:color w:val="auto"/>
        </w:rPr>
      </w:pPr>
    </w:p>
    <w:p>
      <w:pPr>
        <w:jc w:val="both"/>
        <w:ind w:firstLine="353"/>
        <w:spacing w:after="0" w:line="306" w:lineRule="auto"/>
        <w:rPr>
          <w:sz w:val="20"/>
          <w:szCs w:val="20"/>
          <w:color w:val="auto"/>
        </w:rPr>
      </w:pPr>
      <w:r>
        <w:rPr>
          <w:rFonts w:ascii="Arial" w:cs="Arial" w:eastAsia="Arial" w:hAnsi="Arial"/>
          <w:sz w:val="17"/>
          <w:szCs w:val="17"/>
          <w:color w:val="auto"/>
        </w:rPr>
        <w:t>The fair value of bank loans is estimated using a discounted cash flow method with the discount rate based on weighted average cost of capital ("WACC"). This yield-based approach is sourced from a third-party vendor and the WACC establishes a market participant discount rate by determining the hypothetical capital structure for the asset should it be underwritten as of each period end. Bank loans are classified as Level 3 within the fair value hierarchy. For cost method investments, our carrying value approximates fair value. Cost method investments are classified as Level 1 within the fair value hierarchy.</w:t>
      </w:r>
    </w:p>
    <w:p>
      <w:pPr>
        <w:spacing w:after="0" w:line="4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Investment Contracts</w:t>
      </w:r>
    </w:p>
    <w:p>
      <w:pPr>
        <w:spacing w:after="0" w:line="125" w:lineRule="exact"/>
        <w:rPr>
          <w:sz w:val="20"/>
          <w:szCs w:val="20"/>
          <w:color w:val="auto"/>
        </w:rPr>
      </w:pPr>
    </w:p>
    <w:p>
      <w:pPr>
        <w:jc w:val="both"/>
        <w:ind w:firstLine="353"/>
        <w:spacing w:after="0" w:line="262" w:lineRule="auto"/>
        <w:rPr>
          <w:sz w:val="20"/>
          <w:szCs w:val="20"/>
          <w:color w:val="auto"/>
        </w:rPr>
      </w:pPr>
      <w:r>
        <w:rPr>
          <w:rFonts w:ascii="Arial" w:cs="Arial" w:eastAsia="Arial" w:hAnsi="Arial"/>
          <w:sz w:val="19"/>
          <w:szCs w:val="19"/>
          <w:color w:val="auto"/>
        </w:rPr>
        <w:t>Investment contracts include deferred annuities (indexed annuities and fixed rate annuities), IUL policies, funding agreements and PRT, and immediate annuity contracts without life contingencies. The indexed annuities/IUL embedded derivatives, included in contractholder funds, are excluded as they are carried at fair value. The fair value of the deferred annuities (indexed annuities and fixed rate annuities) and IUL contracts is based on their cash surrender value (i.e., the cost the Company would incur to extinguish the liability) as these contracts are generally issued without an annuitization date. The fair value of funding agreements and PRT and immediate annuity contracts without life contingencies is derived by calculating a new fair value interest rate using the updated yield curve and treasury spreads as of the respective reporting date. The Company is not required to, and has not, estimated the fair value of the liabilities under contracts that involve significant mortality or morbidity risks, as these liabilities fall within the definition of insurance contracts that are exceptions from financial instruments that require disclosures of fair value.</w:t>
      </w:r>
    </w:p>
    <w:p>
      <w:pPr>
        <w:spacing w:after="0" w:line="8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Other</w:t>
      </w:r>
    </w:p>
    <w:p>
      <w:pPr>
        <w:spacing w:after="0" w:line="125" w:lineRule="exact"/>
        <w:rPr>
          <w:sz w:val="20"/>
          <w:szCs w:val="20"/>
          <w:color w:val="auto"/>
        </w:rPr>
      </w:pPr>
    </w:p>
    <w:p>
      <w:pPr>
        <w:jc w:val="both"/>
        <w:ind w:firstLine="441"/>
        <w:spacing w:after="0" w:line="270" w:lineRule="auto"/>
        <w:rPr>
          <w:sz w:val="20"/>
          <w:szCs w:val="20"/>
          <w:color w:val="auto"/>
        </w:rPr>
      </w:pPr>
      <w:r>
        <w:rPr>
          <w:rFonts w:ascii="Arial" w:cs="Arial" w:eastAsia="Arial" w:hAnsi="Arial"/>
          <w:sz w:val="20"/>
          <w:szCs w:val="20"/>
          <w:color w:val="auto"/>
        </w:rPr>
        <w:t>Federal Home Loan Bank of Atlanta ("FHLB") common stock, Accounts receivable, and Notes receivable are carried at cost, which approximates fair value. The carrying amount of FHLB common stock represents the value it can be sold back to the FHLB and is classified as Level 2 within the hierarchy. Accounts receivable and Notes receivable are classified as Level 3 within the fair value hierarchy.</w:t>
      </w:r>
    </w:p>
    <w:p>
      <w:pPr>
        <w:spacing w:after="0" w:line="6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Debt</w:t>
      </w:r>
    </w:p>
    <w:p>
      <w:pPr>
        <w:spacing w:after="0" w:line="125" w:lineRule="exact"/>
        <w:rPr>
          <w:sz w:val="20"/>
          <w:szCs w:val="20"/>
          <w:color w:val="auto"/>
        </w:rPr>
      </w:pPr>
    </w:p>
    <w:p>
      <w:pPr>
        <w:jc w:val="both"/>
        <w:ind w:firstLine="353"/>
        <w:spacing w:after="0" w:line="264" w:lineRule="auto"/>
        <w:rPr>
          <w:sz w:val="20"/>
          <w:szCs w:val="20"/>
          <w:color w:val="auto"/>
        </w:rPr>
      </w:pPr>
      <w:r>
        <w:rPr>
          <w:rFonts w:ascii="Arial" w:cs="Arial" w:eastAsia="Arial" w:hAnsi="Arial"/>
          <w:sz w:val="20"/>
          <w:szCs w:val="20"/>
          <w:color w:val="auto"/>
        </w:rPr>
        <w:t>The fair value of debt, with the exception of the F&amp;G Credit Agreement is based on quoted market prices. The carrying value of the F&amp;G Credit Agreement would approximate fair value as the rates are comparable to those at which we could currently borrow under similar terms. As of December 31, 2025 and 2024, there were no outstanding balance on the F&amp;G Credit Agreement. The inputs used to measure the fair value of our outstanding debt are classified as Level 2 within the fair value hierarchy.</w:t>
      </w:r>
    </w:p>
    <w:p>
      <w:pPr>
        <w:sectPr>
          <w:pgSz w:w="11880" w:h="15480" w:orient="portrait"/>
          <w:cols w:equalWidth="0" w:num="1">
            <w:col w:w="10040"/>
          </w:cols>
          <w:pgMar w:left="920" w:top="770"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132</w:t>
      </w:r>
    </w:p>
    <w:p>
      <w:pPr>
        <w:sectPr>
          <w:pgSz w:w="11880" w:h="15480" w:orient="portrait"/>
          <w:cols w:equalWidth="0" w:num="1">
            <w:col w:w="10040"/>
          </w:cols>
          <w:pgMar w:left="920" w:top="770" w:right="920" w:bottom="0" w:gutter="0" w:footer="0" w:header="0"/>
          <w:type w:val="continuous"/>
        </w:sectPr>
      </w:pPr>
    </w:p>
    <w:bookmarkStart w:id="144" w:name="page145"/>
    <w:bookmarkEnd w:id="144"/>
    <w:p>
      <w:pPr>
        <w:jc w:val="both"/>
        <w:ind w:left="260" w:right="320" w:firstLine="353"/>
        <w:spacing w:after="0" w:line="258" w:lineRule="auto"/>
        <w:rPr>
          <w:sz w:val="20"/>
          <w:szCs w:val="20"/>
          <w:color w:val="auto"/>
        </w:rPr>
      </w:pPr>
      <w:r>
        <w:rPr>
          <w:rFonts w:ascii="Arial" w:cs="Arial" w:eastAsia="Arial" w:hAnsi="Arial"/>
          <w:sz w:val="20"/>
          <w:szCs w:val="20"/>
          <w:color w:val="auto"/>
        </w:rPr>
        <w:t>The following tables provide the carrying value and estimated fair value of our financial instruments that are carried on the Consolidated Balance Sheets at amounts other than fair value, summarized according to the fair value hierarchy previously described.</w:t>
      </w:r>
    </w:p>
    <w:p>
      <w:pPr>
        <w:spacing w:after="0" w:line="287" w:lineRule="exact"/>
        <w:rPr>
          <w:sz w:val="20"/>
          <w:szCs w:val="20"/>
          <w:color w:val="auto"/>
        </w:rPr>
      </w:pPr>
    </w:p>
    <w:tbl>
      <w:tblPr>
        <w:tblLayout w:type="fixed"/>
        <w:tblInd w:w="140" w:type="dxa"/>
        <w:tblCellMar>
          <w:top w:w="0" w:type="dxa"/>
          <w:left w:w="0" w:type="dxa"/>
          <w:bottom w:w="0" w:type="dxa"/>
          <w:right w:w="0" w:type="dxa"/>
        </w:tblCellMar>
      </w:tblPr>
      <w:tr>
        <w:trPr>
          <w:trHeight w:val="206"/>
        </w:trPr>
        <w:tc>
          <w:tcPr>
            <w:tcW w:w="38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40" w:type="dxa"/>
            <w:vAlign w:val="bottom"/>
            <w:gridSpan w:val="4"/>
          </w:tcPr>
          <w:p>
            <w:pPr>
              <w:jc w:val="center"/>
              <w:ind w:left="102"/>
              <w:spacing w:after="0"/>
              <w:rPr>
                <w:sz w:val="20"/>
                <w:szCs w:val="20"/>
                <w:color w:val="auto"/>
              </w:rPr>
            </w:pPr>
            <w:r>
              <w:rPr>
                <w:rFonts w:ascii="Arial" w:cs="Arial" w:eastAsia="Arial" w:hAnsi="Arial"/>
                <w:sz w:val="16"/>
                <w:szCs w:val="16"/>
                <w:b w:val="1"/>
                <w:bCs w:val="1"/>
                <w:color w:val="auto"/>
                <w:w w:val="88"/>
              </w:rPr>
              <w:t>December 31, 2025</w:t>
            </w: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3800" w:type="dxa"/>
            <w:vAlign w:val="bottom"/>
          </w:tcPr>
          <w:p>
            <w:pPr>
              <w:spacing w:after="0"/>
              <w:rPr>
                <w:sz w:val="22"/>
                <w:szCs w:val="22"/>
                <w:color w:val="auto"/>
              </w:rPr>
            </w:pPr>
          </w:p>
        </w:tc>
        <w:tc>
          <w:tcPr>
            <w:tcW w:w="74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740" w:type="dxa"/>
            <w:vAlign w:val="bottom"/>
            <w:tcBorders>
              <w:bottom w:val="single" w:sz="8" w:color="auto"/>
            </w:tcBorders>
            <w:gridSpan w:val="4"/>
          </w:tcPr>
          <w:p>
            <w:pPr>
              <w:jc w:val="center"/>
              <w:ind w:left="102"/>
              <w:spacing w:after="0"/>
              <w:rPr>
                <w:sz w:val="20"/>
                <w:szCs w:val="20"/>
                <w:color w:val="auto"/>
              </w:rPr>
            </w:pPr>
            <w:r>
              <w:rPr>
                <w:rFonts w:ascii="Arial" w:cs="Arial" w:eastAsia="Arial" w:hAnsi="Arial"/>
                <w:sz w:val="16"/>
                <w:szCs w:val="16"/>
                <w:b w:val="1"/>
                <w:bCs w:val="1"/>
                <w:color w:val="auto"/>
                <w:w w:val="89"/>
              </w:rPr>
              <w:t>(in millions)</w:t>
            </w:r>
          </w:p>
        </w:tc>
        <w:tc>
          <w:tcPr>
            <w:tcW w:w="6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42"/>
        </w:trPr>
        <w:tc>
          <w:tcPr>
            <w:tcW w:w="38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jc w:val="center"/>
              <w:ind w:right="202"/>
              <w:spacing w:after="0" w:line="142" w:lineRule="exact"/>
              <w:rPr>
                <w:sz w:val="20"/>
                <w:szCs w:val="20"/>
                <w:color w:val="auto"/>
              </w:rPr>
            </w:pPr>
            <w:r>
              <w:rPr>
                <w:rFonts w:ascii="Arial" w:cs="Arial" w:eastAsia="Arial" w:hAnsi="Arial"/>
                <w:sz w:val="16"/>
                <w:szCs w:val="16"/>
                <w:b w:val="1"/>
                <w:bCs w:val="1"/>
                <w:color w:val="auto"/>
                <w:w w:val="94"/>
              </w:rPr>
              <w:t>Total</w:t>
            </w: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vMerge w:val="restart"/>
          </w:tcPr>
          <w:p>
            <w:pPr>
              <w:jc w:val="right"/>
              <w:ind w:right="202"/>
              <w:spacing w:after="0"/>
              <w:rPr>
                <w:sz w:val="20"/>
                <w:szCs w:val="20"/>
                <w:color w:val="auto"/>
              </w:rPr>
            </w:pPr>
            <w:r>
              <w:rPr>
                <w:rFonts w:ascii="Arial" w:cs="Arial" w:eastAsia="Arial" w:hAnsi="Arial"/>
                <w:sz w:val="16"/>
                <w:szCs w:val="16"/>
                <w:b w:val="1"/>
                <w:bCs w:val="1"/>
                <w:color w:val="auto"/>
              </w:rPr>
              <w:t>Carrying</w:t>
            </w:r>
          </w:p>
        </w:tc>
        <w:tc>
          <w:tcPr>
            <w:tcW w:w="0" w:type="dxa"/>
            <w:vAlign w:val="bottom"/>
          </w:tcPr>
          <w:p>
            <w:pPr>
              <w:spacing w:after="0"/>
              <w:rPr>
                <w:sz w:val="1"/>
                <w:szCs w:val="1"/>
                <w:color w:val="auto"/>
              </w:rPr>
            </w:pPr>
          </w:p>
        </w:tc>
      </w:tr>
      <w:tr>
        <w:trPr>
          <w:trHeight w:val="157"/>
        </w:trPr>
        <w:tc>
          <w:tcPr>
            <w:tcW w:w="3800" w:type="dxa"/>
            <w:vAlign w:val="bottom"/>
          </w:tcPr>
          <w:p>
            <w:pPr>
              <w:spacing w:after="0"/>
              <w:rPr>
                <w:sz w:val="13"/>
                <w:szCs w:val="13"/>
                <w:color w:val="auto"/>
              </w:rPr>
            </w:pPr>
          </w:p>
        </w:tc>
        <w:tc>
          <w:tcPr>
            <w:tcW w:w="7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Level 1</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vMerge w:val="restart"/>
          </w:tcPr>
          <w:p>
            <w:pPr>
              <w:jc w:val="right"/>
              <w:ind w:right="182"/>
              <w:spacing w:after="0"/>
              <w:rPr>
                <w:sz w:val="20"/>
                <w:szCs w:val="20"/>
                <w:color w:val="auto"/>
              </w:rPr>
            </w:pPr>
            <w:r>
              <w:rPr>
                <w:rFonts w:ascii="Arial" w:cs="Arial" w:eastAsia="Arial" w:hAnsi="Arial"/>
                <w:sz w:val="16"/>
                <w:szCs w:val="16"/>
                <w:b w:val="1"/>
                <w:bCs w:val="1"/>
                <w:color w:val="auto"/>
                <w:w w:val="95"/>
              </w:rPr>
              <w:t>Level 2</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vMerge w:val="restart"/>
          </w:tcPr>
          <w:p>
            <w:pPr>
              <w:jc w:val="right"/>
              <w:ind w:right="182"/>
              <w:spacing w:after="0"/>
              <w:rPr>
                <w:sz w:val="20"/>
                <w:szCs w:val="20"/>
                <w:color w:val="auto"/>
              </w:rPr>
            </w:pPr>
            <w:r>
              <w:rPr>
                <w:rFonts w:ascii="Arial" w:cs="Arial" w:eastAsia="Arial" w:hAnsi="Arial"/>
                <w:sz w:val="16"/>
                <w:szCs w:val="16"/>
                <w:b w:val="1"/>
                <w:bCs w:val="1"/>
                <w:color w:val="auto"/>
                <w:w w:val="95"/>
              </w:rPr>
              <w:t>Level 3</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vMerge w:val="restart"/>
          </w:tcPr>
          <w:p>
            <w:pPr>
              <w:jc w:val="right"/>
              <w:ind w:right="182"/>
              <w:spacing w:after="0"/>
              <w:rPr>
                <w:sz w:val="20"/>
                <w:szCs w:val="20"/>
                <w:color w:val="auto"/>
              </w:rPr>
            </w:pPr>
            <w:r>
              <w:rPr>
                <w:rFonts w:ascii="Arial" w:cs="Arial" w:eastAsia="Arial" w:hAnsi="Arial"/>
                <w:sz w:val="16"/>
                <w:szCs w:val="16"/>
                <w:b w:val="1"/>
                <w:bCs w:val="1"/>
                <w:color w:val="auto"/>
              </w:rPr>
              <w:t>NAV</w:t>
            </w:r>
          </w:p>
        </w:tc>
        <w:tc>
          <w:tcPr>
            <w:tcW w:w="60" w:type="dxa"/>
            <w:vAlign w:val="bottom"/>
          </w:tcPr>
          <w:p>
            <w:pPr>
              <w:spacing w:after="0"/>
              <w:rPr>
                <w:sz w:val="13"/>
                <w:szCs w:val="13"/>
                <w:color w:val="auto"/>
              </w:rPr>
            </w:pPr>
          </w:p>
        </w:tc>
        <w:tc>
          <w:tcPr>
            <w:tcW w:w="1180" w:type="dxa"/>
            <w:vAlign w:val="bottom"/>
            <w:gridSpan w:val="2"/>
          </w:tcPr>
          <w:p>
            <w:pPr>
              <w:jc w:val="center"/>
              <w:spacing w:after="0" w:line="157" w:lineRule="exact"/>
              <w:rPr>
                <w:sz w:val="20"/>
                <w:szCs w:val="20"/>
                <w:color w:val="auto"/>
              </w:rPr>
            </w:pPr>
            <w:r>
              <w:rPr>
                <w:rFonts w:ascii="Arial" w:cs="Arial" w:eastAsia="Arial" w:hAnsi="Arial"/>
                <w:sz w:val="16"/>
                <w:szCs w:val="16"/>
                <w:b w:val="1"/>
                <w:bCs w:val="1"/>
                <w:color w:val="auto"/>
                <w:w w:val="90"/>
              </w:rPr>
              <w:t>Estimated Fair</w:t>
            </w: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3800" w:type="dxa"/>
            <w:vAlign w:val="bottom"/>
          </w:tcPr>
          <w:p>
            <w:pPr>
              <w:spacing w:after="0"/>
              <w:rPr>
                <w:sz w:val="18"/>
                <w:szCs w:val="18"/>
                <w:color w:val="auto"/>
              </w:rPr>
            </w:pPr>
          </w:p>
        </w:tc>
        <w:tc>
          <w:tcPr>
            <w:tcW w:w="740" w:type="dxa"/>
            <w:vAlign w:val="bottom"/>
            <w:tcBorders>
              <w:bottom w:val="single" w:sz="8" w:color="auto"/>
            </w:tcBorders>
            <w:vMerge w:val="continue"/>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vMerge w:val="continue"/>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center"/>
              <w:ind w:right="202"/>
              <w:spacing w:after="0"/>
              <w:rPr>
                <w:sz w:val="20"/>
                <w:szCs w:val="20"/>
                <w:color w:val="auto"/>
              </w:rPr>
            </w:pPr>
            <w:r>
              <w:rPr>
                <w:rFonts w:ascii="Arial" w:cs="Arial" w:eastAsia="Arial" w:hAnsi="Arial"/>
                <w:sz w:val="16"/>
                <w:szCs w:val="16"/>
                <w:b w:val="1"/>
                <w:bCs w:val="1"/>
                <w:color w:val="auto"/>
                <w:w w:val="93"/>
              </w:rPr>
              <w:t>Value</w:t>
            </w:r>
          </w:p>
        </w:tc>
        <w:tc>
          <w:tcPr>
            <w:tcW w:w="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242"/>
              <w:spacing w:after="0"/>
              <w:rPr>
                <w:sz w:val="20"/>
                <w:szCs w:val="20"/>
                <w:color w:val="auto"/>
              </w:rPr>
            </w:pPr>
            <w:r>
              <w:rPr>
                <w:rFonts w:ascii="Arial" w:cs="Arial" w:eastAsia="Arial" w:hAnsi="Arial"/>
                <w:sz w:val="16"/>
                <w:szCs w:val="16"/>
                <w:b w:val="1"/>
                <w:bCs w:val="1"/>
                <w:color w:val="auto"/>
              </w:rPr>
              <w:t>Amount</w:t>
            </w:r>
          </w:p>
        </w:tc>
        <w:tc>
          <w:tcPr>
            <w:tcW w:w="0" w:type="dxa"/>
            <w:vAlign w:val="bottom"/>
          </w:tcPr>
          <w:p>
            <w:pPr>
              <w:spacing w:after="0"/>
              <w:rPr>
                <w:sz w:val="1"/>
                <w:szCs w:val="1"/>
                <w:color w:val="auto"/>
              </w:rPr>
            </w:pPr>
          </w:p>
        </w:tc>
      </w:tr>
      <w:tr>
        <w:trPr>
          <w:trHeight w:val="223"/>
        </w:trPr>
        <w:tc>
          <w:tcPr>
            <w:tcW w:w="3800" w:type="dxa"/>
            <w:vAlign w:val="bottom"/>
          </w:tcPr>
          <w:p>
            <w:pPr>
              <w:spacing w:after="0"/>
              <w:rPr>
                <w:sz w:val="20"/>
                <w:szCs w:val="20"/>
                <w:color w:val="auto"/>
              </w:rPr>
            </w:pPr>
            <w:r>
              <w:rPr>
                <w:rFonts w:ascii="Arial" w:cs="Arial" w:eastAsia="Arial" w:hAnsi="Arial"/>
                <w:sz w:val="16"/>
                <w:szCs w:val="16"/>
                <w:b w:val="1"/>
                <w:bCs w:val="1"/>
                <w:color w:val="auto"/>
              </w:rPr>
              <w:t>Assets</w:t>
            </w:r>
          </w:p>
        </w:tc>
        <w:tc>
          <w:tcPr>
            <w:tcW w:w="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9"/>
        </w:trPr>
        <w:tc>
          <w:tcPr>
            <w:tcW w:w="3800" w:type="dxa"/>
            <w:vAlign w:val="bottom"/>
          </w:tcPr>
          <w:p>
            <w:pPr>
              <w:spacing w:after="0"/>
              <w:rPr>
                <w:sz w:val="20"/>
                <w:szCs w:val="20"/>
                <w:color w:val="auto"/>
              </w:rPr>
            </w:pPr>
            <w:r>
              <w:rPr>
                <w:rFonts w:ascii="Arial" w:cs="Arial" w:eastAsia="Arial" w:hAnsi="Arial"/>
                <w:sz w:val="16"/>
                <w:szCs w:val="16"/>
                <w:color w:val="auto"/>
              </w:rPr>
              <w:t>FHLB common stock</w:t>
            </w:r>
          </w:p>
        </w:tc>
        <w:tc>
          <w:tcPr>
            <w:tcW w:w="740" w:type="dxa"/>
            <w:vAlign w:val="bottom"/>
          </w:tcPr>
          <w:p>
            <w:pPr>
              <w:jc w:val="right"/>
              <w:ind w:right="542"/>
              <w:spacing w:after="0"/>
              <w:rPr>
                <w:sz w:val="20"/>
                <w:szCs w:val="20"/>
                <w:color w:val="auto"/>
              </w:rPr>
            </w:pPr>
            <w:r>
              <w:rPr>
                <w:rFonts w:ascii="Arial" w:cs="Arial" w:eastAsia="Arial" w:hAnsi="Arial"/>
                <w:sz w:val="16"/>
                <w:szCs w:val="16"/>
                <w:color w:val="auto"/>
              </w:rPr>
              <w:t>$</w:t>
            </w:r>
          </w:p>
        </w:tc>
        <w:tc>
          <w:tcPr>
            <w:tcW w:w="240" w:type="dxa"/>
            <w:vAlign w:val="bottom"/>
          </w:tcPr>
          <w:p>
            <w:pPr>
              <w:ind w:left="20"/>
              <w:spacing w:after="0"/>
              <w:rPr>
                <w:sz w:val="20"/>
                <w:szCs w:val="20"/>
                <w:color w:val="auto"/>
              </w:rPr>
            </w:pPr>
            <w:r>
              <w:rPr>
                <w:rFonts w:ascii="Arial" w:cs="Arial" w:eastAsia="Arial" w:hAnsi="Arial"/>
                <w:sz w:val="16"/>
                <w:szCs w:val="16"/>
                <w:color w:val="auto"/>
              </w:rPr>
              <w:t>—</w:t>
            </w:r>
          </w:p>
        </w:tc>
        <w:tc>
          <w:tcPr>
            <w:tcW w:w="26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155</w:t>
            </w:r>
          </w:p>
        </w:tc>
        <w:tc>
          <w:tcPr>
            <w:tcW w:w="26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260" w:type="dxa"/>
            <w:vAlign w:val="bottom"/>
            <w:gridSpan w:val="2"/>
          </w:tcPr>
          <w:p>
            <w:pPr>
              <w:jc w:val="center"/>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320" w:type="dxa"/>
            <w:vAlign w:val="bottom"/>
            <w:gridSpan w:val="2"/>
          </w:tcPr>
          <w:p>
            <w:pPr>
              <w:jc w:val="right"/>
              <w:ind w:right="62"/>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2"/>
              <w:spacing w:after="0"/>
              <w:rPr>
                <w:sz w:val="20"/>
                <w:szCs w:val="20"/>
                <w:color w:val="auto"/>
              </w:rPr>
            </w:pPr>
            <w:r>
              <w:rPr>
                <w:rFonts w:ascii="Arial" w:cs="Arial" w:eastAsia="Arial" w:hAnsi="Arial"/>
                <w:sz w:val="16"/>
                <w:szCs w:val="16"/>
                <w:color w:val="auto"/>
              </w:rPr>
              <w:t>155</w:t>
            </w:r>
          </w:p>
        </w:tc>
        <w:tc>
          <w:tcPr>
            <w:tcW w:w="28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155</w:t>
            </w:r>
          </w:p>
        </w:tc>
        <w:tc>
          <w:tcPr>
            <w:tcW w:w="0" w:type="dxa"/>
            <w:vAlign w:val="bottom"/>
          </w:tcPr>
          <w:p>
            <w:pPr>
              <w:spacing w:after="0"/>
              <w:rPr>
                <w:sz w:val="1"/>
                <w:szCs w:val="1"/>
                <w:color w:val="auto"/>
              </w:rPr>
            </w:pPr>
          </w:p>
        </w:tc>
      </w:tr>
      <w:tr>
        <w:trPr>
          <w:trHeight w:val="250"/>
        </w:trPr>
        <w:tc>
          <w:tcPr>
            <w:tcW w:w="3800" w:type="dxa"/>
            <w:vAlign w:val="bottom"/>
          </w:tcPr>
          <w:p>
            <w:pPr>
              <w:spacing w:after="0"/>
              <w:rPr>
                <w:sz w:val="20"/>
                <w:szCs w:val="20"/>
                <w:color w:val="auto"/>
              </w:rPr>
            </w:pPr>
            <w:r>
              <w:rPr>
                <w:rFonts w:ascii="Arial" w:cs="Arial" w:eastAsia="Arial" w:hAnsi="Arial"/>
                <w:sz w:val="16"/>
                <w:szCs w:val="16"/>
                <w:color w:val="auto"/>
              </w:rPr>
              <w:t>Commercial mortgage loans</w:t>
            </w:r>
          </w:p>
        </w:tc>
        <w:tc>
          <w:tcPr>
            <w:tcW w:w="740" w:type="dxa"/>
            <w:vAlign w:val="bottom"/>
          </w:tcPr>
          <w:p>
            <w:pPr>
              <w:spacing w:after="0"/>
              <w:rPr>
                <w:sz w:val="21"/>
                <w:szCs w:val="21"/>
                <w:color w:val="auto"/>
              </w:rPr>
            </w:pPr>
          </w:p>
        </w:tc>
        <w:tc>
          <w:tcPr>
            <w:tcW w:w="240" w:type="dxa"/>
            <w:vAlign w:val="bottom"/>
          </w:tcPr>
          <w:p>
            <w:pPr>
              <w:ind w:left="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0" w:type="dxa"/>
            <w:vAlign w:val="bottom"/>
          </w:tcPr>
          <w:p>
            <w:pPr>
              <w:jc w:val="right"/>
              <w:ind w:right="2"/>
              <w:spacing w:after="0"/>
              <w:rPr>
                <w:sz w:val="20"/>
                <w:szCs w:val="20"/>
                <w:color w:val="auto"/>
              </w:rPr>
            </w:pPr>
            <w:r>
              <w:rPr>
                <w:rFonts w:ascii="Arial" w:cs="Arial" w:eastAsia="Arial" w:hAnsi="Arial"/>
                <w:sz w:val="16"/>
                <w:szCs w:val="16"/>
                <w:color w:val="auto"/>
              </w:rPr>
              <w:t>3,025</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ind w:right="2"/>
              <w:spacing w:after="0"/>
              <w:rPr>
                <w:sz w:val="20"/>
                <w:szCs w:val="20"/>
                <w:color w:val="auto"/>
              </w:rPr>
            </w:pPr>
            <w:r>
              <w:rPr>
                <w:rFonts w:ascii="Arial" w:cs="Arial" w:eastAsia="Arial" w:hAnsi="Arial"/>
                <w:sz w:val="16"/>
                <w:szCs w:val="16"/>
                <w:color w:val="auto"/>
              </w:rPr>
              <w:t>3,025</w:t>
            </w: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3,242</w:t>
            </w:r>
          </w:p>
        </w:tc>
        <w:tc>
          <w:tcPr>
            <w:tcW w:w="0" w:type="dxa"/>
            <w:vAlign w:val="bottom"/>
          </w:tcPr>
          <w:p>
            <w:pPr>
              <w:spacing w:after="0"/>
              <w:rPr>
                <w:sz w:val="1"/>
                <w:szCs w:val="1"/>
                <w:color w:val="auto"/>
              </w:rPr>
            </w:pPr>
          </w:p>
        </w:tc>
      </w:tr>
      <w:tr>
        <w:trPr>
          <w:trHeight w:val="250"/>
        </w:trPr>
        <w:tc>
          <w:tcPr>
            <w:tcW w:w="3800" w:type="dxa"/>
            <w:vAlign w:val="bottom"/>
          </w:tcPr>
          <w:p>
            <w:pPr>
              <w:spacing w:after="0"/>
              <w:rPr>
                <w:sz w:val="20"/>
                <w:szCs w:val="20"/>
                <w:color w:val="auto"/>
              </w:rPr>
            </w:pPr>
            <w:r>
              <w:rPr>
                <w:rFonts w:ascii="Arial" w:cs="Arial" w:eastAsia="Arial" w:hAnsi="Arial"/>
                <w:sz w:val="16"/>
                <w:szCs w:val="16"/>
                <w:color w:val="auto"/>
              </w:rPr>
              <w:t>Residential mortgage loans</w:t>
            </w:r>
          </w:p>
        </w:tc>
        <w:tc>
          <w:tcPr>
            <w:tcW w:w="740" w:type="dxa"/>
            <w:vAlign w:val="bottom"/>
          </w:tcPr>
          <w:p>
            <w:pPr>
              <w:spacing w:after="0"/>
              <w:rPr>
                <w:sz w:val="21"/>
                <w:szCs w:val="21"/>
                <w:color w:val="auto"/>
              </w:rPr>
            </w:pPr>
          </w:p>
        </w:tc>
        <w:tc>
          <w:tcPr>
            <w:tcW w:w="240" w:type="dxa"/>
            <w:vAlign w:val="bottom"/>
          </w:tcPr>
          <w:p>
            <w:pPr>
              <w:ind w:left="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0" w:type="dxa"/>
            <w:vAlign w:val="bottom"/>
          </w:tcPr>
          <w:p>
            <w:pPr>
              <w:jc w:val="right"/>
              <w:ind w:right="2"/>
              <w:spacing w:after="0"/>
              <w:rPr>
                <w:sz w:val="20"/>
                <w:szCs w:val="20"/>
                <w:color w:val="auto"/>
              </w:rPr>
            </w:pPr>
            <w:r>
              <w:rPr>
                <w:rFonts w:ascii="Arial" w:cs="Arial" w:eastAsia="Arial" w:hAnsi="Arial"/>
                <w:sz w:val="16"/>
                <w:szCs w:val="16"/>
                <w:color w:val="auto"/>
              </w:rPr>
              <w:t>4,424</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ind w:right="2"/>
              <w:spacing w:after="0"/>
              <w:rPr>
                <w:sz w:val="20"/>
                <w:szCs w:val="20"/>
                <w:color w:val="auto"/>
              </w:rPr>
            </w:pPr>
            <w:r>
              <w:rPr>
                <w:rFonts w:ascii="Arial" w:cs="Arial" w:eastAsia="Arial" w:hAnsi="Arial"/>
                <w:sz w:val="16"/>
                <w:szCs w:val="16"/>
                <w:color w:val="auto"/>
              </w:rPr>
              <w:t>4,424</w:t>
            </w: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4,649</w:t>
            </w:r>
          </w:p>
        </w:tc>
        <w:tc>
          <w:tcPr>
            <w:tcW w:w="0" w:type="dxa"/>
            <w:vAlign w:val="bottom"/>
          </w:tcPr>
          <w:p>
            <w:pPr>
              <w:spacing w:after="0"/>
              <w:rPr>
                <w:sz w:val="1"/>
                <w:szCs w:val="1"/>
                <w:color w:val="auto"/>
              </w:rPr>
            </w:pPr>
          </w:p>
        </w:tc>
      </w:tr>
      <w:tr>
        <w:trPr>
          <w:trHeight w:val="250"/>
        </w:trPr>
        <w:tc>
          <w:tcPr>
            <w:tcW w:w="3800" w:type="dxa"/>
            <w:vAlign w:val="bottom"/>
          </w:tcPr>
          <w:p>
            <w:pPr>
              <w:spacing w:after="0"/>
              <w:rPr>
                <w:sz w:val="20"/>
                <w:szCs w:val="20"/>
                <w:color w:val="auto"/>
              </w:rPr>
            </w:pPr>
            <w:r>
              <w:rPr>
                <w:rFonts w:ascii="Arial" w:cs="Arial" w:eastAsia="Arial" w:hAnsi="Arial"/>
                <w:sz w:val="16"/>
                <w:szCs w:val="16"/>
                <w:color w:val="auto"/>
              </w:rPr>
              <w:t>Investments in unconsolidated affiliates</w:t>
            </w:r>
          </w:p>
        </w:tc>
        <w:tc>
          <w:tcPr>
            <w:tcW w:w="740" w:type="dxa"/>
            <w:vAlign w:val="bottom"/>
          </w:tcPr>
          <w:p>
            <w:pPr>
              <w:spacing w:after="0"/>
              <w:rPr>
                <w:sz w:val="21"/>
                <w:szCs w:val="21"/>
                <w:color w:val="auto"/>
              </w:rPr>
            </w:pPr>
          </w:p>
        </w:tc>
        <w:tc>
          <w:tcPr>
            <w:tcW w:w="240" w:type="dxa"/>
            <w:vAlign w:val="bottom"/>
          </w:tcPr>
          <w:p>
            <w:pPr>
              <w:ind w:left="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4,608</w:t>
            </w: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ind w:right="2"/>
              <w:spacing w:after="0"/>
              <w:rPr>
                <w:sz w:val="20"/>
                <w:szCs w:val="20"/>
                <w:color w:val="auto"/>
              </w:rPr>
            </w:pPr>
            <w:r>
              <w:rPr>
                <w:rFonts w:ascii="Arial" w:cs="Arial" w:eastAsia="Arial" w:hAnsi="Arial"/>
                <w:sz w:val="16"/>
                <w:szCs w:val="16"/>
                <w:color w:val="auto"/>
              </w:rPr>
              <w:t>4,608</w:t>
            </w: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4,608</w:t>
            </w:r>
          </w:p>
        </w:tc>
        <w:tc>
          <w:tcPr>
            <w:tcW w:w="0" w:type="dxa"/>
            <w:vAlign w:val="bottom"/>
          </w:tcPr>
          <w:p>
            <w:pPr>
              <w:spacing w:after="0"/>
              <w:rPr>
                <w:sz w:val="1"/>
                <w:szCs w:val="1"/>
                <w:color w:val="auto"/>
              </w:rPr>
            </w:pPr>
          </w:p>
        </w:tc>
      </w:tr>
      <w:tr>
        <w:trPr>
          <w:trHeight w:val="250"/>
        </w:trPr>
        <w:tc>
          <w:tcPr>
            <w:tcW w:w="3800" w:type="dxa"/>
            <w:vAlign w:val="bottom"/>
          </w:tcPr>
          <w:p>
            <w:pPr>
              <w:spacing w:after="0"/>
              <w:rPr>
                <w:sz w:val="20"/>
                <w:szCs w:val="20"/>
                <w:color w:val="auto"/>
              </w:rPr>
            </w:pPr>
            <w:r>
              <w:rPr>
                <w:rFonts w:ascii="Arial" w:cs="Arial" w:eastAsia="Arial" w:hAnsi="Arial"/>
                <w:sz w:val="16"/>
                <w:szCs w:val="16"/>
                <w:color w:val="auto"/>
              </w:rPr>
              <w:t>Policy loans</w:t>
            </w:r>
          </w:p>
        </w:tc>
        <w:tc>
          <w:tcPr>
            <w:tcW w:w="740" w:type="dxa"/>
            <w:vAlign w:val="bottom"/>
          </w:tcPr>
          <w:p>
            <w:pPr>
              <w:spacing w:after="0"/>
              <w:rPr>
                <w:sz w:val="21"/>
                <w:szCs w:val="21"/>
                <w:color w:val="auto"/>
              </w:rPr>
            </w:pPr>
          </w:p>
        </w:tc>
        <w:tc>
          <w:tcPr>
            <w:tcW w:w="240" w:type="dxa"/>
            <w:vAlign w:val="bottom"/>
          </w:tcPr>
          <w:p>
            <w:pPr>
              <w:ind w:left="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0" w:type="dxa"/>
            <w:vAlign w:val="bottom"/>
          </w:tcPr>
          <w:p>
            <w:pPr>
              <w:jc w:val="right"/>
              <w:ind w:right="2"/>
              <w:spacing w:after="0"/>
              <w:rPr>
                <w:sz w:val="20"/>
                <w:szCs w:val="20"/>
                <w:color w:val="auto"/>
              </w:rPr>
            </w:pPr>
            <w:r>
              <w:rPr>
                <w:rFonts w:ascii="Arial" w:cs="Arial" w:eastAsia="Arial" w:hAnsi="Arial"/>
                <w:sz w:val="16"/>
                <w:szCs w:val="16"/>
                <w:color w:val="auto"/>
              </w:rPr>
              <w:t>147</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ind w:right="2"/>
              <w:spacing w:after="0"/>
              <w:rPr>
                <w:sz w:val="20"/>
                <w:szCs w:val="20"/>
                <w:color w:val="auto"/>
              </w:rPr>
            </w:pPr>
            <w:r>
              <w:rPr>
                <w:rFonts w:ascii="Arial" w:cs="Arial" w:eastAsia="Arial" w:hAnsi="Arial"/>
                <w:sz w:val="16"/>
                <w:szCs w:val="16"/>
                <w:color w:val="auto"/>
              </w:rPr>
              <w:t>147</w:t>
            </w: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147</w:t>
            </w:r>
          </w:p>
        </w:tc>
        <w:tc>
          <w:tcPr>
            <w:tcW w:w="0" w:type="dxa"/>
            <w:vAlign w:val="bottom"/>
          </w:tcPr>
          <w:p>
            <w:pPr>
              <w:spacing w:after="0"/>
              <w:rPr>
                <w:sz w:val="1"/>
                <w:szCs w:val="1"/>
                <w:color w:val="auto"/>
              </w:rPr>
            </w:pPr>
          </w:p>
        </w:tc>
      </w:tr>
      <w:tr>
        <w:trPr>
          <w:trHeight w:val="294"/>
        </w:trPr>
        <w:tc>
          <w:tcPr>
            <w:tcW w:w="3800" w:type="dxa"/>
            <w:vAlign w:val="bottom"/>
          </w:tcPr>
          <w:p>
            <w:pPr>
              <w:spacing w:after="0"/>
              <w:rPr>
                <w:sz w:val="20"/>
                <w:szCs w:val="20"/>
                <w:color w:val="auto"/>
              </w:rPr>
            </w:pPr>
            <w:r>
              <w:rPr>
                <w:rFonts w:ascii="Arial" w:cs="Arial" w:eastAsia="Arial" w:hAnsi="Arial"/>
                <w:sz w:val="16"/>
                <w:szCs w:val="16"/>
                <w:color w:val="auto"/>
              </w:rPr>
              <w:t>Other invested assets</w:t>
            </w:r>
          </w:p>
        </w:tc>
        <w:tc>
          <w:tcPr>
            <w:tcW w:w="740" w:type="dxa"/>
            <w:vAlign w:val="bottom"/>
          </w:tcPr>
          <w:p>
            <w:pPr>
              <w:spacing w:after="0"/>
              <w:rPr>
                <w:sz w:val="24"/>
                <w:szCs w:val="24"/>
                <w:color w:val="auto"/>
              </w:rPr>
            </w:pPr>
          </w:p>
        </w:tc>
        <w:tc>
          <w:tcPr>
            <w:tcW w:w="240" w:type="dxa"/>
            <w:vAlign w:val="bottom"/>
          </w:tcPr>
          <w:p>
            <w:pPr>
              <w:ind w:left="20"/>
              <w:spacing w:after="0"/>
              <w:rPr>
                <w:sz w:val="20"/>
                <w:szCs w:val="20"/>
                <w:color w:val="auto"/>
              </w:rPr>
            </w:pPr>
            <w:r>
              <w:rPr>
                <w:rFonts w:ascii="Arial" w:cs="Arial" w:eastAsia="Arial" w:hAnsi="Arial"/>
                <w:sz w:val="16"/>
                <w:szCs w:val="16"/>
                <w:color w:val="auto"/>
              </w:rPr>
              <w:t>18</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75</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jc w:val="right"/>
              <w:ind w:right="2"/>
              <w:spacing w:after="0"/>
              <w:rPr>
                <w:sz w:val="20"/>
                <w:szCs w:val="20"/>
                <w:color w:val="auto"/>
              </w:rPr>
            </w:pPr>
            <w:r>
              <w:rPr>
                <w:rFonts w:ascii="Arial" w:cs="Arial" w:eastAsia="Arial" w:hAnsi="Arial"/>
                <w:sz w:val="16"/>
                <w:szCs w:val="16"/>
                <w:color w:val="auto"/>
              </w:rPr>
              <w:t>93</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93</w:t>
            </w:r>
          </w:p>
        </w:tc>
        <w:tc>
          <w:tcPr>
            <w:tcW w:w="0" w:type="dxa"/>
            <w:vAlign w:val="bottom"/>
          </w:tcPr>
          <w:p>
            <w:pPr>
              <w:spacing w:after="0"/>
              <w:rPr>
                <w:sz w:val="1"/>
                <w:szCs w:val="1"/>
                <w:color w:val="auto"/>
              </w:rPr>
            </w:pPr>
          </w:p>
        </w:tc>
      </w:tr>
      <w:tr>
        <w:trPr>
          <w:trHeight w:val="250"/>
        </w:trPr>
        <w:tc>
          <w:tcPr>
            <w:tcW w:w="3800" w:type="dxa"/>
            <w:vAlign w:val="bottom"/>
          </w:tcPr>
          <w:p>
            <w:pPr>
              <w:spacing w:after="0"/>
              <w:rPr>
                <w:sz w:val="20"/>
                <w:szCs w:val="20"/>
                <w:color w:val="auto"/>
              </w:rPr>
            </w:pPr>
            <w:r>
              <w:rPr>
                <w:rFonts w:ascii="Arial" w:cs="Arial" w:eastAsia="Arial" w:hAnsi="Arial"/>
                <w:sz w:val="16"/>
                <w:szCs w:val="16"/>
                <w:color w:val="auto"/>
              </w:rPr>
              <w:t>Company-owned life insurance</w:t>
            </w:r>
          </w:p>
        </w:tc>
        <w:tc>
          <w:tcPr>
            <w:tcW w:w="740" w:type="dxa"/>
            <w:vAlign w:val="bottom"/>
          </w:tcPr>
          <w:p>
            <w:pPr>
              <w:spacing w:after="0"/>
              <w:rPr>
                <w:sz w:val="21"/>
                <w:szCs w:val="21"/>
                <w:color w:val="auto"/>
              </w:rPr>
            </w:pPr>
          </w:p>
        </w:tc>
        <w:tc>
          <w:tcPr>
            <w:tcW w:w="240" w:type="dxa"/>
            <w:vAlign w:val="bottom"/>
          </w:tcPr>
          <w:p>
            <w:pPr>
              <w:ind w:left="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0" w:type="dxa"/>
            <w:vAlign w:val="bottom"/>
          </w:tcPr>
          <w:p>
            <w:pPr>
              <w:jc w:val="right"/>
              <w:ind w:right="2"/>
              <w:spacing w:after="0"/>
              <w:rPr>
                <w:sz w:val="20"/>
                <w:szCs w:val="20"/>
                <w:color w:val="auto"/>
              </w:rPr>
            </w:pPr>
            <w:r>
              <w:rPr>
                <w:rFonts w:ascii="Arial" w:cs="Arial" w:eastAsia="Arial" w:hAnsi="Arial"/>
                <w:sz w:val="16"/>
                <w:szCs w:val="16"/>
                <w:color w:val="auto"/>
              </w:rPr>
              <w:t>887</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ind w:right="2"/>
              <w:spacing w:after="0"/>
              <w:rPr>
                <w:sz w:val="20"/>
                <w:szCs w:val="20"/>
                <w:color w:val="auto"/>
              </w:rPr>
            </w:pPr>
            <w:r>
              <w:rPr>
                <w:rFonts w:ascii="Arial" w:cs="Arial" w:eastAsia="Arial" w:hAnsi="Arial"/>
                <w:sz w:val="16"/>
                <w:szCs w:val="16"/>
                <w:color w:val="auto"/>
              </w:rPr>
              <w:t>887</w:t>
            </w: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887</w:t>
            </w:r>
          </w:p>
        </w:tc>
        <w:tc>
          <w:tcPr>
            <w:tcW w:w="0" w:type="dxa"/>
            <w:vAlign w:val="bottom"/>
          </w:tcPr>
          <w:p>
            <w:pPr>
              <w:spacing w:after="0"/>
              <w:rPr>
                <w:sz w:val="1"/>
                <w:szCs w:val="1"/>
                <w:color w:val="auto"/>
              </w:rPr>
            </w:pPr>
          </w:p>
        </w:tc>
      </w:tr>
      <w:tr>
        <w:trPr>
          <w:trHeight w:val="257"/>
        </w:trPr>
        <w:tc>
          <w:tcPr>
            <w:tcW w:w="3800" w:type="dxa"/>
            <w:vAlign w:val="bottom"/>
          </w:tcPr>
          <w:p>
            <w:pPr>
              <w:spacing w:after="0"/>
              <w:rPr>
                <w:sz w:val="20"/>
                <w:szCs w:val="20"/>
                <w:color w:val="auto"/>
              </w:rPr>
            </w:pPr>
            <w:r>
              <w:rPr>
                <w:rFonts w:ascii="Arial" w:cs="Arial" w:eastAsia="Arial" w:hAnsi="Arial"/>
                <w:sz w:val="16"/>
                <w:szCs w:val="16"/>
                <w:color w:val="auto"/>
              </w:rPr>
              <w:t>Trade and notes receivables, net of allowance</w:t>
            </w:r>
          </w:p>
        </w:tc>
        <w:tc>
          <w:tcPr>
            <w:tcW w:w="74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473</w:t>
            </w:r>
          </w:p>
        </w:tc>
        <w:tc>
          <w:tcPr>
            <w:tcW w:w="8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473</w:t>
            </w:r>
          </w:p>
        </w:tc>
        <w:tc>
          <w:tcPr>
            <w:tcW w:w="6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473</w:t>
            </w:r>
          </w:p>
        </w:tc>
        <w:tc>
          <w:tcPr>
            <w:tcW w:w="0" w:type="dxa"/>
            <w:vAlign w:val="bottom"/>
          </w:tcPr>
          <w:p>
            <w:pPr>
              <w:spacing w:after="0"/>
              <w:rPr>
                <w:sz w:val="1"/>
                <w:szCs w:val="1"/>
                <w:color w:val="auto"/>
              </w:rPr>
            </w:pPr>
          </w:p>
        </w:tc>
      </w:tr>
      <w:tr>
        <w:trPr>
          <w:trHeight w:val="210"/>
        </w:trPr>
        <w:tc>
          <w:tcPr>
            <w:tcW w:w="3800" w:type="dxa"/>
            <w:vAlign w:val="bottom"/>
          </w:tcPr>
          <w:p>
            <w:pPr>
              <w:ind w:left="240"/>
              <w:spacing w:after="0"/>
              <w:rPr>
                <w:sz w:val="20"/>
                <w:szCs w:val="20"/>
                <w:color w:val="auto"/>
              </w:rPr>
            </w:pPr>
            <w:r>
              <w:rPr>
                <w:rFonts w:ascii="Arial" w:cs="Arial" w:eastAsia="Arial" w:hAnsi="Arial"/>
                <w:sz w:val="16"/>
                <w:szCs w:val="16"/>
                <w:b w:val="1"/>
                <w:bCs w:val="1"/>
                <w:color w:val="auto"/>
              </w:rPr>
              <w:t>Total</w:t>
            </w:r>
          </w:p>
        </w:tc>
        <w:tc>
          <w:tcPr>
            <w:tcW w:w="740" w:type="dxa"/>
            <w:vAlign w:val="bottom"/>
          </w:tcPr>
          <w:p>
            <w:pPr>
              <w:jc w:val="right"/>
              <w:ind w:right="542"/>
              <w:spacing w:after="0"/>
              <w:rPr>
                <w:sz w:val="20"/>
                <w:szCs w:val="20"/>
                <w:color w:val="auto"/>
              </w:rPr>
            </w:pPr>
            <w:r>
              <w:rPr>
                <w:rFonts w:ascii="Arial" w:cs="Arial" w:eastAsia="Arial" w:hAnsi="Arial"/>
                <w:sz w:val="16"/>
                <w:szCs w:val="16"/>
                <w:color w:val="auto"/>
              </w:rPr>
              <w:t>$</w:t>
            </w:r>
          </w:p>
        </w:tc>
        <w:tc>
          <w:tcPr>
            <w:tcW w:w="240" w:type="dxa"/>
            <w:vAlign w:val="bottom"/>
          </w:tcPr>
          <w:p>
            <w:pPr>
              <w:ind w:left="20"/>
              <w:spacing w:after="0"/>
              <w:rPr>
                <w:sz w:val="20"/>
                <w:szCs w:val="20"/>
                <w:color w:val="auto"/>
              </w:rPr>
            </w:pPr>
            <w:r>
              <w:rPr>
                <w:rFonts w:ascii="Arial" w:cs="Arial" w:eastAsia="Arial" w:hAnsi="Arial"/>
                <w:sz w:val="16"/>
                <w:szCs w:val="16"/>
                <w:color w:val="auto"/>
              </w:rPr>
              <w:t>18</w:t>
            </w:r>
          </w:p>
        </w:tc>
        <w:tc>
          <w:tcPr>
            <w:tcW w:w="26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155</w:t>
            </w:r>
          </w:p>
        </w:tc>
        <w:tc>
          <w:tcPr>
            <w:tcW w:w="26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2"/>
              <w:spacing w:after="0"/>
              <w:rPr>
                <w:sz w:val="20"/>
                <w:szCs w:val="20"/>
                <w:color w:val="auto"/>
              </w:rPr>
            </w:pPr>
            <w:r>
              <w:rPr>
                <w:rFonts w:ascii="Arial" w:cs="Arial" w:eastAsia="Arial" w:hAnsi="Arial"/>
                <w:sz w:val="16"/>
                <w:szCs w:val="16"/>
                <w:color w:val="auto"/>
              </w:rPr>
              <w:t>8,956</w:t>
            </w:r>
          </w:p>
        </w:tc>
        <w:tc>
          <w:tcPr>
            <w:tcW w:w="260" w:type="dxa"/>
            <w:vAlign w:val="bottom"/>
            <w:gridSpan w:val="2"/>
          </w:tcPr>
          <w:p>
            <w:pPr>
              <w:jc w:val="center"/>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4,683</w:t>
            </w:r>
          </w:p>
        </w:tc>
        <w:tc>
          <w:tcPr>
            <w:tcW w:w="320" w:type="dxa"/>
            <w:vAlign w:val="bottom"/>
            <w:gridSpan w:val="2"/>
          </w:tcPr>
          <w:p>
            <w:pPr>
              <w:jc w:val="right"/>
              <w:ind w:right="62"/>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2"/>
              <w:spacing w:after="0"/>
              <w:rPr>
                <w:sz w:val="20"/>
                <w:szCs w:val="20"/>
                <w:color w:val="auto"/>
              </w:rPr>
            </w:pPr>
            <w:r>
              <w:rPr>
                <w:rFonts w:ascii="Arial" w:cs="Arial" w:eastAsia="Arial" w:hAnsi="Arial"/>
                <w:sz w:val="16"/>
                <w:szCs w:val="16"/>
                <w:color w:val="auto"/>
              </w:rPr>
              <w:t>13,812</w:t>
            </w:r>
          </w:p>
        </w:tc>
        <w:tc>
          <w:tcPr>
            <w:tcW w:w="28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14,254</w:t>
            </w:r>
          </w:p>
        </w:tc>
        <w:tc>
          <w:tcPr>
            <w:tcW w:w="0" w:type="dxa"/>
            <w:vAlign w:val="bottom"/>
          </w:tcPr>
          <w:p>
            <w:pPr>
              <w:spacing w:after="0"/>
              <w:rPr>
                <w:sz w:val="1"/>
                <w:szCs w:val="1"/>
                <w:color w:val="auto"/>
              </w:rPr>
            </w:pPr>
          </w:p>
        </w:tc>
      </w:tr>
      <w:tr>
        <w:trPr>
          <w:trHeight w:val="20"/>
        </w:trPr>
        <w:tc>
          <w:tcPr>
            <w:tcW w:w="3800" w:type="dxa"/>
            <w:vAlign w:val="bottom"/>
            <w:vMerge w:val="restart"/>
          </w:tcPr>
          <w:p>
            <w:pPr>
              <w:spacing w:after="0"/>
              <w:rPr>
                <w:sz w:val="20"/>
                <w:szCs w:val="20"/>
                <w:color w:val="auto"/>
              </w:rPr>
            </w:pPr>
            <w:r>
              <w:rPr>
                <w:rFonts w:ascii="Arial" w:cs="Arial" w:eastAsia="Arial" w:hAnsi="Arial"/>
                <w:sz w:val="16"/>
                <w:szCs w:val="16"/>
                <w:b w:val="1"/>
                <w:bCs w:val="1"/>
                <w:color w:val="auto"/>
              </w:rPr>
              <w:t>Liabilities</w:t>
            </w: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2"/>
        </w:trPr>
        <w:tc>
          <w:tcPr>
            <w:tcW w:w="3800" w:type="dxa"/>
            <w:vAlign w:val="bottom"/>
            <w:vMerge w:val="continue"/>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800" w:type="dxa"/>
            <w:vAlign w:val="bottom"/>
          </w:tcPr>
          <w:p>
            <w:pPr>
              <w:spacing w:after="0"/>
              <w:rPr>
                <w:sz w:val="20"/>
                <w:szCs w:val="20"/>
                <w:color w:val="auto"/>
              </w:rPr>
            </w:pPr>
            <w:r>
              <w:rPr>
                <w:rFonts w:ascii="Arial" w:cs="Arial" w:eastAsia="Arial" w:hAnsi="Arial"/>
                <w:sz w:val="16"/>
                <w:szCs w:val="16"/>
                <w:color w:val="auto"/>
                <w:w w:val="97"/>
              </w:rPr>
              <w:t>Investment contracts, included in Contractholder funds</w:t>
            </w:r>
          </w:p>
        </w:tc>
        <w:tc>
          <w:tcPr>
            <w:tcW w:w="740" w:type="dxa"/>
            <w:vAlign w:val="bottom"/>
          </w:tcPr>
          <w:p>
            <w:pPr>
              <w:jc w:val="right"/>
              <w:ind w:right="542"/>
              <w:spacing w:after="0"/>
              <w:rPr>
                <w:sz w:val="20"/>
                <w:szCs w:val="20"/>
                <w:color w:val="auto"/>
              </w:rPr>
            </w:pPr>
            <w:r>
              <w:rPr>
                <w:rFonts w:ascii="Arial" w:cs="Arial" w:eastAsia="Arial" w:hAnsi="Arial"/>
                <w:sz w:val="16"/>
                <w:szCs w:val="16"/>
                <w:color w:val="auto"/>
              </w:rPr>
              <w:t>$</w:t>
            </w:r>
          </w:p>
        </w:tc>
        <w:tc>
          <w:tcPr>
            <w:tcW w:w="240" w:type="dxa"/>
            <w:vAlign w:val="bottom"/>
          </w:tcPr>
          <w:p>
            <w:pPr>
              <w:ind w:left="20"/>
              <w:spacing w:after="0"/>
              <w:rPr>
                <w:sz w:val="20"/>
                <w:szCs w:val="20"/>
                <w:color w:val="auto"/>
              </w:rPr>
            </w:pPr>
            <w:r>
              <w:rPr>
                <w:rFonts w:ascii="Arial" w:cs="Arial" w:eastAsia="Arial" w:hAnsi="Arial"/>
                <w:sz w:val="16"/>
                <w:szCs w:val="16"/>
                <w:color w:val="auto"/>
              </w:rPr>
              <w:t>—</w:t>
            </w:r>
          </w:p>
        </w:tc>
        <w:tc>
          <w:tcPr>
            <w:tcW w:w="26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2"/>
              <w:spacing w:after="0"/>
              <w:rPr>
                <w:sz w:val="20"/>
                <w:szCs w:val="20"/>
                <w:color w:val="auto"/>
              </w:rPr>
            </w:pPr>
            <w:r>
              <w:rPr>
                <w:rFonts w:ascii="Arial" w:cs="Arial" w:eastAsia="Arial" w:hAnsi="Arial"/>
                <w:sz w:val="16"/>
                <w:szCs w:val="16"/>
                <w:color w:val="auto"/>
              </w:rPr>
              <w:t>51,027</w:t>
            </w:r>
          </w:p>
        </w:tc>
        <w:tc>
          <w:tcPr>
            <w:tcW w:w="260" w:type="dxa"/>
            <w:vAlign w:val="bottom"/>
            <w:gridSpan w:val="2"/>
          </w:tcPr>
          <w:p>
            <w:pPr>
              <w:jc w:val="center"/>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320" w:type="dxa"/>
            <w:vAlign w:val="bottom"/>
            <w:gridSpan w:val="2"/>
          </w:tcPr>
          <w:p>
            <w:pPr>
              <w:jc w:val="right"/>
              <w:ind w:right="62"/>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2"/>
              <w:spacing w:after="0"/>
              <w:rPr>
                <w:sz w:val="20"/>
                <w:szCs w:val="20"/>
                <w:color w:val="auto"/>
              </w:rPr>
            </w:pPr>
            <w:r>
              <w:rPr>
                <w:rFonts w:ascii="Arial" w:cs="Arial" w:eastAsia="Arial" w:hAnsi="Arial"/>
                <w:sz w:val="16"/>
                <w:szCs w:val="16"/>
                <w:color w:val="auto"/>
              </w:rPr>
              <w:t>51,027</w:t>
            </w:r>
          </w:p>
        </w:tc>
        <w:tc>
          <w:tcPr>
            <w:tcW w:w="28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56,184</w:t>
            </w:r>
          </w:p>
        </w:tc>
        <w:tc>
          <w:tcPr>
            <w:tcW w:w="0" w:type="dxa"/>
            <w:vAlign w:val="bottom"/>
          </w:tcPr>
          <w:p>
            <w:pPr>
              <w:spacing w:after="0"/>
              <w:rPr>
                <w:sz w:val="1"/>
                <w:szCs w:val="1"/>
                <w:color w:val="auto"/>
              </w:rPr>
            </w:pPr>
          </w:p>
        </w:tc>
      </w:tr>
      <w:tr>
        <w:trPr>
          <w:trHeight w:val="257"/>
        </w:trPr>
        <w:tc>
          <w:tcPr>
            <w:tcW w:w="3800" w:type="dxa"/>
            <w:vAlign w:val="bottom"/>
          </w:tcPr>
          <w:p>
            <w:pPr>
              <w:spacing w:after="0"/>
              <w:rPr>
                <w:sz w:val="20"/>
                <w:szCs w:val="20"/>
                <w:color w:val="auto"/>
              </w:rPr>
            </w:pPr>
            <w:r>
              <w:rPr>
                <w:rFonts w:ascii="Arial" w:cs="Arial" w:eastAsia="Arial" w:hAnsi="Arial"/>
                <w:sz w:val="16"/>
                <w:szCs w:val="16"/>
                <w:color w:val="auto"/>
              </w:rPr>
              <w:t>Debt</w:t>
            </w:r>
          </w:p>
        </w:tc>
        <w:tc>
          <w:tcPr>
            <w:tcW w:w="74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4,204</w:t>
            </w:r>
          </w:p>
        </w:tc>
        <w:tc>
          <w:tcPr>
            <w:tcW w:w="8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4,204</w:t>
            </w:r>
          </w:p>
        </w:tc>
        <w:tc>
          <w:tcPr>
            <w:tcW w:w="6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4,400</w:t>
            </w:r>
          </w:p>
        </w:tc>
        <w:tc>
          <w:tcPr>
            <w:tcW w:w="0" w:type="dxa"/>
            <w:vAlign w:val="bottom"/>
          </w:tcPr>
          <w:p>
            <w:pPr>
              <w:spacing w:after="0"/>
              <w:rPr>
                <w:sz w:val="1"/>
                <w:szCs w:val="1"/>
                <w:color w:val="auto"/>
              </w:rPr>
            </w:pPr>
          </w:p>
        </w:tc>
      </w:tr>
      <w:tr>
        <w:trPr>
          <w:trHeight w:val="210"/>
        </w:trPr>
        <w:tc>
          <w:tcPr>
            <w:tcW w:w="3800" w:type="dxa"/>
            <w:vAlign w:val="bottom"/>
          </w:tcPr>
          <w:p>
            <w:pPr>
              <w:ind w:left="240"/>
              <w:spacing w:after="0"/>
              <w:rPr>
                <w:sz w:val="20"/>
                <w:szCs w:val="20"/>
                <w:color w:val="auto"/>
              </w:rPr>
            </w:pPr>
            <w:r>
              <w:rPr>
                <w:rFonts w:ascii="Arial" w:cs="Arial" w:eastAsia="Arial" w:hAnsi="Arial"/>
                <w:sz w:val="16"/>
                <w:szCs w:val="16"/>
                <w:b w:val="1"/>
                <w:bCs w:val="1"/>
                <w:color w:val="auto"/>
              </w:rPr>
              <w:t>Total</w:t>
            </w:r>
          </w:p>
        </w:tc>
        <w:tc>
          <w:tcPr>
            <w:tcW w:w="740" w:type="dxa"/>
            <w:vAlign w:val="bottom"/>
          </w:tcPr>
          <w:p>
            <w:pPr>
              <w:jc w:val="right"/>
              <w:ind w:right="542"/>
              <w:spacing w:after="0"/>
              <w:rPr>
                <w:sz w:val="20"/>
                <w:szCs w:val="20"/>
                <w:color w:val="auto"/>
              </w:rPr>
            </w:pPr>
            <w:r>
              <w:rPr>
                <w:rFonts w:ascii="Arial" w:cs="Arial" w:eastAsia="Arial" w:hAnsi="Arial"/>
                <w:sz w:val="16"/>
                <w:szCs w:val="16"/>
                <w:color w:val="auto"/>
              </w:rPr>
              <w:t>$</w:t>
            </w:r>
          </w:p>
        </w:tc>
        <w:tc>
          <w:tcPr>
            <w:tcW w:w="240" w:type="dxa"/>
            <w:vAlign w:val="bottom"/>
          </w:tcPr>
          <w:p>
            <w:pPr>
              <w:ind w:left="20"/>
              <w:spacing w:after="0"/>
              <w:rPr>
                <w:sz w:val="20"/>
                <w:szCs w:val="20"/>
                <w:color w:val="auto"/>
              </w:rPr>
            </w:pPr>
            <w:r>
              <w:rPr>
                <w:rFonts w:ascii="Arial" w:cs="Arial" w:eastAsia="Arial" w:hAnsi="Arial"/>
                <w:sz w:val="16"/>
                <w:szCs w:val="16"/>
                <w:color w:val="auto"/>
              </w:rPr>
              <w:t>—</w:t>
            </w:r>
          </w:p>
        </w:tc>
        <w:tc>
          <w:tcPr>
            <w:tcW w:w="26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4,204</w:t>
            </w:r>
          </w:p>
        </w:tc>
        <w:tc>
          <w:tcPr>
            <w:tcW w:w="26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2"/>
              <w:spacing w:after="0"/>
              <w:rPr>
                <w:sz w:val="20"/>
                <w:szCs w:val="20"/>
                <w:color w:val="auto"/>
              </w:rPr>
            </w:pPr>
            <w:r>
              <w:rPr>
                <w:rFonts w:ascii="Arial" w:cs="Arial" w:eastAsia="Arial" w:hAnsi="Arial"/>
                <w:sz w:val="16"/>
                <w:szCs w:val="16"/>
                <w:color w:val="auto"/>
              </w:rPr>
              <w:t>51,027</w:t>
            </w:r>
          </w:p>
        </w:tc>
        <w:tc>
          <w:tcPr>
            <w:tcW w:w="260" w:type="dxa"/>
            <w:vAlign w:val="bottom"/>
            <w:gridSpan w:val="2"/>
          </w:tcPr>
          <w:p>
            <w:pPr>
              <w:jc w:val="center"/>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320" w:type="dxa"/>
            <w:vAlign w:val="bottom"/>
            <w:gridSpan w:val="2"/>
          </w:tcPr>
          <w:p>
            <w:pPr>
              <w:jc w:val="right"/>
              <w:ind w:right="62"/>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2"/>
              <w:spacing w:after="0"/>
              <w:rPr>
                <w:sz w:val="20"/>
                <w:szCs w:val="20"/>
                <w:color w:val="auto"/>
              </w:rPr>
            </w:pPr>
            <w:r>
              <w:rPr>
                <w:rFonts w:ascii="Arial" w:cs="Arial" w:eastAsia="Arial" w:hAnsi="Arial"/>
                <w:sz w:val="16"/>
                <w:szCs w:val="16"/>
                <w:color w:val="auto"/>
              </w:rPr>
              <w:t>55,231</w:t>
            </w:r>
          </w:p>
        </w:tc>
        <w:tc>
          <w:tcPr>
            <w:tcW w:w="28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60,584</w:t>
            </w:r>
          </w:p>
        </w:tc>
        <w:tc>
          <w:tcPr>
            <w:tcW w:w="0" w:type="dxa"/>
            <w:vAlign w:val="bottom"/>
          </w:tcPr>
          <w:p>
            <w:pPr>
              <w:spacing w:after="0"/>
              <w:rPr>
                <w:sz w:val="1"/>
                <w:szCs w:val="1"/>
                <w:color w:val="auto"/>
              </w:rPr>
            </w:pPr>
          </w:p>
        </w:tc>
      </w:tr>
      <w:tr>
        <w:trPr>
          <w:trHeight w:val="20"/>
        </w:trPr>
        <w:tc>
          <w:tcPr>
            <w:tcW w:w="38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49530</wp:posOffset>
            </wp:positionH>
            <wp:positionV relativeFrom="paragraph">
              <wp:posOffset>-2458085</wp:posOffset>
            </wp:positionV>
            <wp:extent cx="6605905" cy="246507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87">
                      <a:extLst>
                        <a:ext uri="{28A0092B-C50C-407E-A947-70E740481C1C}"/>
                      </a:extLst>
                    </a:blip>
                    <a:srcRect/>
                    <a:stretch>
                      <a:fillRect/>
                    </a:stretch>
                  </pic:blipFill>
                  <pic:spPr bwMode="auto">
                    <a:xfrm>
                      <a:off x="0" y="0"/>
                      <a:ext cx="6605905" cy="2465070"/>
                    </a:xfrm>
                    <a:prstGeom prst="rect">
                      <a:avLst/>
                    </a:prstGeom>
                    <a:noFill/>
                  </pic:spPr>
                </pic:pic>
              </a:graphicData>
            </a:graphic>
          </wp:anchor>
        </w:drawing>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36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40" w:type="dxa"/>
            <w:vAlign w:val="bottom"/>
            <w:gridSpan w:val="4"/>
          </w:tcPr>
          <w:p>
            <w:pPr>
              <w:jc w:val="right"/>
              <w:ind w:right="302"/>
              <w:spacing w:after="0"/>
              <w:rPr>
                <w:sz w:val="20"/>
                <w:szCs w:val="20"/>
                <w:color w:val="auto"/>
              </w:rPr>
            </w:pPr>
            <w:r>
              <w:rPr>
                <w:rFonts w:ascii="Arial" w:cs="Arial" w:eastAsia="Arial" w:hAnsi="Arial"/>
                <w:sz w:val="16"/>
                <w:szCs w:val="16"/>
                <w:b w:val="1"/>
                <w:bCs w:val="1"/>
                <w:color w:val="auto"/>
              </w:rPr>
              <w:t>December 31, 2024</w:t>
            </w: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2"/>
        </w:trPr>
        <w:tc>
          <w:tcPr>
            <w:tcW w:w="3620" w:type="dxa"/>
            <w:vAlign w:val="bottom"/>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2040" w:type="dxa"/>
            <w:vAlign w:val="bottom"/>
            <w:tcBorders>
              <w:bottom w:val="single" w:sz="8" w:color="auto"/>
            </w:tcBorders>
            <w:gridSpan w:val="4"/>
          </w:tcPr>
          <w:p>
            <w:pPr>
              <w:jc w:val="right"/>
              <w:ind w:right="542"/>
              <w:spacing w:after="0"/>
              <w:rPr>
                <w:sz w:val="20"/>
                <w:szCs w:val="20"/>
                <w:color w:val="auto"/>
              </w:rPr>
            </w:pPr>
            <w:r>
              <w:rPr>
                <w:rFonts w:ascii="Arial" w:cs="Arial" w:eastAsia="Arial" w:hAnsi="Arial"/>
                <w:sz w:val="16"/>
                <w:szCs w:val="16"/>
                <w:b w:val="1"/>
                <w:bCs w:val="1"/>
                <w:color w:val="auto"/>
              </w:rPr>
              <w:t>(in millions)</w:t>
            </w:r>
          </w:p>
        </w:tc>
        <w:tc>
          <w:tcPr>
            <w:tcW w:w="6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42"/>
        </w:trPr>
        <w:tc>
          <w:tcPr>
            <w:tcW w:w="36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jc w:val="center"/>
              <w:ind w:right="182"/>
              <w:spacing w:after="0" w:line="142" w:lineRule="exact"/>
              <w:rPr>
                <w:sz w:val="20"/>
                <w:szCs w:val="20"/>
                <w:color w:val="auto"/>
              </w:rPr>
            </w:pPr>
            <w:r>
              <w:rPr>
                <w:rFonts w:ascii="Arial" w:cs="Arial" w:eastAsia="Arial" w:hAnsi="Arial"/>
                <w:sz w:val="16"/>
                <w:szCs w:val="16"/>
                <w:b w:val="1"/>
                <w:bCs w:val="1"/>
                <w:color w:val="auto"/>
                <w:w w:val="94"/>
              </w:rPr>
              <w:t>Total</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vMerge w:val="restart"/>
          </w:tcPr>
          <w:p>
            <w:pPr>
              <w:jc w:val="right"/>
              <w:ind w:right="202"/>
              <w:spacing w:after="0"/>
              <w:rPr>
                <w:sz w:val="20"/>
                <w:szCs w:val="20"/>
                <w:color w:val="auto"/>
              </w:rPr>
            </w:pPr>
            <w:r>
              <w:rPr>
                <w:rFonts w:ascii="Arial" w:cs="Arial" w:eastAsia="Arial" w:hAnsi="Arial"/>
                <w:sz w:val="16"/>
                <w:szCs w:val="16"/>
                <w:b w:val="1"/>
                <w:bCs w:val="1"/>
                <w:color w:val="auto"/>
              </w:rPr>
              <w:t>Carrying</w:t>
            </w:r>
          </w:p>
        </w:tc>
        <w:tc>
          <w:tcPr>
            <w:tcW w:w="0" w:type="dxa"/>
            <w:vAlign w:val="bottom"/>
          </w:tcPr>
          <w:p>
            <w:pPr>
              <w:spacing w:after="0"/>
              <w:rPr>
                <w:sz w:val="1"/>
                <w:szCs w:val="1"/>
                <w:color w:val="auto"/>
              </w:rPr>
            </w:pPr>
          </w:p>
        </w:tc>
      </w:tr>
      <w:tr>
        <w:trPr>
          <w:trHeight w:val="157"/>
        </w:trPr>
        <w:tc>
          <w:tcPr>
            <w:tcW w:w="3620" w:type="dxa"/>
            <w:vAlign w:val="bottom"/>
          </w:tcPr>
          <w:p>
            <w:pPr>
              <w:spacing w:after="0"/>
              <w:rPr>
                <w:sz w:val="13"/>
                <w:szCs w:val="13"/>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Level 1</w:t>
            </w: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vMerge w:val="restart"/>
          </w:tcPr>
          <w:p>
            <w:pPr>
              <w:jc w:val="right"/>
              <w:ind w:right="242"/>
              <w:spacing w:after="0"/>
              <w:rPr>
                <w:sz w:val="20"/>
                <w:szCs w:val="20"/>
                <w:color w:val="auto"/>
              </w:rPr>
            </w:pPr>
            <w:r>
              <w:rPr>
                <w:rFonts w:ascii="Arial" w:cs="Arial" w:eastAsia="Arial" w:hAnsi="Arial"/>
                <w:sz w:val="16"/>
                <w:szCs w:val="16"/>
                <w:b w:val="1"/>
                <w:bCs w:val="1"/>
                <w:color w:val="auto"/>
                <w:w w:val="99"/>
              </w:rPr>
              <w:t>Level 2</w:t>
            </w: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vMerge w:val="restart"/>
          </w:tcPr>
          <w:p>
            <w:pPr>
              <w:jc w:val="right"/>
              <w:ind w:right="162"/>
              <w:spacing w:after="0"/>
              <w:rPr>
                <w:sz w:val="20"/>
                <w:szCs w:val="20"/>
                <w:color w:val="auto"/>
              </w:rPr>
            </w:pPr>
            <w:r>
              <w:rPr>
                <w:rFonts w:ascii="Arial" w:cs="Arial" w:eastAsia="Arial" w:hAnsi="Arial"/>
                <w:sz w:val="16"/>
                <w:szCs w:val="16"/>
                <w:b w:val="1"/>
                <w:bCs w:val="1"/>
                <w:color w:val="auto"/>
                <w:w w:val="95"/>
              </w:rPr>
              <w:t>Level 3</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vMerge w:val="restart"/>
          </w:tcPr>
          <w:p>
            <w:pPr>
              <w:jc w:val="right"/>
              <w:ind w:right="342"/>
              <w:spacing w:after="0"/>
              <w:rPr>
                <w:sz w:val="20"/>
                <w:szCs w:val="20"/>
                <w:color w:val="auto"/>
              </w:rPr>
            </w:pPr>
            <w:r>
              <w:rPr>
                <w:rFonts w:ascii="Arial" w:cs="Arial" w:eastAsia="Arial" w:hAnsi="Arial"/>
                <w:sz w:val="16"/>
                <w:szCs w:val="16"/>
                <w:b w:val="1"/>
                <w:bCs w:val="1"/>
                <w:color w:val="auto"/>
              </w:rPr>
              <w:t>NAV</w:t>
            </w:r>
          </w:p>
        </w:tc>
        <w:tc>
          <w:tcPr>
            <w:tcW w:w="60" w:type="dxa"/>
            <w:vAlign w:val="bottom"/>
          </w:tcPr>
          <w:p>
            <w:pPr>
              <w:spacing w:after="0"/>
              <w:rPr>
                <w:sz w:val="13"/>
                <w:szCs w:val="13"/>
                <w:color w:val="auto"/>
              </w:rPr>
            </w:pPr>
          </w:p>
        </w:tc>
        <w:tc>
          <w:tcPr>
            <w:tcW w:w="1160" w:type="dxa"/>
            <w:vAlign w:val="bottom"/>
            <w:gridSpan w:val="2"/>
          </w:tcPr>
          <w:p>
            <w:pPr>
              <w:jc w:val="center"/>
              <w:spacing w:after="0" w:line="157" w:lineRule="exact"/>
              <w:rPr>
                <w:sz w:val="20"/>
                <w:szCs w:val="20"/>
                <w:color w:val="auto"/>
              </w:rPr>
            </w:pPr>
            <w:r>
              <w:rPr>
                <w:rFonts w:ascii="Arial" w:cs="Arial" w:eastAsia="Arial" w:hAnsi="Arial"/>
                <w:sz w:val="16"/>
                <w:szCs w:val="16"/>
                <w:b w:val="1"/>
                <w:bCs w:val="1"/>
                <w:color w:val="auto"/>
                <w:w w:val="90"/>
              </w:rPr>
              <w:t>Estimated Fair</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3620" w:type="dxa"/>
            <w:vAlign w:val="bottom"/>
          </w:tcPr>
          <w:p>
            <w:pPr>
              <w:spacing w:after="0"/>
              <w:rPr>
                <w:sz w:val="18"/>
                <w:szCs w:val="18"/>
                <w:color w:val="auto"/>
              </w:rPr>
            </w:pPr>
          </w:p>
        </w:tc>
        <w:tc>
          <w:tcPr>
            <w:tcW w:w="800" w:type="dxa"/>
            <w:vAlign w:val="bottom"/>
            <w:tcBorders>
              <w:bottom w:val="single" w:sz="8" w:color="auto"/>
            </w:tcBorders>
            <w:vMerge w:val="continue"/>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vMerge w:val="continue"/>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vMerge w:val="continue"/>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center"/>
              <w:ind w:right="182"/>
              <w:spacing w:after="0"/>
              <w:rPr>
                <w:sz w:val="20"/>
                <w:szCs w:val="20"/>
                <w:color w:val="auto"/>
              </w:rPr>
            </w:pPr>
            <w:r>
              <w:rPr>
                <w:rFonts w:ascii="Arial" w:cs="Arial" w:eastAsia="Arial" w:hAnsi="Arial"/>
                <w:sz w:val="16"/>
                <w:szCs w:val="16"/>
                <w:b w:val="1"/>
                <w:bCs w:val="1"/>
                <w:color w:val="auto"/>
                <w:w w:val="93"/>
              </w:rPr>
              <w:t>Value</w:t>
            </w:r>
          </w:p>
        </w:tc>
        <w:tc>
          <w:tcPr>
            <w:tcW w:w="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242"/>
              <w:spacing w:after="0"/>
              <w:rPr>
                <w:sz w:val="20"/>
                <w:szCs w:val="20"/>
                <w:color w:val="auto"/>
              </w:rPr>
            </w:pPr>
            <w:r>
              <w:rPr>
                <w:rFonts w:ascii="Arial" w:cs="Arial" w:eastAsia="Arial" w:hAnsi="Arial"/>
                <w:sz w:val="16"/>
                <w:szCs w:val="16"/>
                <w:b w:val="1"/>
                <w:bCs w:val="1"/>
                <w:color w:val="auto"/>
              </w:rPr>
              <w:t>Amount</w:t>
            </w:r>
          </w:p>
        </w:tc>
        <w:tc>
          <w:tcPr>
            <w:tcW w:w="0" w:type="dxa"/>
            <w:vAlign w:val="bottom"/>
          </w:tcPr>
          <w:p>
            <w:pPr>
              <w:spacing w:after="0"/>
              <w:rPr>
                <w:sz w:val="1"/>
                <w:szCs w:val="1"/>
                <w:color w:val="auto"/>
              </w:rPr>
            </w:pPr>
          </w:p>
        </w:tc>
      </w:tr>
      <w:tr>
        <w:trPr>
          <w:trHeight w:val="223"/>
        </w:trPr>
        <w:tc>
          <w:tcPr>
            <w:tcW w:w="3620" w:type="dxa"/>
            <w:vAlign w:val="bottom"/>
          </w:tcPr>
          <w:p>
            <w:pPr>
              <w:spacing w:after="0"/>
              <w:rPr>
                <w:sz w:val="20"/>
                <w:szCs w:val="20"/>
                <w:color w:val="auto"/>
              </w:rPr>
            </w:pPr>
            <w:r>
              <w:rPr>
                <w:rFonts w:ascii="Arial" w:cs="Arial" w:eastAsia="Arial" w:hAnsi="Arial"/>
                <w:sz w:val="16"/>
                <w:szCs w:val="16"/>
                <w:b w:val="1"/>
                <w:bCs w:val="1"/>
                <w:color w:val="auto"/>
              </w:rPr>
              <w:t>Assets</w:t>
            </w:r>
          </w:p>
        </w:tc>
        <w:tc>
          <w:tcPr>
            <w:tcW w:w="8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9"/>
        </w:trPr>
        <w:tc>
          <w:tcPr>
            <w:tcW w:w="3620" w:type="dxa"/>
            <w:vAlign w:val="bottom"/>
          </w:tcPr>
          <w:p>
            <w:pPr>
              <w:spacing w:after="0"/>
              <w:rPr>
                <w:sz w:val="20"/>
                <w:szCs w:val="20"/>
                <w:color w:val="auto"/>
              </w:rPr>
            </w:pPr>
            <w:r>
              <w:rPr>
                <w:rFonts w:ascii="Arial" w:cs="Arial" w:eastAsia="Arial" w:hAnsi="Arial"/>
                <w:sz w:val="16"/>
                <w:szCs w:val="16"/>
                <w:color w:val="auto"/>
              </w:rPr>
              <w:t>FHLB common stock</w:t>
            </w:r>
          </w:p>
        </w:tc>
        <w:tc>
          <w:tcPr>
            <w:tcW w:w="800" w:type="dxa"/>
            <w:vAlign w:val="bottom"/>
          </w:tcPr>
          <w:p>
            <w:pPr>
              <w:jc w:val="right"/>
              <w:ind w:right="602"/>
              <w:spacing w:after="0"/>
              <w:rPr>
                <w:sz w:val="20"/>
                <w:szCs w:val="20"/>
                <w:color w:val="auto"/>
              </w:rPr>
            </w:pPr>
            <w:r>
              <w:rPr>
                <w:rFonts w:ascii="Arial" w:cs="Arial" w:eastAsia="Arial" w:hAnsi="Arial"/>
                <w:sz w:val="16"/>
                <w:szCs w:val="16"/>
                <w:color w:val="auto"/>
              </w:rPr>
              <w:t>$</w:t>
            </w:r>
          </w:p>
        </w:tc>
        <w:tc>
          <w:tcPr>
            <w:tcW w:w="260" w:type="dxa"/>
            <w:vAlign w:val="bottom"/>
          </w:tcPr>
          <w:p>
            <w:pPr>
              <w:ind w:left="40"/>
              <w:spacing w:after="0"/>
              <w:rPr>
                <w:sz w:val="20"/>
                <w:szCs w:val="20"/>
                <w:color w:val="auto"/>
              </w:rPr>
            </w:pPr>
            <w:r>
              <w:rPr>
                <w:rFonts w:ascii="Arial" w:cs="Arial" w:eastAsia="Arial" w:hAnsi="Arial"/>
                <w:sz w:val="16"/>
                <w:szCs w:val="16"/>
                <w:color w:val="auto"/>
              </w:rPr>
              <w:t>—</w:t>
            </w:r>
          </w:p>
        </w:tc>
        <w:tc>
          <w:tcPr>
            <w:tcW w:w="3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2"/>
              <w:spacing w:after="0"/>
              <w:rPr>
                <w:sz w:val="20"/>
                <w:szCs w:val="20"/>
                <w:color w:val="auto"/>
              </w:rPr>
            </w:pPr>
            <w:r>
              <w:rPr>
                <w:rFonts w:ascii="Arial" w:cs="Arial" w:eastAsia="Arial" w:hAnsi="Arial"/>
                <w:sz w:val="16"/>
                <w:szCs w:val="16"/>
                <w:color w:val="auto"/>
              </w:rPr>
              <w:t>153</w:t>
            </w:r>
          </w:p>
        </w:tc>
        <w:tc>
          <w:tcPr>
            <w:tcW w:w="24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3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320" w:type="dxa"/>
            <w:vAlign w:val="bottom"/>
            <w:gridSpan w:val="2"/>
          </w:tcPr>
          <w:p>
            <w:pPr>
              <w:jc w:val="right"/>
              <w:ind w:right="62"/>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153</w:t>
            </w:r>
          </w:p>
        </w:tc>
        <w:tc>
          <w:tcPr>
            <w:tcW w:w="28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2"/>
              <w:spacing w:after="0"/>
              <w:rPr>
                <w:sz w:val="20"/>
                <w:szCs w:val="20"/>
                <w:color w:val="auto"/>
              </w:rPr>
            </w:pPr>
            <w:r>
              <w:rPr>
                <w:rFonts w:ascii="Arial" w:cs="Arial" w:eastAsia="Arial" w:hAnsi="Arial"/>
                <w:sz w:val="16"/>
                <w:szCs w:val="16"/>
                <w:color w:val="auto"/>
              </w:rPr>
              <w:t>153</w:t>
            </w:r>
          </w:p>
        </w:tc>
        <w:tc>
          <w:tcPr>
            <w:tcW w:w="0" w:type="dxa"/>
            <w:vAlign w:val="bottom"/>
          </w:tcPr>
          <w:p>
            <w:pPr>
              <w:spacing w:after="0"/>
              <w:rPr>
                <w:sz w:val="1"/>
                <w:szCs w:val="1"/>
                <w:color w:val="auto"/>
              </w:rPr>
            </w:pPr>
          </w:p>
        </w:tc>
      </w:tr>
      <w:tr>
        <w:trPr>
          <w:trHeight w:val="250"/>
        </w:trPr>
        <w:tc>
          <w:tcPr>
            <w:tcW w:w="3620" w:type="dxa"/>
            <w:vAlign w:val="bottom"/>
          </w:tcPr>
          <w:p>
            <w:pPr>
              <w:spacing w:after="0"/>
              <w:rPr>
                <w:sz w:val="20"/>
                <w:szCs w:val="20"/>
                <w:color w:val="auto"/>
              </w:rPr>
            </w:pPr>
            <w:r>
              <w:rPr>
                <w:rFonts w:ascii="Arial" w:cs="Arial" w:eastAsia="Arial" w:hAnsi="Arial"/>
                <w:sz w:val="16"/>
                <w:szCs w:val="16"/>
                <w:color w:val="auto"/>
              </w:rPr>
              <w:t>Commercial mortgage loans</w:t>
            </w:r>
          </w:p>
        </w:tc>
        <w:tc>
          <w:tcPr>
            <w:tcW w:w="800" w:type="dxa"/>
            <w:vAlign w:val="bottom"/>
          </w:tcPr>
          <w:p>
            <w:pPr>
              <w:spacing w:after="0"/>
              <w:rPr>
                <w:sz w:val="21"/>
                <w:szCs w:val="21"/>
                <w:color w:val="auto"/>
              </w:rPr>
            </w:pPr>
          </w:p>
        </w:tc>
        <w:tc>
          <w:tcPr>
            <w:tcW w:w="260" w:type="dxa"/>
            <w:vAlign w:val="bottom"/>
          </w:tcPr>
          <w:p>
            <w:pPr>
              <w:ind w:left="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2,404</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2,404</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jc w:val="right"/>
              <w:ind w:right="2"/>
              <w:spacing w:after="0"/>
              <w:rPr>
                <w:sz w:val="20"/>
                <w:szCs w:val="20"/>
                <w:color w:val="auto"/>
              </w:rPr>
            </w:pPr>
            <w:r>
              <w:rPr>
                <w:rFonts w:ascii="Arial" w:cs="Arial" w:eastAsia="Arial" w:hAnsi="Arial"/>
                <w:sz w:val="16"/>
                <w:szCs w:val="16"/>
                <w:color w:val="auto"/>
              </w:rPr>
              <w:t>2,705</w:t>
            </w:r>
          </w:p>
        </w:tc>
        <w:tc>
          <w:tcPr>
            <w:tcW w:w="0" w:type="dxa"/>
            <w:vAlign w:val="bottom"/>
          </w:tcPr>
          <w:p>
            <w:pPr>
              <w:spacing w:after="0"/>
              <w:rPr>
                <w:sz w:val="1"/>
                <w:szCs w:val="1"/>
                <w:color w:val="auto"/>
              </w:rPr>
            </w:pPr>
          </w:p>
        </w:tc>
      </w:tr>
      <w:tr>
        <w:trPr>
          <w:trHeight w:val="250"/>
        </w:trPr>
        <w:tc>
          <w:tcPr>
            <w:tcW w:w="3620" w:type="dxa"/>
            <w:vAlign w:val="bottom"/>
          </w:tcPr>
          <w:p>
            <w:pPr>
              <w:spacing w:after="0"/>
              <w:rPr>
                <w:sz w:val="20"/>
                <w:szCs w:val="20"/>
                <w:color w:val="auto"/>
              </w:rPr>
            </w:pPr>
            <w:r>
              <w:rPr>
                <w:rFonts w:ascii="Arial" w:cs="Arial" w:eastAsia="Arial" w:hAnsi="Arial"/>
                <w:sz w:val="16"/>
                <w:szCs w:val="16"/>
                <w:color w:val="auto"/>
              </w:rPr>
              <w:t>Residential mortgage loans</w:t>
            </w:r>
          </w:p>
        </w:tc>
        <w:tc>
          <w:tcPr>
            <w:tcW w:w="800" w:type="dxa"/>
            <w:vAlign w:val="bottom"/>
          </w:tcPr>
          <w:p>
            <w:pPr>
              <w:spacing w:after="0"/>
              <w:rPr>
                <w:sz w:val="21"/>
                <w:szCs w:val="21"/>
                <w:color w:val="auto"/>
              </w:rPr>
            </w:pPr>
          </w:p>
        </w:tc>
        <w:tc>
          <w:tcPr>
            <w:tcW w:w="260" w:type="dxa"/>
            <w:vAlign w:val="bottom"/>
          </w:tcPr>
          <w:p>
            <w:pPr>
              <w:ind w:left="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2,916</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2,916</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jc w:val="right"/>
              <w:ind w:right="2"/>
              <w:spacing w:after="0"/>
              <w:rPr>
                <w:sz w:val="20"/>
                <w:szCs w:val="20"/>
                <w:color w:val="auto"/>
              </w:rPr>
            </w:pPr>
            <w:r>
              <w:rPr>
                <w:rFonts w:ascii="Arial" w:cs="Arial" w:eastAsia="Arial" w:hAnsi="Arial"/>
                <w:sz w:val="16"/>
                <w:szCs w:val="16"/>
                <w:color w:val="auto"/>
              </w:rPr>
              <w:t>3,221</w:t>
            </w:r>
          </w:p>
        </w:tc>
        <w:tc>
          <w:tcPr>
            <w:tcW w:w="0" w:type="dxa"/>
            <w:vAlign w:val="bottom"/>
          </w:tcPr>
          <w:p>
            <w:pPr>
              <w:spacing w:after="0"/>
              <w:rPr>
                <w:sz w:val="1"/>
                <w:szCs w:val="1"/>
                <w:color w:val="auto"/>
              </w:rPr>
            </w:pPr>
          </w:p>
        </w:tc>
      </w:tr>
      <w:tr>
        <w:trPr>
          <w:trHeight w:val="250"/>
        </w:trPr>
        <w:tc>
          <w:tcPr>
            <w:tcW w:w="3620" w:type="dxa"/>
            <w:vAlign w:val="bottom"/>
          </w:tcPr>
          <w:p>
            <w:pPr>
              <w:spacing w:after="0"/>
              <w:rPr>
                <w:sz w:val="20"/>
                <w:szCs w:val="20"/>
                <w:color w:val="auto"/>
              </w:rPr>
            </w:pPr>
            <w:r>
              <w:rPr>
                <w:rFonts w:ascii="Arial" w:cs="Arial" w:eastAsia="Arial" w:hAnsi="Arial"/>
                <w:sz w:val="16"/>
                <w:szCs w:val="16"/>
                <w:color w:val="auto"/>
              </w:rPr>
              <w:t>Investments in unconsolidated affiliates</w:t>
            </w:r>
          </w:p>
        </w:tc>
        <w:tc>
          <w:tcPr>
            <w:tcW w:w="800" w:type="dxa"/>
            <w:vAlign w:val="bottom"/>
          </w:tcPr>
          <w:p>
            <w:pPr>
              <w:spacing w:after="0"/>
              <w:rPr>
                <w:sz w:val="21"/>
                <w:szCs w:val="21"/>
                <w:color w:val="auto"/>
              </w:rPr>
            </w:pPr>
          </w:p>
        </w:tc>
        <w:tc>
          <w:tcPr>
            <w:tcW w:w="260" w:type="dxa"/>
            <w:vAlign w:val="bottom"/>
          </w:tcPr>
          <w:p>
            <w:pPr>
              <w:ind w:left="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5</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ind w:right="2"/>
              <w:spacing w:after="0"/>
              <w:rPr>
                <w:sz w:val="20"/>
                <w:szCs w:val="20"/>
                <w:color w:val="auto"/>
              </w:rPr>
            </w:pPr>
            <w:r>
              <w:rPr>
                <w:rFonts w:ascii="Arial" w:cs="Arial" w:eastAsia="Arial" w:hAnsi="Arial"/>
                <w:sz w:val="16"/>
                <w:szCs w:val="16"/>
                <w:color w:val="auto"/>
              </w:rPr>
              <w:t>3,288</w:t>
            </w: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3,293</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jc w:val="right"/>
              <w:ind w:right="2"/>
              <w:spacing w:after="0"/>
              <w:rPr>
                <w:sz w:val="20"/>
                <w:szCs w:val="20"/>
                <w:color w:val="auto"/>
              </w:rPr>
            </w:pPr>
            <w:r>
              <w:rPr>
                <w:rFonts w:ascii="Arial" w:cs="Arial" w:eastAsia="Arial" w:hAnsi="Arial"/>
                <w:sz w:val="16"/>
                <w:szCs w:val="16"/>
                <w:color w:val="auto"/>
              </w:rPr>
              <w:t>3,293</w:t>
            </w:r>
          </w:p>
        </w:tc>
        <w:tc>
          <w:tcPr>
            <w:tcW w:w="0" w:type="dxa"/>
            <w:vAlign w:val="bottom"/>
          </w:tcPr>
          <w:p>
            <w:pPr>
              <w:spacing w:after="0"/>
              <w:rPr>
                <w:sz w:val="1"/>
                <w:szCs w:val="1"/>
                <w:color w:val="auto"/>
              </w:rPr>
            </w:pPr>
          </w:p>
        </w:tc>
      </w:tr>
      <w:tr>
        <w:trPr>
          <w:trHeight w:val="250"/>
        </w:trPr>
        <w:tc>
          <w:tcPr>
            <w:tcW w:w="3620" w:type="dxa"/>
            <w:vAlign w:val="bottom"/>
          </w:tcPr>
          <w:p>
            <w:pPr>
              <w:spacing w:after="0"/>
              <w:rPr>
                <w:sz w:val="20"/>
                <w:szCs w:val="20"/>
                <w:color w:val="auto"/>
              </w:rPr>
            </w:pPr>
            <w:r>
              <w:rPr>
                <w:rFonts w:ascii="Arial" w:cs="Arial" w:eastAsia="Arial" w:hAnsi="Arial"/>
                <w:sz w:val="16"/>
                <w:szCs w:val="16"/>
                <w:color w:val="auto"/>
              </w:rPr>
              <w:t>Policy loans</w:t>
            </w:r>
          </w:p>
        </w:tc>
        <w:tc>
          <w:tcPr>
            <w:tcW w:w="800" w:type="dxa"/>
            <w:vAlign w:val="bottom"/>
          </w:tcPr>
          <w:p>
            <w:pPr>
              <w:spacing w:after="0"/>
              <w:rPr>
                <w:sz w:val="21"/>
                <w:szCs w:val="21"/>
                <w:color w:val="auto"/>
              </w:rPr>
            </w:pPr>
          </w:p>
        </w:tc>
        <w:tc>
          <w:tcPr>
            <w:tcW w:w="260" w:type="dxa"/>
            <w:vAlign w:val="bottom"/>
          </w:tcPr>
          <w:p>
            <w:pPr>
              <w:ind w:left="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104</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104</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jc w:val="right"/>
              <w:ind w:right="2"/>
              <w:spacing w:after="0"/>
              <w:rPr>
                <w:sz w:val="20"/>
                <w:szCs w:val="20"/>
                <w:color w:val="auto"/>
              </w:rPr>
            </w:pPr>
            <w:r>
              <w:rPr>
                <w:rFonts w:ascii="Arial" w:cs="Arial" w:eastAsia="Arial" w:hAnsi="Arial"/>
                <w:sz w:val="16"/>
                <w:szCs w:val="16"/>
                <w:color w:val="auto"/>
              </w:rPr>
              <w:t>104</w:t>
            </w:r>
          </w:p>
        </w:tc>
        <w:tc>
          <w:tcPr>
            <w:tcW w:w="0" w:type="dxa"/>
            <w:vAlign w:val="bottom"/>
          </w:tcPr>
          <w:p>
            <w:pPr>
              <w:spacing w:after="0"/>
              <w:rPr>
                <w:sz w:val="1"/>
                <w:szCs w:val="1"/>
                <w:color w:val="auto"/>
              </w:rPr>
            </w:pPr>
          </w:p>
        </w:tc>
      </w:tr>
      <w:tr>
        <w:trPr>
          <w:trHeight w:val="250"/>
        </w:trPr>
        <w:tc>
          <w:tcPr>
            <w:tcW w:w="3620" w:type="dxa"/>
            <w:vAlign w:val="bottom"/>
          </w:tcPr>
          <w:p>
            <w:pPr>
              <w:spacing w:after="0"/>
              <w:rPr>
                <w:sz w:val="20"/>
                <w:szCs w:val="20"/>
                <w:color w:val="auto"/>
              </w:rPr>
            </w:pPr>
            <w:r>
              <w:rPr>
                <w:rFonts w:ascii="Arial" w:cs="Arial" w:eastAsia="Arial" w:hAnsi="Arial"/>
                <w:sz w:val="16"/>
                <w:szCs w:val="16"/>
                <w:color w:val="auto"/>
              </w:rPr>
              <w:t>Other invested assets</w:t>
            </w:r>
          </w:p>
        </w:tc>
        <w:tc>
          <w:tcPr>
            <w:tcW w:w="800" w:type="dxa"/>
            <w:vAlign w:val="bottom"/>
          </w:tcPr>
          <w:p>
            <w:pPr>
              <w:spacing w:after="0"/>
              <w:rPr>
                <w:sz w:val="21"/>
                <w:szCs w:val="21"/>
                <w:color w:val="auto"/>
              </w:rPr>
            </w:pPr>
          </w:p>
        </w:tc>
        <w:tc>
          <w:tcPr>
            <w:tcW w:w="260" w:type="dxa"/>
            <w:vAlign w:val="bottom"/>
          </w:tcPr>
          <w:p>
            <w:pPr>
              <w:ind w:left="40"/>
              <w:spacing w:after="0"/>
              <w:rPr>
                <w:sz w:val="20"/>
                <w:szCs w:val="20"/>
                <w:color w:val="auto"/>
              </w:rPr>
            </w:pPr>
            <w:r>
              <w:rPr>
                <w:rFonts w:ascii="Arial" w:cs="Arial" w:eastAsia="Arial" w:hAnsi="Arial"/>
                <w:sz w:val="16"/>
                <w:szCs w:val="16"/>
                <w:color w:val="auto"/>
              </w:rPr>
              <w:t>42</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ind w:right="2"/>
              <w:spacing w:after="0"/>
              <w:rPr>
                <w:sz w:val="20"/>
                <w:szCs w:val="20"/>
                <w:color w:val="auto"/>
              </w:rPr>
            </w:pPr>
            <w:r>
              <w:rPr>
                <w:rFonts w:ascii="Arial" w:cs="Arial" w:eastAsia="Arial" w:hAnsi="Arial"/>
                <w:sz w:val="16"/>
                <w:szCs w:val="16"/>
                <w:color w:val="auto"/>
              </w:rPr>
              <w:t>48</w:t>
            </w: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90</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jc w:val="right"/>
              <w:ind w:right="2"/>
              <w:spacing w:after="0"/>
              <w:rPr>
                <w:sz w:val="20"/>
                <w:szCs w:val="20"/>
                <w:color w:val="auto"/>
              </w:rPr>
            </w:pPr>
            <w:r>
              <w:rPr>
                <w:rFonts w:ascii="Arial" w:cs="Arial" w:eastAsia="Arial" w:hAnsi="Arial"/>
                <w:sz w:val="16"/>
                <w:szCs w:val="16"/>
                <w:color w:val="auto"/>
              </w:rPr>
              <w:t>90</w:t>
            </w:r>
          </w:p>
        </w:tc>
        <w:tc>
          <w:tcPr>
            <w:tcW w:w="0" w:type="dxa"/>
            <w:vAlign w:val="bottom"/>
          </w:tcPr>
          <w:p>
            <w:pPr>
              <w:spacing w:after="0"/>
              <w:rPr>
                <w:sz w:val="1"/>
                <w:szCs w:val="1"/>
                <w:color w:val="auto"/>
              </w:rPr>
            </w:pPr>
          </w:p>
        </w:tc>
      </w:tr>
      <w:tr>
        <w:trPr>
          <w:trHeight w:val="250"/>
        </w:trPr>
        <w:tc>
          <w:tcPr>
            <w:tcW w:w="3620" w:type="dxa"/>
            <w:vAlign w:val="bottom"/>
          </w:tcPr>
          <w:p>
            <w:pPr>
              <w:spacing w:after="0"/>
              <w:rPr>
                <w:sz w:val="20"/>
                <w:szCs w:val="20"/>
                <w:color w:val="auto"/>
              </w:rPr>
            </w:pPr>
            <w:r>
              <w:rPr>
                <w:rFonts w:ascii="Arial" w:cs="Arial" w:eastAsia="Arial" w:hAnsi="Arial"/>
                <w:sz w:val="16"/>
                <w:szCs w:val="16"/>
                <w:color w:val="auto"/>
              </w:rPr>
              <w:t>Company-owned life insurance</w:t>
            </w:r>
          </w:p>
        </w:tc>
        <w:tc>
          <w:tcPr>
            <w:tcW w:w="800" w:type="dxa"/>
            <w:vAlign w:val="bottom"/>
          </w:tcPr>
          <w:p>
            <w:pPr>
              <w:spacing w:after="0"/>
              <w:rPr>
                <w:sz w:val="21"/>
                <w:szCs w:val="21"/>
                <w:color w:val="auto"/>
              </w:rPr>
            </w:pPr>
          </w:p>
        </w:tc>
        <w:tc>
          <w:tcPr>
            <w:tcW w:w="260" w:type="dxa"/>
            <w:vAlign w:val="bottom"/>
          </w:tcPr>
          <w:p>
            <w:pPr>
              <w:ind w:left="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431</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431</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jc w:val="right"/>
              <w:ind w:right="2"/>
              <w:spacing w:after="0"/>
              <w:rPr>
                <w:sz w:val="20"/>
                <w:szCs w:val="20"/>
                <w:color w:val="auto"/>
              </w:rPr>
            </w:pPr>
            <w:r>
              <w:rPr>
                <w:rFonts w:ascii="Arial" w:cs="Arial" w:eastAsia="Arial" w:hAnsi="Arial"/>
                <w:sz w:val="16"/>
                <w:szCs w:val="16"/>
                <w:color w:val="auto"/>
              </w:rPr>
              <w:t>431</w:t>
            </w:r>
          </w:p>
        </w:tc>
        <w:tc>
          <w:tcPr>
            <w:tcW w:w="0" w:type="dxa"/>
            <w:vAlign w:val="bottom"/>
          </w:tcPr>
          <w:p>
            <w:pPr>
              <w:spacing w:after="0"/>
              <w:rPr>
                <w:sz w:val="1"/>
                <w:szCs w:val="1"/>
                <w:color w:val="auto"/>
              </w:rPr>
            </w:pPr>
          </w:p>
        </w:tc>
      </w:tr>
      <w:tr>
        <w:trPr>
          <w:trHeight w:val="257"/>
        </w:trPr>
        <w:tc>
          <w:tcPr>
            <w:tcW w:w="3620" w:type="dxa"/>
            <w:vAlign w:val="bottom"/>
          </w:tcPr>
          <w:p>
            <w:pPr>
              <w:spacing w:after="0"/>
              <w:rPr>
                <w:sz w:val="20"/>
                <w:szCs w:val="20"/>
                <w:color w:val="auto"/>
              </w:rPr>
            </w:pPr>
            <w:r>
              <w:rPr>
                <w:rFonts w:ascii="Arial" w:cs="Arial" w:eastAsia="Arial" w:hAnsi="Arial"/>
                <w:sz w:val="16"/>
                <w:szCs w:val="16"/>
                <w:color w:val="auto"/>
              </w:rPr>
              <w:t>Trade and notes receivables, net of allowance</w:t>
            </w:r>
          </w:p>
        </w:tc>
        <w:tc>
          <w:tcPr>
            <w:tcW w:w="80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471</w:t>
            </w:r>
          </w:p>
        </w:tc>
        <w:tc>
          <w:tcPr>
            <w:tcW w:w="8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471</w:t>
            </w:r>
          </w:p>
        </w:tc>
        <w:tc>
          <w:tcPr>
            <w:tcW w:w="8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471</w:t>
            </w:r>
          </w:p>
        </w:tc>
        <w:tc>
          <w:tcPr>
            <w:tcW w:w="0" w:type="dxa"/>
            <w:vAlign w:val="bottom"/>
          </w:tcPr>
          <w:p>
            <w:pPr>
              <w:spacing w:after="0"/>
              <w:rPr>
                <w:sz w:val="1"/>
                <w:szCs w:val="1"/>
                <w:color w:val="auto"/>
              </w:rPr>
            </w:pPr>
          </w:p>
        </w:tc>
      </w:tr>
      <w:tr>
        <w:trPr>
          <w:trHeight w:val="210"/>
        </w:trPr>
        <w:tc>
          <w:tcPr>
            <w:tcW w:w="3620" w:type="dxa"/>
            <w:vAlign w:val="bottom"/>
          </w:tcPr>
          <w:p>
            <w:pPr>
              <w:ind w:left="220"/>
              <w:spacing w:after="0"/>
              <w:rPr>
                <w:sz w:val="20"/>
                <w:szCs w:val="20"/>
                <w:color w:val="auto"/>
              </w:rPr>
            </w:pPr>
            <w:r>
              <w:rPr>
                <w:rFonts w:ascii="Arial" w:cs="Arial" w:eastAsia="Arial" w:hAnsi="Arial"/>
                <w:sz w:val="16"/>
                <w:szCs w:val="16"/>
                <w:b w:val="1"/>
                <w:bCs w:val="1"/>
                <w:color w:val="auto"/>
              </w:rPr>
              <w:t>Total</w:t>
            </w:r>
          </w:p>
        </w:tc>
        <w:tc>
          <w:tcPr>
            <w:tcW w:w="800" w:type="dxa"/>
            <w:vAlign w:val="bottom"/>
          </w:tcPr>
          <w:p>
            <w:pPr>
              <w:jc w:val="right"/>
              <w:ind w:right="602"/>
              <w:spacing w:after="0"/>
              <w:rPr>
                <w:sz w:val="20"/>
                <w:szCs w:val="20"/>
                <w:color w:val="auto"/>
              </w:rPr>
            </w:pPr>
            <w:r>
              <w:rPr>
                <w:rFonts w:ascii="Arial" w:cs="Arial" w:eastAsia="Arial" w:hAnsi="Arial"/>
                <w:sz w:val="16"/>
                <w:szCs w:val="16"/>
                <w:color w:val="auto"/>
              </w:rPr>
              <w:t>$</w:t>
            </w:r>
          </w:p>
        </w:tc>
        <w:tc>
          <w:tcPr>
            <w:tcW w:w="260" w:type="dxa"/>
            <w:vAlign w:val="bottom"/>
          </w:tcPr>
          <w:p>
            <w:pPr>
              <w:ind w:left="40"/>
              <w:spacing w:after="0"/>
              <w:rPr>
                <w:sz w:val="20"/>
                <w:szCs w:val="20"/>
                <w:color w:val="auto"/>
              </w:rPr>
            </w:pPr>
            <w:r>
              <w:rPr>
                <w:rFonts w:ascii="Arial" w:cs="Arial" w:eastAsia="Arial" w:hAnsi="Arial"/>
                <w:sz w:val="16"/>
                <w:szCs w:val="16"/>
                <w:color w:val="auto"/>
              </w:rPr>
              <w:t>42</w:t>
            </w:r>
          </w:p>
        </w:tc>
        <w:tc>
          <w:tcPr>
            <w:tcW w:w="3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2"/>
              <w:spacing w:after="0"/>
              <w:rPr>
                <w:sz w:val="20"/>
                <w:szCs w:val="20"/>
                <w:color w:val="auto"/>
              </w:rPr>
            </w:pPr>
            <w:r>
              <w:rPr>
                <w:rFonts w:ascii="Arial" w:cs="Arial" w:eastAsia="Arial" w:hAnsi="Arial"/>
                <w:sz w:val="16"/>
                <w:szCs w:val="16"/>
                <w:color w:val="auto"/>
              </w:rPr>
              <w:t>153</w:t>
            </w:r>
          </w:p>
        </w:tc>
        <w:tc>
          <w:tcPr>
            <w:tcW w:w="24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6,331</w:t>
            </w:r>
          </w:p>
        </w:tc>
        <w:tc>
          <w:tcPr>
            <w:tcW w:w="3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2"/>
              <w:spacing w:after="0"/>
              <w:rPr>
                <w:sz w:val="20"/>
                <w:szCs w:val="20"/>
                <w:color w:val="auto"/>
              </w:rPr>
            </w:pPr>
            <w:r>
              <w:rPr>
                <w:rFonts w:ascii="Arial" w:cs="Arial" w:eastAsia="Arial" w:hAnsi="Arial"/>
                <w:sz w:val="16"/>
                <w:szCs w:val="16"/>
                <w:color w:val="auto"/>
              </w:rPr>
              <w:t>3,336</w:t>
            </w:r>
          </w:p>
        </w:tc>
        <w:tc>
          <w:tcPr>
            <w:tcW w:w="320" w:type="dxa"/>
            <w:vAlign w:val="bottom"/>
            <w:gridSpan w:val="2"/>
          </w:tcPr>
          <w:p>
            <w:pPr>
              <w:jc w:val="right"/>
              <w:ind w:right="62"/>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9,862</w:t>
            </w:r>
          </w:p>
        </w:tc>
        <w:tc>
          <w:tcPr>
            <w:tcW w:w="28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2"/>
              <w:spacing w:after="0"/>
              <w:rPr>
                <w:sz w:val="20"/>
                <w:szCs w:val="20"/>
                <w:color w:val="auto"/>
              </w:rPr>
            </w:pPr>
            <w:r>
              <w:rPr>
                <w:rFonts w:ascii="Arial" w:cs="Arial" w:eastAsia="Arial" w:hAnsi="Arial"/>
                <w:sz w:val="16"/>
                <w:szCs w:val="16"/>
                <w:color w:val="auto"/>
              </w:rPr>
              <w:t>10,468</w:t>
            </w:r>
          </w:p>
        </w:tc>
        <w:tc>
          <w:tcPr>
            <w:tcW w:w="0" w:type="dxa"/>
            <w:vAlign w:val="bottom"/>
          </w:tcPr>
          <w:p>
            <w:pPr>
              <w:spacing w:after="0"/>
              <w:rPr>
                <w:sz w:val="1"/>
                <w:szCs w:val="1"/>
                <w:color w:val="auto"/>
              </w:rPr>
            </w:pPr>
          </w:p>
        </w:tc>
      </w:tr>
      <w:tr>
        <w:trPr>
          <w:trHeight w:val="20"/>
        </w:trPr>
        <w:tc>
          <w:tcPr>
            <w:tcW w:w="3620" w:type="dxa"/>
            <w:vAlign w:val="bottom"/>
            <w:vMerge w:val="restart"/>
          </w:tcPr>
          <w:p>
            <w:pPr>
              <w:spacing w:after="0"/>
              <w:rPr>
                <w:sz w:val="20"/>
                <w:szCs w:val="20"/>
                <w:color w:val="auto"/>
              </w:rPr>
            </w:pPr>
            <w:r>
              <w:rPr>
                <w:rFonts w:ascii="Arial" w:cs="Arial" w:eastAsia="Arial" w:hAnsi="Arial"/>
                <w:sz w:val="16"/>
                <w:szCs w:val="16"/>
                <w:b w:val="1"/>
                <w:bCs w:val="1"/>
                <w:color w:val="auto"/>
              </w:rPr>
              <w:t>Liabilities</w:t>
            </w:r>
          </w:p>
        </w:tc>
        <w:tc>
          <w:tcPr>
            <w:tcW w:w="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2"/>
        </w:trPr>
        <w:tc>
          <w:tcPr>
            <w:tcW w:w="3620" w:type="dxa"/>
            <w:vAlign w:val="bottom"/>
            <w:vMerge w:val="continue"/>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620" w:type="dxa"/>
            <w:vAlign w:val="bottom"/>
          </w:tcPr>
          <w:p>
            <w:pPr>
              <w:spacing w:after="0"/>
              <w:rPr>
                <w:sz w:val="20"/>
                <w:szCs w:val="20"/>
                <w:color w:val="auto"/>
              </w:rPr>
            </w:pPr>
            <w:r>
              <w:rPr>
                <w:rFonts w:ascii="Arial" w:cs="Arial" w:eastAsia="Arial" w:hAnsi="Arial"/>
                <w:sz w:val="16"/>
                <w:szCs w:val="16"/>
                <w:color w:val="auto"/>
                <w:w w:val="93"/>
              </w:rPr>
              <w:t>Investment contracts, included in Contractholder funds</w:t>
            </w:r>
          </w:p>
        </w:tc>
        <w:tc>
          <w:tcPr>
            <w:tcW w:w="800" w:type="dxa"/>
            <w:vAlign w:val="bottom"/>
          </w:tcPr>
          <w:p>
            <w:pPr>
              <w:jc w:val="right"/>
              <w:ind w:right="602"/>
              <w:spacing w:after="0"/>
              <w:rPr>
                <w:sz w:val="20"/>
                <w:szCs w:val="20"/>
                <w:color w:val="auto"/>
              </w:rPr>
            </w:pPr>
            <w:r>
              <w:rPr>
                <w:rFonts w:ascii="Arial" w:cs="Arial" w:eastAsia="Arial" w:hAnsi="Arial"/>
                <w:sz w:val="16"/>
                <w:szCs w:val="16"/>
                <w:color w:val="auto"/>
              </w:rPr>
              <w:t>$</w:t>
            </w:r>
          </w:p>
        </w:tc>
        <w:tc>
          <w:tcPr>
            <w:tcW w:w="260" w:type="dxa"/>
            <w:vAlign w:val="bottom"/>
          </w:tcPr>
          <w:p>
            <w:pPr>
              <w:ind w:left="40"/>
              <w:spacing w:after="0"/>
              <w:rPr>
                <w:sz w:val="20"/>
                <w:szCs w:val="20"/>
                <w:color w:val="auto"/>
              </w:rPr>
            </w:pPr>
            <w:r>
              <w:rPr>
                <w:rFonts w:ascii="Arial" w:cs="Arial" w:eastAsia="Arial" w:hAnsi="Arial"/>
                <w:sz w:val="16"/>
                <w:szCs w:val="16"/>
                <w:color w:val="auto"/>
              </w:rPr>
              <w:t>—</w:t>
            </w:r>
          </w:p>
        </w:tc>
        <w:tc>
          <w:tcPr>
            <w:tcW w:w="3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24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46,339</w:t>
            </w:r>
          </w:p>
        </w:tc>
        <w:tc>
          <w:tcPr>
            <w:tcW w:w="3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320" w:type="dxa"/>
            <w:vAlign w:val="bottom"/>
            <w:gridSpan w:val="2"/>
          </w:tcPr>
          <w:p>
            <w:pPr>
              <w:jc w:val="right"/>
              <w:ind w:right="62"/>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46,339</w:t>
            </w:r>
          </w:p>
        </w:tc>
        <w:tc>
          <w:tcPr>
            <w:tcW w:w="28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2"/>
              <w:spacing w:after="0"/>
              <w:rPr>
                <w:sz w:val="20"/>
                <w:szCs w:val="20"/>
                <w:color w:val="auto"/>
              </w:rPr>
            </w:pPr>
            <w:r>
              <w:rPr>
                <w:rFonts w:ascii="Arial" w:cs="Arial" w:eastAsia="Arial" w:hAnsi="Arial"/>
                <w:sz w:val="16"/>
                <w:szCs w:val="16"/>
                <w:color w:val="auto"/>
              </w:rPr>
              <w:t>51,184</w:t>
            </w:r>
          </w:p>
        </w:tc>
        <w:tc>
          <w:tcPr>
            <w:tcW w:w="0" w:type="dxa"/>
            <w:vAlign w:val="bottom"/>
          </w:tcPr>
          <w:p>
            <w:pPr>
              <w:spacing w:after="0"/>
              <w:rPr>
                <w:sz w:val="1"/>
                <w:szCs w:val="1"/>
                <w:color w:val="auto"/>
              </w:rPr>
            </w:pPr>
          </w:p>
        </w:tc>
      </w:tr>
      <w:tr>
        <w:trPr>
          <w:trHeight w:val="257"/>
        </w:trPr>
        <w:tc>
          <w:tcPr>
            <w:tcW w:w="3620" w:type="dxa"/>
            <w:vAlign w:val="bottom"/>
          </w:tcPr>
          <w:p>
            <w:pPr>
              <w:spacing w:after="0"/>
              <w:rPr>
                <w:sz w:val="20"/>
                <w:szCs w:val="20"/>
                <w:color w:val="auto"/>
              </w:rPr>
            </w:pPr>
            <w:r>
              <w:rPr>
                <w:rFonts w:ascii="Arial" w:cs="Arial" w:eastAsia="Arial" w:hAnsi="Arial"/>
                <w:sz w:val="16"/>
                <w:szCs w:val="16"/>
                <w:color w:val="auto"/>
              </w:rPr>
              <w:t>Debt</w:t>
            </w:r>
          </w:p>
        </w:tc>
        <w:tc>
          <w:tcPr>
            <w:tcW w:w="80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3,781</w:t>
            </w:r>
          </w:p>
        </w:tc>
        <w:tc>
          <w:tcPr>
            <w:tcW w:w="6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3,781</w:t>
            </w:r>
          </w:p>
        </w:tc>
        <w:tc>
          <w:tcPr>
            <w:tcW w:w="8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4,321</w:t>
            </w:r>
          </w:p>
        </w:tc>
        <w:tc>
          <w:tcPr>
            <w:tcW w:w="0" w:type="dxa"/>
            <w:vAlign w:val="bottom"/>
          </w:tcPr>
          <w:p>
            <w:pPr>
              <w:spacing w:after="0"/>
              <w:rPr>
                <w:sz w:val="1"/>
                <w:szCs w:val="1"/>
                <w:color w:val="auto"/>
              </w:rPr>
            </w:pPr>
          </w:p>
        </w:tc>
      </w:tr>
      <w:tr>
        <w:trPr>
          <w:trHeight w:val="210"/>
        </w:trPr>
        <w:tc>
          <w:tcPr>
            <w:tcW w:w="3620" w:type="dxa"/>
            <w:vAlign w:val="bottom"/>
          </w:tcPr>
          <w:p>
            <w:pPr>
              <w:ind w:left="220"/>
              <w:spacing w:after="0"/>
              <w:rPr>
                <w:sz w:val="20"/>
                <w:szCs w:val="20"/>
                <w:color w:val="auto"/>
              </w:rPr>
            </w:pPr>
            <w:r>
              <w:rPr>
                <w:rFonts w:ascii="Arial" w:cs="Arial" w:eastAsia="Arial" w:hAnsi="Arial"/>
                <w:sz w:val="16"/>
                <w:szCs w:val="16"/>
                <w:b w:val="1"/>
                <w:bCs w:val="1"/>
                <w:color w:val="auto"/>
              </w:rPr>
              <w:t>Total</w:t>
            </w:r>
          </w:p>
        </w:tc>
        <w:tc>
          <w:tcPr>
            <w:tcW w:w="800" w:type="dxa"/>
            <w:vAlign w:val="bottom"/>
          </w:tcPr>
          <w:p>
            <w:pPr>
              <w:jc w:val="right"/>
              <w:ind w:right="602"/>
              <w:spacing w:after="0"/>
              <w:rPr>
                <w:sz w:val="20"/>
                <w:szCs w:val="20"/>
                <w:color w:val="auto"/>
              </w:rPr>
            </w:pPr>
            <w:r>
              <w:rPr>
                <w:rFonts w:ascii="Arial" w:cs="Arial" w:eastAsia="Arial" w:hAnsi="Arial"/>
                <w:sz w:val="16"/>
                <w:szCs w:val="16"/>
                <w:color w:val="auto"/>
              </w:rPr>
              <w:t>$</w:t>
            </w:r>
          </w:p>
        </w:tc>
        <w:tc>
          <w:tcPr>
            <w:tcW w:w="260" w:type="dxa"/>
            <w:vAlign w:val="bottom"/>
          </w:tcPr>
          <w:p>
            <w:pPr>
              <w:ind w:left="40"/>
              <w:spacing w:after="0"/>
              <w:rPr>
                <w:sz w:val="20"/>
                <w:szCs w:val="20"/>
                <w:color w:val="auto"/>
              </w:rPr>
            </w:pPr>
            <w:r>
              <w:rPr>
                <w:rFonts w:ascii="Arial" w:cs="Arial" w:eastAsia="Arial" w:hAnsi="Arial"/>
                <w:sz w:val="16"/>
                <w:szCs w:val="16"/>
                <w:color w:val="auto"/>
              </w:rPr>
              <w:t>—</w:t>
            </w:r>
          </w:p>
        </w:tc>
        <w:tc>
          <w:tcPr>
            <w:tcW w:w="3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2"/>
              <w:spacing w:after="0"/>
              <w:rPr>
                <w:sz w:val="20"/>
                <w:szCs w:val="20"/>
                <w:color w:val="auto"/>
              </w:rPr>
            </w:pPr>
            <w:r>
              <w:rPr>
                <w:rFonts w:ascii="Arial" w:cs="Arial" w:eastAsia="Arial" w:hAnsi="Arial"/>
                <w:sz w:val="16"/>
                <w:szCs w:val="16"/>
                <w:color w:val="auto"/>
              </w:rPr>
              <w:t>3,781</w:t>
            </w:r>
          </w:p>
        </w:tc>
        <w:tc>
          <w:tcPr>
            <w:tcW w:w="24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46,339</w:t>
            </w:r>
          </w:p>
        </w:tc>
        <w:tc>
          <w:tcPr>
            <w:tcW w:w="3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320" w:type="dxa"/>
            <w:vAlign w:val="bottom"/>
            <w:gridSpan w:val="2"/>
          </w:tcPr>
          <w:p>
            <w:pPr>
              <w:jc w:val="right"/>
              <w:ind w:right="62"/>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50,120</w:t>
            </w:r>
          </w:p>
        </w:tc>
        <w:tc>
          <w:tcPr>
            <w:tcW w:w="28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2"/>
              <w:spacing w:after="0"/>
              <w:rPr>
                <w:sz w:val="20"/>
                <w:szCs w:val="20"/>
                <w:color w:val="auto"/>
              </w:rPr>
            </w:pPr>
            <w:r>
              <w:rPr>
                <w:rFonts w:ascii="Arial" w:cs="Arial" w:eastAsia="Arial" w:hAnsi="Arial"/>
                <w:sz w:val="16"/>
                <w:szCs w:val="16"/>
                <w:color w:val="auto"/>
              </w:rPr>
              <w:t>55,505</w:t>
            </w:r>
          </w:p>
        </w:tc>
        <w:tc>
          <w:tcPr>
            <w:tcW w:w="0" w:type="dxa"/>
            <w:vAlign w:val="bottom"/>
          </w:tcPr>
          <w:p>
            <w:pPr>
              <w:spacing w:after="0"/>
              <w:rPr>
                <w:sz w:val="1"/>
                <w:szCs w:val="1"/>
                <w:color w:val="auto"/>
              </w:rPr>
            </w:pPr>
          </w:p>
        </w:tc>
      </w:tr>
      <w:tr>
        <w:trPr>
          <w:trHeight w:val="20"/>
        </w:trPr>
        <w:tc>
          <w:tcPr>
            <w:tcW w:w="36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-2430145</wp:posOffset>
            </wp:positionV>
            <wp:extent cx="6802120" cy="243713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88">
                      <a:extLst>
                        <a:ext uri="{28A0092B-C50C-407E-A947-70E740481C1C}"/>
                      </a:extLst>
                    </a:blip>
                    <a:srcRect/>
                    <a:stretch>
                      <a:fillRect/>
                    </a:stretch>
                  </pic:blipFill>
                  <pic:spPr bwMode="auto">
                    <a:xfrm>
                      <a:off x="0" y="0"/>
                      <a:ext cx="6802120" cy="2437130"/>
                    </a:xfrm>
                    <a:prstGeom prst="rect">
                      <a:avLst/>
                    </a:prstGeom>
                    <a:noFill/>
                  </pic:spPr>
                </pic:pic>
              </a:graphicData>
            </a:graphic>
          </wp:anchor>
        </w:drawing>
      </w:r>
    </w:p>
    <w:p>
      <w:pPr>
        <w:spacing w:after="0" w:line="223" w:lineRule="exact"/>
        <w:rPr>
          <w:sz w:val="20"/>
          <w:szCs w:val="20"/>
          <w:color w:val="auto"/>
        </w:rPr>
      </w:pPr>
    </w:p>
    <w:p>
      <w:pPr>
        <w:jc w:val="both"/>
        <w:ind w:left="260" w:right="320" w:firstLine="353"/>
        <w:spacing w:after="0" w:line="258" w:lineRule="auto"/>
        <w:rPr>
          <w:sz w:val="20"/>
          <w:szCs w:val="20"/>
          <w:color w:val="auto"/>
        </w:rPr>
      </w:pPr>
      <w:r>
        <w:rPr>
          <w:rFonts w:ascii="Arial" w:cs="Arial" w:eastAsia="Arial" w:hAnsi="Arial"/>
          <w:sz w:val="20"/>
          <w:szCs w:val="20"/>
          <w:color w:val="auto"/>
        </w:rPr>
        <w:t>For investments for which NAV is used, we do not have any significant restrictions in our ability to liquidate our positions in these investments, other than obtaining general partner approval, nor do we believe it is probable a price less than NAV would be received in the event of a liquidation.</w:t>
      </w:r>
    </w:p>
    <w:p>
      <w:pPr>
        <w:spacing w:after="0" w:line="52" w:lineRule="exact"/>
        <w:rPr>
          <w:sz w:val="20"/>
          <w:szCs w:val="20"/>
          <w:color w:val="auto"/>
        </w:rPr>
      </w:pPr>
    </w:p>
    <w:p>
      <w:pPr>
        <w:jc w:val="both"/>
        <w:ind w:left="260" w:right="320" w:firstLine="353"/>
        <w:spacing w:after="0" w:line="251" w:lineRule="auto"/>
        <w:rPr>
          <w:sz w:val="20"/>
          <w:szCs w:val="20"/>
          <w:color w:val="auto"/>
        </w:rPr>
      </w:pPr>
      <w:r>
        <w:rPr>
          <w:rFonts w:ascii="Arial" w:cs="Arial" w:eastAsia="Arial" w:hAnsi="Arial"/>
          <w:sz w:val="20"/>
          <w:szCs w:val="20"/>
          <w:color w:val="auto"/>
        </w:rPr>
        <w:t>We review the fair value hierarchy classifications each reporting period. Changes in the observability of the valuation attributes may result in a reclassification of certain financial assets or liabilities. Such reclassifications are reported as transfers in and out of Level 3, or between other levels, at the beginning fair value for the reporting period in which the changes occur. The transfers into and out of Level 3 were related to changes in the primary pricing source and changes in the observability of external information used in determining the fair value.</w:t>
      </w:r>
    </w:p>
    <w:p>
      <w:pPr>
        <w:sectPr>
          <w:pgSz w:w="11880" w:h="15480" w:orient="portrait"/>
          <w:cols w:equalWidth="0" w:num="1">
            <w:col w:w="10620"/>
          </w:cols>
          <w:pgMar w:left="660" w:top="772" w:right="6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60"/>
        <w:spacing w:after="0"/>
        <w:rPr>
          <w:sz w:val="20"/>
          <w:szCs w:val="20"/>
          <w:color w:val="auto"/>
        </w:rPr>
      </w:pPr>
      <w:r>
        <w:rPr>
          <w:rFonts w:ascii="Arial" w:cs="Arial" w:eastAsia="Arial" w:hAnsi="Arial"/>
          <w:sz w:val="16"/>
          <w:szCs w:val="16"/>
          <w:color w:val="auto"/>
        </w:rPr>
        <w:t>133</w:t>
      </w:r>
    </w:p>
    <w:p>
      <w:pPr>
        <w:sectPr>
          <w:pgSz w:w="11880" w:h="15480" w:orient="portrait"/>
          <w:cols w:equalWidth="0" w:num="1">
            <w:col w:w="10620"/>
          </w:cols>
          <w:pgMar w:left="660" w:top="772" w:right="600" w:bottom="0" w:gutter="0" w:footer="0" w:header="0"/>
          <w:type w:val="continuous"/>
        </w:sectPr>
      </w:pPr>
    </w:p>
    <w:bookmarkStart w:id="145" w:name="page146"/>
    <w:bookmarkEnd w:id="145"/>
    <w:p>
      <w:pPr>
        <w:spacing w:after="0"/>
        <w:rPr>
          <w:sz w:val="20"/>
          <w:szCs w:val="20"/>
          <w:color w:val="auto"/>
        </w:rPr>
      </w:pPr>
      <w:r>
        <w:rPr>
          <w:rFonts w:ascii="Arial" w:cs="Arial" w:eastAsia="Arial" w:hAnsi="Arial"/>
          <w:sz w:val="20"/>
          <w:szCs w:val="20"/>
          <w:b w:val="1"/>
          <w:bCs w:val="1"/>
          <w:color w:val="auto"/>
        </w:rPr>
        <w:t>Note D — Investments</w:t>
      </w:r>
    </w:p>
    <w:p>
      <w:pPr>
        <w:spacing w:after="0" w:line="236" w:lineRule="exact"/>
        <w:rPr>
          <w:sz w:val="20"/>
          <w:szCs w:val="20"/>
          <w:color w:val="auto"/>
        </w:rPr>
      </w:pPr>
    </w:p>
    <w:p>
      <w:pPr>
        <w:jc w:val="both"/>
        <w:ind w:firstLine="353"/>
        <w:spacing w:after="0" w:line="325" w:lineRule="auto"/>
        <w:rPr>
          <w:sz w:val="20"/>
          <w:szCs w:val="20"/>
          <w:color w:val="auto"/>
        </w:rPr>
      </w:pPr>
      <w:r>
        <w:rPr>
          <w:rFonts w:ascii="Arial" w:cs="Arial" w:eastAsia="Arial" w:hAnsi="Arial"/>
          <w:sz w:val="17"/>
          <w:szCs w:val="17"/>
          <w:color w:val="auto"/>
        </w:rPr>
        <w:t>Our investments in fixed maturity securities have been designated as AFS, and are carried at fair value, net of allowance for expected credit losses, with unrealized gains and losses included within AOCI, net of deferred income taxes. Our preferred and equity securities investments are carried at fair value with unrealized gains and losses included in net earnings.</w:t>
      </w:r>
    </w:p>
    <w:p>
      <w:pPr>
        <w:spacing w:after="0" w:line="29" w:lineRule="exact"/>
        <w:rPr>
          <w:sz w:val="20"/>
          <w:szCs w:val="20"/>
          <w:color w:val="auto"/>
        </w:rPr>
      </w:pPr>
    </w:p>
    <w:p>
      <w:pPr>
        <w:jc w:val="both"/>
        <w:ind w:firstLine="353"/>
        <w:spacing w:after="0" w:line="325" w:lineRule="auto"/>
        <w:rPr>
          <w:sz w:val="20"/>
          <w:szCs w:val="20"/>
          <w:color w:val="auto"/>
        </w:rPr>
      </w:pPr>
      <w:r>
        <w:rPr>
          <w:rFonts w:ascii="Arial" w:cs="Arial" w:eastAsia="Arial" w:hAnsi="Arial"/>
          <w:sz w:val="17"/>
          <w:szCs w:val="17"/>
          <w:color w:val="auto"/>
        </w:rPr>
        <w:t xml:space="preserve">F&amp;G's investments include assets backing reserves as part of coinsurance with funds withheld agreements. The funds withheld invested assets are reported within their respective line items. See Note N </w:t>
      </w:r>
      <w:r>
        <w:rPr>
          <w:rFonts w:ascii="Arial" w:cs="Arial" w:eastAsia="Arial" w:hAnsi="Arial"/>
          <w:sz w:val="17"/>
          <w:szCs w:val="17"/>
          <w:b w:val="1"/>
          <w:bCs w:val="1"/>
          <w:i w:val="1"/>
          <w:iCs w:val="1"/>
          <w:color w:val="auto"/>
        </w:rPr>
        <w:t>F&amp;G Reinsurance</w:t>
      </w:r>
      <w:r>
        <w:rPr>
          <w:rFonts w:ascii="Arial" w:cs="Arial" w:eastAsia="Arial" w:hAnsi="Arial"/>
          <w:sz w:val="17"/>
          <w:szCs w:val="17"/>
          <w:color w:val="auto"/>
        </w:rPr>
        <w:t>, for more information on the funds withheld agreements. The Company's consolidated AFS investments are summarized as follows:</w:t>
      </w:r>
    </w:p>
    <w:p>
      <w:pPr>
        <w:spacing w:after="0" w:line="137" w:lineRule="exact"/>
        <w:rPr>
          <w:sz w:val="20"/>
          <w:szCs w:val="20"/>
          <w:color w:val="auto"/>
        </w:rPr>
      </w:pPr>
    </w:p>
    <w:tbl>
      <w:tblPr>
        <w:tblLayout w:type="fixed"/>
        <w:tblInd w:w="40" w:type="dxa"/>
        <w:tblCellMar>
          <w:top w:w="0" w:type="dxa"/>
          <w:left w:w="0" w:type="dxa"/>
          <w:bottom w:w="0" w:type="dxa"/>
          <w:right w:w="0" w:type="dxa"/>
        </w:tblCellMar>
      </w:tblPr>
      <w:tr>
        <w:trPr>
          <w:trHeight w:val="213"/>
        </w:trPr>
        <w:tc>
          <w:tcPr>
            <w:tcW w:w="4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160" w:type="dxa"/>
            <w:vAlign w:val="bottom"/>
            <w:tcBorders>
              <w:bottom w:val="single" w:sz="8" w:color="auto"/>
            </w:tcBorders>
            <w:gridSpan w:val="8"/>
          </w:tcPr>
          <w:p>
            <w:pPr>
              <w:jc w:val="center"/>
              <w:ind w:left="762"/>
              <w:spacing w:after="0"/>
              <w:rPr>
                <w:sz w:val="20"/>
                <w:szCs w:val="20"/>
                <w:color w:val="auto"/>
              </w:rPr>
            </w:pPr>
            <w:r>
              <w:rPr>
                <w:rFonts w:ascii="Arial" w:cs="Arial" w:eastAsia="Arial" w:hAnsi="Arial"/>
                <w:sz w:val="16"/>
                <w:szCs w:val="16"/>
                <w:b w:val="1"/>
                <w:bCs w:val="1"/>
                <w:color w:val="auto"/>
                <w:w w:val="88"/>
              </w:rPr>
              <w:t>December 31, 2025</w:t>
            </w: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45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vMerge w:val="restart"/>
          </w:tcPr>
          <w:p>
            <w:pPr>
              <w:jc w:val="right"/>
              <w:ind w:right="22"/>
              <w:spacing w:after="0"/>
              <w:rPr>
                <w:sz w:val="20"/>
                <w:szCs w:val="20"/>
                <w:color w:val="auto"/>
              </w:rPr>
            </w:pPr>
            <w:r>
              <w:rPr>
                <w:rFonts w:ascii="Arial" w:cs="Arial" w:eastAsia="Arial" w:hAnsi="Arial"/>
                <w:sz w:val="16"/>
                <w:szCs w:val="16"/>
                <w:b w:val="1"/>
                <w:bCs w:val="1"/>
                <w:color w:val="auto"/>
                <w:w w:val="91"/>
              </w:rPr>
              <w:t>Amortized</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80" w:type="dxa"/>
            <w:vAlign w:val="bottom"/>
            <w:gridSpan w:val="3"/>
          </w:tcPr>
          <w:p>
            <w:pPr>
              <w:jc w:val="center"/>
              <w:spacing w:after="0"/>
              <w:rPr>
                <w:sz w:val="20"/>
                <w:szCs w:val="20"/>
                <w:color w:val="auto"/>
              </w:rPr>
            </w:pPr>
            <w:r>
              <w:rPr>
                <w:rFonts w:ascii="Arial" w:cs="Arial" w:eastAsia="Arial" w:hAnsi="Arial"/>
                <w:sz w:val="16"/>
                <w:szCs w:val="16"/>
                <w:b w:val="1"/>
                <w:bCs w:val="1"/>
                <w:color w:val="auto"/>
                <w:w w:val="89"/>
              </w:rPr>
              <w:t>Allowance for</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gridSpan w:val="3"/>
          </w:tcPr>
          <w:p>
            <w:pPr>
              <w:jc w:val="center"/>
              <w:ind w:right="280"/>
              <w:spacing w:after="0"/>
              <w:rPr>
                <w:sz w:val="20"/>
                <w:szCs w:val="20"/>
                <w:color w:val="auto"/>
              </w:rPr>
            </w:pPr>
            <w:r>
              <w:rPr>
                <w:rFonts w:ascii="Arial" w:cs="Arial" w:eastAsia="Arial" w:hAnsi="Arial"/>
                <w:sz w:val="16"/>
                <w:szCs w:val="16"/>
                <w:b w:val="1"/>
                <w:bCs w:val="1"/>
                <w:color w:val="auto"/>
                <w:w w:val="82"/>
              </w:rPr>
              <w:t>Gross</w:t>
            </w:r>
          </w:p>
        </w:tc>
        <w:tc>
          <w:tcPr>
            <w:tcW w:w="140" w:type="dxa"/>
            <w:vAlign w:val="bottom"/>
          </w:tcPr>
          <w:p>
            <w:pPr>
              <w:spacing w:after="0"/>
              <w:rPr>
                <w:sz w:val="16"/>
                <w:szCs w:val="16"/>
                <w:color w:val="auto"/>
              </w:rPr>
            </w:pPr>
          </w:p>
        </w:tc>
        <w:tc>
          <w:tcPr>
            <w:tcW w:w="920" w:type="dxa"/>
            <w:vAlign w:val="bottom"/>
            <w:gridSpan w:val="3"/>
          </w:tcPr>
          <w:p>
            <w:pPr>
              <w:jc w:val="center"/>
              <w:ind w:right="220"/>
              <w:spacing w:after="0"/>
              <w:rPr>
                <w:sz w:val="20"/>
                <w:szCs w:val="20"/>
                <w:color w:val="auto"/>
              </w:rPr>
            </w:pPr>
            <w:r>
              <w:rPr>
                <w:rFonts w:ascii="Arial" w:cs="Arial" w:eastAsia="Arial" w:hAnsi="Arial"/>
                <w:sz w:val="16"/>
                <w:szCs w:val="16"/>
                <w:b w:val="1"/>
                <w:bCs w:val="1"/>
                <w:color w:val="auto"/>
                <w:w w:val="82"/>
              </w:rPr>
              <w:t>Gross</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7"/>
        </w:trPr>
        <w:tc>
          <w:tcPr>
            <w:tcW w:w="4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gridSpan w:val="2"/>
          </w:tcPr>
          <w:p>
            <w:pPr>
              <w:jc w:val="center"/>
              <w:ind w:right="140"/>
              <w:spacing w:after="0" w:line="157" w:lineRule="exact"/>
              <w:rPr>
                <w:sz w:val="20"/>
                <w:szCs w:val="20"/>
                <w:color w:val="auto"/>
              </w:rPr>
            </w:pPr>
            <w:r>
              <w:rPr>
                <w:rFonts w:ascii="Arial" w:cs="Arial" w:eastAsia="Arial" w:hAnsi="Arial"/>
                <w:sz w:val="16"/>
                <w:szCs w:val="16"/>
                <w:b w:val="1"/>
                <w:bCs w:val="1"/>
                <w:color w:val="auto"/>
                <w:w w:val="87"/>
              </w:rPr>
              <w:t>Expected</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60" w:type="dxa"/>
            <w:vAlign w:val="bottom"/>
            <w:gridSpan w:val="4"/>
          </w:tcPr>
          <w:p>
            <w:pPr>
              <w:jc w:val="center"/>
              <w:ind w:right="80"/>
              <w:spacing w:after="0" w:line="157" w:lineRule="exact"/>
              <w:rPr>
                <w:sz w:val="20"/>
                <w:szCs w:val="20"/>
                <w:color w:val="auto"/>
              </w:rPr>
            </w:pPr>
            <w:r>
              <w:rPr>
                <w:rFonts w:ascii="Arial" w:cs="Arial" w:eastAsia="Arial" w:hAnsi="Arial"/>
                <w:sz w:val="16"/>
                <w:szCs w:val="16"/>
                <w:b w:val="1"/>
                <w:bCs w:val="1"/>
                <w:color w:val="auto"/>
                <w:w w:val="91"/>
              </w:rPr>
              <w:t>Unrealized</w:t>
            </w:r>
          </w:p>
        </w:tc>
        <w:tc>
          <w:tcPr>
            <w:tcW w:w="1060" w:type="dxa"/>
            <w:vAlign w:val="bottom"/>
            <w:gridSpan w:val="4"/>
          </w:tcPr>
          <w:p>
            <w:pPr>
              <w:jc w:val="center"/>
              <w:ind w:right="80"/>
              <w:spacing w:after="0" w:line="157" w:lineRule="exact"/>
              <w:rPr>
                <w:sz w:val="20"/>
                <w:szCs w:val="20"/>
                <w:color w:val="auto"/>
              </w:rPr>
            </w:pPr>
            <w:r>
              <w:rPr>
                <w:rFonts w:ascii="Arial" w:cs="Arial" w:eastAsia="Arial" w:hAnsi="Arial"/>
                <w:sz w:val="16"/>
                <w:szCs w:val="16"/>
                <w:b w:val="1"/>
                <w:bCs w:val="1"/>
                <w:color w:val="auto"/>
                <w:w w:val="91"/>
              </w:rPr>
              <w:t>Unrealized</w:t>
            </w:r>
          </w:p>
        </w:tc>
        <w:tc>
          <w:tcPr>
            <w:tcW w:w="20" w:type="dxa"/>
            <w:vAlign w:val="bottom"/>
          </w:tcPr>
          <w:p>
            <w:pPr>
              <w:spacing w:after="0"/>
              <w:rPr>
                <w:sz w:val="13"/>
                <w:szCs w:val="13"/>
                <w:color w:val="auto"/>
              </w:rPr>
            </w:pPr>
          </w:p>
        </w:tc>
        <w:tc>
          <w:tcPr>
            <w:tcW w:w="960" w:type="dxa"/>
            <w:vAlign w:val="bottom"/>
            <w:gridSpan w:val="2"/>
            <w:vMerge w:val="restart"/>
          </w:tcPr>
          <w:p>
            <w:pPr>
              <w:jc w:val="right"/>
              <w:ind w:right="62"/>
              <w:spacing w:after="0"/>
              <w:rPr>
                <w:sz w:val="20"/>
                <w:szCs w:val="20"/>
                <w:color w:val="auto"/>
              </w:rPr>
            </w:pPr>
            <w:r>
              <w:rPr>
                <w:rFonts w:ascii="Arial" w:cs="Arial" w:eastAsia="Arial" w:hAnsi="Arial"/>
                <w:sz w:val="16"/>
                <w:szCs w:val="16"/>
                <w:b w:val="1"/>
                <w:bCs w:val="1"/>
                <w:color w:val="auto"/>
              </w:rPr>
              <w:t>Fair Value</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4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center"/>
              <w:ind w:right="62"/>
              <w:spacing w:after="0"/>
              <w:rPr>
                <w:sz w:val="20"/>
                <w:szCs w:val="20"/>
                <w:color w:val="auto"/>
              </w:rPr>
            </w:pPr>
            <w:r>
              <w:rPr>
                <w:rFonts w:ascii="Arial" w:cs="Arial" w:eastAsia="Arial" w:hAnsi="Arial"/>
                <w:sz w:val="16"/>
                <w:szCs w:val="16"/>
                <w:b w:val="1"/>
                <w:bCs w:val="1"/>
                <w:color w:val="auto"/>
                <w:w w:val="84"/>
              </w:rPr>
              <w:t>Cost</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gridSpan w:val="2"/>
          </w:tcPr>
          <w:p>
            <w:pPr>
              <w:jc w:val="center"/>
              <w:ind w:right="140"/>
              <w:spacing w:after="0"/>
              <w:rPr>
                <w:sz w:val="20"/>
                <w:szCs w:val="20"/>
                <w:color w:val="auto"/>
              </w:rPr>
            </w:pPr>
            <w:r>
              <w:rPr>
                <w:rFonts w:ascii="Arial" w:cs="Arial" w:eastAsia="Arial" w:hAnsi="Arial"/>
                <w:sz w:val="16"/>
                <w:szCs w:val="16"/>
                <w:b w:val="1"/>
                <w:bCs w:val="1"/>
                <w:color w:val="auto"/>
                <w:w w:val="85"/>
              </w:rPr>
              <w:t>Credit Losses</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center"/>
              <w:ind w:right="122"/>
              <w:spacing w:after="0"/>
              <w:rPr>
                <w:sz w:val="20"/>
                <w:szCs w:val="20"/>
                <w:color w:val="auto"/>
              </w:rPr>
            </w:pPr>
            <w:r>
              <w:rPr>
                <w:rFonts w:ascii="Arial" w:cs="Arial" w:eastAsia="Arial" w:hAnsi="Arial"/>
                <w:sz w:val="16"/>
                <w:szCs w:val="16"/>
                <w:b w:val="1"/>
                <w:bCs w:val="1"/>
                <w:color w:val="auto"/>
                <w:w w:val="85"/>
              </w:rPr>
              <w:t>Gains</w:t>
            </w:r>
          </w:p>
        </w:tc>
        <w:tc>
          <w:tcPr>
            <w:tcW w:w="80" w:type="dxa"/>
            <w:vAlign w:val="bottom"/>
            <w:gridSpan w:val="2"/>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center"/>
              <w:ind w:right="82"/>
              <w:spacing w:after="0"/>
              <w:rPr>
                <w:sz w:val="20"/>
                <w:szCs w:val="20"/>
                <w:color w:val="auto"/>
              </w:rPr>
            </w:pPr>
            <w:r>
              <w:rPr>
                <w:rFonts w:ascii="Arial" w:cs="Arial" w:eastAsia="Arial" w:hAnsi="Arial"/>
                <w:sz w:val="16"/>
                <w:szCs w:val="16"/>
                <w:b w:val="1"/>
                <w:bCs w:val="1"/>
                <w:color w:val="auto"/>
                <w:w w:val="79"/>
              </w:rPr>
              <w:t>Losses</w:t>
            </w:r>
          </w:p>
        </w:tc>
        <w:tc>
          <w:tcPr>
            <w:tcW w:w="80" w:type="dxa"/>
            <w:vAlign w:val="bottom"/>
            <w:gridSpan w:val="2"/>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580" w:type="dxa"/>
            <w:vAlign w:val="bottom"/>
            <w:gridSpan w:val="2"/>
          </w:tcPr>
          <w:p>
            <w:pPr>
              <w:spacing w:after="0"/>
              <w:rPr>
                <w:sz w:val="20"/>
                <w:szCs w:val="20"/>
                <w:color w:val="auto"/>
              </w:rPr>
            </w:pPr>
            <w:r>
              <w:rPr>
                <w:rFonts w:ascii="Arial" w:cs="Arial" w:eastAsia="Arial" w:hAnsi="Arial"/>
                <w:sz w:val="16"/>
                <w:szCs w:val="16"/>
                <w:b w:val="1"/>
                <w:bCs w:val="1"/>
                <w:color w:val="auto"/>
              </w:rPr>
              <w:t>AFS securities</w:t>
            </w: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80" w:type="dxa"/>
            <w:vAlign w:val="bottom"/>
            <w:gridSpan w:val="5"/>
          </w:tcPr>
          <w:p>
            <w:pPr>
              <w:jc w:val="center"/>
              <w:ind w:right="240"/>
              <w:spacing w:after="0"/>
              <w:rPr>
                <w:sz w:val="20"/>
                <w:szCs w:val="20"/>
                <w:color w:val="auto"/>
              </w:rPr>
            </w:pPr>
            <w:r>
              <w:rPr>
                <w:rFonts w:ascii="Arial" w:cs="Arial" w:eastAsia="Arial" w:hAnsi="Arial"/>
                <w:sz w:val="16"/>
                <w:szCs w:val="16"/>
                <w:b w:val="1"/>
                <w:bCs w:val="1"/>
                <w:color w:val="auto"/>
                <w:w w:val="93"/>
              </w:rPr>
              <w:t>(In millions)</w:t>
            </w: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9"/>
        </w:trPr>
        <w:tc>
          <w:tcPr>
            <w:tcW w:w="4580" w:type="dxa"/>
            <w:vAlign w:val="bottom"/>
            <w:gridSpan w:val="2"/>
          </w:tcPr>
          <w:p>
            <w:pPr>
              <w:spacing w:after="0"/>
              <w:rPr>
                <w:sz w:val="20"/>
                <w:szCs w:val="20"/>
                <w:color w:val="auto"/>
              </w:rPr>
            </w:pPr>
            <w:r>
              <w:rPr>
                <w:rFonts w:ascii="Arial" w:cs="Arial" w:eastAsia="Arial" w:hAnsi="Arial"/>
                <w:sz w:val="16"/>
                <w:szCs w:val="16"/>
                <w:color w:val="auto"/>
              </w:rPr>
              <w:t>Asset-backed securities</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18,853</w:t>
            </w:r>
          </w:p>
        </w:tc>
        <w:tc>
          <w:tcPr>
            <w:tcW w:w="22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(25)</w:t>
            </w:r>
          </w:p>
        </w:tc>
        <w:tc>
          <w:tcPr>
            <w:tcW w:w="20" w:type="dxa"/>
            <w:vAlign w:val="bottom"/>
          </w:tcPr>
          <w:p>
            <w:pPr>
              <w:spacing w:after="0"/>
              <w:rPr>
                <w:sz w:val="24"/>
                <w:szCs w:val="24"/>
                <w:color w:val="auto"/>
              </w:rPr>
            </w:pPr>
          </w:p>
        </w:tc>
        <w:tc>
          <w:tcPr>
            <w:tcW w:w="260" w:type="dxa"/>
            <w:vAlign w:val="bottom"/>
            <w:gridSpan w:val="3"/>
          </w:tcPr>
          <w:p>
            <w:pPr>
              <w:jc w:val="right"/>
              <w:ind w:right="2"/>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166</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(256)</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18,738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4580" w:type="dxa"/>
            <w:vAlign w:val="bottom"/>
            <w:gridSpan w:val="2"/>
          </w:tcPr>
          <w:p>
            <w:pPr>
              <w:spacing w:after="0"/>
              <w:rPr>
                <w:sz w:val="20"/>
                <w:szCs w:val="20"/>
                <w:color w:val="auto"/>
              </w:rPr>
            </w:pPr>
            <w:r>
              <w:rPr>
                <w:rFonts w:ascii="Arial" w:cs="Arial" w:eastAsia="Arial" w:hAnsi="Arial"/>
                <w:sz w:val="16"/>
                <w:szCs w:val="16"/>
                <w:color w:val="auto"/>
              </w:rPr>
              <w:t>Commercial mortgage-backed securities</w:t>
            </w:r>
          </w:p>
        </w:tc>
        <w:tc>
          <w:tcPr>
            <w:tcW w:w="1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5,341</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(61)</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58</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(139)</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5,199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580" w:type="dxa"/>
            <w:vAlign w:val="bottom"/>
            <w:gridSpan w:val="2"/>
          </w:tcPr>
          <w:p>
            <w:pPr>
              <w:spacing w:after="0"/>
              <w:rPr>
                <w:sz w:val="20"/>
                <w:szCs w:val="20"/>
                <w:color w:val="auto"/>
              </w:rPr>
            </w:pPr>
            <w:r>
              <w:rPr>
                <w:rFonts w:ascii="Arial" w:cs="Arial" w:eastAsia="Arial" w:hAnsi="Arial"/>
                <w:sz w:val="16"/>
                <w:szCs w:val="16"/>
                <w:color w:val="auto"/>
              </w:rPr>
              <w:t>Corporates</w:t>
            </w:r>
          </w:p>
        </w:tc>
        <w:tc>
          <w:tcPr>
            <w:tcW w:w="1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26,538</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(25)</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302</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(2,368)</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24,447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580" w:type="dxa"/>
            <w:vAlign w:val="bottom"/>
            <w:gridSpan w:val="2"/>
          </w:tcPr>
          <w:p>
            <w:pPr>
              <w:spacing w:after="0"/>
              <w:rPr>
                <w:sz w:val="20"/>
                <w:szCs w:val="20"/>
                <w:color w:val="auto"/>
              </w:rPr>
            </w:pPr>
            <w:r>
              <w:rPr>
                <w:rFonts w:ascii="Arial" w:cs="Arial" w:eastAsia="Arial" w:hAnsi="Arial"/>
                <w:sz w:val="16"/>
                <w:szCs w:val="16"/>
                <w:color w:val="auto"/>
              </w:rPr>
              <w:t>Hybrids</w:t>
            </w:r>
          </w:p>
        </w:tc>
        <w:tc>
          <w:tcPr>
            <w:tcW w:w="1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625</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6</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(22)</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609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580" w:type="dxa"/>
            <w:vAlign w:val="bottom"/>
            <w:gridSpan w:val="2"/>
          </w:tcPr>
          <w:p>
            <w:pPr>
              <w:spacing w:after="0"/>
              <w:rPr>
                <w:sz w:val="20"/>
                <w:szCs w:val="20"/>
                <w:color w:val="auto"/>
              </w:rPr>
            </w:pPr>
            <w:r>
              <w:rPr>
                <w:rFonts w:ascii="Arial" w:cs="Arial" w:eastAsia="Arial" w:hAnsi="Arial"/>
                <w:sz w:val="16"/>
                <w:szCs w:val="16"/>
                <w:color w:val="auto"/>
              </w:rPr>
              <w:t>Municipals</w:t>
            </w:r>
          </w:p>
        </w:tc>
        <w:tc>
          <w:tcPr>
            <w:tcW w:w="1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1,604</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(215)</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1,393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580" w:type="dxa"/>
            <w:vAlign w:val="bottom"/>
            <w:gridSpan w:val="2"/>
          </w:tcPr>
          <w:p>
            <w:pPr>
              <w:spacing w:after="0"/>
              <w:rPr>
                <w:sz w:val="20"/>
                <w:szCs w:val="20"/>
                <w:color w:val="auto"/>
              </w:rPr>
            </w:pPr>
            <w:r>
              <w:rPr>
                <w:rFonts w:ascii="Arial" w:cs="Arial" w:eastAsia="Arial" w:hAnsi="Arial"/>
                <w:sz w:val="16"/>
                <w:szCs w:val="16"/>
                <w:color w:val="auto"/>
              </w:rPr>
              <w:t>Residential mortgage-backed securities</w:t>
            </w:r>
          </w:p>
        </w:tc>
        <w:tc>
          <w:tcPr>
            <w:tcW w:w="1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2,846</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76</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(70)</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2,851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580" w:type="dxa"/>
            <w:vAlign w:val="bottom"/>
            <w:gridSpan w:val="2"/>
          </w:tcPr>
          <w:p>
            <w:pPr>
              <w:spacing w:after="0"/>
              <w:rPr>
                <w:sz w:val="20"/>
                <w:szCs w:val="20"/>
                <w:color w:val="auto"/>
              </w:rPr>
            </w:pPr>
            <w:r>
              <w:rPr>
                <w:rFonts w:ascii="Arial" w:cs="Arial" w:eastAsia="Arial" w:hAnsi="Arial"/>
                <w:sz w:val="16"/>
                <w:szCs w:val="16"/>
                <w:color w:val="auto"/>
              </w:rPr>
              <w:t>U.S. Government</w:t>
            </w:r>
          </w:p>
        </w:tc>
        <w:tc>
          <w:tcPr>
            <w:tcW w:w="1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954</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5</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956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4580" w:type="dxa"/>
            <w:vAlign w:val="bottom"/>
            <w:gridSpan w:val="2"/>
          </w:tcPr>
          <w:p>
            <w:pPr>
              <w:spacing w:after="0"/>
              <w:rPr>
                <w:sz w:val="20"/>
                <w:szCs w:val="20"/>
                <w:color w:val="auto"/>
              </w:rPr>
            </w:pPr>
            <w:r>
              <w:rPr>
                <w:rFonts w:ascii="Arial" w:cs="Arial" w:eastAsia="Arial" w:hAnsi="Arial"/>
                <w:sz w:val="16"/>
                <w:szCs w:val="16"/>
                <w:color w:val="auto"/>
              </w:rPr>
              <w:t>Foreign Governments</w:t>
            </w:r>
          </w:p>
        </w:tc>
        <w:tc>
          <w:tcPr>
            <w:tcW w:w="1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400</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w:t>
            </w: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368</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4580" w:type="dxa"/>
            <w:vAlign w:val="bottom"/>
            <w:gridSpan w:val="2"/>
          </w:tcPr>
          <w:p>
            <w:pPr>
              <w:spacing w:after="0"/>
              <w:rPr>
                <w:sz w:val="20"/>
                <w:szCs w:val="20"/>
                <w:color w:val="auto"/>
              </w:rPr>
            </w:pPr>
            <w:r>
              <w:rPr>
                <w:rFonts w:ascii="Arial" w:cs="Arial" w:eastAsia="Arial" w:hAnsi="Arial"/>
                <w:sz w:val="16"/>
                <w:szCs w:val="16"/>
                <w:b w:val="1"/>
                <w:bCs w:val="1"/>
                <w:color w:val="auto"/>
              </w:rPr>
              <w:t>Total AFS securities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57,161</w:t>
            </w:r>
          </w:p>
        </w:tc>
        <w:tc>
          <w:tcPr>
            <w:tcW w:w="80" w:type="dxa"/>
            <w:vAlign w:val="bottom"/>
            <w:gridSpan w:val="2"/>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(112)</w:t>
            </w:r>
          </w:p>
        </w:tc>
        <w:tc>
          <w:tcPr>
            <w:tcW w:w="20" w:type="dxa"/>
            <w:vAlign w:val="bottom"/>
            <w:tcBorders>
              <w:bottom w:val="single" w:sz="8" w:color="auto"/>
            </w:tcBorders>
          </w:tcPr>
          <w:p>
            <w:pPr>
              <w:spacing w:after="0"/>
              <w:rPr>
                <w:sz w:val="18"/>
                <w:szCs w:val="18"/>
                <w:color w:val="auto"/>
              </w:rPr>
            </w:pPr>
          </w:p>
        </w:tc>
        <w:tc>
          <w:tcPr>
            <w:tcW w:w="60" w:type="dxa"/>
            <w:vAlign w:val="bottom"/>
            <w:gridSpan w:val="2"/>
          </w:tcPr>
          <w:p>
            <w:pPr>
              <w:spacing w:after="0"/>
              <w:rPr>
                <w:sz w:val="18"/>
                <w:szCs w:val="18"/>
                <w:color w:val="auto"/>
              </w:rPr>
            </w:pPr>
          </w:p>
        </w:tc>
        <w:tc>
          <w:tcPr>
            <w:tcW w:w="2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622</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(3,110)</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54,561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5"/>
        </w:trPr>
        <w:tc>
          <w:tcPr>
            <w:tcW w:w="456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gridSpan w:val="8"/>
          </w:tcPr>
          <w:p>
            <w:pPr>
              <w:jc w:val="center"/>
              <w:ind w:left="782"/>
              <w:spacing w:after="0"/>
              <w:rPr>
                <w:sz w:val="20"/>
                <w:szCs w:val="20"/>
                <w:color w:val="auto"/>
              </w:rPr>
            </w:pPr>
            <w:r>
              <w:rPr>
                <w:rFonts w:ascii="Arial" w:cs="Arial" w:eastAsia="Arial" w:hAnsi="Arial"/>
                <w:sz w:val="16"/>
                <w:szCs w:val="16"/>
                <w:b w:val="1"/>
                <w:bCs w:val="1"/>
                <w:color w:val="auto"/>
                <w:w w:val="87"/>
              </w:rPr>
              <w:t>December 31, 2024</w:t>
            </w:r>
          </w:p>
        </w:tc>
        <w:tc>
          <w:tcPr>
            <w:tcW w:w="1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45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vMerge w:val="restart"/>
          </w:tcPr>
          <w:p>
            <w:pPr>
              <w:jc w:val="center"/>
              <w:ind w:right="42"/>
              <w:spacing w:after="0"/>
              <w:rPr>
                <w:sz w:val="20"/>
                <w:szCs w:val="20"/>
                <w:color w:val="auto"/>
              </w:rPr>
            </w:pPr>
            <w:r>
              <w:rPr>
                <w:rFonts w:ascii="Arial" w:cs="Arial" w:eastAsia="Arial" w:hAnsi="Arial"/>
                <w:sz w:val="16"/>
                <w:szCs w:val="16"/>
                <w:b w:val="1"/>
                <w:bCs w:val="1"/>
                <w:color w:val="auto"/>
                <w:w w:val="91"/>
              </w:rPr>
              <w:t>Amortized</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80" w:type="dxa"/>
            <w:vAlign w:val="bottom"/>
            <w:gridSpan w:val="3"/>
          </w:tcPr>
          <w:p>
            <w:pPr>
              <w:jc w:val="center"/>
              <w:ind w:right="40"/>
              <w:spacing w:after="0"/>
              <w:rPr>
                <w:sz w:val="20"/>
                <w:szCs w:val="20"/>
                <w:color w:val="auto"/>
              </w:rPr>
            </w:pPr>
            <w:r>
              <w:rPr>
                <w:rFonts w:ascii="Arial" w:cs="Arial" w:eastAsia="Arial" w:hAnsi="Arial"/>
                <w:sz w:val="16"/>
                <w:szCs w:val="16"/>
                <w:b w:val="1"/>
                <w:bCs w:val="1"/>
                <w:color w:val="auto"/>
                <w:w w:val="89"/>
              </w:rPr>
              <w:t>Allowance for</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gridSpan w:val="3"/>
          </w:tcPr>
          <w:p>
            <w:pPr>
              <w:jc w:val="center"/>
              <w:ind w:right="280"/>
              <w:spacing w:after="0"/>
              <w:rPr>
                <w:sz w:val="20"/>
                <w:szCs w:val="20"/>
                <w:color w:val="auto"/>
              </w:rPr>
            </w:pPr>
            <w:r>
              <w:rPr>
                <w:rFonts w:ascii="Arial" w:cs="Arial" w:eastAsia="Arial" w:hAnsi="Arial"/>
                <w:sz w:val="16"/>
                <w:szCs w:val="16"/>
                <w:b w:val="1"/>
                <w:bCs w:val="1"/>
                <w:color w:val="auto"/>
                <w:w w:val="82"/>
              </w:rPr>
              <w:t>Gross</w:t>
            </w:r>
          </w:p>
        </w:tc>
        <w:tc>
          <w:tcPr>
            <w:tcW w:w="140" w:type="dxa"/>
            <w:vAlign w:val="bottom"/>
          </w:tcPr>
          <w:p>
            <w:pPr>
              <w:spacing w:after="0"/>
              <w:rPr>
                <w:sz w:val="16"/>
                <w:szCs w:val="16"/>
                <w:color w:val="auto"/>
              </w:rPr>
            </w:pPr>
          </w:p>
        </w:tc>
        <w:tc>
          <w:tcPr>
            <w:tcW w:w="920" w:type="dxa"/>
            <w:vAlign w:val="bottom"/>
            <w:gridSpan w:val="3"/>
          </w:tcPr>
          <w:p>
            <w:pPr>
              <w:jc w:val="center"/>
              <w:ind w:right="180"/>
              <w:spacing w:after="0"/>
              <w:rPr>
                <w:sz w:val="20"/>
                <w:szCs w:val="20"/>
                <w:color w:val="auto"/>
              </w:rPr>
            </w:pPr>
            <w:r>
              <w:rPr>
                <w:rFonts w:ascii="Arial" w:cs="Arial" w:eastAsia="Arial" w:hAnsi="Arial"/>
                <w:sz w:val="16"/>
                <w:szCs w:val="16"/>
                <w:b w:val="1"/>
                <w:bCs w:val="1"/>
                <w:color w:val="auto"/>
                <w:w w:val="82"/>
              </w:rPr>
              <w:t>Gross</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7"/>
        </w:trPr>
        <w:tc>
          <w:tcPr>
            <w:tcW w:w="4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gridSpan w:val="2"/>
          </w:tcPr>
          <w:p>
            <w:pPr>
              <w:jc w:val="center"/>
              <w:ind w:right="180"/>
              <w:spacing w:after="0" w:line="157" w:lineRule="exact"/>
              <w:rPr>
                <w:sz w:val="20"/>
                <w:szCs w:val="20"/>
                <w:color w:val="auto"/>
              </w:rPr>
            </w:pPr>
            <w:r>
              <w:rPr>
                <w:rFonts w:ascii="Arial" w:cs="Arial" w:eastAsia="Arial" w:hAnsi="Arial"/>
                <w:sz w:val="16"/>
                <w:szCs w:val="16"/>
                <w:b w:val="1"/>
                <w:bCs w:val="1"/>
                <w:color w:val="auto"/>
                <w:w w:val="87"/>
              </w:rPr>
              <w:t>Expected</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60" w:type="dxa"/>
            <w:vAlign w:val="bottom"/>
            <w:gridSpan w:val="4"/>
          </w:tcPr>
          <w:p>
            <w:pPr>
              <w:jc w:val="center"/>
              <w:ind w:right="80"/>
              <w:spacing w:after="0" w:line="157" w:lineRule="exact"/>
              <w:rPr>
                <w:sz w:val="20"/>
                <w:szCs w:val="20"/>
                <w:color w:val="auto"/>
              </w:rPr>
            </w:pPr>
            <w:r>
              <w:rPr>
                <w:rFonts w:ascii="Arial" w:cs="Arial" w:eastAsia="Arial" w:hAnsi="Arial"/>
                <w:sz w:val="16"/>
                <w:szCs w:val="16"/>
                <w:b w:val="1"/>
                <w:bCs w:val="1"/>
                <w:color w:val="auto"/>
                <w:w w:val="91"/>
              </w:rPr>
              <w:t>Unrealized</w:t>
            </w:r>
          </w:p>
        </w:tc>
        <w:tc>
          <w:tcPr>
            <w:tcW w:w="140" w:type="dxa"/>
            <w:vAlign w:val="bottom"/>
          </w:tcPr>
          <w:p>
            <w:pPr>
              <w:spacing w:after="0"/>
              <w:rPr>
                <w:sz w:val="13"/>
                <w:szCs w:val="13"/>
                <w:color w:val="auto"/>
              </w:rPr>
            </w:pPr>
          </w:p>
        </w:tc>
        <w:tc>
          <w:tcPr>
            <w:tcW w:w="920" w:type="dxa"/>
            <w:vAlign w:val="bottom"/>
            <w:gridSpan w:val="3"/>
          </w:tcPr>
          <w:p>
            <w:pPr>
              <w:jc w:val="center"/>
              <w:ind w:right="180"/>
              <w:spacing w:after="0" w:line="157" w:lineRule="exact"/>
              <w:rPr>
                <w:sz w:val="20"/>
                <w:szCs w:val="20"/>
                <w:color w:val="auto"/>
              </w:rPr>
            </w:pPr>
            <w:r>
              <w:rPr>
                <w:rFonts w:ascii="Arial" w:cs="Arial" w:eastAsia="Arial" w:hAnsi="Arial"/>
                <w:sz w:val="16"/>
                <w:szCs w:val="16"/>
                <w:b w:val="1"/>
                <w:bCs w:val="1"/>
                <w:color w:val="auto"/>
                <w:w w:val="91"/>
              </w:rPr>
              <w:t>Unrealized</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vMerge w:val="restart"/>
          </w:tcPr>
          <w:p>
            <w:pPr>
              <w:jc w:val="right"/>
              <w:ind w:right="22"/>
              <w:spacing w:after="0"/>
              <w:rPr>
                <w:sz w:val="20"/>
                <w:szCs w:val="20"/>
                <w:color w:val="auto"/>
              </w:rPr>
            </w:pPr>
            <w:r>
              <w:rPr>
                <w:rFonts w:ascii="Arial" w:cs="Arial" w:eastAsia="Arial" w:hAnsi="Arial"/>
                <w:sz w:val="16"/>
                <w:szCs w:val="16"/>
                <w:b w:val="1"/>
                <w:bCs w:val="1"/>
                <w:color w:val="auto"/>
                <w:w w:val="91"/>
              </w:rPr>
              <w:t>Fair Value</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45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center"/>
              <w:ind w:right="82"/>
              <w:spacing w:after="0"/>
              <w:rPr>
                <w:sz w:val="20"/>
                <w:szCs w:val="20"/>
                <w:color w:val="auto"/>
              </w:rPr>
            </w:pPr>
            <w:r>
              <w:rPr>
                <w:rFonts w:ascii="Arial" w:cs="Arial" w:eastAsia="Arial" w:hAnsi="Arial"/>
                <w:sz w:val="16"/>
                <w:szCs w:val="16"/>
                <w:b w:val="1"/>
                <w:bCs w:val="1"/>
                <w:color w:val="auto"/>
                <w:w w:val="89"/>
              </w:rPr>
              <w:t>Cost</w:t>
            </w:r>
          </w:p>
        </w:tc>
        <w:tc>
          <w:tcPr>
            <w:tcW w:w="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w w:val="86"/>
              </w:rPr>
              <w:t>Credit Losses</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6"/>
                <w:szCs w:val="16"/>
                <w:b w:val="1"/>
                <w:bCs w:val="1"/>
                <w:color w:val="auto"/>
                <w:w w:val="85"/>
              </w:rPr>
              <w:t>Gains</w:t>
            </w:r>
          </w:p>
        </w:tc>
        <w:tc>
          <w:tcPr>
            <w:tcW w:w="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6"/>
                <w:szCs w:val="16"/>
                <w:b w:val="1"/>
                <w:bCs w:val="1"/>
                <w:color w:val="auto"/>
                <w:w w:val="76"/>
              </w:rPr>
              <w:t>Losses</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580" w:type="dxa"/>
            <w:vAlign w:val="bottom"/>
            <w:gridSpan w:val="2"/>
          </w:tcPr>
          <w:p>
            <w:pPr>
              <w:spacing w:after="0"/>
              <w:rPr>
                <w:sz w:val="20"/>
                <w:szCs w:val="20"/>
                <w:color w:val="auto"/>
              </w:rPr>
            </w:pPr>
            <w:r>
              <w:rPr>
                <w:rFonts w:ascii="Arial" w:cs="Arial" w:eastAsia="Arial" w:hAnsi="Arial"/>
                <w:sz w:val="16"/>
                <w:szCs w:val="16"/>
                <w:b w:val="1"/>
                <w:bCs w:val="1"/>
                <w:color w:val="auto"/>
              </w:rPr>
              <w:t>AFS securities</w:t>
            </w: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60" w:type="dxa"/>
            <w:vAlign w:val="bottom"/>
            <w:gridSpan w:val="4"/>
          </w:tcPr>
          <w:p>
            <w:pPr>
              <w:jc w:val="center"/>
              <w:ind w:right="240"/>
              <w:spacing w:after="0"/>
              <w:rPr>
                <w:sz w:val="20"/>
                <w:szCs w:val="20"/>
                <w:color w:val="auto"/>
              </w:rPr>
            </w:pPr>
            <w:r>
              <w:rPr>
                <w:rFonts w:ascii="Arial" w:cs="Arial" w:eastAsia="Arial" w:hAnsi="Arial"/>
                <w:sz w:val="16"/>
                <w:szCs w:val="16"/>
                <w:b w:val="1"/>
                <w:bCs w:val="1"/>
                <w:color w:val="auto"/>
                <w:w w:val="91"/>
              </w:rPr>
              <w:t>(In millions)</w:t>
            </w: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4580" w:type="dxa"/>
            <w:vAlign w:val="bottom"/>
            <w:gridSpan w:val="2"/>
          </w:tcPr>
          <w:p>
            <w:pPr>
              <w:spacing w:after="0"/>
              <w:rPr>
                <w:sz w:val="20"/>
                <w:szCs w:val="20"/>
                <w:color w:val="auto"/>
              </w:rPr>
            </w:pPr>
            <w:r>
              <w:rPr>
                <w:rFonts w:ascii="Arial" w:cs="Arial" w:eastAsia="Arial" w:hAnsi="Arial"/>
                <w:sz w:val="16"/>
                <w:szCs w:val="16"/>
                <w:color w:val="auto"/>
              </w:rPr>
              <w:t>Asset-backed securities</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2"/>
              <w:spacing w:after="0"/>
              <w:rPr>
                <w:sz w:val="20"/>
                <w:szCs w:val="20"/>
                <w:color w:val="auto"/>
              </w:rPr>
            </w:pPr>
            <w:r>
              <w:rPr>
                <w:rFonts w:ascii="Arial" w:cs="Arial" w:eastAsia="Arial" w:hAnsi="Arial"/>
                <w:sz w:val="16"/>
                <w:szCs w:val="16"/>
                <w:color w:val="auto"/>
              </w:rPr>
              <w:t>15,784</w:t>
            </w:r>
          </w:p>
        </w:tc>
        <w:tc>
          <w:tcPr>
            <w:tcW w:w="22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(13)</w:t>
            </w:r>
          </w:p>
        </w:tc>
        <w:tc>
          <w:tcPr>
            <w:tcW w:w="20" w:type="dxa"/>
            <w:vAlign w:val="bottom"/>
          </w:tcPr>
          <w:p>
            <w:pPr>
              <w:spacing w:after="0"/>
              <w:rPr>
                <w:sz w:val="21"/>
                <w:szCs w:val="21"/>
                <w:color w:val="auto"/>
              </w:rPr>
            </w:pPr>
          </w:p>
        </w:tc>
        <w:tc>
          <w:tcPr>
            <w:tcW w:w="260" w:type="dxa"/>
            <w:vAlign w:val="bottom"/>
            <w:gridSpan w:val="3"/>
          </w:tcPr>
          <w:p>
            <w:pPr>
              <w:jc w:val="right"/>
              <w:ind w:right="2"/>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202</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(317)</w:t>
            </w:r>
          </w:p>
        </w:tc>
        <w:tc>
          <w:tcPr>
            <w:tcW w:w="60" w:type="dxa"/>
            <w:vAlign w:val="bottom"/>
          </w:tcPr>
          <w:p>
            <w:pPr>
              <w:spacing w:after="0"/>
              <w:rPr>
                <w:sz w:val="21"/>
                <w:szCs w:val="21"/>
                <w:color w:val="auto"/>
              </w:rPr>
            </w:pPr>
          </w:p>
        </w:tc>
        <w:tc>
          <w:tcPr>
            <w:tcW w:w="1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15,656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580" w:type="dxa"/>
            <w:vAlign w:val="bottom"/>
            <w:gridSpan w:val="2"/>
          </w:tcPr>
          <w:p>
            <w:pPr>
              <w:spacing w:after="0"/>
              <w:rPr>
                <w:sz w:val="20"/>
                <w:szCs w:val="20"/>
                <w:color w:val="auto"/>
              </w:rPr>
            </w:pPr>
            <w:r>
              <w:rPr>
                <w:rFonts w:ascii="Arial" w:cs="Arial" w:eastAsia="Arial" w:hAnsi="Arial"/>
                <w:sz w:val="16"/>
                <w:szCs w:val="16"/>
                <w:color w:val="auto"/>
              </w:rPr>
              <w:t>Commercial mortgage-backed securities</w:t>
            </w:r>
          </w:p>
        </w:tc>
        <w:tc>
          <w:tcPr>
            <w:tcW w:w="140" w:type="dxa"/>
            <w:vAlign w:val="bottom"/>
          </w:tcPr>
          <w:p>
            <w:pPr>
              <w:spacing w:after="0"/>
              <w:rPr>
                <w:sz w:val="21"/>
                <w:szCs w:val="21"/>
                <w:color w:val="auto"/>
              </w:rPr>
            </w:pPr>
          </w:p>
        </w:tc>
        <w:tc>
          <w:tcPr>
            <w:tcW w:w="840" w:type="dxa"/>
            <w:vAlign w:val="bottom"/>
          </w:tcPr>
          <w:p>
            <w:pPr>
              <w:jc w:val="right"/>
              <w:ind w:right="2"/>
              <w:spacing w:after="0"/>
              <w:rPr>
                <w:sz w:val="20"/>
                <w:szCs w:val="20"/>
                <w:color w:val="auto"/>
              </w:rPr>
            </w:pPr>
            <w:r>
              <w:rPr>
                <w:rFonts w:ascii="Arial" w:cs="Arial" w:eastAsia="Arial" w:hAnsi="Arial"/>
                <w:sz w:val="16"/>
                <w:szCs w:val="16"/>
                <w:color w:val="auto"/>
              </w:rPr>
              <w:t>5,379</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(49)</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53</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(201)</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5,182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580" w:type="dxa"/>
            <w:vAlign w:val="bottom"/>
            <w:gridSpan w:val="2"/>
          </w:tcPr>
          <w:p>
            <w:pPr>
              <w:spacing w:after="0"/>
              <w:rPr>
                <w:sz w:val="20"/>
                <w:szCs w:val="20"/>
                <w:color w:val="auto"/>
              </w:rPr>
            </w:pPr>
            <w:r>
              <w:rPr>
                <w:rFonts w:ascii="Arial" w:cs="Arial" w:eastAsia="Arial" w:hAnsi="Arial"/>
                <w:sz w:val="16"/>
                <w:szCs w:val="16"/>
                <w:color w:val="auto"/>
              </w:rPr>
              <w:t>Corporates</w:t>
            </w:r>
          </w:p>
        </w:tc>
        <w:tc>
          <w:tcPr>
            <w:tcW w:w="140" w:type="dxa"/>
            <w:vAlign w:val="bottom"/>
          </w:tcPr>
          <w:p>
            <w:pPr>
              <w:spacing w:after="0"/>
              <w:rPr>
                <w:sz w:val="21"/>
                <w:szCs w:val="21"/>
                <w:color w:val="auto"/>
              </w:rPr>
            </w:pPr>
          </w:p>
        </w:tc>
        <w:tc>
          <w:tcPr>
            <w:tcW w:w="840" w:type="dxa"/>
            <w:vAlign w:val="bottom"/>
          </w:tcPr>
          <w:p>
            <w:pPr>
              <w:jc w:val="right"/>
              <w:ind w:right="2"/>
              <w:spacing w:after="0"/>
              <w:rPr>
                <w:sz w:val="20"/>
                <w:szCs w:val="20"/>
                <w:color w:val="auto"/>
              </w:rPr>
            </w:pPr>
            <w:r>
              <w:rPr>
                <w:rFonts w:ascii="Arial" w:cs="Arial" w:eastAsia="Arial" w:hAnsi="Arial"/>
                <w:sz w:val="16"/>
                <w:szCs w:val="16"/>
                <w:color w:val="auto"/>
              </w:rPr>
              <w:t>24,425</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108</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(2,832)</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21,696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580" w:type="dxa"/>
            <w:vAlign w:val="bottom"/>
            <w:gridSpan w:val="2"/>
          </w:tcPr>
          <w:p>
            <w:pPr>
              <w:spacing w:after="0"/>
              <w:rPr>
                <w:sz w:val="20"/>
                <w:szCs w:val="20"/>
                <w:color w:val="auto"/>
              </w:rPr>
            </w:pPr>
            <w:r>
              <w:rPr>
                <w:rFonts w:ascii="Arial" w:cs="Arial" w:eastAsia="Arial" w:hAnsi="Arial"/>
                <w:sz w:val="16"/>
                <w:szCs w:val="16"/>
                <w:color w:val="auto"/>
              </w:rPr>
              <w:t>Hybrids</w:t>
            </w:r>
          </w:p>
        </w:tc>
        <w:tc>
          <w:tcPr>
            <w:tcW w:w="140" w:type="dxa"/>
            <w:vAlign w:val="bottom"/>
          </w:tcPr>
          <w:p>
            <w:pPr>
              <w:spacing w:after="0"/>
              <w:rPr>
                <w:sz w:val="21"/>
                <w:szCs w:val="21"/>
                <w:color w:val="auto"/>
              </w:rPr>
            </w:pPr>
          </w:p>
        </w:tc>
        <w:tc>
          <w:tcPr>
            <w:tcW w:w="840" w:type="dxa"/>
            <w:vAlign w:val="bottom"/>
          </w:tcPr>
          <w:p>
            <w:pPr>
              <w:jc w:val="right"/>
              <w:ind w:right="2"/>
              <w:spacing w:after="0"/>
              <w:rPr>
                <w:sz w:val="20"/>
                <w:szCs w:val="20"/>
                <w:color w:val="auto"/>
              </w:rPr>
            </w:pPr>
            <w:r>
              <w:rPr>
                <w:rFonts w:ascii="Arial" w:cs="Arial" w:eastAsia="Arial" w:hAnsi="Arial"/>
                <w:sz w:val="16"/>
                <w:szCs w:val="16"/>
                <w:color w:val="auto"/>
              </w:rPr>
              <w:t>604</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6</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(29)</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581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580" w:type="dxa"/>
            <w:vAlign w:val="bottom"/>
            <w:gridSpan w:val="2"/>
          </w:tcPr>
          <w:p>
            <w:pPr>
              <w:spacing w:after="0"/>
              <w:rPr>
                <w:sz w:val="20"/>
                <w:szCs w:val="20"/>
                <w:color w:val="auto"/>
              </w:rPr>
            </w:pPr>
            <w:r>
              <w:rPr>
                <w:rFonts w:ascii="Arial" w:cs="Arial" w:eastAsia="Arial" w:hAnsi="Arial"/>
                <w:sz w:val="16"/>
                <w:szCs w:val="16"/>
                <w:color w:val="auto"/>
              </w:rPr>
              <w:t>Municipals</w:t>
            </w:r>
          </w:p>
        </w:tc>
        <w:tc>
          <w:tcPr>
            <w:tcW w:w="140" w:type="dxa"/>
            <w:vAlign w:val="bottom"/>
          </w:tcPr>
          <w:p>
            <w:pPr>
              <w:spacing w:after="0"/>
              <w:rPr>
                <w:sz w:val="21"/>
                <w:szCs w:val="21"/>
                <w:color w:val="auto"/>
              </w:rPr>
            </w:pPr>
          </w:p>
        </w:tc>
        <w:tc>
          <w:tcPr>
            <w:tcW w:w="840" w:type="dxa"/>
            <w:vAlign w:val="bottom"/>
          </w:tcPr>
          <w:p>
            <w:pPr>
              <w:jc w:val="right"/>
              <w:ind w:right="2"/>
              <w:spacing w:after="0"/>
              <w:rPr>
                <w:sz w:val="20"/>
                <w:szCs w:val="20"/>
                <w:color w:val="auto"/>
              </w:rPr>
            </w:pPr>
            <w:r>
              <w:rPr>
                <w:rFonts w:ascii="Arial" w:cs="Arial" w:eastAsia="Arial" w:hAnsi="Arial"/>
                <w:sz w:val="16"/>
                <w:szCs w:val="16"/>
                <w:color w:val="auto"/>
              </w:rPr>
              <w:t>1,638</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(255)</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1,386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580" w:type="dxa"/>
            <w:vAlign w:val="bottom"/>
            <w:gridSpan w:val="2"/>
          </w:tcPr>
          <w:p>
            <w:pPr>
              <w:spacing w:after="0"/>
              <w:rPr>
                <w:sz w:val="20"/>
                <w:szCs w:val="20"/>
                <w:color w:val="auto"/>
              </w:rPr>
            </w:pPr>
            <w:r>
              <w:rPr>
                <w:rFonts w:ascii="Arial" w:cs="Arial" w:eastAsia="Arial" w:hAnsi="Arial"/>
                <w:sz w:val="16"/>
                <w:szCs w:val="16"/>
                <w:color w:val="auto"/>
              </w:rPr>
              <w:t>Residential mortgage-backed securities</w:t>
            </w:r>
          </w:p>
        </w:tc>
        <w:tc>
          <w:tcPr>
            <w:tcW w:w="140" w:type="dxa"/>
            <w:vAlign w:val="bottom"/>
          </w:tcPr>
          <w:p>
            <w:pPr>
              <w:spacing w:after="0"/>
              <w:rPr>
                <w:sz w:val="21"/>
                <w:szCs w:val="21"/>
                <w:color w:val="auto"/>
              </w:rPr>
            </w:pPr>
          </w:p>
        </w:tc>
        <w:tc>
          <w:tcPr>
            <w:tcW w:w="840" w:type="dxa"/>
            <w:vAlign w:val="bottom"/>
          </w:tcPr>
          <w:p>
            <w:pPr>
              <w:jc w:val="right"/>
              <w:ind w:right="2"/>
              <w:spacing w:after="0"/>
              <w:rPr>
                <w:sz w:val="20"/>
                <w:szCs w:val="20"/>
                <w:color w:val="auto"/>
              </w:rPr>
            </w:pPr>
            <w:r>
              <w:rPr>
                <w:rFonts w:ascii="Arial" w:cs="Arial" w:eastAsia="Arial" w:hAnsi="Arial"/>
                <w:sz w:val="16"/>
                <w:szCs w:val="16"/>
                <w:color w:val="auto"/>
              </w:rPr>
              <w:t>2,869</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32</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(105)</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2,796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580" w:type="dxa"/>
            <w:vAlign w:val="bottom"/>
            <w:gridSpan w:val="2"/>
          </w:tcPr>
          <w:p>
            <w:pPr>
              <w:spacing w:after="0"/>
              <w:rPr>
                <w:sz w:val="20"/>
                <w:szCs w:val="20"/>
                <w:color w:val="auto"/>
              </w:rPr>
            </w:pPr>
            <w:r>
              <w:rPr>
                <w:rFonts w:ascii="Arial" w:cs="Arial" w:eastAsia="Arial" w:hAnsi="Arial"/>
                <w:sz w:val="16"/>
                <w:szCs w:val="16"/>
                <w:color w:val="auto"/>
              </w:rPr>
              <w:t>U.S. Government</w:t>
            </w:r>
          </w:p>
        </w:tc>
        <w:tc>
          <w:tcPr>
            <w:tcW w:w="140" w:type="dxa"/>
            <w:vAlign w:val="bottom"/>
          </w:tcPr>
          <w:p>
            <w:pPr>
              <w:spacing w:after="0"/>
              <w:rPr>
                <w:sz w:val="21"/>
                <w:szCs w:val="21"/>
                <w:color w:val="auto"/>
              </w:rPr>
            </w:pPr>
          </w:p>
        </w:tc>
        <w:tc>
          <w:tcPr>
            <w:tcW w:w="840" w:type="dxa"/>
            <w:vAlign w:val="bottom"/>
          </w:tcPr>
          <w:p>
            <w:pPr>
              <w:jc w:val="right"/>
              <w:ind w:right="2"/>
              <w:spacing w:after="0"/>
              <w:rPr>
                <w:sz w:val="20"/>
                <w:szCs w:val="20"/>
                <w:color w:val="auto"/>
              </w:rPr>
            </w:pPr>
            <w:r>
              <w:rPr>
                <w:rFonts w:ascii="Arial" w:cs="Arial" w:eastAsia="Arial" w:hAnsi="Arial"/>
                <w:sz w:val="16"/>
                <w:szCs w:val="16"/>
                <w:color w:val="auto"/>
              </w:rPr>
              <w:t>645</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(10)</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637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4560" w:type="dxa"/>
            <w:vAlign w:val="bottom"/>
          </w:tcPr>
          <w:p>
            <w:pPr>
              <w:spacing w:after="0"/>
              <w:rPr>
                <w:sz w:val="20"/>
                <w:szCs w:val="20"/>
                <w:color w:val="auto"/>
              </w:rPr>
            </w:pPr>
            <w:r>
              <w:rPr>
                <w:rFonts w:ascii="Arial" w:cs="Arial" w:eastAsia="Arial" w:hAnsi="Arial"/>
                <w:sz w:val="16"/>
                <w:szCs w:val="16"/>
                <w:color w:val="auto"/>
              </w:rPr>
              <w:t>Foreign Governments</w:t>
            </w:r>
          </w:p>
        </w:tc>
        <w:tc>
          <w:tcPr>
            <w:tcW w:w="2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337</w:t>
            </w:r>
          </w:p>
        </w:tc>
        <w:tc>
          <w:tcPr>
            <w:tcW w:w="60" w:type="dxa"/>
            <w:vAlign w:val="bottom"/>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(53)</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284</w:t>
            </w:r>
          </w:p>
        </w:tc>
        <w:tc>
          <w:tcPr>
            <w:tcW w:w="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4580" w:type="dxa"/>
            <w:vAlign w:val="bottom"/>
            <w:gridSpan w:val="2"/>
          </w:tcPr>
          <w:p>
            <w:pPr>
              <w:spacing w:after="0"/>
              <w:rPr>
                <w:sz w:val="20"/>
                <w:szCs w:val="20"/>
                <w:color w:val="auto"/>
              </w:rPr>
            </w:pPr>
            <w:r>
              <w:rPr>
                <w:rFonts w:ascii="Arial" w:cs="Arial" w:eastAsia="Arial" w:hAnsi="Arial"/>
                <w:sz w:val="16"/>
                <w:szCs w:val="16"/>
                <w:b w:val="1"/>
                <w:bCs w:val="1"/>
                <w:color w:val="auto"/>
              </w:rPr>
              <w:t>Total AFS securities</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2"/>
              <w:spacing w:after="0"/>
              <w:rPr>
                <w:sz w:val="20"/>
                <w:szCs w:val="20"/>
                <w:color w:val="auto"/>
              </w:rPr>
            </w:pPr>
            <w:r>
              <w:rPr>
                <w:rFonts w:ascii="Arial" w:cs="Arial" w:eastAsia="Arial" w:hAnsi="Arial"/>
                <w:sz w:val="16"/>
                <w:szCs w:val="16"/>
                <w:color w:val="auto"/>
              </w:rPr>
              <w:t>51,681</w:t>
            </w:r>
          </w:p>
        </w:tc>
        <w:tc>
          <w:tcPr>
            <w:tcW w:w="22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(67)</w:t>
            </w:r>
          </w:p>
        </w:tc>
        <w:tc>
          <w:tcPr>
            <w:tcW w:w="20" w:type="dxa"/>
            <w:vAlign w:val="bottom"/>
          </w:tcPr>
          <w:p>
            <w:pPr>
              <w:spacing w:after="0"/>
              <w:rPr>
                <w:sz w:val="18"/>
                <w:szCs w:val="18"/>
                <w:color w:val="auto"/>
              </w:rPr>
            </w:pPr>
          </w:p>
        </w:tc>
        <w:tc>
          <w:tcPr>
            <w:tcW w:w="260" w:type="dxa"/>
            <w:vAlign w:val="bottom"/>
            <w:gridSpan w:val="3"/>
          </w:tcPr>
          <w:p>
            <w:pPr>
              <w:jc w:val="right"/>
              <w:ind w:right="2"/>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406</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(3,802)</w:t>
            </w:r>
          </w:p>
        </w:tc>
        <w:tc>
          <w:tcPr>
            <w:tcW w:w="6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48,218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-3914140</wp:posOffset>
            </wp:positionV>
            <wp:extent cx="6391275" cy="166179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89">
                      <a:extLst>
                        <a:ext uri="{28A0092B-C50C-407E-A947-70E740481C1C}"/>
                      </a:extLst>
                    </a:blip>
                    <a:srcRect/>
                    <a:stretch>
                      <a:fillRect/>
                    </a:stretch>
                  </pic:blipFill>
                  <pic:spPr bwMode="auto">
                    <a:xfrm>
                      <a:off x="0" y="0"/>
                      <a:ext cx="6391275" cy="1661795"/>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column">
                  <wp:posOffset>2926080</wp:posOffset>
                </wp:positionH>
                <wp:positionV relativeFrom="paragraph">
                  <wp:posOffset>-1969135</wp:posOffset>
                </wp:positionV>
                <wp:extent cx="1418590" cy="0"/>
                <wp:wrapNone/>
                <wp:docPr id="127" name="Shape 12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41859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27" o:spid="_x0000_s115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30.4pt,-155.0499pt" to="342.1pt,-155.0499pt" o:allowincell="f" strokecolor="#000000" strokeweight="0pt"/>
            </w:pict>
          </mc:Fallback>
        </mc:AlternateContent>
        <w:drawing>
          <wp:anchor simplePos="0" relativeHeight="251657728" behindDoc="1" locked="0" layoutInCell="0" allowOverlap="1">
            <wp:simplePos x="0" y="0"/>
            <wp:positionH relativeFrom="column">
              <wp:posOffset>-16510</wp:posOffset>
            </wp:positionH>
            <wp:positionV relativeFrom="paragraph">
              <wp:posOffset>-1617980</wp:posOffset>
            </wp:positionV>
            <wp:extent cx="6410325" cy="162496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90">
                      <a:extLst>
                        <a:ext uri="{28A0092B-C50C-407E-A947-70E740481C1C}"/>
                      </a:extLst>
                    </a:blip>
                    <a:srcRect/>
                    <a:stretch>
                      <a:fillRect/>
                    </a:stretch>
                  </pic:blipFill>
                  <pic:spPr bwMode="auto">
                    <a:xfrm>
                      <a:off x="0" y="0"/>
                      <a:ext cx="6410325" cy="1624965"/>
                    </a:xfrm>
                    <a:prstGeom prst="rect">
                      <a:avLst/>
                    </a:prstGeom>
                    <a:noFill/>
                  </pic:spPr>
                </pic:pic>
              </a:graphicData>
            </a:graphic>
          </wp:anchor>
        </w:drawing>
      </w:r>
    </w:p>
    <w:p>
      <w:pPr>
        <w:spacing w:after="0" w:line="125" w:lineRule="exact"/>
        <w:rPr>
          <w:sz w:val="20"/>
          <w:szCs w:val="20"/>
          <w:color w:val="auto"/>
        </w:rPr>
      </w:pPr>
    </w:p>
    <w:p>
      <w:pPr>
        <w:jc w:val="both"/>
        <w:ind w:firstLine="353"/>
        <w:spacing w:after="0" w:line="271" w:lineRule="auto"/>
        <w:rPr>
          <w:sz w:val="20"/>
          <w:szCs w:val="20"/>
          <w:color w:val="auto"/>
        </w:rPr>
      </w:pPr>
      <w:r>
        <w:rPr>
          <w:rFonts w:ascii="Arial" w:cs="Arial" w:eastAsia="Arial" w:hAnsi="Arial"/>
          <w:sz w:val="20"/>
          <w:szCs w:val="20"/>
          <w:color w:val="auto"/>
        </w:rPr>
        <w:t>Securities held on deposit with various state regulatory authorities had a fair value of $155 million and $997 million at December 31, 2025 and 2024, respectively.</w:t>
      </w:r>
    </w:p>
    <w:p>
      <w:pPr>
        <w:spacing w:after="0" w:line="88" w:lineRule="exact"/>
        <w:rPr>
          <w:sz w:val="20"/>
          <w:szCs w:val="20"/>
          <w:color w:val="auto"/>
        </w:rPr>
      </w:pPr>
    </w:p>
    <w:p>
      <w:pPr>
        <w:jc w:val="both"/>
        <w:ind w:firstLine="353"/>
        <w:spacing w:after="0" w:line="271" w:lineRule="auto"/>
        <w:rPr>
          <w:sz w:val="20"/>
          <w:szCs w:val="20"/>
          <w:color w:val="auto"/>
        </w:rPr>
      </w:pPr>
      <w:r>
        <w:rPr>
          <w:rFonts w:ascii="Arial" w:cs="Arial" w:eastAsia="Arial" w:hAnsi="Arial"/>
          <w:sz w:val="20"/>
          <w:szCs w:val="20"/>
          <w:color w:val="auto"/>
        </w:rPr>
        <w:t>As of December 31, 2025 and 2024, the Company held $54 million and $32 million, respectively, of investments that were non-income producing for a period greater than twelve months.</w:t>
      </w:r>
    </w:p>
    <w:p>
      <w:pPr>
        <w:spacing w:after="0" w:line="88" w:lineRule="exact"/>
        <w:rPr>
          <w:sz w:val="20"/>
          <w:szCs w:val="20"/>
          <w:color w:val="auto"/>
        </w:rPr>
      </w:pPr>
    </w:p>
    <w:p>
      <w:pPr>
        <w:jc w:val="both"/>
        <w:ind w:firstLine="353"/>
        <w:spacing w:after="0" w:line="254" w:lineRule="auto"/>
        <w:rPr>
          <w:sz w:val="20"/>
          <w:szCs w:val="20"/>
          <w:color w:val="auto"/>
        </w:rPr>
      </w:pPr>
      <w:r>
        <w:rPr>
          <w:rFonts w:ascii="Arial" w:cs="Arial" w:eastAsia="Arial" w:hAnsi="Arial"/>
          <w:sz w:val="20"/>
          <w:szCs w:val="20"/>
          <w:color w:val="auto"/>
        </w:rPr>
        <w:t>As of December 31, 2025 and 2024, the Company's accrued interest receivable balance, excluding accrued interest receivable balances related to mortgage loans discussed below under "Mortgage Loans", was $542 million and $476 million, respectively. Accrued interest receivable is classified within Prepaid expenses and other assets within the Consolidated Balance Sheets.</w:t>
      </w:r>
    </w:p>
    <w:p>
      <w:pPr>
        <w:spacing w:after="0" w:line="104" w:lineRule="exact"/>
        <w:rPr>
          <w:sz w:val="20"/>
          <w:szCs w:val="20"/>
          <w:color w:val="auto"/>
        </w:rPr>
      </w:pPr>
    </w:p>
    <w:p>
      <w:pPr>
        <w:jc w:val="both"/>
        <w:ind w:firstLine="353"/>
        <w:spacing w:after="0" w:line="325" w:lineRule="auto"/>
        <w:rPr>
          <w:sz w:val="20"/>
          <w:szCs w:val="20"/>
          <w:color w:val="auto"/>
        </w:rPr>
      </w:pPr>
      <w:r>
        <w:rPr>
          <w:rFonts w:ascii="Arial" w:cs="Arial" w:eastAsia="Arial" w:hAnsi="Arial"/>
          <w:sz w:val="17"/>
          <w:szCs w:val="17"/>
          <w:color w:val="auto"/>
        </w:rPr>
        <w:t>In accordance with our FHLB agreements, the investments supporting the funding agreement liabilities are pledged as collateral to secure the FHLB funding agreement liabilities and are not available to the Company for general purposes. The collateral investments had a fair value of $4,621 million and $4,289 million as of December 31, 2025 and 2024, respectively.</w:t>
      </w:r>
    </w:p>
    <w:p>
      <w:pPr>
        <w:sectPr>
          <w:pgSz w:w="11880" w:h="15480" w:orient="portrait"/>
          <w:cols w:equalWidth="0" w:num="1">
            <w:col w:w="10040"/>
          </w:cols>
          <w:pgMar w:left="920" w:top="765"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134</w:t>
      </w:r>
    </w:p>
    <w:p>
      <w:pPr>
        <w:sectPr>
          <w:pgSz w:w="11880" w:h="15480" w:orient="portrait"/>
          <w:cols w:equalWidth="0" w:num="1">
            <w:col w:w="10040"/>
          </w:cols>
          <w:pgMar w:left="920" w:top="765" w:right="920" w:bottom="0" w:gutter="0" w:footer="0" w:header="0"/>
          <w:type w:val="continuous"/>
        </w:sectPr>
      </w:pPr>
    </w:p>
    <w:bookmarkStart w:id="146" w:name="page147"/>
    <w:bookmarkEnd w:id="146"/>
    <w:p>
      <w:pPr>
        <w:jc w:val="both"/>
        <w:ind w:left="20" w:right="60" w:firstLine="353"/>
        <w:spacing w:after="0" w:line="361" w:lineRule="auto"/>
        <w:rPr>
          <w:sz w:val="20"/>
          <w:szCs w:val="20"/>
          <w:color w:val="auto"/>
        </w:rPr>
      </w:pPr>
      <w:r>
        <w:rPr>
          <w:rFonts w:ascii="Arial" w:cs="Arial" w:eastAsia="Arial" w:hAnsi="Arial"/>
          <w:sz w:val="17"/>
          <w:szCs w:val="17"/>
          <w:color w:val="auto"/>
        </w:rPr>
        <w:t>The amortized cost and fair value of fixed maturity securities AFS by contractual maturities, as applicable, are shown below. Actual maturities may differ from contractual maturities because issuers may have the right to call or prepay obligations.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48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40" w:type="dxa"/>
            <w:vAlign w:val="bottom"/>
            <w:gridSpan w:val="4"/>
          </w:tcPr>
          <w:p>
            <w:pPr>
              <w:jc w:val="right"/>
              <w:ind w:right="622"/>
              <w:spacing w:after="0"/>
              <w:rPr>
                <w:sz w:val="20"/>
                <w:szCs w:val="20"/>
                <w:color w:val="auto"/>
              </w:rPr>
            </w:pPr>
            <w:r>
              <w:rPr>
                <w:rFonts w:ascii="Arial" w:cs="Arial" w:eastAsia="Arial" w:hAnsi="Arial"/>
                <w:sz w:val="16"/>
                <w:szCs w:val="16"/>
                <w:b w:val="1"/>
                <w:bCs w:val="1"/>
                <w:color w:val="auto"/>
              </w:rPr>
              <w:t>December 31, 2025</w:t>
            </w:r>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0" w:type="dxa"/>
            <w:vAlign w:val="bottom"/>
            <w:gridSpan w:val="4"/>
          </w:tcPr>
          <w:p>
            <w:pPr>
              <w:jc w:val="right"/>
              <w:ind w:right="582"/>
              <w:spacing w:after="0"/>
              <w:rPr>
                <w:sz w:val="20"/>
                <w:szCs w:val="20"/>
                <w:color w:val="auto"/>
              </w:rPr>
            </w:pPr>
            <w:r>
              <w:rPr>
                <w:rFonts w:ascii="Arial" w:cs="Arial" w:eastAsia="Arial" w:hAnsi="Arial"/>
                <w:sz w:val="16"/>
                <w:szCs w:val="16"/>
                <w:b w:val="1"/>
                <w:bCs w:val="1"/>
                <w:color w:val="auto"/>
              </w:rPr>
              <w:t>December 31, 2024</w:t>
            </w:r>
          </w:p>
        </w:tc>
      </w:tr>
      <w:tr>
        <w:trPr>
          <w:trHeight w:val="257"/>
        </w:trPr>
        <w:tc>
          <w:tcPr>
            <w:tcW w:w="482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2240" w:type="dxa"/>
            <w:vAlign w:val="bottom"/>
            <w:tcBorders>
              <w:bottom w:val="single" w:sz="8" w:color="auto"/>
            </w:tcBorders>
            <w:gridSpan w:val="4"/>
          </w:tcPr>
          <w:p>
            <w:pPr>
              <w:jc w:val="right"/>
              <w:ind w:right="842"/>
              <w:spacing w:after="0"/>
              <w:rPr>
                <w:sz w:val="20"/>
                <w:szCs w:val="20"/>
                <w:color w:val="auto"/>
              </w:rPr>
            </w:pPr>
            <w:r>
              <w:rPr>
                <w:rFonts w:ascii="Arial" w:cs="Arial" w:eastAsia="Arial" w:hAnsi="Arial"/>
                <w:sz w:val="16"/>
                <w:szCs w:val="16"/>
                <w:b w:val="1"/>
                <w:bCs w:val="1"/>
                <w:color w:val="auto"/>
              </w:rPr>
              <w:t>(in millions)</w:t>
            </w:r>
          </w:p>
        </w:tc>
        <w:tc>
          <w:tcPr>
            <w:tcW w:w="4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2200" w:type="dxa"/>
            <w:vAlign w:val="bottom"/>
            <w:tcBorders>
              <w:bottom w:val="single" w:sz="8" w:color="auto"/>
            </w:tcBorders>
            <w:gridSpan w:val="4"/>
          </w:tcPr>
          <w:p>
            <w:pPr>
              <w:jc w:val="right"/>
              <w:ind w:right="822"/>
              <w:spacing w:after="0"/>
              <w:rPr>
                <w:sz w:val="20"/>
                <w:szCs w:val="20"/>
                <w:color w:val="auto"/>
              </w:rPr>
            </w:pPr>
            <w:r>
              <w:rPr>
                <w:rFonts w:ascii="Arial" w:cs="Arial" w:eastAsia="Arial" w:hAnsi="Arial"/>
                <w:sz w:val="16"/>
                <w:szCs w:val="16"/>
                <w:b w:val="1"/>
                <w:bCs w:val="1"/>
                <w:color w:val="auto"/>
              </w:rPr>
              <w:t>(in millions)</w:t>
            </w:r>
          </w:p>
        </w:tc>
      </w:tr>
      <w:tr>
        <w:trPr>
          <w:trHeight w:val="230"/>
        </w:trPr>
        <w:tc>
          <w:tcPr>
            <w:tcW w:w="4820" w:type="dxa"/>
            <w:vAlign w:val="bottom"/>
          </w:tcPr>
          <w:p>
            <w:pPr>
              <w:spacing w:after="0"/>
              <w:rPr>
                <w:sz w:val="19"/>
                <w:szCs w:val="19"/>
                <w:color w:val="auto"/>
              </w:rPr>
            </w:pPr>
          </w:p>
        </w:tc>
        <w:tc>
          <w:tcPr>
            <w:tcW w:w="1280" w:type="dxa"/>
            <w:vAlign w:val="bottom"/>
            <w:tcBorders>
              <w:bottom w:val="single" w:sz="8" w:color="auto"/>
            </w:tcBorders>
            <w:gridSpan w:val="2"/>
          </w:tcPr>
          <w:p>
            <w:pPr>
              <w:jc w:val="right"/>
              <w:ind w:right="42"/>
              <w:spacing w:after="0"/>
              <w:rPr>
                <w:sz w:val="20"/>
                <w:szCs w:val="20"/>
                <w:color w:val="auto"/>
              </w:rPr>
            </w:pPr>
            <w:r>
              <w:rPr>
                <w:rFonts w:ascii="Arial" w:cs="Arial" w:eastAsia="Arial" w:hAnsi="Arial"/>
                <w:sz w:val="16"/>
                <w:szCs w:val="16"/>
                <w:b w:val="1"/>
                <w:bCs w:val="1"/>
                <w:color w:val="auto"/>
                <w:w w:val="96"/>
              </w:rPr>
              <w:t>Amortized Cost</w:t>
            </w:r>
          </w:p>
        </w:tc>
        <w:tc>
          <w:tcPr>
            <w:tcW w:w="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82"/>
              <w:spacing w:after="0"/>
              <w:rPr>
                <w:sz w:val="20"/>
                <w:szCs w:val="20"/>
                <w:color w:val="auto"/>
              </w:rPr>
            </w:pPr>
            <w:r>
              <w:rPr>
                <w:rFonts w:ascii="Arial" w:cs="Arial" w:eastAsia="Arial" w:hAnsi="Arial"/>
                <w:sz w:val="16"/>
                <w:szCs w:val="16"/>
                <w:b w:val="1"/>
                <w:bCs w:val="1"/>
                <w:color w:val="auto"/>
              </w:rPr>
              <w:t>Fair Value</w:t>
            </w:r>
          </w:p>
        </w:tc>
        <w:tc>
          <w:tcPr>
            <w:tcW w:w="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gridSpan w:val="2"/>
          </w:tcPr>
          <w:p>
            <w:pPr>
              <w:jc w:val="right"/>
              <w:ind w:right="22"/>
              <w:spacing w:after="0"/>
              <w:rPr>
                <w:sz w:val="20"/>
                <w:szCs w:val="20"/>
                <w:color w:val="auto"/>
              </w:rPr>
            </w:pPr>
            <w:r>
              <w:rPr>
                <w:rFonts w:ascii="Arial" w:cs="Arial" w:eastAsia="Arial" w:hAnsi="Arial"/>
                <w:sz w:val="16"/>
                <w:szCs w:val="16"/>
                <w:b w:val="1"/>
                <w:bCs w:val="1"/>
                <w:color w:val="auto"/>
                <w:w w:val="98"/>
              </w:rPr>
              <w:t>Amortized Cost</w:t>
            </w:r>
          </w:p>
        </w:tc>
        <w:tc>
          <w:tcPr>
            <w:tcW w:w="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202"/>
              <w:spacing w:after="0"/>
              <w:rPr>
                <w:sz w:val="20"/>
                <w:szCs w:val="20"/>
                <w:color w:val="auto"/>
              </w:rPr>
            </w:pPr>
            <w:r>
              <w:rPr>
                <w:rFonts w:ascii="Arial" w:cs="Arial" w:eastAsia="Arial" w:hAnsi="Arial"/>
                <w:sz w:val="16"/>
                <w:szCs w:val="16"/>
                <w:b w:val="1"/>
                <w:bCs w:val="1"/>
                <w:color w:val="auto"/>
                <w:w w:val="99"/>
              </w:rPr>
              <w:t>Fair Value</w:t>
            </w:r>
          </w:p>
        </w:tc>
      </w:tr>
      <w:tr>
        <w:trPr>
          <w:trHeight w:val="167"/>
        </w:trPr>
        <w:tc>
          <w:tcPr>
            <w:tcW w:w="4820" w:type="dxa"/>
            <w:vAlign w:val="bottom"/>
          </w:tcPr>
          <w:p>
            <w:pPr>
              <w:spacing w:after="0" w:line="167" w:lineRule="exact"/>
              <w:rPr>
                <w:sz w:val="20"/>
                <w:szCs w:val="20"/>
                <w:color w:val="auto"/>
              </w:rPr>
            </w:pPr>
            <w:r>
              <w:rPr>
                <w:rFonts w:ascii="Arial" w:cs="Arial" w:eastAsia="Arial" w:hAnsi="Arial"/>
                <w:sz w:val="16"/>
                <w:szCs w:val="16"/>
                <w:b w:val="1"/>
                <w:bCs w:val="1"/>
                <w:color w:val="auto"/>
                <w:w w:val="97"/>
              </w:rPr>
              <w:t>Corporates, Non-structured Hybrids, Municipal, Foreign and U.S.</w:t>
            </w:r>
          </w:p>
        </w:tc>
        <w:tc>
          <w:tcPr>
            <w:tcW w:w="4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206"/>
        </w:trPr>
        <w:tc>
          <w:tcPr>
            <w:tcW w:w="4820" w:type="dxa"/>
            <w:vAlign w:val="bottom"/>
          </w:tcPr>
          <w:p>
            <w:pPr>
              <w:spacing w:after="0"/>
              <w:rPr>
                <w:sz w:val="20"/>
                <w:szCs w:val="20"/>
                <w:color w:val="auto"/>
              </w:rPr>
            </w:pPr>
            <w:r>
              <w:rPr>
                <w:rFonts w:ascii="Arial" w:cs="Arial" w:eastAsia="Arial" w:hAnsi="Arial"/>
                <w:sz w:val="16"/>
                <w:szCs w:val="16"/>
                <w:b w:val="1"/>
                <w:bCs w:val="1"/>
                <w:color w:val="auto"/>
              </w:rPr>
              <w:t>Government Securities:</w:t>
            </w:r>
          </w:p>
        </w:tc>
        <w:tc>
          <w:tcPr>
            <w:tcW w:w="4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47"/>
        </w:trPr>
        <w:tc>
          <w:tcPr>
            <w:tcW w:w="4820" w:type="dxa"/>
            <w:vAlign w:val="bottom"/>
          </w:tcPr>
          <w:p>
            <w:pPr>
              <w:ind w:left="140"/>
              <w:spacing w:after="0"/>
              <w:rPr>
                <w:sz w:val="20"/>
                <w:szCs w:val="20"/>
                <w:color w:val="auto"/>
              </w:rPr>
            </w:pPr>
            <w:r>
              <w:rPr>
                <w:rFonts w:ascii="Arial" w:cs="Arial" w:eastAsia="Arial" w:hAnsi="Arial"/>
                <w:sz w:val="16"/>
                <w:szCs w:val="16"/>
                <w:color w:val="auto"/>
              </w:rPr>
              <w:t>Due in one year or less</w:t>
            </w:r>
          </w:p>
        </w:tc>
        <w:tc>
          <w:tcPr>
            <w:tcW w:w="400" w:type="dxa"/>
            <w:vAlign w:val="bottom"/>
          </w:tcPr>
          <w:p>
            <w:pPr>
              <w:jc w:val="right"/>
              <w:ind w:right="202"/>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623</w:t>
            </w:r>
          </w:p>
        </w:tc>
        <w:tc>
          <w:tcPr>
            <w:tcW w:w="28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2"/>
              <w:spacing w:after="0"/>
              <w:rPr>
                <w:sz w:val="20"/>
                <w:szCs w:val="20"/>
                <w:color w:val="auto"/>
              </w:rPr>
            </w:pPr>
            <w:r>
              <w:rPr>
                <w:rFonts w:ascii="Arial" w:cs="Arial" w:eastAsia="Arial" w:hAnsi="Arial"/>
                <w:sz w:val="16"/>
                <w:szCs w:val="16"/>
                <w:color w:val="auto"/>
              </w:rPr>
              <w:t>619</w:t>
            </w:r>
          </w:p>
        </w:tc>
        <w:tc>
          <w:tcPr>
            <w:tcW w:w="460" w:type="dxa"/>
            <w:vAlign w:val="bottom"/>
            <w:gridSpan w:val="2"/>
          </w:tcPr>
          <w:p>
            <w:pPr>
              <w:jc w:val="right"/>
              <w:ind w:right="202"/>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961</w:t>
            </w:r>
          </w:p>
        </w:tc>
        <w:tc>
          <w:tcPr>
            <w:tcW w:w="28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955</w:t>
            </w:r>
          </w:p>
        </w:tc>
      </w:tr>
      <w:tr>
        <w:trPr>
          <w:trHeight w:val="250"/>
        </w:trPr>
        <w:tc>
          <w:tcPr>
            <w:tcW w:w="4820" w:type="dxa"/>
            <w:vAlign w:val="bottom"/>
          </w:tcPr>
          <w:p>
            <w:pPr>
              <w:ind w:left="140"/>
              <w:spacing w:after="0"/>
              <w:rPr>
                <w:sz w:val="20"/>
                <w:szCs w:val="20"/>
                <w:color w:val="auto"/>
              </w:rPr>
            </w:pPr>
            <w:r>
              <w:rPr>
                <w:rFonts w:ascii="Arial" w:cs="Arial" w:eastAsia="Arial" w:hAnsi="Arial"/>
                <w:sz w:val="16"/>
                <w:szCs w:val="16"/>
                <w:color w:val="auto"/>
              </w:rPr>
              <w:t>Due after one year through five years</w:t>
            </w:r>
          </w:p>
        </w:tc>
        <w:tc>
          <w:tcPr>
            <w:tcW w:w="4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5,597</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tcPr>
          <w:p>
            <w:pPr>
              <w:jc w:val="right"/>
              <w:ind w:right="2"/>
              <w:spacing w:after="0"/>
              <w:rPr>
                <w:sz w:val="20"/>
                <w:szCs w:val="20"/>
                <w:color w:val="auto"/>
              </w:rPr>
            </w:pPr>
            <w:r>
              <w:rPr>
                <w:rFonts w:ascii="Arial" w:cs="Arial" w:eastAsia="Arial" w:hAnsi="Arial"/>
                <w:sz w:val="16"/>
                <w:szCs w:val="16"/>
                <w:color w:val="auto"/>
              </w:rPr>
              <w:t>5,626</w:t>
            </w:r>
          </w:p>
        </w:tc>
        <w:tc>
          <w:tcPr>
            <w:tcW w:w="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4,616</w:t>
            </w: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4,544</w:t>
            </w:r>
          </w:p>
        </w:tc>
      </w:tr>
      <w:tr>
        <w:trPr>
          <w:trHeight w:val="250"/>
        </w:trPr>
        <w:tc>
          <w:tcPr>
            <w:tcW w:w="4820" w:type="dxa"/>
            <w:vAlign w:val="bottom"/>
          </w:tcPr>
          <w:p>
            <w:pPr>
              <w:ind w:left="140"/>
              <w:spacing w:after="0"/>
              <w:rPr>
                <w:sz w:val="20"/>
                <w:szCs w:val="20"/>
                <w:color w:val="auto"/>
              </w:rPr>
            </w:pPr>
            <w:r>
              <w:rPr>
                <w:rFonts w:ascii="Arial" w:cs="Arial" w:eastAsia="Arial" w:hAnsi="Arial"/>
                <w:sz w:val="16"/>
                <w:szCs w:val="16"/>
                <w:color w:val="auto"/>
              </w:rPr>
              <w:t>Due after five years through ten years</w:t>
            </w:r>
          </w:p>
        </w:tc>
        <w:tc>
          <w:tcPr>
            <w:tcW w:w="4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5,811</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tcPr>
          <w:p>
            <w:pPr>
              <w:jc w:val="right"/>
              <w:ind w:right="2"/>
              <w:spacing w:after="0"/>
              <w:rPr>
                <w:sz w:val="20"/>
                <w:szCs w:val="20"/>
                <w:color w:val="auto"/>
              </w:rPr>
            </w:pPr>
            <w:r>
              <w:rPr>
                <w:rFonts w:ascii="Arial" w:cs="Arial" w:eastAsia="Arial" w:hAnsi="Arial"/>
                <w:sz w:val="16"/>
                <w:szCs w:val="16"/>
                <w:color w:val="auto"/>
              </w:rPr>
              <w:t>5,812</w:t>
            </w:r>
          </w:p>
        </w:tc>
        <w:tc>
          <w:tcPr>
            <w:tcW w:w="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5,311</w:t>
            </w: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5,126</w:t>
            </w:r>
          </w:p>
        </w:tc>
      </w:tr>
      <w:tr>
        <w:trPr>
          <w:trHeight w:val="257"/>
        </w:trPr>
        <w:tc>
          <w:tcPr>
            <w:tcW w:w="4820" w:type="dxa"/>
            <w:vAlign w:val="bottom"/>
          </w:tcPr>
          <w:p>
            <w:pPr>
              <w:ind w:left="140"/>
              <w:spacing w:after="0"/>
              <w:rPr>
                <w:sz w:val="20"/>
                <w:szCs w:val="20"/>
                <w:color w:val="auto"/>
              </w:rPr>
            </w:pPr>
            <w:r>
              <w:rPr>
                <w:rFonts w:ascii="Arial" w:cs="Arial" w:eastAsia="Arial" w:hAnsi="Arial"/>
                <w:sz w:val="16"/>
                <w:szCs w:val="16"/>
                <w:color w:val="auto"/>
              </w:rPr>
              <w:t>Due after ten years</w:t>
            </w:r>
          </w:p>
        </w:tc>
        <w:tc>
          <w:tcPr>
            <w:tcW w:w="4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18,090</w:t>
            </w:r>
          </w:p>
        </w:tc>
        <w:tc>
          <w:tcPr>
            <w:tcW w:w="8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15,716</w:t>
            </w:r>
          </w:p>
        </w:tc>
        <w:tc>
          <w:tcPr>
            <w:tcW w:w="4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16,761</w:t>
            </w:r>
          </w:p>
        </w:tc>
        <w:tc>
          <w:tcPr>
            <w:tcW w:w="6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13,959</w:t>
            </w:r>
          </w:p>
        </w:tc>
      </w:tr>
      <w:tr>
        <w:trPr>
          <w:trHeight w:val="223"/>
        </w:trPr>
        <w:tc>
          <w:tcPr>
            <w:tcW w:w="4820" w:type="dxa"/>
            <w:vAlign w:val="bottom"/>
          </w:tcPr>
          <w:p>
            <w:pPr>
              <w:ind w:left="360"/>
              <w:spacing w:after="0"/>
              <w:rPr>
                <w:sz w:val="20"/>
                <w:szCs w:val="20"/>
                <w:color w:val="auto"/>
              </w:rPr>
            </w:pPr>
            <w:r>
              <w:rPr>
                <w:rFonts w:ascii="Arial" w:cs="Arial" w:eastAsia="Arial" w:hAnsi="Arial"/>
                <w:sz w:val="16"/>
                <w:szCs w:val="16"/>
                <w:b w:val="1"/>
                <w:bCs w:val="1"/>
                <w:color w:val="auto"/>
              </w:rPr>
              <w:t>Subtotal</w:t>
            </w:r>
          </w:p>
        </w:tc>
        <w:tc>
          <w:tcPr>
            <w:tcW w:w="4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30,121</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ind w:right="2"/>
              <w:spacing w:after="0"/>
              <w:rPr>
                <w:sz w:val="20"/>
                <w:szCs w:val="20"/>
                <w:color w:val="auto"/>
              </w:rPr>
            </w:pPr>
            <w:r>
              <w:rPr>
                <w:rFonts w:ascii="Arial" w:cs="Arial" w:eastAsia="Arial" w:hAnsi="Arial"/>
                <w:sz w:val="16"/>
                <w:szCs w:val="16"/>
                <w:color w:val="auto"/>
              </w:rPr>
              <w:t>27,773</w:t>
            </w:r>
          </w:p>
        </w:tc>
        <w:tc>
          <w:tcPr>
            <w:tcW w:w="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27,649</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24,584</w:t>
            </w:r>
          </w:p>
        </w:tc>
      </w:tr>
      <w:tr>
        <w:trPr>
          <w:trHeight w:val="250"/>
        </w:trPr>
        <w:tc>
          <w:tcPr>
            <w:tcW w:w="4820" w:type="dxa"/>
            <w:vAlign w:val="bottom"/>
          </w:tcPr>
          <w:p>
            <w:pPr>
              <w:spacing w:after="0"/>
              <w:rPr>
                <w:sz w:val="20"/>
                <w:szCs w:val="20"/>
                <w:color w:val="auto"/>
              </w:rPr>
            </w:pPr>
            <w:r>
              <w:rPr>
                <w:rFonts w:ascii="Arial" w:cs="Arial" w:eastAsia="Arial" w:hAnsi="Arial"/>
                <w:sz w:val="16"/>
                <w:szCs w:val="16"/>
                <w:b w:val="1"/>
                <w:bCs w:val="1"/>
                <w:color w:val="auto"/>
              </w:rPr>
              <w:t>Other securities, which provide for periodic payments:</w:t>
            </w:r>
          </w:p>
        </w:tc>
        <w:tc>
          <w:tcPr>
            <w:tcW w:w="4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50"/>
        </w:trPr>
        <w:tc>
          <w:tcPr>
            <w:tcW w:w="4820" w:type="dxa"/>
            <w:vAlign w:val="bottom"/>
          </w:tcPr>
          <w:p>
            <w:pPr>
              <w:ind w:left="140"/>
              <w:spacing w:after="0"/>
              <w:rPr>
                <w:sz w:val="20"/>
                <w:szCs w:val="20"/>
                <w:color w:val="auto"/>
              </w:rPr>
            </w:pPr>
            <w:r>
              <w:rPr>
                <w:rFonts w:ascii="Arial" w:cs="Arial" w:eastAsia="Arial" w:hAnsi="Arial"/>
                <w:sz w:val="16"/>
                <w:szCs w:val="16"/>
                <w:color w:val="auto"/>
              </w:rPr>
              <w:t>Asset-backed securities</w:t>
            </w:r>
          </w:p>
        </w:tc>
        <w:tc>
          <w:tcPr>
            <w:tcW w:w="4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18,853</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tcPr>
          <w:p>
            <w:pPr>
              <w:jc w:val="right"/>
              <w:ind w:right="2"/>
              <w:spacing w:after="0"/>
              <w:rPr>
                <w:sz w:val="20"/>
                <w:szCs w:val="20"/>
                <w:color w:val="auto"/>
              </w:rPr>
            </w:pPr>
            <w:r>
              <w:rPr>
                <w:rFonts w:ascii="Arial" w:cs="Arial" w:eastAsia="Arial" w:hAnsi="Arial"/>
                <w:sz w:val="16"/>
                <w:szCs w:val="16"/>
                <w:color w:val="auto"/>
              </w:rPr>
              <w:t>18,738</w:t>
            </w:r>
          </w:p>
        </w:tc>
        <w:tc>
          <w:tcPr>
            <w:tcW w:w="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15,784</w:t>
            </w: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15,656</w:t>
            </w:r>
          </w:p>
        </w:tc>
      </w:tr>
      <w:tr>
        <w:trPr>
          <w:trHeight w:val="250"/>
        </w:trPr>
        <w:tc>
          <w:tcPr>
            <w:tcW w:w="4820" w:type="dxa"/>
            <w:vAlign w:val="bottom"/>
          </w:tcPr>
          <w:p>
            <w:pPr>
              <w:ind w:left="140"/>
              <w:spacing w:after="0"/>
              <w:rPr>
                <w:sz w:val="20"/>
                <w:szCs w:val="20"/>
                <w:color w:val="auto"/>
              </w:rPr>
            </w:pPr>
            <w:r>
              <w:rPr>
                <w:rFonts w:ascii="Arial" w:cs="Arial" w:eastAsia="Arial" w:hAnsi="Arial"/>
                <w:sz w:val="16"/>
                <w:szCs w:val="16"/>
                <w:color w:val="auto"/>
              </w:rPr>
              <w:t>Commercial mortgage-backed securities</w:t>
            </w:r>
          </w:p>
        </w:tc>
        <w:tc>
          <w:tcPr>
            <w:tcW w:w="4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5,341</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tcPr>
          <w:p>
            <w:pPr>
              <w:jc w:val="right"/>
              <w:ind w:right="2"/>
              <w:spacing w:after="0"/>
              <w:rPr>
                <w:sz w:val="20"/>
                <w:szCs w:val="20"/>
                <w:color w:val="auto"/>
              </w:rPr>
            </w:pPr>
            <w:r>
              <w:rPr>
                <w:rFonts w:ascii="Arial" w:cs="Arial" w:eastAsia="Arial" w:hAnsi="Arial"/>
                <w:sz w:val="16"/>
                <w:szCs w:val="16"/>
                <w:color w:val="auto"/>
              </w:rPr>
              <w:t>5,199</w:t>
            </w:r>
          </w:p>
        </w:tc>
        <w:tc>
          <w:tcPr>
            <w:tcW w:w="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5,379</w:t>
            </w: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5,182</w:t>
            </w:r>
          </w:p>
        </w:tc>
      </w:tr>
      <w:tr>
        <w:trPr>
          <w:trHeight w:val="257"/>
        </w:trPr>
        <w:tc>
          <w:tcPr>
            <w:tcW w:w="4820" w:type="dxa"/>
            <w:vAlign w:val="bottom"/>
          </w:tcPr>
          <w:p>
            <w:pPr>
              <w:ind w:left="140"/>
              <w:spacing w:after="0"/>
              <w:rPr>
                <w:sz w:val="20"/>
                <w:szCs w:val="20"/>
                <w:color w:val="auto"/>
              </w:rPr>
            </w:pPr>
            <w:r>
              <w:rPr>
                <w:rFonts w:ascii="Arial" w:cs="Arial" w:eastAsia="Arial" w:hAnsi="Arial"/>
                <w:sz w:val="16"/>
                <w:szCs w:val="16"/>
                <w:color w:val="auto"/>
              </w:rPr>
              <w:t>Residential mortgage-backed securities</w:t>
            </w:r>
          </w:p>
        </w:tc>
        <w:tc>
          <w:tcPr>
            <w:tcW w:w="4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2,846</w:t>
            </w:r>
          </w:p>
        </w:tc>
        <w:tc>
          <w:tcPr>
            <w:tcW w:w="8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2,851</w:t>
            </w:r>
          </w:p>
        </w:tc>
        <w:tc>
          <w:tcPr>
            <w:tcW w:w="4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2,869</w:t>
            </w:r>
          </w:p>
        </w:tc>
        <w:tc>
          <w:tcPr>
            <w:tcW w:w="6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2,796</w:t>
            </w:r>
          </w:p>
        </w:tc>
      </w:tr>
      <w:tr>
        <w:trPr>
          <w:trHeight w:val="230"/>
        </w:trPr>
        <w:tc>
          <w:tcPr>
            <w:tcW w:w="4820" w:type="dxa"/>
            <w:vAlign w:val="bottom"/>
          </w:tcPr>
          <w:p>
            <w:pPr>
              <w:ind w:left="360"/>
              <w:spacing w:after="0"/>
              <w:rPr>
                <w:sz w:val="20"/>
                <w:szCs w:val="20"/>
                <w:color w:val="auto"/>
              </w:rPr>
            </w:pPr>
            <w:r>
              <w:rPr>
                <w:rFonts w:ascii="Arial" w:cs="Arial" w:eastAsia="Arial" w:hAnsi="Arial"/>
                <w:sz w:val="16"/>
                <w:szCs w:val="16"/>
                <w:b w:val="1"/>
                <w:bCs w:val="1"/>
                <w:color w:val="auto"/>
              </w:rPr>
              <w:t>Subtotal</w:t>
            </w:r>
          </w:p>
        </w:tc>
        <w:tc>
          <w:tcPr>
            <w:tcW w:w="4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27,040</w:t>
            </w:r>
          </w:p>
        </w:tc>
        <w:tc>
          <w:tcPr>
            <w:tcW w:w="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26,788</w:t>
            </w:r>
          </w:p>
        </w:tc>
        <w:tc>
          <w:tcPr>
            <w:tcW w:w="4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24,032</w:t>
            </w:r>
          </w:p>
        </w:tc>
        <w:tc>
          <w:tcPr>
            <w:tcW w:w="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23,634</w:t>
            </w:r>
          </w:p>
        </w:tc>
      </w:tr>
      <w:tr>
        <w:trPr>
          <w:trHeight w:val="210"/>
        </w:trPr>
        <w:tc>
          <w:tcPr>
            <w:tcW w:w="4820" w:type="dxa"/>
            <w:vAlign w:val="bottom"/>
          </w:tcPr>
          <w:p>
            <w:pPr>
              <w:ind w:left="360"/>
              <w:spacing w:after="0"/>
              <w:rPr>
                <w:sz w:val="20"/>
                <w:szCs w:val="20"/>
                <w:color w:val="auto"/>
              </w:rPr>
            </w:pPr>
            <w:r>
              <w:rPr>
                <w:rFonts w:ascii="Arial" w:cs="Arial" w:eastAsia="Arial" w:hAnsi="Arial"/>
                <w:sz w:val="16"/>
                <w:szCs w:val="16"/>
                <w:b w:val="1"/>
                <w:bCs w:val="1"/>
                <w:color w:val="auto"/>
              </w:rPr>
              <w:t>Total fixed maturity AFS securities</w:t>
            </w:r>
          </w:p>
        </w:tc>
        <w:tc>
          <w:tcPr>
            <w:tcW w:w="400" w:type="dxa"/>
            <w:vAlign w:val="bottom"/>
          </w:tcPr>
          <w:p>
            <w:pPr>
              <w:jc w:val="right"/>
              <w:ind w:right="202"/>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57,161</w:t>
            </w:r>
          </w:p>
        </w:tc>
        <w:tc>
          <w:tcPr>
            <w:tcW w:w="28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2"/>
              <w:spacing w:after="0"/>
              <w:rPr>
                <w:sz w:val="20"/>
                <w:szCs w:val="20"/>
                <w:color w:val="auto"/>
              </w:rPr>
            </w:pPr>
            <w:r>
              <w:rPr>
                <w:rFonts w:ascii="Arial" w:cs="Arial" w:eastAsia="Arial" w:hAnsi="Arial"/>
                <w:sz w:val="16"/>
                <w:szCs w:val="16"/>
                <w:color w:val="auto"/>
              </w:rPr>
              <w:t>54,561</w:t>
            </w:r>
          </w:p>
        </w:tc>
        <w:tc>
          <w:tcPr>
            <w:tcW w:w="460" w:type="dxa"/>
            <w:vAlign w:val="bottom"/>
            <w:gridSpan w:val="2"/>
          </w:tcPr>
          <w:p>
            <w:pPr>
              <w:jc w:val="right"/>
              <w:ind w:right="202"/>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51,681</w:t>
            </w:r>
          </w:p>
        </w:tc>
        <w:tc>
          <w:tcPr>
            <w:tcW w:w="28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48,218</w:t>
            </w:r>
          </w:p>
        </w:tc>
      </w:tr>
      <w:tr>
        <w:trPr>
          <w:trHeight w:val="20"/>
        </w:trPr>
        <w:tc>
          <w:tcPr>
            <w:tcW w:w="48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wp:posOffset>
            </wp:positionH>
            <wp:positionV relativeFrom="paragraph">
              <wp:posOffset>-2028190</wp:posOffset>
            </wp:positionV>
            <wp:extent cx="6484620" cy="203517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91">
                      <a:extLst>
                        <a:ext uri="{28A0092B-C50C-407E-A947-70E740481C1C}"/>
                      </a:extLst>
                    </a:blip>
                    <a:srcRect/>
                    <a:stretch>
                      <a:fillRect/>
                    </a:stretch>
                  </pic:blipFill>
                  <pic:spPr bwMode="auto">
                    <a:xfrm>
                      <a:off x="0" y="0"/>
                      <a:ext cx="6484620" cy="2035175"/>
                    </a:xfrm>
                    <a:prstGeom prst="rect">
                      <a:avLst/>
                    </a:prstGeom>
                    <a:noFill/>
                  </pic:spPr>
                </pic:pic>
              </a:graphicData>
            </a:graphic>
          </wp:anchor>
        </w:drawing>
      </w:r>
    </w:p>
    <w:p>
      <w:pPr>
        <w:spacing w:after="0" w:line="98" w:lineRule="exact"/>
        <w:rPr>
          <w:sz w:val="20"/>
          <w:szCs w:val="20"/>
          <w:color w:val="auto"/>
        </w:rPr>
      </w:pPr>
    </w:p>
    <w:p>
      <w:pPr>
        <w:ind w:left="20"/>
        <w:spacing w:after="0"/>
        <w:rPr>
          <w:sz w:val="20"/>
          <w:szCs w:val="20"/>
          <w:color w:val="auto"/>
        </w:rPr>
      </w:pPr>
      <w:r>
        <w:rPr>
          <w:rFonts w:ascii="Arial" w:cs="Arial" w:eastAsia="Arial" w:hAnsi="Arial"/>
          <w:sz w:val="20"/>
          <w:szCs w:val="20"/>
          <w:b w:val="1"/>
          <w:bCs w:val="1"/>
          <w:i w:val="1"/>
          <w:iCs w:val="1"/>
          <w:color w:val="auto"/>
        </w:rPr>
        <w:t>Allowance for Current Expected Credit Loss</w:t>
      </w:r>
    </w:p>
    <w:p>
      <w:pPr>
        <w:spacing w:after="0" w:line="130" w:lineRule="exact"/>
        <w:rPr>
          <w:sz w:val="20"/>
          <w:szCs w:val="20"/>
          <w:color w:val="auto"/>
        </w:rPr>
      </w:pPr>
    </w:p>
    <w:p>
      <w:pPr>
        <w:jc w:val="both"/>
        <w:ind w:left="20" w:right="60" w:firstLine="353"/>
        <w:spacing w:after="0" w:line="258" w:lineRule="auto"/>
        <w:rPr>
          <w:sz w:val="20"/>
          <w:szCs w:val="20"/>
          <w:color w:val="auto"/>
        </w:rPr>
      </w:pPr>
      <w:r>
        <w:rPr>
          <w:rFonts w:ascii="Arial" w:cs="Arial" w:eastAsia="Arial" w:hAnsi="Arial"/>
          <w:sz w:val="20"/>
          <w:szCs w:val="20"/>
          <w:color w:val="auto"/>
        </w:rPr>
        <w:t>We regularly review AFS securities for declines in fair value that we determine to be credit related. For our fixed maturity securities, we generally consider the following in determining whether our unrealized losses are credit related, and if so, the magnitude of the credit loss:</w:t>
      </w:r>
    </w:p>
    <w:p>
      <w:pPr>
        <w:spacing w:after="0" w:line="82" w:lineRule="exact"/>
        <w:rPr>
          <w:sz w:val="20"/>
          <w:szCs w:val="20"/>
          <w:color w:val="auto"/>
        </w:rPr>
      </w:pPr>
    </w:p>
    <w:p>
      <w:pPr>
        <w:ind w:left="720" w:hanging="355"/>
        <w:spacing w:after="0"/>
        <w:tabs>
          <w:tab w:leader="none" w:pos="720" w:val="left"/>
        </w:tabs>
        <w:numPr>
          <w:ilvl w:val="0"/>
          <w:numId w:val="52"/>
        </w:numPr>
        <w:rPr>
          <w:rFonts w:ascii="Arial" w:cs="Arial" w:eastAsia="Arial" w:hAnsi="Arial"/>
          <w:sz w:val="20"/>
          <w:szCs w:val="20"/>
          <w:color w:val="auto"/>
        </w:rPr>
      </w:pPr>
      <w:r>
        <w:rPr>
          <w:rFonts w:ascii="Arial" w:cs="Arial" w:eastAsia="Arial" w:hAnsi="Arial"/>
          <w:sz w:val="20"/>
          <w:szCs w:val="20"/>
          <w:color w:val="auto"/>
        </w:rPr>
        <w:t>The extent to which the fair value is less than the amortized cost basis;</w:t>
      </w:r>
    </w:p>
    <w:p>
      <w:pPr>
        <w:spacing w:after="0" w:line="122" w:lineRule="exact"/>
        <w:rPr>
          <w:rFonts w:ascii="Arial" w:cs="Arial" w:eastAsia="Arial" w:hAnsi="Arial"/>
          <w:sz w:val="20"/>
          <w:szCs w:val="20"/>
          <w:color w:val="auto"/>
        </w:rPr>
      </w:pPr>
    </w:p>
    <w:p>
      <w:pPr>
        <w:ind w:left="720" w:right="60" w:hanging="355"/>
        <w:spacing w:after="0" w:line="271" w:lineRule="auto"/>
        <w:tabs>
          <w:tab w:leader="none" w:pos="720" w:val="left"/>
        </w:tabs>
        <w:numPr>
          <w:ilvl w:val="0"/>
          <w:numId w:val="52"/>
        </w:numPr>
        <w:rPr>
          <w:rFonts w:ascii="Arial" w:cs="Arial" w:eastAsia="Arial" w:hAnsi="Arial"/>
          <w:sz w:val="20"/>
          <w:szCs w:val="20"/>
          <w:color w:val="auto"/>
        </w:rPr>
      </w:pPr>
      <w:r>
        <w:rPr>
          <w:rFonts w:ascii="Arial" w:cs="Arial" w:eastAsia="Arial" w:hAnsi="Arial"/>
          <w:sz w:val="20"/>
          <w:szCs w:val="20"/>
          <w:color w:val="auto"/>
        </w:rPr>
        <w:t>The reasons for the decline in value (credit event, currency or interest-rate related, including general credit spread widening);</w:t>
      </w:r>
    </w:p>
    <w:p>
      <w:pPr>
        <w:spacing w:after="0" w:line="68" w:lineRule="exact"/>
        <w:rPr>
          <w:rFonts w:ascii="Arial" w:cs="Arial" w:eastAsia="Arial" w:hAnsi="Arial"/>
          <w:sz w:val="20"/>
          <w:szCs w:val="20"/>
          <w:color w:val="auto"/>
        </w:rPr>
      </w:pPr>
    </w:p>
    <w:p>
      <w:pPr>
        <w:ind w:left="720" w:right="60" w:hanging="355"/>
        <w:spacing w:after="0" w:line="271" w:lineRule="auto"/>
        <w:tabs>
          <w:tab w:leader="none" w:pos="720" w:val="left"/>
        </w:tabs>
        <w:numPr>
          <w:ilvl w:val="0"/>
          <w:numId w:val="52"/>
        </w:numPr>
        <w:rPr>
          <w:rFonts w:ascii="Arial" w:cs="Arial" w:eastAsia="Arial" w:hAnsi="Arial"/>
          <w:sz w:val="20"/>
          <w:szCs w:val="20"/>
          <w:color w:val="auto"/>
        </w:rPr>
      </w:pPr>
      <w:r>
        <w:rPr>
          <w:rFonts w:ascii="Arial" w:cs="Arial" w:eastAsia="Arial" w:hAnsi="Arial"/>
          <w:sz w:val="20"/>
          <w:szCs w:val="20"/>
          <w:color w:val="auto"/>
        </w:rPr>
        <w:t>The financial condition of and near-term prospects of the issuer (including issuer's current credit rating and the probability of full recovery of principal based upon the issuer's financial strength);</w:t>
      </w:r>
    </w:p>
    <w:p>
      <w:pPr>
        <w:spacing w:after="0" w:line="68" w:lineRule="exact"/>
        <w:rPr>
          <w:rFonts w:ascii="Arial" w:cs="Arial" w:eastAsia="Arial" w:hAnsi="Arial"/>
          <w:sz w:val="20"/>
          <w:szCs w:val="20"/>
          <w:color w:val="auto"/>
        </w:rPr>
      </w:pPr>
    </w:p>
    <w:p>
      <w:pPr>
        <w:ind w:left="720" w:hanging="355"/>
        <w:spacing w:after="0"/>
        <w:tabs>
          <w:tab w:leader="none" w:pos="720" w:val="left"/>
        </w:tabs>
        <w:numPr>
          <w:ilvl w:val="0"/>
          <w:numId w:val="52"/>
        </w:numPr>
        <w:rPr>
          <w:rFonts w:ascii="Arial" w:cs="Arial" w:eastAsia="Arial" w:hAnsi="Arial"/>
          <w:sz w:val="20"/>
          <w:szCs w:val="20"/>
          <w:color w:val="auto"/>
        </w:rPr>
      </w:pPr>
      <w:r>
        <w:rPr>
          <w:rFonts w:ascii="Arial" w:cs="Arial" w:eastAsia="Arial" w:hAnsi="Arial"/>
          <w:sz w:val="20"/>
          <w:szCs w:val="20"/>
          <w:color w:val="auto"/>
        </w:rPr>
        <w:t>Current delinquencies and non-performing assets of underlying collateral;</w:t>
      </w:r>
    </w:p>
    <w:p>
      <w:pPr>
        <w:spacing w:after="0" w:line="122" w:lineRule="exact"/>
        <w:rPr>
          <w:rFonts w:ascii="Arial" w:cs="Arial" w:eastAsia="Arial" w:hAnsi="Arial"/>
          <w:sz w:val="20"/>
          <w:szCs w:val="20"/>
          <w:color w:val="auto"/>
        </w:rPr>
      </w:pPr>
    </w:p>
    <w:p>
      <w:pPr>
        <w:ind w:left="720" w:hanging="355"/>
        <w:spacing w:after="0"/>
        <w:tabs>
          <w:tab w:leader="none" w:pos="720" w:val="left"/>
        </w:tabs>
        <w:numPr>
          <w:ilvl w:val="0"/>
          <w:numId w:val="52"/>
        </w:numPr>
        <w:rPr>
          <w:rFonts w:ascii="Arial" w:cs="Arial" w:eastAsia="Arial" w:hAnsi="Arial"/>
          <w:sz w:val="20"/>
          <w:szCs w:val="20"/>
          <w:color w:val="auto"/>
        </w:rPr>
      </w:pPr>
      <w:r>
        <w:rPr>
          <w:rFonts w:ascii="Arial" w:cs="Arial" w:eastAsia="Arial" w:hAnsi="Arial"/>
          <w:sz w:val="20"/>
          <w:szCs w:val="20"/>
          <w:color w:val="auto"/>
        </w:rPr>
        <w:t>Expected future default rates;</w:t>
      </w:r>
    </w:p>
    <w:p>
      <w:pPr>
        <w:spacing w:after="0" w:line="122" w:lineRule="exact"/>
        <w:rPr>
          <w:rFonts w:ascii="Arial" w:cs="Arial" w:eastAsia="Arial" w:hAnsi="Arial"/>
          <w:sz w:val="20"/>
          <w:szCs w:val="20"/>
          <w:color w:val="auto"/>
        </w:rPr>
      </w:pPr>
    </w:p>
    <w:p>
      <w:pPr>
        <w:ind w:left="720" w:hanging="355"/>
        <w:spacing w:after="0"/>
        <w:tabs>
          <w:tab w:leader="none" w:pos="720" w:val="left"/>
        </w:tabs>
        <w:numPr>
          <w:ilvl w:val="0"/>
          <w:numId w:val="52"/>
        </w:numPr>
        <w:rPr>
          <w:rFonts w:ascii="Arial" w:cs="Arial" w:eastAsia="Arial" w:hAnsi="Arial"/>
          <w:sz w:val="20"/>
          <w:szCs w:val="20"/>
          <w:color w:val="auto"/>
        </w:rPr>
      </w:pPr>
      <w:r>
        <w:rPr>
          <w:rFonts w:ascii="Arial" w:cs="Arial" w:eastAsia="Arial" w:hAnsi="Arial"/>
          <w:sz w:val="20"/>
          <w:szCs w:val="20"/>
          <w:color w:val="auto"/>
        </w:rPr>
        <w:t>Collateral value by vintage, geographic region, industry concentration or property type;</w:t>
      </w:r>
    </w:p>
    <w:p>
      <w:pPr>
        <w:spacing w:after="0" w:line="122" w:lineRule="exact"/>
        <w:rPr>
          <w:rFonts w:ascii="Arial" w:cs="Arial" w:eastAsia="Arial" w:hAnsi="Arial"/>
          <w:sz w:val="20"/>
          <w:szCs w:val="20"/>
          <w:color w:val="auto"/>
        </w:rPr>
      </w:pPr>
    </w:p>
    <w:p>
      <w:pPr>
        <w:ind w:left="720" w:hanging="355"/>
        <w:spacing w:after="0"/>
        <w:tabs>
          <w:tab w:leader="none" w:pos="720" w:val="left"/>
        </w:tabs>
        <w:numPr>
          <w:ilvl w:val="0"/>
          <w:numId w:val="52"/>
        </w:numPr>
        <w:rPr>
          <w:rFonts w:ascii="Arial" w:cs="Arial" w:eastAsia="Arial" w:hAnsi="Arial"/>
          <w:sz w:val="19"/>
          <w:szCs w:val="19"/>
          <w:color w:val="auto"/>
        </w:rPr>
      </w:pPr>
      <w:r>
        <w:rPr>
          <w:rFonts w:ascii="Arial" w:cs="Arial" w:eastAsia="Arial" w:hAnsi="Arial"/>
          <w:sz w:val="19"/>
          <w:szCs w:val="19"/>
          <w:color w:val="auto"/>
        </w:rPr>
        <w:t>Subordination levels or other credit enhancements as of the balance sheet date as compared to origination; and</w:t>
      </w:r>
    </w:p>
    <w:p>
      <w:pPr>
        <w:spacing w:after="0" w:line="134" w:lineRule="exact"/>
        <w:rPr>
          <w:rFonts w:ascii="Arial" w:cs="Arial" w:eastAsia="Arial" w:hAnsi="Arial"/>
          <w:sz w:val="19"/>
          <w:szCs w:val="19"/>
          <w:color w:val="auto"/>
        </w:rPr>
      </w:pPr>
    </w:p>
    <w:p>
      <w:pPr>
        <w:ind w:left="720" w:hanging="355"/>
        <w:spacing w:after="0"/>
        <w:tabs>
          <w:tab w:leader="none" w:pos="720" w:val="left"/>
        </w:tabs>
        <w:numPr>
          <w:ilvl w:val="0"/>
          <w:numId w:val="52"/>
        </w:numPr>
        <w:rPr>
          <w:rFonts w:ascii="Arial" w:cs="Arial" w:eastAsia="Arial" w:hAnsi="Arial"/>
          <w:sz w:val="20"/>
          <w:szCs w:val="20"/>
          <w:color w:val="auto"/>
        </w:rPr>
      </w:pPr>
      <w:r>
        <w:rPr>
          <w:rFonts w:ascii="Arial" w:cs="Arial" w:eastAsia="Arial" w:hAnsi="Arial"/>
          <w:sz w:val="20"/>
          <w:szCs w:val="20"/>
          <w:color w:val="auto"/>
        </w:rPr>
        <w:t>Contractual and regulatory cash obligations and the issuer's plans to meet such obligations.</w:t>
      </w:r>
    </w:p>
    <w:p>
      <w:pPr>
        <w:spacing w:after="0" w:line="123" w:lineRule="exact"/>
        <w:rPr>
          <w:sz w:val="20"/>
          <w:szCs w:val="20"/>
          <w:color w:val="auto"/>
        </w:rPr>
      </w:pPr>
    </w:p>
    <w:p>
      <w:pPr>
        <w:jc w:val="both"/>
        <w:ind w:left="20" w:right="60" w:firstLine="353"/>
        <w:spacing w:after="0" w:line="263" w:lineRule="auto"/>
        <w:rPr>
          <w:sz w:val="20"/>
          <w:szCs w:val="20"/>
          <w:color w:val="auto"/>
        </w:rPr>
      </w:pPr>
      <w:r>
        <w:rPr>
          <w:rFonts w:ascii="Arial" w:cs="Arial" w:eastAsia="Arial" w:hAnsi="Arial"/>
          <w:sz w:val="19"/>
          <w:szCs w:val="19"/>
          <w:color w:val="auto"/>
        </w:rPr>
        <w:t>We recognize an allowance for current expected credit losses on fixed maturity securities in an unrealized loss position when it is determined, using the factors discussed above, a component of the unrealized loss is related to credit. We measure the credit loss using a discounted cash flow model that utilizes the single best estimate cash flow and the recognized credit loss is limited to the total unrealized loss on the security (i.e., the fair value floor). Cash flows are discounted using the implicit yield of bonds at their time of purchase and the current book yield for asset and mortgage backed securities as well as variable rate securities. We recognize the expected credit losses in Recognized gains and losses, net in the Consolidated Statements of Earnings, with an offset for the amount of non-credit impairments recognized in AOCI. We do not measure a credit loss allowance on accrued investment income because we write-off accrued interest through Interest and investment income when collectability concerns arise.</w:t>
      </w:r>
    </w:p>
    <w:p>
      <w:pPr>
        <w:spacing w:after="0" w:line="80" w:lineRule="exact"/>
        <w:rPr>
          <w:sz w:val="20"/>
          <w:szCs w:val="20"/>
          <w:color w:val="auto"/>
        </w:rPr>
      </w:pPr>
    </w:p>
    <w:p>
      <w:pPr>
        <w:ind w:left="360"/>
        <w:spacing w:after="0"/>
        <w:rPr>
          <w:sz w:val="20"/>
          <w:szCs w:val="20"/>
          <w:color w:val="auto"/>
        </w:rPr>
      </w:pPr>
      <w:r>
        <w:rPr>
          <w:rFonts w:ascii="Arial" w:cs="Arial" w:eastAsia="Arial" w:hAnsi="Arial"/>
          <w:sz w:val="20"/>
          <w:szCs w:val="20"/>
          <w:color w:val="auto"/>
        </w:rPr>
        <w:t>We consider the following in determining whether write-offs of a security’s amortized cost are necessary:</w:t>
      </w:r>
    </w:p>
    <w:p>
      <w:pPr>
        <w:spacing w:after="0" w:line="123" w:lineRule="exact"/>
        <w:rPr>
          <w:sz w:val="20"/>
          <w:szCs w:val="20"/>
          <w:color w:val="auto"/>
        </w:rPr>
      </w:pPr>
    </w:p>
    <w:p>
      <w:pPr>
        <w:ind w:left="760" w:hanging="306"/>
        <w:spacing w:after="0"/>
        <w:tabs>
          <w:tab w:leader="none" w:pos="760" w:val="left"/>
        </w:tabs>
        <w:numPr>
          <w:ilvl w:val="0"/>
          <w:numId w:val="53"/>
        </w:numPr>
        <w:rPr>
          <w:rFonts w:ascii="Arial" w:cs="Arial" w:eastAsia="Arial" w:hAnsi="Arial"/>
          <w:sz w:val="20"/>
          <w:szCs w:val="20"/>
          <w:color w:val="auto"/>
        </w:rPr>
      </w:pPr>
      <w:r>
        <w:rPr>
          <w:rFonts w:ascii="Arial" w:cs="Arial" w:eastAsia="Arial" w:hAnsi="Arial"/>
          <w:sz w:val="20"/>
          <w:szCs w:val="20"/>
          <w:color w:val="auto"/>
        </w:rPr>
        <w:t>We believe amounts related to securities have become uncollectible;</w:t>
      </w:r>
    </w:p>
    <w:p>
      <w:pPr>
        <w:spacing w:after="0" w:line="122" w:lineRule="exact"/>
        <w:rPr>
          <w:rFonts w:ascii="Arial" w:cs="Arial" w:eastAsia="Arial" w:hAnsi="Arial"/>
          <w:sz w:val="20"/>
          <w:szCs w:val="20"/>
          <w:color w:val="auto"/>
        </w:rPr>
      </w:pPr>
    </w:p>
    <w:p>
      <w:pPr>
        <w:ind w:left="760" w:hanging="306"/>
        <w:spacing w:after="0"/>
        <w:tabs>
          <w:tab w:leader="none" w:pos="760" w:val="left"/>
        </w:tabs>
        <w:numPr>
          <w:ilvl w:val="0"/>
          <w:numId w:val="53"/>
        </w:numPr>
        <w:rPr>
          <w:rFonts w:ascii="Arial" w:cs="Arial" w:eastAsia="Arial" w:hAnsi="Arial"/>
          <w:sz w:val="20"/>
          <w:szCs w:val="20"/>
          <w:color w:val="auto"/>
        </w:rPr>
      </w:pPr>
      <w:r>
        <w:rPr>
          <w:rFonts w:ascii="Arial" w:cs="Arial" w:eastAsia="Arial" w:hAnsi="Arial"/>
          <w:sz w:val="20"/>
          <w:szCs w:val="20"/>
          <w:color w:val="auto"/>
        </w:rPr>
        <w:t>We intend to sell a security; or</w:t>
      </w:r>
    </w:p>
    <w:p>
      <w:pPr>
        <w:spacing w:after="0" w:line="142" w:lineRule="exact"/>
        <w:rPr>
          <w:rFonts w:ascii="Arial" w:cs="Arial" w:eastAsia="Arial" w:hAnsi="Arial"/>
          <w:sz w:val="20"/>
          <w:szCs w:val="20"/>
          <w:color w:val="auto"/>
        </w:rPr>
      </w:pPr>
    </w:p>
    <w:p>
      <w:pPr>
        <w:ind w:left="760" w:hanging="306"/>
        <w:spacing w:after="0"/>
        <w:tabs>
          <w:tab w:leader="none" w:pos="760" w:val="left"/>
        </w:tabs>
        <w:numPr>
          <w:ilvl w:val="0"/>
          <w:numId w:val="53"/>
        </w:numPr>
        <w:rPr>
          <w:rFonts w:ascii="Arial" w:cs="Arial" w:eastAsia="Arial" w:hAnsi="Arial"/>
          <w:sz w:val="20"/>
          <w:szCs w:val="20"/>
          <w:color w:val="auto"/>
        </w:rPr>
      </w:pPr>
      <w:r>
        <w:rPr>
          <w:rFonts w:ascii="Arial" w:cs="Arial" w:eastAsia="Arial" w:hAnsi="Arial"/>
          <w:sz w:val="20"/>
          <w:szCs w:val="20"/>
          <w:color w:val="auto"/>
        </w:rPr>
        <w:t>It is more likely than not that we will be required to sell a security prior to recovery.</w:t>
      </w:r>
    </w:p>
    <w:p>
      <w:pPr>
        <w:spacing w:after="0" w:line="123" w:lineRule="exact"/>
        <w:rPr>
          <w:sz w:val="20"/>
          <w:szCs w:val="20"/>
          <w:color w:val="auto"/>
        </w:rPr>
      </w:pPr>
    </w:p>
    <w:p>
      <w:pPr>
        <w:jc w:val="both"/>
        <w:ind w:left="20" w:right="60" w:firstLine="353"/>
        <w:spacing w:after="0" w:line="325" w:lineRule="auto"/>
        <w:rPr>
          <w:sz w:val="20"/>
          <w:szCs w:val="20"/>
          <w:color w:val="auto"/>
        </w:rPr>
      </w:pPr>
      <w:r>
        <w:rPr>
          <w:rFonts w:ascii="Arial" w:cs="Arial" w:eastAsia="Arial" w:hAnsi="Arial"/>
          <w:sz w:val="17"/>
          <w:szCs w:val="17"/>
          <w:color w:val="auto"/>
        </w:rPr>
        <w:t>If we intend to sell a fixed maturity security or it is more likely than not that we will be required to sell the security before recovery of its amortized cost basis and the fair value of the security is below amortized cost, we will write down the security to current fair value, with a corresponding charge, net of any amount previously recognized as an allowance for expected credit</w:t>
      </w:r>
    </w:p>
    <w:p>
      <w:pPr>
        <w:sectPr>
          <w:pgSz w:w="11880" w:h="15480" w:orient="portrait"/>
          <w:cols w:equalWidth="0" w:num="1">
            <w:col w:w="10120"/>
          </w:cols>
          <w:pgMar w:left="900" w:top="772" w:right="860" w:bottom="0" w:gutter="0" w:footer="0" w:header="0"/>
        </w:sectPr>
      </w:pPr>
    </w:p>
    <w:p>
      <w:pPr>
        <w:spacing w:after="0" w:line="200" w:lineRule="exact"/>
        <w:rPr>
          <w:sz w:val="20"/>
          <w:szCs w:val="20"/>
          <w:color w:val="auto"/>
        </w:rPr>
      </w:pPr>
    </w:p>
    <w:p>
      <w:pPr>
        <w:spacing w:after="0" w:line="224"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135</w:t>
      </w:r>
    </w:p>
    <w:p>
      <w:pPr>
        <w:sectPr>
          <w:pgSz w:w="11880" w:h="15480" w:orient="portrait"/>
          <w:cols w:equalWidth="0" w:num="1">
            <w:col w:w="10120"/>
          </w:cols>
          <w:pgMar w:left="900" w:top="772" w:right="860" w:bottom="0" w:gutter="0" w:footer="0" w:header="0"/>
          <w:type w:val="continuous"/>
        </w:sectPr>
      </w:pPr>
    </w:p>
    <w:bookmarkStart w:id="147" w:name="page148"/>
    <w:bookmarkEnd w:id="147"/>
    <w:p>
      <w:pPr>
        <w:jc w:val="both"/>
        <w:spacing w:after="0" w:line="264" w:lineRule="auto"/>
        <w:rPr>
          <w:sz w:val="20"/>
          <w:szCs w:val="20"/>
          <w:color w:val="auto"/>
        </w:rPr>
      </w:pPr>
      <w:r>
        <w:rPr>
          <w:rFonts w:ascii="Arial" w:cs="Arial" w:eastAsia="Arial" w:hAnsi="Arial"/>
          <w:sz w:val="19"/>
          <w:szCs w:val="19"/>
          <w:color w:val="auto"/>
        </w:rPr>
        <w:t>loss, to Recognized gains and losses, net in the Consolidated Statements of Earnings. If we do not intend to sell a fixed maturity security or it is more likely than not that we will not be required to sell a fixed maturity security before recovery of its amortized cost basis but believe amounts related to a security are uncollectible, an impairment is deemed to have occurred and the amortized cost is written down to the estimated recovery value with a corresponding charge, net of any amount previously recognized as an allowance for expected credit loss, to Recognized gains and losses, net in the Consolidated Statements of Earnings. The remainder of unrealized loss is held in AOCI. As of December 31, 2025 and 2024, our allowance for expected credit losses for AFS securities was $112 million and $67 million, respectively.</w:t>
      </w:r>
    </w:p>
    <w:p>
      <w:pPr>
        <w:spacing w:after="0" w:line="82" w:lineRule="exact"/>
        <w:rPr>
          <w:sz w:val="20"/>
          <w:szCs w:val="20"/>
          <w:color w:val="auto"/>
        </w:rPr>
      </w:pPr>
    </w:p>
    <w:p>
      <w:pPr>
        <w:jc w:val="both"/>
        <w:ind w:firstLine="353"/>
        <w:spacing w:after="0" w:line="258" w:lineRule="auto"/>
        <w:rPr>
          <w:sz w:val="20"/>
          <w:szCs w:val="20"/>
          <w:color w:val="auto"/>
        </w:rPr>
      </w:pPr>
      <w:r>
        <w:rPr>
          <w:rFonts w:ascii="Arial" w:cs="Arial" w:eastAsia="Arial" w:hAnsi="Arial"/>
          <w:sz w:val="20"/>
          <w:szCs w:val="20"/>
          <w:color w:val="auto"/>
        </w:rPr>
        <w:t>The fair value and gross unrealized losses of AFS securities, excluding securities in an unrealized loss position with an allowance for expected credit loss, aggregated by investment category and duration of fair value below amortized cost were as follows:</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213"/>
        </w:trPr>
        <w:tc>
          <w:tcPr>
            <w:tcW w:w="37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gridSpan w:val="4"/>
          </w:tcPr>
          <w:p>
            <w:pPr>
              <w:jc w:val="center"/>
              <w:ind w:right="62"/>
              <w:spacing w:after="0"/>
              <w:rPr>
                <w:sz w:val="20"/>
                <w:szCs w:val="20"/>
                <w:color w:val="auto"/>
              </w:rPr>
            </w:pPr>
            <w:r>
              <w:rPr>
                <w:rFonts w:ascii="Arial" w:cs="Arial" w:eastAsia="Arial" w:hAnsi="Arial"/>
                <w:sz w:val="16"/>
                <w:szCs w:val="16"/>
                <w:b w:val="1"/>
                <w:bCs w:val="1"/>
                <w:color w:val="auto"/>
                <w:w w:val="87"/>
              </w:rPr>
              <w:t>December 31, 2025</w:t>
            </w:r>
          </w:p>
        </w:tc>
        <w:tc>
          <w:tcPr>
            <w:tcW w:w="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7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gridSpan w:val="4"/>
          </w:tcPr>
          <w:p>
            <w:pPr>
              <w:jc w:val="right"/>
              <w:ind w:right="262"/>
              <w:spacing w:after="0"/>
              <w:rPr>
                <w:sz w:val="20"/>
                <w:szCs w:val="20"/>
                <w:color w:val="auto"/>
              </w:rPr>
            </w:pPr>
            <w:r>
              <w:rPr>
                <w:rFonts w:ascii="Arial" w:cs="Arial" w:eastAsia="Arial" w:hAnsi="Arial"/>
                <w:sz w:val="16"/>
                <w:szCs w:val="16"/>
                <w:b w:val="1"/>
                <w:bCs w:val="1"/>
                <w:color w:val="auto"/>
                <w:w w:val="97"/>
              </w:rPr>
              <w:t>Less than 12 months</w:t>
            </w:r>
          </w:p>
        </w:tc>
        <w:tc>
          <w:tcPr>
            <w:tcW w:w="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gridSpan w:val="4"/>
          </w:tcPr>
          <w:p>
            <w:pPr>
              <w:jc w:val="center"/>
              <w:ind w:right="62"/>
              <w:spacing w:after="0"/>
              <w:rPr>
                <w:sz w:val="20"/>
                <w:szCs w:val="20"/>
                <w:color w:val="auto"/>
              </w:rPr>
            </w:pPr>
            <w:r>
              <w:rPr>
                <w:rFonts w:ascii="Arial" w:cs="Arial" w:eastAsia="Arial" w:hAnsi="Arial"/>
                <w:sz w:val="16"/>
                <w:szCs w:val="16"/>
                <w:b w:val="1"/>
                <w:bCs w:val="1"/>
                <w:color w:val="auto"/>
                <w:w w:val="87"/>
              </w:rPr>
              <w:t>12 months or longer</w:t>
            </w:r>
          </w:p>
        </w:tc>
        <w:tc>
          <w:tcPr>
            <w:tcW w:w="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gridSpan w:val="3"/>
          </w:tcPr>
          <w:p>
            <w:pPr>
              <w:jc w:val="right"/>
              <w:ind w:right="2"/>
              <w:spacing w:after="0"/>
              <w:rPr>
                <w:sz w:val="20"/>
                <w:szCs w:val="20"/>
                <w:color w:val="auto"/>
              </w:rPr>
            </w:pPr>
            <w:r>
              <w:rPr>
                <w:rFonts w:ascii="Arial" w:cs="Arial" w:eastAsia="Arial" w:hAnsi="Arial"/>
                <w:sz w:val="16"/>
                <w:szCs w:val="16"/>
                <w:b w:val="1"/>
                <w:bCs w:val="1"/>
                <w:color w:val="auto"/>
              </w:rPr>
              <w:t>Total</w:t>
            </w:r>
          </w:p>
        </w:tc>
        <w:tc>
          <w:tcPr>
            <w:tcW w:w="7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7"/>
        </w:trPr>
        <w:tc>
          <w:tcPr>
            <w:tcW w:w="3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center"/>
              <w:ind w:right="142"/>
              <w:spacing w:after="0"/>
              <w:rPr>
                <w:sz w:val="20"/>
                <w:szCs w:val="20"/>
                <w:color w:val="auto"/>
              </w:rPr>
            </w:pPr>
            <w:r>
              <w:rPr>
                <w:rFonts w:ascii="Arial" w:cs="Arial" w:eastAsia="Arial" w:hAnsi="Arial"/>
                <w:sz w:val="16"/>
                <w:szCs w:val="16"/>
                <w:b w:val="1"/>
                <w:bCs w:val="1"/>
                <w:color w:val="auto"/>
                <w:w w:val="86"/>
              </w:rPr>
              <w:t>Gross</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jc w:val="center"/>
              <w:ind w:right="122"/>
              <w:spacing w:after="0"/>
              <w:rPr>
                <w:sz w:val="20"/>
                <w:szCs w:val="20"/>
                <w:color w:val="auto"/>
              </w:rPr>
            </w:pPr>
            <w:r>
              <w:rPr>
                <w:rFonts w:ascii="Arial" w:cs="Arial" w:eastAsia="Arial" w:hAnsi="Arial"/>
                <w:sz w:val="16"/>
                <w:szCs w:val="16"/>
                <w:b w:val="1"/>
                <w:bCs w:val="1"/>
                <w:color w:val="auto"/>
                <w:w w:val="86"/>
              </w:rPr>
              <w:t>Gross</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center"/>
              <w:ind w:right="122"/>
              <w:spacing w:after="0"/>
              <w:rPr>
                <w:sz w:val="20"/>
                <w:szCs w:val="20"/>
                <w:color w:val="auto"/>
              </w:rPr>
            </w:pPr>
            <w:r>
              <w:rPr>
                <w:rFonts w:ascii="Arial" w:cs="Arial" w:eastAsia="Arial" w:hAnsi="Arial"/>
                <w:sz w:val="16"/>
                <w:szCs w:val="16"/>
                <w:b w:val="1"/>
                <w:bCs w:val="1"/>
                <w:color w:val="auto"/>
                <w:w w:val="86"/>
              </w:rPr>
              <w:t>Gross</w:t>
            </w:r>
          </w:p>
        </w:tc>
        <w:tc>
          <w:tcPr>
            <w:tcW w:w="0" w:type="dxa"/>
            <w:vAlign w:val="bottom"/>
          </w:tcPr>
          <w:p>
            <w:pPr>
              <w:spacing w:after="0"/>
              <w:rPr>
                <w:sz w:val="1"/>
                <w:szCs w:val="1"/>
                <w:color w:val="auto"/>
              </w:rPr>
            </w:pPr>
          </w:p>
        </w:tc>
      </w:tr>
      <w:tr>
        <w:trPr>
          <w:trHeight w:val="157"/>
        </w:trPr>
        <w:tc>
          <w:tcPr>
            <w:tcW w:w="3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vMerge w:val="restart"/>
          </w:tcPr>
          <w:p>
            <w:pPr>
              <w:jc w:val="right"/>
              <w:ind w:right="62"/>
              <w:spacing w:after="0"/>
              <w:rPr>
                <w:sz w:val="20"/>
                <w:szCs w:val="20"/>
                <w:color w:val="auto"/>
              </w:rPr>
            </w:pPr>
            <w:r>
              <w:rPr>
                <w:rFonts w:ascii="Arial" w:cs="Arial" w:eastAsia="Arial" w:hAnsi="Arial"/>
                <w:sz w:val="16"/>
                <w:szCs w:val="16"/>
                <w:b w:val="1"/>
                <w:bCs w:val="1"/>
                <w:color w:val="auto"/>
                <w:w w:val="91"/>
              </w:rPr>
              <w:t>Fair Value</w:t>
            </w:r>
          </w:p>
        </w:tc>
        <w:tc>
          <w:tcPr>
            <w:tcW w:w="60" w:type="dxa"/>
            <w:vAlign w:val="bottom"/>
          </w:tcPr>
          <w:p>
            <w:pPr>
              <w:spacing w:after="0"/>
              <w:rPr>
                <w:sz w:val="13"/>
                <w:szCs w:val="13"/>
                <w:color w:val="auto"/>
              </w:rPr>
            </w:pPr>
          </w:p>
        </w:tc>
        <w:tc>
          <w:tcPr>
            <w:tcW w:w="1000" w:type="dxa"/>
            <w:vAlign w:val="bottom"/>
            <w:gridSpan w:val="2"/>
          </w:tcPr>
          <w:p>
            <w:pPr>
              <w:jc w:val="center"/>
              <w:spacing w:after="0" w:line="157" w:lineRule="exact"/>
              <w:rPr>
                <w:sz w:val="20"/>
                <w:szCs w:val="20"/>
                <w:color w:val="auto"/>
              </w:rPr>
            </w:pPr>
            <w:r>
              <w:rPr>
                <w:rFonts w:ascii="Arial" w:cs="Arial" w:eastAsia="Arial" w:hAnsi="Arial"/>
                <w:sz w:val="16"/>
                <w:szCs w:val="16"/>
                <w:b w:val="1"/>
                <w:bCs w:val="1"/>
                <w:color w:val="auto"/>
                <w:w w:val="88"/>
              </w:rPr>
              <w:t>Unrealized</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vMerge w:val="restart"/>
          </w:tcPr>
          <w:p>
            <w:pPr>
              <w:jc w:val="right"/>
              <w:ind w:right="62"/>
              <w:spacing w:after="0"/>
              <w:rPr>
                <w:sz w:val="20"/>
                <w:szCs w:val="20"/>
                <w:color w:val="auto"/>
              </w:rPr>
            </w:pPr>
            <w:r>
              <w:rPr>
                <w:rFonts w:ascii="Arial" w:cs="Arial" w:eastAsia="Arial" w:hAnsi="Arial"/>
                <w:sz w:val="16"/>
                <w:szCs w:val="16"/>
                <w:b w:val="1"/>
                <w:bCs w:val="1"/>
                <w:color w:val="auto"/>
                <w:w w:val="91"/>
              </w:rPr>
              <w:t>Fair Value</w:t>
            </w:r>
          </w:p>
        </w:tc>
        <w:tc>
          <w:tcPr>
            <w:tcW w:w="60" w:type="dxa"/>
            <w:vAlign w:val="bottom"/>
          </w:tcPr>
          <w:p>
            <w:pPr>
              <w:spacing w:after="0"/>
              <w:rPr>
                <w:sz w:val="13"/>
                <w:szCs w:val="13"/>
                <w:color w:val="auto"/>
              </w:rPr>
            </w:pPr>
          </w:p>
        </w:tc>
        <w:tc>
          <w:tcPr>
            <w:tcW w:w="1000" w:type="dxa"/>
            <w:vAlign w:val="bottom"/>
            <w:gridSpan w:val="2"/>
          </w:tcPr>
          <w:p>
            <w:pPr>
              <w:jc w:val="center"/>
              <w:spacing w:after="0" w:line="157" w:lineRule="exact"/>
              <w:rPr>
                <w:sz w:val="20"/>
                <w:szCs w:val="20"/>
                <w:color w:val="auto"/>
              </w:rPr>
            </w:pPr>
            <w:r>
              <w:rPr>
                <w:rFonts w:ascii="Arial" w:cs="Arial" w:eastAsia="Arial" w:hAnsi="Arial"/>
                <w:sz w:val="16"/>
                <w:szCs w:val="16"/>
                <w:b w:val="1"/>
                <w:bCs w:val="1"/>
                <w:color w:val="auto"/>
                <w:w w:val="88"/>
              </w:rPr>
              <w:t>Unrealized</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vMerge w:val="restart"/>
          </w:tcPr>
          <w:p>
            <w:pPr>
              <w:jc w:val="right"/>
              <w:ind w:right="42"/>
              <w:spacing w:after="0"/>
              <w:rPr>
                <w:sz w:val="20"/>
                <w:szCs w:val="20"/>
                <w:color w:val="auto"/>
              </w:rPr>
            </w:pPr>
            <w:r>
              <w:rPr>
                <w:rFonts w:ascii="Arial" w:cs="Arial" w:eastAsia="Arial" w:hAnsi="Arial"/>
                <w:sz w:val="16"/>
                <w:szCs w:val="16"/>
                <w:b w:val="1"/>
                <w:bCs w:val="1"/>
                <w:color w:val="auto"/>
                <w:w w:val="91"/>
              </w:rPr>
              <w:t>Fair Value</w:t>
            </w:r>
          </w:p>
        </w:tc>
        <w:tc>
          <w:tcPr>
            <w:tcW w:w="80" w:type="dxa"/>
            <w:vAlign w:val="bottom"/>
          </w:tcPr>
          <w:p>
            <w:pPr>
              <w:spacing w:after="0"/>
              <w:rPr>
                <w:sz w:val="13"/>
                <w:szCs w:val="13"/>
                <w:color w:val="auto"/>
              </w:rPr>
            </w:pPr>
          </w:p>
        </w:tc>
        <w:tc>
          <w:tcPr>
            <w:tcW w:w="980" w:type="dxa"/>
            <w:vAlign w:val="bottom"/>
            <w:gridSpan w:val="2"/>
          </w:tcPr>
          <w:p>
            <w:pPr>
              <w:jc w:val="center"/>
              <w:spacing w:after="0" w:line="157" w:lineRule="exact"/>
              <w:rPr>
                <w:sz w:val="20"/>
                <w:szCs w:val="20"/>
                <w:color w:val="auto"/>
              </w:rPr>
            </w:pPr>
            <w:r>
              <w:rPr>
                <w:rFonts w:ascii="Arial" w:cs="Arial" w:eastAsia="Arial" w:hAnsi="Arial"/>
                <w:sz w:val="16"/>
                <w:szCs w:val="16"/>
                <w:b w:val="1"/>
                <w:bCs w:val="1"/>
                <w:color w:val="auto"/>
                <w:w w:val="91"/>
              </w:rPr>
              <w:t>Unrealized</w:t>
            </w:r>
          </w:p>
        </w:tc>
        <w:tc>
          <w:tcPr>
            <w:tcW w:w="0" w:type="dxa"/>
            <w:vAlign w:val="bottom"/>
          </w:tcPr>
          <w:p>
            <w:pPr>
              <w:spacing w:after="0"/>
              <w:rPr>
                <w:sz w:val="1"/>
                <w:szCs w:val="1"/>
                <w:color w:val="auto"/>
              </w:rPr>
            </w:pPr>
          </w:p>
        </w:tc>
      </w:tr>
      <w:tr>
        <w:trPr>
          <w:trHeight w:val="210"/>
        </w:trPr>
        <w:tc>
          <w:tcPr>
            <w:tcW w:w="37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vMerge w:val="continue"/>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center"/>
              <w:ind w:right="142"/>
              <w:spacing w:after="0"/>
              <w:rPr>
                <w:sz w:val="20"/>
                <w:szCs w:val="20"/>
                <w:color w:val="auto"/>
              </w:rPr>
            </w:pPr>
            <w:r>
              <w:rPr>
                <w:rFonts w:ascii="Arial" w:cs="Arial" w:eastAsia="Arial" w:hAnsi="Arial"/>
                <w:sz w:val="16"/>
                <w:szCs w:val="16"/>
                <w:b w:val="1"/>
                <w:bCs w:val="1"/>
                <w:color w:val="auto"/>
                <w:w w:val="79"/>
              </w:rPr>
              <w:t>Losses</w:t>
            </w:r>
          </w:p>
        </w:tc>
        <w:tc>
          <w:tcPr>
            <w:tcW w:w="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vMerge w:val="continue"/>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center"/>
              <w:ind w:right="122"/>
              <w:spacing w:after="0"/>
              <w:rPr>
                <w:sz w:val="20"/>
                <w:szCs w:val="20"/>
                <w:color w:val="auto"/>
              </w:rPr>
            </w:pPr>
            <w:r>
              <w:rPr>
                <w:rFonts w:ascii="Arial" w:cs="Arial" w:eastAsia="Arial" w:hAnsi="Arial"/>
                <w:sz w:val="16"/>
                <w:szCs w:val="16"/>
                <w:b w:val="1"/>
                <w:bCs w:val="1"/>
                <w:color w:val="auto"/>
                <w:w w:val="79"/>
              </w:rPr>
              <w:t>Losses</w:t>
            </w:r>
          </w:p>
        </w:tc>
        <w:tc>
          <w:tcPr>
            <w:tcW w:w="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center"/>
              <w:ind w:right="122"/>
              <w:spacing w:after="0"/>
              <w:rPr>
                <w:sz w:val="20"/>
                <w:szCs w:val="20"/>
                <w:color w:val="auto"/>
              </w:rPr>
            </w:pPr>
            <w:r>
              <w:rPr>
                <w:rFonts w:ascii="Arial" w:cs="Arial" w:eastAsia="Arial" w:hAnsi="Arial"/>
                <w:sz w:val="16"/>
                <w:szCs w:val="16"/>
                <w:b w:val="1"/>
                <w:bCs w:val="1"/>
                <w:color w:val="auto"/>
                <w:w w:val="79"/>
              </w:rPr>
              <w:t>Losses</w:t>
            </w:r>
          </w:p>
        </w:tc>
        <w:tc>
          <w:tcPr>
            <w:tcW w:w="0" w:type="dxa"/>
            <w:vAlign w:val="bottom"/>
          </w:tcPr>
          <w:p>
            <w:pPr>
              <w:spacing w:after="0"/>
              <w:rPr>
                <w:sz w:val="1"/>
                <w:szCs w:val="1"/>
                <w:color w:val="auto"/>
              </w:rPr>
            </w:pPr>
          </w:p>
        </w:tc>
      </w:tr>
      <w:tr>
        <w:trPr>
          <w:trHeight w:val="208"/>
        </w:trPr>
        <w:tc>
          <w:tcPr>
            <w:tcW w:w="3740" w:type="dxa"/>
            <w:vAlign w:val="bottom"/>
          </w:tcPr>
          <w:p>
            <w:pPr>
              <w:spacing w:after="0"/>
              <w:rPr>
                <w:sz w:val="20"/>
                <w:szCs w:val="20"/>
                <w:color w:val="auto"/>
              </w:rPr>
            </w:pPr>
            <w:r>
              <w:rPr>
                <w:rFonts w:ascii="Arial" w:cs="Arial" w:eastAsia="Arial" w:hAnsi="Arial"/>
                <w:sz w:val="16"/>
                <w:szCs w:val="16"/>
                <w:b w:val="1"/>
                <w:bCs w:val="1"/>
                <w:color w:val="auto"/>
              </w:rPr>
              <w:t>AFS securities</w:t>
            </w: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20" w:type="dxa"/>
            <w:vAlign w:val="bottom"/>
            <w:gridSpan w:val="4"/>
          </w:tcPr>
          <w:p>
            <w:pPr>
              <w:jc w:val="center"/>
              <w:ind w:right="62"/>
              <w:spacing w:after="0"/>
              <w:rPr>
                <w:sz w:val="20"/>
                <w:szCs w:val="20"/>
                <w:color w:val="auto"/>
              </w:rPr>
            </w:pPr>
            <w:r>
              <w:rPr>
                <w:rFonts w:ascii="Arial" w:cs="Arial" w:eastAsia="Arial" w:hAnsi="Arial"/>
                <w:sz w:val="16"/>
                <w:szCs w:val="16"/>
                <w:b w:val="1"/>
                <w:bCs w:val="1"/>
                <w:color w:val="auto"/>
                <w:w w:val="90"/>
              </w:rPr>
              <w:t>(Dollars in millions)</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3740" w:type="dxa"/>
            <w:vAlign w:val="bottom"/>
          </w:tcPr>
          <w:p>
            <w:pPr>
              <w:spacing w:after="0"/>
              <w:rPr>
                <w:sz w:val="20"/>
                <w:szCs w:val="20"/>
                <w:color w:val="auto"/>
              </w:rPr>
            </w:pPr>
            <w:r>
              <w:rPr>
                <w:rFonts w:ascii="Arial" w:cs="Arial" w:eastAsia="Arial" w:hAnsi="Arial"/>
                <w:sz w:val="16"/>
                <w:szCs w:val="16"/>
                <w:color w:val="auto"/>
              </w:rPr>
              <w:t>Asset-backed securities</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2"/>
              <w:spacing w:after="0"/>
              <w:rPr>
                <w:sz w:val="20"/>
                <w:szCs w:val="20"/>
                <w:color w:val="auto"/>
              </w:rPr>
            </w:pPr>
            <w:r>
              <w:rPr>
                <w:rFonts w:ascii="Arial" w:cs="Arial" w:eastAsia="Arial" w:hAnsi="Arial"/>
                <w:sz w:val="16"/>
                <w:szCs w:val="16"/>
                <w:color w:val="auto"/>
              </w:rPr>
              <w:t>4,756</w:t>
            </w:r>
          </w:p>
        </w:tc>
        <w:tc>
          <w:tcPr>
            <w:tcW w:w="280" w:type="dxa"/>
            <w:vAlign w:val="bottom"/>
            <w:gridSpan w:val="2"/>
          </w:tcPr>
          <w:p>
            <w:pPr>
              <w:jc w:val="right"/>
              <w:ind w:right="2"/>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(30)</w:t>
            </w: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2"/>
              <w:spacing w:after="0"/>
              <w:rPr>
                <w:sz w:val="20"/>
                <w:szCs w:val="20"/>
                <w:color w:val="auto"/>
              </w:rPr>
            </w:pPr>
            <w:r>
              <w:rPr>
                <w:rFonts w:ascii="Arial" w:cs="Arial" w:eastAsia="Arial" w:hAnsi="Arial"/>
                <w:sz w:val="16"/>
                <w:szCs w:val="16"/>
                <w:color w:val="auto"/>
              </w:rPr>
              <w:t>2,160</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(209)</w:t>
            </w: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6,916</w:t>
            </w:r>
          </w:p>
        </w:tc>
        <w:tc>
          <w:tcPr>
            <w:tcW w:w="300" w:type="dxa"/>
            <w:vAlign w:val="bottom"/>
            <w:gridSpan w:val="2"/>
          </w:tcPr>
          <w:p>
            <w:pPr>
              <w:jc w:val="right"/>
              <w:ind w:right="2"/>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(239)</w:t>
            </w:r>
          </w:p>
        </w:tc>
        <w:tc>
          <w:tcPr>
            <w:tcW w:w="0" w:type="dxa"/>
            <w:vAlign w:val="bottom"/>
          </w:tcPr>
          <w:p>
            <w:pPr>
              <w:spacing w:after="0"/>
              <w:rPr>
                <w:sz w:val="1"/>
                <w:szCs w:val="1"/>
                <w:color w:val="auto"/>
              </w:rPr>
            </w:pPr>
          </w:p>
        </w:tc>
      </w:tr>
      <w:tr>
        <w:trPr>
          <w:trHeight w:val="235"/>
        </w:trPr>
        <w:tc>
          <w:tcPr>
            <w:tcW w:w="3740" w:type="dxa"/>
            <w:vAlign w:val="bottom"/>
          </w:tcPr>
          <w:p>
            <w:pPr>
              <w:spacing w:after="0"/>
              <w:rPr>
                <w:sz w:val="20"/>
                <w:szCs w:val="20"/>
                <w:color w:val="auto"/>
              </w:rPr>
            </w:pPr>
            <w:r>
              <w:rPr>
                <w:rFonts w:ascii="Arial" w:cs="Arial" w:eastAsia="Arial" w:hAnsi="Arial"/>
                <w:sz w:val="16"/>
                <w:szCs w:val="16"/>
                <w:color w:val="auto"/>
              </w:rPr>
              <w:t>Commercial mortgage-backed securities</w:t>
            </w:r>
          </w:p>
        </w:tc>
        <w:tc>
          <w:tcPr>
            <w:tcW w:w="120" w:type="dxa"/>
            <w:vAlign w:val="bottom"/>
          </w:tcPr>
          <w:p>
            <w:pPr>
              <w:spacing w:after="0"/>
              <w:rPr>
                <w:sz w:val="20"/>
                <w:szCs w:val="20"/>
                <w:color w:val="auto"/>
              </w:rPr>
            </w:pPr>
          </w:p>
        </w:tc>
        <w:tc>
          <w:tcPr>
            <w:tcW w:w="860" w:type="dxa"/>
            <w:vAlign w:val="bottom"/>
          </w:tcPr>
          <w:p>
            <w:pPr>
              <w:jc w:val="right"/>
              <w:ind w:right="2"/>
              <w:spacing w:after="0"/>
              <w:rPr>
                <w:sz w:val="20"/>
                <w:szCs w:val="20"/>
                <w:color w:val="auto"/>
              </w:rPr>
            </w:pPr>
            <w:r>
              <w:rPr>
                <w:rFonts w:ascii="Arial" w:cs="Arial" w:eastAsia="Arial" w:hAnsi="Arial"/>
                <w:sz w:val="16"/>
                <w:szCs w:val="16"/>
                <w:color w:val="auto"/>
              </w:rPr>
              <w:t>542</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(11)</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ind w:right="2"/>
              <w:spacing w:after="0"/>
              <w:rPr>
                <w:sz w:val="20"/>
                <w:szCs w:val="20"/>
                <w:color w:val="auto"/>
              </w:rPr>
            </w:pPr>
            <w:r>
              <w:rPr>
                <w:rFonts w:ascii="Arial" w:cs="Arial" w:eastAsia="Arial" w:hAnsi="Arial"/>
                <w:sz w:val="16"/>
                <w:szCs w:val="16"/>
                <w:color w:val="auto"/>
              </w:rPr>
              <w:t>1,051</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(106)</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1,593</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(117)</w:t>
            </w:r>
          </w:p>
        </w:tc>
        <w:tc>
          <w:tcPr>
            <w:tcW w:w="0" w:type="dxa"/>
            <w:vAlign w:val="bottom"/>
          </w:tcPr>
          <w:p>
            <w:pPr>
              <w:spacing w:after="0"/>
              <w:rPr>
                <w:sz w:val="1"/>
                <w:szCs w:val="1"/>
                <w:color w:val="auto"/>
              </w:rPr>
            </w:pPr>
          </w:p>
        </w:tc>
      </w:tr>
      <w:tr>
        <w:trPr>
          <w:trHeight w:val="235"/>
        </w:trPr>
        <w:tc>
          <w:tcPr>
            <w:tcW w:w="3740" w:type="dxa"/>
            <w:vAlign w:val="bottom"/>
          </w:tcPr>
          <w:p>
            <w:pPr>
              <w:spacing w:after="0"/>
              <w:rPr>
                <w:sz w:val="20"/>
                <w:szCs w:val="20"/>
                <w:color w:val="auto"/>
              </w:rPr>
            </w:pPr>
            <w:r>
              <w:rPr>
                <w:rFonts w:ascii="Arial" w:cs="Arial" w:eastAsia="Arial" w:hAnsi="Arial"/>
                <w:sz w:val="16"/>
                <w:szCs w:val="16"/>
                <w:color w:val="auto"/>
              </w:rPr>
              <w:t>Corporates</w:t>
            </w:r>
          </w:p>
        </w:tc>
        <w:tc>
          <w:tcPr>
            <w:tcW w:w="120" w:type="dxa"/>
            <w:vAlign w:val="bottom"/>
          </w:tcPr>
          <w:p>
            <w:pPr>
              <w:spacing w:after="0"/>
              <w:rPr>
                <w:sz w:val="20"/>
                <w:szCs w:val="20"/>
                <w:color w:val="auto"/>
              </w:rPr>
            </w:pPr>
          </w:p>
        </w:tc>
        <w:tc>
          <w:tcPr>
            <w:tcW w:w="860" w:type="dxa"/>
            <w:vAlign w:val="bottom"/>
          </w:tcPr>
          <w:p>
            <w:pPr>
              <w:jc w:val="right"/>
              <w:ind w:right="2"/>
              <w:spacing w:after="0"/>
              <w:rPr>
                <w:sz w:val="20"/>
                <w:szCs w:val="20"/>
                <w:color w:val="auto"/>
              </w:rPr>
            </w:pPr>
            <w:r>
              <w:rPr>
                <w:rFonts w:ascii="Arial" w:cs="Arial" w:eastAsia="Arial" w:hAnsi="Arial"/>
                <w:sz w:val="16"/>
                <w:szCs w:val="16"/>
                <w:color w:val="auto"/>
              </w:rPr>
              <w:t>3,419</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(55)</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ind w:right="2"/>
              <w:spacing w:after="0"/>
              <w:rPr>
                <w:sz w:val="20"/>
                <w:szCs w:val="20"/>
                <w:color w:val="auto"/>
              </w:rPr>
            </w:pPr>
            <w:r>
              <w:rPr>
                <w:rFonts w:ascii="Arial" w:cs="Arial" w:eastAsia="Arial" w:hAnsi="Arial"/>
                <w:sz w:val="16"/>
                <w:szCs w:val="16"/>
                <w:color w:val="auto"/>
              </w:rPr>
              <w:t>10,097</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(2,312)</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13,516</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(2,367)</w:t>
            </w:r>
          </w:p>
        </w:tc>
        <w:tc>
          <w:tcPr>
            <w:tcW w:w="0" w:type="dxa"/>
            <w:vAlign w:val="bottom"/>
          </w:tcPr>
          <w:p>
            <w:pPr>
              <w:spacing w:after="0"/>
              <w:rPr>
                <w:sz w:val="1"/>
                <w:szCs w:val="1"/>
                <w:color w:val="auto"/>
              </w:rPr>
            </w:pPr>
          </w:p>
        </w:tc>
      </w:tr>
      <w:tr>
        <w:trPr>
          <w:trHeight w:val="235"/>
        </w:trPr>
        <w:tc>
          <w:tcPr>
            <w:tcW w:w="3740" w:type="dxa"/>
            <w:vAlign w:val="bottom"/>
          </w:tcPr>
          <w:p>
            <w:pPr>
              <w:spacing w:after="0"/>
              <w:rPr>
                <w:sz w:val="20"/>
                <w:szCs w:val="20"/>
                <w:color w:val="auto"/>
              </w:rPr>
            </w:pPr>
            <w:r>
              <w:rPr>
                <w:rFonts w:ascii="Arial" w:cs="Arial" w:eastAsia="Arial" w:hAnsi="Arial"/>
                <w:sz w:val="16"/>
                <w:szCs w:val="16"/>
                <w:color w:val="auto"/>
              </w:rPr>
              <w:t>Hybrids</w:t>
            </w:r>
          </w:p>
        </w:tc>
        <w:tc>
          <w:tcPr>
            <w:tcW w:w="120" w:type="dxa"/>
            <w:vAlign w:val="bottom"/>
          </w:tcPr>
          <w:p>
            <w:pPr>
              <w:spacing w:after="0"/>
              <w:rPr>
                <w:sz w:val="20"/>
                <w:szCs w:val="20"/>
                <w:color w:val="auto"/>
              </w:rPr>
            </w:pPr>
          </w:p>
        </w:tc>
        <w:tc>
          <w:tcPr>
            <w:tcW w:w="860" w:type="dxa"/>
            <w:vAlign w:val="bottom"/>
          </w:tcPr>
          <w:p>
            <w:pPr>
              <w:jc w:val="right"/>
              <w:ind w:right="2"/>
              <w:spacing w:after="0"/>
              <w:rPr>
                <w:sz w:val="20"/>
                <w:szCs w:val="20"/>
                <w:color w:val="auto"/>
              </w:rPr>
            </w:pPr>
            <w:r>
              <w:rPr>
                <w:rFonts w:ascii="Arial" w:cs="Arial" w:eastAsia="Arial" w:hAnsi="Arial"/>
                <w:sz w:val="16"/>
                <w:szCs w:val="16"/>
                <w:color w:val="auto"/>
              </w:rPr>
              <w:t>61</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ind w:right="2"/>
              <w:spacing w:after="0"/>
              <w:rPr>
                <w:sz w:val="20"/>
                <w:szCs w:val="20"/>
                <w:color w:val="auto"/>
              </w:rPr>
            </w:pPr>
            <w:r>
              <w:rPr>
                <w:rFonts w:ascii="Arial" w:cs="Arial" w:eastAsia="Arial" w:hAnsi="Arial"/>
                <w:sz w:val="16"/>
                <w:szCs w:val="16"/>
                <w:color w:val="auto"/>
              </w:rPr>
              <w:t>372</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(21)</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433</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235"/>
        </w:trPr>
        <w:tc>
          <w:tcPr>
            <w:tcW w:w="3740" w:type="dxa"/>
            <w:vAlign w:val="bottom"/>
          </w:tcPr>
          <w:p>
            <w:pPr>
              <w:spacing w:after="0"/>
              <w:rPr>
                <w:sz w:val="20"/>
                <w:szCs w:val="20"/>
                <w:color w:val="auto"/>
              </w:rPr>
            </w:pPr>
            <w:r>
              <w:rPr>
                <w:rFonts w:ascii="Arial" w:cs="Arial" w:eastAsia="Arial" w:hAnsi="Arial"/>
                <w:sz w:val="16"/>
                <w:szCs w:val="16"/>
                <w:color w:val="auto"/>
              </w:rPr>
              <w:t>Municipals</w:t>
            </w:r>
          </w:p>
        </w:tc>
        <w:tc>
          <w:tcPr>
            <w:tcW w:w="120" w:type="dxa"/>
            <w:vAlign w:val="bottom"/>
          </w:tcPr>
          <w:p>
            <w:pPr>
              <w:spacing w:after="0"/>
              <w:rPr>
                <w:sz w:val="20"/>
                <w:szCs w:val="20"/>
                <w:color w:val="auto"/>
              </w:rPr>
            </w:pPr>
          </w:p>
        </w:tc>
        <w:tc>
          <w:tcPr>
            <w:tcW w:w="860" w:type="dxa"/>
            <w:vAlign w:val="bottom"/>
          </w:tcPr>
          <w:p>
            <w:pPr>
              <w:jc w:val="right"/>
              <w:ind w:right="2"/>
              <w:spacing w:after="0"/>
              <w:rPr>
                <w:sz w:val="20"/>
                <w:szCs w:val="20"/>
                <w:color w:val="auto"/>
              </w:rPr>
            </w:pPr>
            <w:r>
              <w:rPr>
                <w:rFonts w:ascii="Arial" w:cs="Arial" w:eastAsia="Arial" w:hAnsi="Arial"/>
                <w:sz w:val="16"/>
                <w:szCs w:val="16"/>
                <w:color w:val="auto"/>
              </w:rPr>
              <w:t>201</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ind w:right="2"/>
              <w:spacing w:after="0"/>
              <w:rPr>
                <w:sz w:val="20"/>
                <w:szCs w:val="20"/>
                <w:color w:val="auto"/>
              </w:rPr>
            </w:pPr>
            <w:r>
              <w:rPr>
                <w:rFonts w:ascii="Arial" w:cs="Arial" w:eastAsia="Arial" w:hAnsi="Arial"/>
                <w:sz w:val="16"/>
                <w:szCs w:val="16"/>
                <w:color w:val="auto"/>
              </w:rPr>
              <w:t>1,050</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(212)</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1,251</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(215)</w:t>
            </w:r>
          </w:p>
        </w:tc>
        <w:tc>
          <w:tcPr>
            <w:tcW w:w="0" w:type="dxa"/>
            <w:vAlign w:val="bottom"/>
          </w:tcPr>
          <w:p>
            <w:pPr>
              <w:spacing w:after="0"/>
              <w:rPr>
                <w:sz w:val="1"/>
                <w:szCs w:val="1"/>
                <w:color w:val="auto"/>
              </w:rPr>
            </w:pPr>
          </w:p>
        </w:tc>
      </w:tr>
      <w:tr>
        <w:trPr>
          <w:trHeight w:val="235"/>
        </w:trPr>
        <w:tc>
          <w:tcPr>
            <w:tcW w:w="3740" w:type="dxa"/>
            <w:vAlign w:val="bottom"/>
          </w:tcPr>
          <w:p>
            <w:pPr>
              <w:spacing w:after="0"/>
              <w:rPr>
                <w:sz w:val="20"/>
                <w:szCs w:val="20"/>
                <w:color w:val="auto"/>
              </w:rPr>
            </w:pPr>
            <w:r>
              <w:rPr>
                <w:rFonts w:ascii="Arial" w:cs="Arial" w:eastAsia="Arial" w:hAnsi="Arial"/>
                <w:sz w:val="16"/>
                <w:szCs w:val="16"/>
                <w:color w:val="auto"/>
              </w:rPr>
              <w:t>Residential mortgage-backed securities</w:t>
            </w:r>
          </w:p>
        </w:tc>
        <w:tc>
          <w:tcPr>
            <w:tcW w:w="120" w:type="dxa"/>
            <w:vAlign w:val="bottom"/>
          </w:tcPr>
          <w:p>
            <w:pPr>
              <w:spacing w:after="0"/>
              <w:rPr>
                <w:sz w:val="20"/>
                <w:szCs w:val="20"/>
                <w:color w:val="auto"/>
              </w:rPr>
            </w:pPr>
          </w:p>
        </w:tc>
        <w:tc>
          <w:tcPr>
            <w:tcW w:w="860" w:type="dxa"/>
            <w:vAlign w:val="bottom"/>
          </w:tcPr>
          <w:p>
            <w:pPr>
              <w:jc w:val="right"/>
              <w:ind w:right="2"/>
              <w:spacing w:after="0"/>
              <w:rPr>
                <w:sz w:val="20"/>
                <w:szCs w:val="20"/>
                <w:color w:val="auto"/>
              </w:rPr>
            </w:pPr>
            <w:r>
              <w:rPr>
                <w:rFonts w:ascii="Arial" w:cs="Arial" w:eastAsia="Arial" w:hAnsi="Arial"/>
                <w:sz w:val="16"/>
                <w:szCs w:val="16"/>
                <w:color w:val="auto"/>
              </w:rPr>
              <w:t>208</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ind w:right="2"/>
              <w:spacing w:after="0"/>
              <w:rPr>
                <w:sz w:val="20"/>
                <w:szCs w:val="20"/>
                <w:color w:val="auto"/>
              </w:rPr>
            </w:pPr>
            <w:r>
              <w:rPr>
                <w:rFonts w:ascii="Arial" w:cs="Arial" w:eastAsia="Arial" w:hAnsi="Arial"/>
                <w:sz w:val="16"/>
                <w:szCs w:val="16"/>
                <w:color w:val="auto"/>
              </w:rPr>
              <w:t>390</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(67)</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598</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(69)</w:t>
            </w:r>
          </w:p>
        </w:tc>
        <w:tc>
          <w:tcPr>
            <w:tcW w:w="0" w:type="dxa"/>
            <w:vAlign w:val="bottom"/>
          </w:tcPr>
          <w:p>
            <w:pPr>
              <w:spacing w:after="0"/>
              <w:rPr>
                <w:sz w:val="1"/>
                <w:szCs w:val="1"/>
                <w:color w:val="auto"/>
              </w:rPr>
            </w:pPr>
          </w:p>
        </w:tc>
      </w:tr>
      <w:tr>
        <w:trPr>
          <w:trHeight w:val="235"/>
        </w:trPr>
        <w:tc>
          <w:tcPr>
            <w:tcW w:w="3740" w:type="dxa"/>
            <w:vAlign w:val="bottom"/>
          </w:tcPr>
          <w:p>
            <w:pPr>
              <w:spacing w:after="0"/>
              <w:rPr>
                <w:sz w:val="20"/>
                <w:szCs w:val="20"/>
                <w:color w:val="auto"/>
              </w:rPr>
            </w:pPr>
            <w:r>
              <w:rPr>
                <w:rFonts w:ascii="Arial" w:cs="Arial" w:eastAsia="Arial" w:hAnsi="Arial"/>
                <w:sz w:val="16"/>
                <w:szCs w:val="16"/>
                <w:color w:val="auto"/>
              </w:rPr>
              <w:t>U.S. Government</w:t>
            </w:r>
          </w:p>
        </w:tc>
        <w:tc>
          <w:tcPr>
            <w:tcW w:w="120" w:type="dxa"/>
            <w:vAlign w:val="bottom"/>
          </w:tcPr>
          <w:p>
            <w:pPr>
              <w:spacing w:after="0"/>
              <w:rPr>
                <w:sz w:val="20"/>
                <w:szCs w:val="20"/>
                <w:color w:val="auto"/>
              </w:rPr>
            </w:pPr>
          </w:p>
        </w:tc>
        <w:tc>
          <w:tcPr>
            <w:tcW w:w="860" w:type="dxa"/>
            <w:vAlign w:val="bottom"/>
          </w:tcPr>
          <w:p>
            <w:pPr>
              <w:jc w:val="right"/>
              <w:ind w:right="2"/>
              <w:spacing w:after="0"/>
              <w:rPr>
                <w:sz w:val="20"/>
                <w:szCs w:val="20"/>
                <w:color w:val="auto"/>
              </w:rPr>
            </w:pPr>
            <w:r>
              <w:rPr>
                <w:rFonts w:ascii="Arial" w:cs="Arial" w:eastAsia="Arial" w:hAnsi="Arial"/>
                <w:sz w:val="16"/>
                <w:szCs w:val="16"/>
                <w:color w:val="auto"/>
              </w:rPr>
              <w:t>353</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ind w:right="2"/>
              <w:spacing w:after="0"/>
              <w:rPr>
                <w:sz w:val="20"/>
                <w:szCs w:val="20"/>
                <w:color w:val="auto"/>
              </w:rPr>
            </w:pPr>
            <w:r>
              <w:rPr>
                <w:rFonts w:ascii="Arial" w:cs="Arial" w:eastAsia="Arial" w:hAnsi="Arial"/>
                <w:sz w:val="16"/>
                <w:szCs w:val="16"/>
                <w:color w:val="auto"/>
              </w:rPr>
              <w:t>84</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437</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42"/>
        </w:trPr>
        <w:tc>
          <w:tcPr>
            <w:tcW w:w="3740" w:type="dxa"/>
            <w:vAlign w:val="bottom"/>
          </w:tcPr>
          <w:p>
            <w:pPr>
              <w:spacing w:after="0"/>
              <w:rPr>
                <w:sz w:val="20"/>
                <w:szCs w:val="20"/>
                <w:color w:val="auto"/>
              </w:rPr>
            </w:pPr>
            <w:r>
              <w:rPr>
                <w:rFonts w:ascii="Arial" w:cs="Arial" w:eastAsia="Arial" w:hAnsi="Arial"/>
                <w:sz w:val="16"/>
                <w:szCs w:val="16"/>
                <w:color w:val="auto"/>
              </w:rPr>
              <w:t>Foreign Government</w:t>
            </w:r>
          </w:p>
        </w:tc>
        <w:tc>
          <w:tcPr>
            <w:tcW w:w="12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60</w:t>
            </w:r>
          </w:p>
        </w:tc>
        <w:tc>
          <w:tcPr>
            <w:tcW w:w="6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148</w:t>
            </w:r>
          </w:p>
        </w:tc>
        <w:tc>
          <w:tcPr>
            <w:tcW w:w="6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w:t>
            </w:r>
          </w:p>
        </w:tc>
        <w:tc>
          <w:tcPr>
            <w:tcW w:w="6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208</w:t>
            </w:r>
          </w:p>
        </w:tc>
        <w:tc>
          <w:tcPr>
            <w:tcW w:w="8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w:t>
            </w:r>
          </w:p>
        </w:tc>
        <w:tc>
          <w:tcPr>
            <w:tcW w:w="0" w:type="dxa"/>
            <w:vAlign w:val="bottom"/>
          </w:tcPr>
          <w:p>
            <w:pPr>
              <w:spacing w:after="0"/>
              <w:rPr>
                <w:sz w:val="1"/>
                <w:szCs w:val="1"/>
                <w:color w:val="auto"/>
              </w:rPr>
            </w:pPr>
          </w:p>
        </w:tc>
      </w:tr>
      <w:tr>
        <w:trPr>
          <w:trHeight w:val="196"/>
        </w:trPr>
        <w:tc>
          <w:tcPr>
            <w:tcW w:w="3740" w:type="dxa"/>
            <w:vAlign w:val="bottom"/>
          </w:tcPr>
          <w:p>
            <w:pPr>
              <w:spacing w:after="0"/>
              <w:rPr>
                <w:sz w:val="20"/>
                <w:szCs w:val="20"/>
                <w:color w:val="auto"/>
              </w:rPr>
            </w:pPr>
            <w:r>
              <w:rPr>
                <w:rFonts w:ascii="Arial" w:cs="Arial" w:eastAsia="Arial" w:hAnsi="Arial"/>
                <w:sz w:val="16"/>
                <w:szCs w:val="16"/>
                <w:b w:val="1"/>
                <w:bCs w:val="1"/>
                <w:color w:val="auto"/>
              </w:rPr>
              <w:t>Total AFS securities</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2"/>
              <w:spacing w:after="0"/>
              <w:rPr>
                <w:sz w:val="20"/>
                <w:szCs w:val="20"/>
                <w:color w:val="auto"/>
              </w:rPr>
            </w:pPr>
            <w:r>
              <w:rPr>
                <w:rFonts w:ascii="Arial" w:cs="Arial" w:eastAsia="Arial" w:hAnsi="Arial"/>
                <w:sz w:val="16"/>
                <w:szCs w:val="16"/>
                <w:color w:val="auto"/>
              </w:rPr>
              <w:t>9,600</w:t>
            </w:r>
          </w:p>
        </w:tc>
        <w:tc>
          <w:tcPr>
            <w:tcW w:w="280" w:type="dxa"/>
            <w:vAlign w:val="bottom"/>
            <w:gridSpan w:val="2"/>
          </w:tcPr>
          <w:p>
            <w:pPr>
              <w:jc w:val="right"/>
              <w:ind w:right="2"/>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(103)</w:t>
            </w: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2"/>
              <w:spacing w:after="0"/>
              <w:rPr>
                <w:sz w:val="20"/>
                <w:szCs w:val="20"/>
                <w:color w:val="auto"/>
              </w:rPr>
            </w:pPr>
            <w:r>
              <w:rPr>
                <w:rFonts w:ascii="Arial" w:cs="Arial" w:eastAsia="Arial" w:hAnsi="Arial"/>
                <w:sz w:val="16"/>
                <w:szCs w:val="16"/>
                <w:color w:val="auto"/>
              </w:rPr>
              <w:t>15,352</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(2,966)</w:t>
            </w: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24,952</w:t>
            </w:r>
          </w:p>
        </w:tc>
        <w:tc>
          <w:tcPr>
            <w:tcW w:w="300" w:type="dxa"/>
            <w:vAlign w:val="bottom"/>
            <w:gridSpan w:val="2"/>
          </w:tcPr>
          <w:p>
            <w:pPr>
              <w:jc w:val="right"/>
              <w:ind w:right="2"/>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(3,069)</w:t>
            </w:r>
          </w:p>
        </w:tc>
        <w:tc>
          <w:tcPr>
            <w:tcW w:w="0" w:type="dxa"/>
            <w:vAlign w:val="bottom"/>
          </w:tcPr>
          <w:p>
            <w:pPr>
              <w:spacing w:after="0"/>
              <w:rPr>
                <w:sz w:val="1"/>
                <w:szCs w:val="1"/>
                <w:color w:val="auto"/>
              </w:rPr>
            </w:pPr>
          </w:p>
        </w:tc>
      </w:tr>
      <w:tr>
        <w:trPr>
          <w:trHeight w:val="20"/>
        </w:trPr>
        <w:tc>
          <w:tcPr>
            <w:tcW w:w="3740" w:type="dxa"/>
            <w:vAlign w:val="bottom"/>
            <w:vMerge w:val="restart"/>
          </w:tcPr>
          <w:p>
            <w:pPr>
              <w:spacing w:after="0"/>
              <w:rPr>
                <w:sz w:val="20"/>
                <w:szCs w:val="20"/>
                <w:color w:val="auto"/>
              </w:rPr>
            </w:pPr>
            <w:r>
              <w:rPr>
                <w:rFonts w:ascii="Arial" w:cs="Arial" w:eastAsia="Arial" w:hAnsi="Arial"/>
                <w:sz w:val="16"/>
                <w:szCs w:val="16"/>
                <w:color w:val="auto"/>
              </w:rPr>
              <w:t>Total number of available-for-sale securities in an</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37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Arial" w:cs="Arial" w:eastAsia="Arial" w:hAnsi="Arial"/>
                <w:sz w:val="16"/>
                <w:szCs w:val="16"/>
                <w:color w:val="auto"/>
              </w:rPr>
              <w:t>1,962</w:t>
            </w:r>
          </w:p>
        </w:tc>
        <w:tc>
          <w:tcPr>
            <w:tcW w:w="0" w:type="dxa"/>
            <w:vAlign w:val="bottom"/>
          </w:tcPr>
          <w:p>
            <w:pPr>
              <w:spacing w:after="0"/>
              <w:rPr>
                <w:sz w:val="1"/>
                <w:szCs w:val="1"/>
                <w:color w:val="auto"/>
              </w:rPr>
            </w:pPr>
          </w:p>
        </w:tc>
      </w:tr>
      <w:tr>
        <w:trPr>
          <w:trHeight w:val="190"/>
        </w:trPr>
        <w:tc>
          <w:tcPr>
            <w:tcW w:w="3740" w:type="dxa"/>
            <w:vAlign w:val="bottom"/>
          </w:tcPr>
          <w:p>
            <w:pPr>
              <w:spacing w:after="0"/>
              <w:rPr>
                <w:sz w:val="20"/>
                <w:szCs w:val="20"/>
                <w:color w:val="auto"/>
              </w:rPr>
            </w:pPr>
            <w:r>
              <w:rPr>
                <w:rFonts w:ascii="Arial" w:cs="Arial" w:eastAsia="Arial" w:hAnsi="Arial"/>
                <w:sz w:val="16"/>
                <w:szCs w:val="16"/>
                <w:color w:val="auto"/>
              </w:rPr>
              <w:t>unrealized loss position less than twelve months</w:t>
            </w: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740" w:type="dxa"/>
            <w:vAlign w:val="bottom"/>
            <w:vMerge w:val="restart"/>
          </w:tcPr>
          <w:p>
            <w:pPr>
              <w:spacing w:after="0"/>
              <w:rPr>
                <w:sz w:val="20"/>
                <w:szCs w:val="20"/>
                <w:color w:val="auto"/>
              </w:rPr>
            </w:pPr>
            <w:r>
              <w:rPr>
                <w:rFonts w:ascii="Arial" w:cs="Arial" w:eastAsia="Arial" w:hAnsi="Arial"/>
                <w:sz w:val="16"/>
                <w:szCs w:val="16"/>
                <w:color w:val="auto"/>
              </w:rPr>
              <w:t>Total number of available-for-sale securities in an</w:t>
            </w: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37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Arial" w:cs="Arial" w:eastAsia="Arial" w:hAnsi="Arial"/>
                <w:sz w:val="16"/>
                <w:szCs w:val="16"/>
                <w:color w:val="auto"/>
              </w:rPr>
              <w:t>2,194</w:t>
            </w:r>
          </w:p>
        </w:tc>
        <w:tc>
          <w:tcPr>
            <w:tcW w:w="0" w:type="dxa"/>
            <w:vAlign w:val="bottom"/>
          </w:tcPr>
          <w:p>
            <w:pPr>
              <w:spacing w:after="0"/>
              <w:rPr>
                <w:sz w:val="1"/>
                <w:szCs w:val="1"/>
                <w:color w:val="auto"/>
              </w:rPr>
            </w:pPr>
          </w:p>
        </w:tc>
      </w:tr>
      <w:tr>
        <w:trPr>
          <w:trHeight w:val="190"/>
        </w:trPr>
        <w:tc>
          <w:tcPr>
            <w:tcW w:w="3740" w:type="dxa"/>
            <w:vAlign w:val="bottom"/>
          </w:tcPr>
          <w:p>
            <w:pPr>
              <w:spacing w:after="0"/>
              <w:rPr>
                <w:sz w:val="20"/>
                <w:szCs w:val="20"/>
                <w:color w:val="auto"/>
              </w:rPr>
            </w:pPr>
            <w:r>
              <w:rPr>
                <w:rFonts w:ascii="Arial" w:cs="Arial" w:eastAsia="Arial" w:hAnsi="Arial"/>
                <w:sz w:val="16"/>
                <w:szCs w:val="16"/>
                <w:color w:val="auto"/>
              </w:rPr>
              <w:t>unrealized loss position twelve months or longer</w:t>
            </w: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740" w:type="dxa"/>
            <w:vAlign w:val="bottom"/>
            <w:vMerge w:val="restart"/>
          </w:tcPr>
          <w:p>
            <w:pPr>
              <w:spacing w:after="0"/>
              <w:rPr>
                <w:sz w:val="20"/>
                <w:szCs w:val="20"/>
                <w:color w:val="auto"/>
              </w:rPr>
            </w:pPr>
            <w:r>
              <w:rPr>
                <w:rFonts w:ascii="Arial" w:cs="Arial" w:eastAsia="Arial" w:hAnsi="Arial"/>
                <w:sz w:val="16"/>
                <w:szCs w:val="16"/>
                <w:color w:val="auto"/>
              </w:rPr>
              <w:t>Total number of available-for-sale securities in an</w:t>
            </w: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374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vMerge w:val="restart"/>
          </w:tcPr>
          <w:p>
            <w:pPr>
              <w:jc w:val="right"/>
              <w:spacing w:after="0"/>
              <w:rPr>
                <w:sz w:val="20"/>
                <w:szCs w:val="20"/>
                <w:color w:val="auto"/>
              </w:rPr>
            </w:pPr>
            <w:r>
              <w:rPr>
                <w:rFonts w:ascii="Arial" w:cs="Arial" w:eastAsia="Arial" w:hAnsi="Arial"/>
                <w:sz w:val="16"/>
                <w:szCs w:val="16"/>
                <w:color w:val="auto"/>
              </w:rPr>
              <w:t>4,156</w:t>
            </w:r>
          </w:p>
        </w:tc>
        <w:tc>
          <w:tcPr>
            <w:tcW w:w="0" w:type="dxa"/>
            <w:vAlign w:val="bottom"/>
          </w:tcPr>
          <w:p>
            <w:pPr>
              <w:spacing w:after="0"/>
              <w:rPr>
                <w:sz w:val="1"/>
                <w:szCs w:val="1"/>
                <w:color w:val="auto"/>
              </w:rPr>
            </w:pPr>
          </w:p>
        </w:tc>
      </w:tr>
      <w:tr>
        <w:trPr>
          <w:trHeight w:val="190"/>
        </w:trPr>
        <w:tc>
          <w:tcPr>
            <w:tcW w:w="3740" w:type="dxa"/>
            <w:vAlign w:val="bottom"/>
          </w:tcPr>
          <w:p>
            <w:pPr>
              <w:spacing w:after="0"/>
              <w:rPr>
                <w:sz w:val="20"/>
                <w:szCs w:val="20"/>
                <w:color w:val="auto"/>
              </w:rPr>
            </w:pPr>
            <w:r>
              <w:rPr>
                <w:rFonts w:ascii="Arial" w:cs="Arial" w:eastAsia="Arial" w:hAnsi="Arial"/>
                <w:sz w:val="16"/>
                <w:szCs w:val="16"/>
                <w:color w:val="auto"/>
              </w:rPr>
              <w:t>unrealized loss position</w:t>
            </w: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920" w:type="dxa"/>
            <w:vAlign w:val="bottom"/>
            <w:gridSpan w:val="4"/>
            <w:vMerge w:val="restart"/>
          </w:tcPr>
          <w:p>
            <w:pPr>
              <w:jc w:val="center"/>
              <w:ind w:right="62"/>
              <w:spacing w:after="0"/>
              <w:rPr>
                <w:sz w:val="20"/>
                <w:szCs w:val="20"/>
                <w:color w:val="auto"/>
              </w:rPr>
            </w:pPr>
            <w:r>
              <w:rPr>
                <w:rFonts w:ascii="Arial" w:cs="Arial" w:eastAsia="Arial" w:hAnsi="Arial"/>
                <w:sz w:val="16"/>
                <w:szCs w:val="16"/>
                <w:b w:val="1"/>
                <w:bCs w:val="1"/>
                <w:color w:val="auto"/>
                <w:w w:val="87"/>
              </w:rPr>
              <w:t>December 31, 2024</w:t>
            </w: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8"/>
        </w:trPr>
        <w:tc>
          <w:tcPr>
            <w:tcW w:w="37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gridSpan w:val="4"/>
            <w:vMerge w:val="continue"/>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7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gridSpan w:val="4"/>
          </w:tcPr>
          <w:p>
            <w:pPr>
              <w:jc w:val="right"/>
              <w:ind w:right="262"/>
              <w:spacing w:after="0"/>
              <w:rPr>
                <w:sz w:val="20"/>
                <w:szCs w:val="20"/>
                <w:color w:val="auto"/>
              </w:rPr>
            </w:pPr>
            <w:r>
              <w:rPr>
                <w:rFonts w:ascii="Arial" w:cs="Arial" w:eastAsia="Arial" w:hAnsi="Arial"/>
                <w:sz w:val="16"/>
                <w:szCs w:val="16"/>
                <w:b w:val="1"/>
                <w:bCs w:val="1"/>
                <w:color w:val="auto"/>
                <w:w w:val="97"/>
              </w:rPr>
              <w:t>Less than 12 months</w:t>
            </w:r>
          </w:p>
        </w:tc>
        <w:tc>
          <w:tcPr>
            <w:tcW w:w="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gridSpan w:val="4"/>
          </w:tcPr>
          <w:p>
            <w:pPr>
              <w:jc w:val="center"/>
              <w:ind w:right="62"/>
              <w:spacing w:after="0"/>
              <w:rPr>
                <w:sz w:val="20"/>
                <w:szCs w:val="20"/>
                <w:color w:val="auto"/>
              </w:rPr>
            </w:pPr>
            <w:r>
              <w:rPr>
                <w:rFonts w:ascii="Arial" w:cs="Arial" w:eastAsia="Arial" w:hAnsi="Arial"/>
                <w:sz w:val="16"/>
                <w:szCs w:val="16"/>
                <w:b w:val="1"/>
                <w:bCs w:val="1"/>
                <w:color w:val="auto"/>
                <w:w w:val="87"/>
              </w:rPr>
              <w:t>12 months or longer</w:t>
            </w:r>
          </w:p>
        </w:tc>
        <w:tc>
          <w:tcPr>
            <w:tcW w:w="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gridSpan w:val="3"/>
          </w:tcPr>
          <w:p>
            <w:pPr>
              <w:jc w:val="right"/>
              <w:ind w:right="2"/>
              <w:spacing w:after="0"/>
              <w:rPr>
                <w:sz w:val="20"/>
                <w:szCs w:val="20"/>
                <w:color w:val="auto"/>
              </w:rPr>
            </w:pPr>
            <w:r>
              <w:rPr>
                <w:rFonts w:ascii="Arial" w:cs="Arial" w:eastAsia="Arial" w:hAnsi="Arial"/>
                <w:sz w:val="16"/>
                <w:szCs w:val="16"/>
                <w:b w:val="1"/>
                <w:bCs w:val="1"/>
                <w:color w:val="auto"/>
              </w:rPr>
              <w:t>Total</w:t>
            </w:r>
          </w:p>
        </w:tc>
        <w:tc>
          <w:tcPr>
            <w:tcW w:w="7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7"/>
        </w:trPr>
        <w:tc>
          <w:tcPr>
            <w:tcW w:w="3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center"/>
              <w:ind w:right="142"/>
              <w:spacing w:after="0"/>
              <w:rPr>
                <w:sz w:val="20"/>
                <w:szCs w:val="20"/>
                <w:color w:val="auto"/>
              </w:rPr>
            </w:pPr>
            <w:r>
              <w:rPr>
                <w:rFonts w:ascii="Arial" w:cs="Arial" w:eastAsia="Arial" w:hAnsi="Arial"/>
                <w:sz w:val="16"/>
                <w:szCs w:val="16"/>
                <w:b w:val="1"/>
                <w:bCs w:val="1"/>
                <w:color w:val="auto"/>
                <w:w w:val="86"/>
              </w:rPr>
              <w:t>Gross</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jc w:val="center"/>
              <w:ind w:right="122"/>
              <w:spacing w:after="0"/>
              <w:rPr>
                <w:sz w:val="20"/>
                <w:szCs w:val="20"/>
                <w:color w:val="auto"/>
              </w:rPr>
            </w:pPr>
            <w:r>
              <w:rPr>
                <w:rFonts w:ascii="Arial" w:cs="Arial" w:eastAsia="Arial" w:hAnsi="Arial"/>
                <w:sz w:val="16"/>
                <w:szCs w:val="16"/>
                <w:b w:val="1"/>
                <w:bCs w:val="1"/>
                <w:color w:val="auto"/>
                <w:w w:val="86"/>
              </w:rPr>
              <w:t>Gross</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center"/>
              <w:ind w:right="122"/>
              <w:spacing w:after="0"/>
              <w:rPr>
                <w:sz w:val="20"/>
                <w:szCs w:val="20"/>
                <w:color w:val="auto"/>
              </w:rPr>
            </w:pPr>
            <w:r>
              <w:rPr>
                <w:rFonts w:ascii="Arial" w:cs="Arial" w:eastAsia="Arial" w:hAnsi="Arial"/>
                <w:sz w:val="16"/>
                <w:szCs w:val="16"/>
                <w:b w:val="1"/>
                <w:bCs w:val="1"/>
                <w:color w:val="auto"/>
                <w:w w:val="86"/>
              </w:rPr>
              <w:t>Gross</w:t>
            </w:r>
          </w:p>
        </w:tc>
        <w:tc>
          <w:tcPr>
            <w:tcW w:w="0" w:type="dxa"/>
            <w:vAlign w:val="bottom"/>
          </w:tcPr>
          <w:p>
            <w:pPr>
              <w:spacing w:after="0"/>
              <w:rPr>
                <w:sz w:val="1"/>
                <w:szCs w:val="1"/>
                <w:color w:val="auto"/>
              </w:rPr>
            </w:pPr>
          </w:p>
        </w:tc>
      </w:tr>
      <w:tr>
        <w:trPr>
          <w:trHeight w:val="157"/>
        </w:trPr>
        <w:tc>
          <w:tcPr>
            <w:tcW w:w="3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vMerge w:val="restart"/>
          </w:tcPr>
          <w:p>
            <w:pPr>
              <w:jc w:val="right"/>
              <w:ind w:right="62"/>
              <w:spacing w:after="0"/>
              <w:rPr>
                <w:sz w:val="20"/>
                <w:szCs w:val="20"/>
                <w:color w:val="auto"/>
              </w:rPr>
            </w:pPr>
            <w:r>
              <w:rPr>
                <w:rFonts w:ascii="Arial" w:cs="Arial" w:eastAsia="Arial" w:hAnsi="Arial"/>
                <w:sz w:val="16"/>
                <w:szCs w:val="16"/>
                <w:b w:val="1"/>
                <w:bCs w:val="1"/>
                <w:color w:val="auto"/>
                <w:w w:val="91"/>
              </w:rPr>
              <w:t>Fair Value</w:t>
            </w:r>
          </w:p>
        </w:tc>
        <w:tc>
          <w:tcPr>
            <w:tcW w:w="60" w:type="dxa"/>
            <w:vAlign w:val="bottom"/>
          </w:tcPr>
          <w:p>
            <w:pPr>
              <w:spacing w:after="0"/>
              <w:rPr>
                <w:sz w:val="13"/>
                <w:szCs w:val="13"/>
                <w:color w:val="auto"/>
              </w:rPr>
            </w:pPr>
          </w:p>
        </w:tc>
        <w:tc>
          <w:tcPr>
            <w:tcW w:w="1000" w:type="dxa"/>
            <w:vAlign w:val="bottom"/>
            <w:gridSpan w:val="2"/>
          </w:tcPr>
          <w:p>
            <w:pPr>
              <w:jc w:val="center"/>
              <w:spacing w:after="0" w:line="157" w:lineRule="exact"/>
              <w:rPr>
                <w:sz w:val="20"/>
                <w:szCs w:val="20"/>
                <w:color w:val="auto"/>
              </w:rPr>
            </w:pPr>
            <w:r>
              <w:rPr>
                <w:rFonts w:ascii="Arial" w:cs="Arial" w:eastAsia="Arial" w:hAnsi="Arial"/>
                <w:sz w:val="16"/>
                <w:szCs w:val="16"/>
                <w:b w:val="1"/>
                <w:bCs w:val="1"/>
                <w:color w:val="auto"/>
                <w:w w:val="88"/>
              </w:rPr>
              <w:t>Unrealized</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vMerge w:val="restart"/>
          </w:tcPr>
          <w:p>
            <w:pPr>
              <w:jc w:val="right"/>
              <w:ind w:right="62"/>
              <w:spacing w:after="0"/>
              <w:rPr>
                <w:sz w:val="20"/>
                <w:szCs w:val="20"/>
                <w:color w:val="auto"/>
              </w:rPr>
            </w:pPr>
            <w:r>
              <w:rPr>
                <w:rFonts w:ascii="Arial" w:cs="Arial" w:eastAsia="Arial" w:hAnsi="Arial"/>
                <w:sz w:val="16"/>
                <w:szCs w:val="16"/>
                <w:b w:val="1"/>
                <w:bCs w:val="1"/>
                <w:color w:val="auto"/>
                <w:w w:val="91"/>
              </w:rPr>
              <w:t>Fair Value</w:t>
            </w:r>
          </w:p>
        </w:tc>
        <w:tc>
          <w:tcPr>
            <w:tcW w:w="60" w:type="dxa"/>
            <w:vAlign w:val="bottom"/>
          </w:tcPr>
          <w:p>
            <w:pPr>
              <w:spacing w:after="0"/>
              <w:rPr>
                <w:sz w:val="13"/>
                <w:szCs w:val="13"/>
                <w:color w:val="auto"/>
              </w:rPr>
            </w:pPr>
          </w:p>
        </w:tc>
        <w:tc>
          <w:tcPr>
            <w:tcW w:w="1000" w:type="dxa"/>
            <w:vAlign w:val="bottom"/>
            <w:gridSpan w:val="2"/>
          </w:tcPr>
          <w:p>
            <w:pPr>
              <w:jc w:val="center"/>
              <w:spacing w:after="0" w:line="157" w:lineRule="exact"/>
              <w:rPr>
                <w:sz w:val="20"/>
                <w:szCs w:val="20"/>
                <w:color w:val="auto"/>
              </w:rPr>
            </w:pPr>
            <w:r>
              <w:rPr>
                <w:rFonts w:ascii="Arial" w:cs="Arial" w:eastAsia="Arial" w:hAnsi="Arial"/>
                <w:sz w:val="16"/>
                <w:szCs w:val="16"/>
                <w:b w:val="1"/>
                <w:bCs w:val="1"/>
                <w:color w:val="auto"/>
                <w:w w:val="88"/>
              </w:rPr>
              <w:t>Unrealized</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vMerge w:val="restart"/>
          </w:tcPr>
          <w:p>
            <w:pPr>
              <w:jc w:val="right"/>
              <w:ind w:right="42"/>
              <w:spacing w:after="0"/>
              <w:rPr>
                <w:sz w:val="20"/>
                <w:szCs w:val="20"/>
                <w:color w:val="auto"/>
              </w:rPr>
            </w:pPr>
            <w:r>
              <w:rPr>
                <w:rFonts w:ascii="Arial" w:cs="Arial" w:eastAsia="Arial" w:hAnsi="Arial"/>
                <w:sz w:val="16"/>
                <w:szCs w:val="16"/>
                <w:b w:val="1"/>
                <w:bCs w:val="1"/>
                <w:color w:val="auto"/>
                <w:w w:val="91"/>
              </w:rPr>
              <w:t>Fair Value</w:t>
            </w:r>
          </w:p>
        </w:tc>
        <w:tc>
          <w:tcPr>
            <w:tcW w:w="80" w:type="dxa"/>
            <w:vAlign w:val="bottom"/>
          </w:tcPr>
          <w:p>
            <w:pPr>
              <w:spacing w:after="0"/>
              <w:rPr>
                <w:sz w:val="13"/>
                <w:szCs w:val="13"/>
                <w:color w:val="auto"/>
              </w:rPr>
            </w:pPr>
          </w:p>
        </w:tc>
        <w:tc>
          <w:tcPr>
            <w:tcW w:w="980" w:type="dxa"/>
            <w:vAlign w:val="bottom"/>
            <w:gridSpan w:val="2"/>
          </w:tcPr>
          <w:p>
            <w:pPr>
              <w:jc w:val="center"/>
              <w:spacing w:after="0" w:line="157" w:lineRule="exact"/>
              <w:rPr>
                <w:sz w:val="20"/>
                <w:szCs w:val="20"/>
                <w:color w:val="auto"/>
              </w:rPr>
            </w:pPr>
            <w:r>
              <w:rPr>
                <w:rFonts w:ascii="Arial" w:cs="Arial" w:eastAsia="Arial" w:hAnsi="Arial"/>
                <w:sz w:val="16"/>
                <w:szCs w:val="16"/>
                <w:b w:val="1"/>
                <w:bCs w:val="1"/>
                <w:color w:val="auto"/>
                <w:w w:val="91"/>
              </w:rPr>
              <w:t>Unrealized</w:t>
            </w:r>
          </w:p>
        </w:tc>
        <w:tc>
          <w:tcPr>
            <w:tcW w:w="0" w:type="dxa"/>
            <w:vAlign w:val="bottom"/>
          </w:tcPr>
          <w:p>
            <w:pPr>
              <w:spacing w:after="0"/>
              <w:rPr>
                <w:sz w:val="1"/>
                <w:szCs w:val="1"/>
                <w:color w:val="auto"/>
              </w:rPr>
            </w:pPr>
          </w:p>
        </w:tc>
      </w:tr>
      <w:tr>
        <w:trPr>
          <w:trHeight w:val="210"/>
        </w:trPr>
        <w:tc>
          <w:tcPr>
            <w:tcW w:w="37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vMerge w:val="continue"/>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center"/>
              <w:ind w:right="142"/>
              <w:spacing w:after="0"/>
              <w:rPr>
                <w:sz w:val="20"/>
                <w:szCs w:val="20"/>
                <w:color w:val="auto"/>
              </w:rPr>
            </w:pPr>
            <w:r>
              <w:rPr>
                <w:rFonts w:ascii="Arial" w:cs="Arial" w:eastAsia="Arial" w:hAnsi="Arial"/>
                <w:sz w:val="16"/>
                <w:szCs w:val="16"/>
                <w:b w:val="1"/>
                <w:bCs w:val="1"/>
                <w:color w:val="auto"/>
                <w:w w:val="79"/>
              </w:rPr>
              <w:t>Losses</w:t>
            </w:r>
          </w:p>
        </w:tc>
        <w:tc>
          <w:tcPr>
            <w:tcW w:w="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vMerge w:val="continue"/>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center"/>
              <w:ind w:right="122"/>
              <w:spacing w:after="0"/>
              <w:rPr>
                <w:sz w:val="20"/>
                <w:szCs w:val="20"/>
                <w:color w:val="auto"/>
              </w:rPr>
            </w:pPr>
            <w:r>
              <w:rPr>
                <w:rFonts w:ascii="Arial" w:cs="Arial" w:eastAsia="Arial" w:hAnsi="Arial"/>
                <w:sz w:val="16"/>
                <w:szCs w:val="16"/>
                <w:b w:val="1"/>
                <w:bCs w:val="1"/>
                <w:color w:val="auto"/>
                <w:w w:val="79"/>
              </w:rPr>
              <w:t>Losses</w:t>
            </w:r>
          </w:p>
        </w:tc>
        <w:tc>
          <w:tcPr>
            <w:tcW w:w="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center"/>
              <w:ind w:right="122"/>
              <w:spacing w:after="0"/>
              <w:rPr>
                <w:sz w:val="20"/>
                <w:szCs w:val="20"/>
                <w:color w:val="auto"/>
              </w:rPr>
            </w:pPr>
            <w:r>
              <w:rPr>
                <w:rFonts w:ascii="Arial" w:cs="Arial" w:eastAsia="Arial" w:hAnsi="Arial"/>
                <w:sz w:val="16"/>
                <w:szCs w:val="16"/>
                <w:b w:val="1"/>
                <w:bCs w:val="1"/>
                <w:color w:val="auto"/>
                <w:w w:val="79"/>
              </w:rPr>
              <w:t>Losses</w:t>
            </w:r>
          </w:p>
        </w:tc>
        <w:tc>
          <w:tcPr>
            <w:tcW w:w="0" w:type="dxa"/>
            <w:vAlign w:val="bottom"/>
          </w:tcPr>
          <w:p>
            <w:pPr>
              <w:spacing w:after="0"/>
              <w:rPr>
                <w:sz w:val="1"/>
                <w:szCs w:val="1"/>
                <w:color w:val="auto"/>
              </w:rPr>
            </w:pPr>
          </w:p>
        </w:tc>
      </w:tr>
      <w:tr>
        <w:trPr>
          <w:trHeight w:val="208"/>
        </w:trPr>
        <w:tc>
          <w:tcPr>
            <w:tcW w:w="3740" w:type="dxa"/>
            <w:vAlign w:val="bottom"/>
          </w:tcPr>
          <w:p>
            <w:pPr>
              <w:spacing w:after="0"/>
              <w:rPr>
                <w:sz w:val="20"/>
                <w:szCs w:val="20"/>
                <w:color w:val="auto"/>
              </w:rPr>
            </w:pPr>
            <w:r>
              <w:rPr>
                <w:rFonts w:ascii="Arial" w:cs="Arial" w:eastAsia="Arial" w:hAnsi="Arial"/>
                <w:sz w:val="16"/>
                <w:szCs w:val="16"/>
                <w:b w:val="1"/>
                <w:bCs w:val="1"/>
                <w:color w:val="auto"/>
              </w:rPr>
              <w:t>AFS securities</w:t>
            </w: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3740" w:type="dxa"/>
            <w:vAlign w:val="bottom"/>
          </w:tcPr>
          <w:p>
            <w:pPr>
              <w:spacing w:after="0"/>
              <w:rPr>
                <w:sz w:val="20"/>
                <w:szCs w:val="20"/>
                <w:color w:val="auto"/>
              </w:rPr>
            </w:pPr>
            <w:r>
              <w:rPr>
                <w:rFonts w:ascii="Arial" w:cs="Arial" w:eastAsia="Arial" w:hAnsi="Arial"/>
                <w:sz w:val="16"/>
                <w:szCs w:val="16"/>
                <w:color w:val="auto"/>
              </w:rPr>
              <w:t>Asset-backed securities</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2"/>
              <w:spacing w:after="0"/>
              <w:rPr>
                <w:sz w:val="20"/>
                <w:szCs w:val="20"/>
                <w:color w:val="auto"/>
              </w:rPr>
            </w:pPr>
            <w:r>
              <w:rPr>
                <w:rFonts w:ascii="Arial" w:cs="Arial" w:eastAsia="Arial" w:hAnsi="Arial"/>
                <w:sz w:val="16"/>
                <w:szCs w:val="16"/>
                <w:color w:val="auto"/>
              </w:rPr>
              <w:t>1,164</w:t>
            </w:r>
          </w:p>
        </w:tc>
        <w:tc>
          <w:tcPr>
            <w:tcW w:w="280" w:type="dxa"/>
            <w:vAlign w:val="bottom"/>
            <w:gridSpan w:val="2"/>
          </w:tcPr>
          <w:p>
            <w:pPr>
              <w:jc w:val="right"/>
              <w:ind w:right="2"/>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(30)</w:t>
            </w: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2"/>
              <w:spacing w:after="0"/>
              <w:rPr>
                <w:sz w:val="20"/>
                <w:szCs w:val="20"/>
                <w:color w:val="auto"/>
              </w:rPr>
            </w:pPr>
            <w:r>
              <w:rPr>
                <w:rFonts w:ascii="Arial" w:cs="Arial" w:eastAsia="Arial" w:hAnsi="Arial"/>
                <w:sz w:val="16"/>
                <w:szCs w:val="16"/>
                <w:color w:val="auto"/>
              </w:rPr>
              <w:t>2,637</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(276)</w:t>
            </w: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3,801</w:t>
            </w:r>
          </w:p>
        </w:tc>
        <w:tc>
          <w:tcPr>
            <w:tcW w:w="300" w:type="dxa"/>
            <w:vAlign w:val="bottom"/>
            <w:gridSpan w:val="2"/>
          </w:tcPr>
          <w:p>
            <w:pPr>
              <w:jc w:val="right"/>
              <w:ind w:right="2"/>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(306)</w:t>
            </w:r>
          </w:p>
        </w:tc>
        <w:tc>
          <w:tcPr>
            <w:tcW w:w="0" w:type="dxa"/>
            <w:vAlign w:val="bottom"/>
          </w:tcPr>
          <w:p>
            <w:pPr>
              <w:spacing w:after="0"/>
              <w:rPr>
                <w:sz w:val="1"/>
                <w:szCs w:val="1"/>
                <w:color w:val="auto"/>
              </w:rPr>
            </w:pPr>
          </w:p>
        </w:tc>
      </w:tr>
      <w:tr>
        <w:trPr>
          <w:trHeight w:val="235"/>
        </w:trPr>
        <w:tc>
          <w:tcPr>
            <w:tcW w:w="3740" w:type="dxa"/>
            <w:vAlign w:val="bottom"/>
          </w:tcPr>
          <w:p>
            <w:pPr>
              <w:spacing w:after="0"/>
              <w:rPr>
                <w:sz w:val="20"/>
                <w:szCs w:val="20"/>
                <w:color w:val="auto"/>
              </w:rPr>
            </w:pPr>
            <w:r>
              <w:rPr>
                <w:rFonts w:ascii="Arial" w:cs="Arial" w:eastAsia="Arial" w:hAnsi="Arial"/>
                <w:sz w:val="16"/>
                <w:szCs w:val="16"/>
                <w:color w:val="auto"/>
              </w:rPr>
              <w:t>Commercial mortgage-backed securities</w:t>
            </w:r>
          </w:p>
        </w:tc>
        <w:tc>
          <w:tcPr>
            <w:tcW w:w="120" w:type="dxa"/>
            <w:vAlign w:val="bottom"/>
          </w:tcPr>
          <w:p>
            <w:pPr>
              <w:spacing w:after="0"/>
              <w:rPr>
                <w:sz w:val="20"/>
                <w:szCs w:val="20"/>
                <w:color w:val="auto"/>
              </w:rPr>
            </w:pPr>
          </w:p>
        </w:tc>
        <w:tc>
          <w:tcPr>
            <w:tcW w:w="860" w:type="dxa"/>
            <w:vAlign w:val="bottom"/>
          </w:tcPr>
          <w:p>
            <w:pPr>
              <w:jc w:val="right"/>
              <w:ind w:right="2"/>
              <w:spacing w:after="0"/>
              <w:rPr>
                <w:sz w:val="20"/>
                <w:szCs w:val="20"/>
                <w:color w:val="auto"/>
              </w:rPr>
            </w:pPr>
            <w:r>
              <w:rPr>
                <w:rFonts w:ascii="Arial" w:cs="Arial" w:eastAsia="Arial" w:hAnsi="Arial"/>
                <w:sz w:val="16"/>
                <w:szCs w:val="16"/>
                <w:color w:val="auto"/>
              </w:rPr>
              <w:t>727</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(11)</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ind w:right="2"/>
              <w:spacing w:after="0"/>
              <w:rPr>
                <w:sz w:val="20"/>
                <w:szCs w:val="20"/>
                <w:color w:val="auto"/>
              </w:rPr>
            </w:pPr>
            <w:r>
              <w:rPr>
                <w:rFonts w:ascii="Arial" w:cs="Arial" w:eastAsia="Arial" w:hAnsi="Arial"/>
                <w:sz w:val="16"/>
                <w:szCs w:val="16"/>
                <w:color w:val="auto"/>
              </w:rPr>
              <w:t>1,513</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(175)</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2,240</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(186)</w:t>
            </w:r>
          </w:p>
        </w:tc>
        <w:tc>
          <w:tcPr>
            <w:tcW w:w="0" w:type="dxa"/>
            <w:vAlign w:val="bottom"/>
          </w:tcPr>
          <w:p>
            <w:pPr>
              <w:spacing w:after="0"/>
              <w:rPr>
                <w:sz w:val="1"/>
                <w:szCs w:val="1"/>
                <w:color w:val="auto"/>
              </w:rPr>
            </w:pPr>
          </w:p>
        </w:tc>
      </w:tr>
      <w:tr>
        <w:trPr>
          <w:trHeight w:val="235"/>
        </w:trPr>
        <w:tc>
          <w:tcPr>
            <w:tcW w:w="3740" w:type="dxa"/>
            <w:vAlign w:val="bottom"/>
          </w:tcPr>
          <w:p>
            <w:pPr>
              <w:spacing w:after="0"/>
              <w:rPr>
                <w:sz w:val="20"/>
                <w:szCs w:val="20"/>
                <w:color w:val="auto"/>
              </w:rPr>
            </w:pPr>
            <w:r>
              <w:rPr>
                <w:rFonts w:ascii="Arial" w:cs="Arial" w:eastAsia="Arial" w:hAnsi="Arial"/>
                <w:sz w:val="16"/>
                <w:szCs w:val="16"/>
                <w:color w:val="auto"/>
              </w:rPr>
              <w:t>Corporates</w:t>
            </w:r>
          </w:p>
        </w:tc>
        <w:tc>
          <w:tcPr>
            <w:tcW w:w="120" w:type="dxa"/>
            <w:vAlign w:val="bottom"/>
          </w:tcPr>
          <w:p>
            <w:pPr>
              <w:spacing w:after="0"/>
              <w:rPr>
                <w:sz w:val="20"/>
                <w:szCs w:val="20"/>
                <w:color w:val="auto"/>
              </w:rPr>
            </w:pPr>
          </w:p>
        </w:tc>
        <w:tc>
          <w:tcPr>
            <w:tcW w:w="860" w:type="dxa"/>
            <w:vAlign w:val="bottom"/>
          </w:tcPr>
          <w:p>
            <w:pPr>
              <w:jc w:val="right"/>
              <w:ind w:right="2"/>
              <w:spacing w:after="0"/>
              <w:rPr>
                <w:sz w:val="20"/>
                <w:szCs w:val="20"/>
                <w:color w:val="auto"/>
              </w:rPr>
            </w:pPr>
            <w:r>
              <w:rPr>
                <w:rFonts w:ascii="Arial" w:cs="Arial" w:eastAsia="Arial" w:hAnsi="Arial"/>
                <w:sz w:val="16"/>
                <w:szCs w:val="16"/>
                <w:color w:val="auto"/>
              </w:rPr>
              <w:t>6,831</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(208)</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ind w:right="2"/>
              <w:spacing w:after="0"/>
              <w:rPr>
                <w:sz w:val="20"/>
                <w:szCs w:val="20"/>
                <w:color w:val="auto"/>
              </w:rPr>
            </w:pPr>
            <w:r>
              <w:rPr>
                <w:rFonts w:ascii="Arial" w:cs="Arial" w:eastAsia="Arial" w:hAnsi="Arial"/>
                <w:sz w:val="16"/>
                <w:szCs w:val="16"/>
                <w:color w:val="auto"/>
              </w:rPr>
              <w:t>9,866</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(2,624)</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16,697</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(2,832)</w:t>
            </w:r>
          </w:p>
        </w:tc>
        <w:tc>
          <w:tcPr>
            <w:tcW w:w="0" w:type="dxa"/>
            <w:vAlign w:val="bottom"/>
          </w:tcPr>
          <w:p>
            <w:pPr>
              <w:spacing w:after="0"/>
              <w:rPr>
                <w:sz w:val="1"/>
                <w:szCs w:val="1"/>
                <w:color w:val="auto"/>
              </w:rPr>
            </w:pPr>
          </w:p>
        </w:tc>
      </w:tr>
      <w:tr>
        <w:trPr>
          <w:trHeight w:val="235"/>
        </w:trPr>
        <w:tc>
          <w:tcPr>
            <w:tcW w:w="3740" w:type="dxa"/>
            <w:vAlign w:val="bottom"/>
          </w:tcPr>
          <w:p>
            <w:pPr>
              <w:spacing w:after="0"/>
              <w:rPr>
                <w:sz w:val="20"/>
                <w:szCs w:val="20"/>
                <w:color w:val="auto"/>
              </w:rPr>
            </w:pPr>
            <w:r>
              <w:rPr>
                <w:rFonts w:ascii="Arial" w:cs="Arial" w:eastAsia="Arial" w:hAnsi="Arial"/>
                <w:sz w:val="16"/>
                <w:szCs w:val="16"/>
                <w:color w:val="auto"/>
              </w:rPr>
              <w:t>Hybrids</w:t>
            </w:r>
          </w:p>
        </w:tc>
        <w:tc>
          <w:tcPr>
            <w:tcW w:w="120" w:type="dxa"/>
            <w:vAlign w:val="bottom"/>
          </w:tcPr>
          <w:p>
            <w:pPr>
              <w:spacing w:after="0"/>
              <w:rPr>
                <w:sz w:val="20"/>
                <w:szCs w:val="20"/>
                <w:color w:val="auto"/>
              </w:rPr>
            </w:pPr>
          </w:p>
        </w:tc>
        <w:tc>
          <w:tcPr>
            <w:tcW w:w="860" w:type="dxa"/>
            <w:vAlign w:val="bottom"/>
          </w:tcPr>
          <w:p>
            <w:pPr>
              <w:jc w:val="right"/>
              <w:ind w:right="2"/>
              <w:spacing w:after="0"/>
              <w:rPr>
                <w:sz w:val="20"/>
                <w:szCs w:val="20"/>
                <w:color w:val="auto"/>
              </w:rPr>
            </w:pPr>
            <w:r>
              <w:rPr>
                <w:rFonts w:ascii="Arial" w:cs="Arial" w:eastAsia="Arial" w:hAnsi="Arial"/>
                <w:sz w:val="16"/>
                <w:szCs w:val="16"/>
                <w:color w:val="auto"/>
              </w:rPr>
              <w:t>105</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ind w:right="2"/>
              <w:spacing w:after="0"/>
              <w:rPr>
                <w:sz w:val="20"/>
                <w:szCs w:val="20"/>
                <w:color w:val="auto"/>
              </w:rPr>
            </w:pPr>
            <w:r>
              <w:rPr>
                <w:rFonts w:ascii="Arial" w:cs="Arial" w:eastAsia="Arial" w:hAnsi="Arial"/>
                <w:sz w:val="16"/>
                <w:szCs w:val="16"/>
                <w:color w:val="auto"/>
              </w:rPr>
              <w:t>380</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(25)</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485</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(29)</w:t>
            </w:r>
          </w:p>
        </w:tc>
        <w:tc>
          <w:tcPr>
            <w:tcW w:w="0" w:type="dxa"/>
            <w:vAlign w:val="bottom"/>
          </w:tcPr>
          <w:p>
            <w:pPr>
              <w:spacing w:after="0"/>
              <w:rPr>
                <w:sz w:val="1"/>
                <w:szCs w:val="1"/>
                <w:color w:val="auto"/>
              </w:rPr>
            </w:pPr>
          </w:p>
        </w:tc>
      </w:tr>
      <w:tr>
        <w:trPr>
          <w:trHeight w:val="235"/>
        </w:trPr>
        <w:tc>
          <w:tcPr>
            <w:tcW w:w="3740" w:type="dxa"/>
            <w:vAlign w:val="bottom"/>
          </w:tcPr>
          <w:p>
            <w:pPr>
              <w:spacing w:after="0"/>
              <w:rPr>
                <w:sz w:val="20"/>
                <w:szCs w:val="20"/>
                <w:color w:val="auto"/>
              </w:rPr>
            </w:pPr>
            <w:r>
              <w:rPr>
                <w:rFonts w:ascii="Arial" w:cs="Arial" w:eastAsia="Arial" w:hAnsi="Arial"/>
                <w:sz w:val="16"/>
                <w:szCs w:val="16"/>
                <w:color w:val="auto"/>
              </w:rPr>
              <w:t>Municipals</w:t>
            </w:r>
          </w:p>
        </w:tc>
        <w:tc>
          <w:tcPr>
            <w:tcW w:w="120" w:type="dxa"/>
            <w:vAlign w:val="bottom"/>
          </w:tcPr>
          <w:p>
            <w:pPr>
              <w:spacing w:after="0"/>
              <w:rPr>
                <w:sz w:val="20"/>
                <w:szCs w:val="20"/>
                <w:color w:val="auto"/>
              </w:rPr>
            </w:pPr>
          </w:p>
        </w:tc>
        <w:tc>
          <w:tcPr>
            <w:tcW w:w="860" w:type="dxa"/>
            <w:vAlign w:val="bottom"/>
          </w:tcPr>
          <w:p>
            <w:pPr>
              <w:jc w:val="right"/>
              <w:ind w:right="2"/>
              <w:spacing w:after="0"/>
              <w:rPr>
                <w:sz w:val="20"/>
                <w:szCs w:val="20"/>
                <w:color w:val="auto"/>
              </w:rPr>
            </w:pPr>
            <w:r>
              <w:rPr>
                <w:rFonts w:ascii="Arial" w:cs="Arial" w:eastAsia="Arial" w:hAnsi="Arial"/>
                <w:sz w:val="16"/>
                <w:szCs w:val="16"/>
                <w:color w:val="auto"/>
              </w:rPr>
              <w:t>261</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(12)</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ind w:right="2"/>
              <w:spacing w:after="0"/>
              <w:rPr>
                <w:sz w:val="20"/>
                <w:szCs w:val="20"/>
                <w:color w:val="auto"/>
              </w:rPr>
            </w:pPr>
            <w:r>
              <w:rPr>
                <w:rFonts w:ascii="Arial" w:cs="Arial" w:eastAsia="Arial" w:hAnsi="Arial"/>
                <w:sz w:val="16"/>
                <w:szCs w:val="16"/>
                <w:color w:val="auto"/>
              </w:rPr>
              <w:t>1,006</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(243)</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1,267</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(255)</w:t>
            </w:r>
          </w:p>
        </w:tc>
        <w:tc>
          <w:tcPr>
            <w:tcW w:w="0" w:type="dxa"/>
            <w:vAlign w:val="bottom"/>
          </w:tcPr>
          <w:p>
            <w:pPr>
              <w:spacing w:after="0"/>
              <w:rPr>
                <w:sz w:val="1"/>
                <w:szCs w:val="1"/>
                <w:color w:val="auto"/>
              </w:rPr>
            </w:pPr>
          </w:p>
        </w:tc>
      </w:tr>
      <w:tr>
        <w:trPr>
          <w:trHeight w:val="235"/>
        </w:trPr>
        <w:tc>
          <w:tcPr>
            <w:tcW w:w="3740" w:type="dxa"/>
            <w:vAlign w:val="bottom"/>
          </w:tcPr>
          <w:p>
            <w:pPr>
              <w:spacing w:after="0"/>
              <w:rPr>
                <w:sz w:val="20"/>
                <w:szCs w:val="20"/>
                <w:color w:val="auto"/>
              </w:rPr>
            </w:pPr>
            <w:r>
              <w:rPr>
                <w:rFonts w:ascii="Arial" w:cs="Arial" w:eastAsia="Arial" w:hAnsi="Arial"/>
                <w:sz w:val="16"/>
                <w:szCs w:val="16"/>
                <w:color w:val="auto"/>
              </w:rPr>
              <w:t>Residential mortgage-backed securities</w:t>
            </w:r>
          </w:p>
        </w:tc>
        <w:tc>
          <w:tcPr>
            <w:tcW w:w="120" w:type="dxa"/>
            <w:vAlign w:val="bottom"/>
          </w:tcPr>
          <w:p>
            <w:pPr>
              <w:spacing w:after="0"/>
              <w:rPr>
                <w:sz w:val="20"/>
                <w:szCs w:val="20"/>
                <w:color w:val="auto"/>
              </w:rPr>
            </w:pPr>
          </w:p>
        </w:tc>
        <w:tc>
          <w:tcPr>
            <w:tcW w:w="860" w:type="dxa"/>
            <w:vAlign w:val="bottom"/>
          </w:tcPr>
          <w:p>
            <w:pPr>
              <w:jc w:val="right"/>
              <w:ind w:right="2"/>
              <w:spacing w:after="0"/>
              <w:rPr>
                <w:sz w:val="20"/>
                <w:szCs w:val="20"/>
                <w:color w:val="auto"/>
              </w:rPr>
            </w:pPr>
            <w:r>
              <w:rPr>
                <w:rFonts w:ascii="Arial" w:cs="Arial" w:eastAsia="Arial" w:hAnsi="Arial"/>
                <w:sz w:val="16"/>
                <w:szCs w:val="16"/>
                <w:color w:val="auto"/>
              </w:rPr>
              <w:t>899</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(16)</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ind w:right="2"/>
              <w:spacing w:after="0"/>
              <w:rPr>
                <w:sz w:val="20"/>
                <w:szCs w:val="20"/>
                <w:color w:val="auto"/>
              </w:rPr>
            </w:pPr>
            <w:r>
              <w:rPr>
                <w:rFonts w:ascii="Arial" w:cs="Arial" w:eastAsia="Arial" w:hAnsi="Arial"/>
                <w:sz w:val="16"/>
                <w:szCs w:val="16"/>
                <w:color w:val="auto"/>
              </w:rPr>
              <w:t>460</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(89)</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1,359</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(105)</w:t>
            </w:r>
          </w:p>
        </w:tc>
        <w:tc>
          <w:tcPr>
            <w:tcW w:w="0" w:type="dxa"/>
            <w:vAlign w:val="bottom"/>
          </w:tcPr>
          <w:p>
            <w:pPr>
              <w:spacing w:after="0"/>
              <w:rPr>
                <w:sz w:val="1"/>
                <w:szCs w:val="1"/>
                <w:color w:val="auto"/>
              </w:rPr>
            </w:pPr>
          </w:p>
        </w:tc>
      </w:tr>
      <w:tr>
        <w:trPr>
          <w:trHeight w:val="235"/>
        </w:trPr>
        <w:tc>
          <w:tcPr>
            <w:tcW w:w="3740" w:type="dxa"/>
            <w:vAlign w:val="bottom"/>
          </w:tcPr>
          <w:p>
            <w:pPr>
              <w:spacing w:after="0"/>
              <w:rPr>
                <w:sz w:val="20"/>
                <w:szCs w:val="20"/>
                <w:color w:val="auto"/>
              </w:rPr>
            </w:pPr>
            <w:r>
              <w:rPr>
                <w:rFonts w:ascii="Arial" w:cs="Arial" w:eastAsia="Arial" w:hAnsi="Arial"/>
                <w:sz w:val="16"/>
                <w:szCs w:val="16"/>
                <w:color w:val="auto"/>
              </w:rPr>
              <w:t>U.S. Government</w:t>
            </w:r>
          </w:p>
        </w:tc>
        <w:tc>
          <w:tcPr>
            <w:tcW w:w="120" w:type="dxa"/>
            <w:vAlign w:val="bottom"/>
          </w:tcPr>
          <w:p>
            <w:pPr>
              <w:spacing w:after="0"/>
              <w:rPr>
                <w:sz w:val="20"/>
                <w:szCs w:val="20"/>
                <w:color w:val="auto"/>
              </w:rPr>
            </w:pPr>
          </w:p>
        </w:tc>
        <w:tc>
          <w:tcPr>
            <w:tcW w:w="860" w:type="dxa"/>
            <w:vAlign w:val="bottom"/>
          </w:tcPr>
          <w:p>
            <w:pPr>
              <w:jc w:val="right"/>
              <w:ind w:right="2"/>
              <w:spacing w:after="0"/>
              <w:rPr>
                <w:sz w:val="20"/>
                <w:szCs w:val="20"/>
                <w:color w:val="auto"/>
              </w:rPr>
            </w:pPr>
            <w:r>
              <w:rPr>
                <w:rFonts w:ascii="Arial" w:cs="Arial" w:eastAsia="Arial" w:hAnsi="Arial"/>
                <w:sz w:val="16"/>
                <w:szCs w:val="16"/>
                <w:color w:val="auto"/>
              </w:rPr>
              <w:t>313</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ind w:right="2"/>
              <w:spacing w:after="0"/>
              <w:rPr>
                <w:sz w:val="20"/>
                <w:szCs w:val="20"/>
                <w:color w:val="auto"/>
              </w:rPr>
            </w:pPr>
            <w:r>
              <w:rPr>
                <w:rFonts w:ascii="Arial" w:cs="Arial" w:eastAsia="Arial" w:hAnsi="Arial"/>
                <w:sz w:val="16"/>
                <w:szCs w:val="16"/>
                <w:color w:val="auto"/>
              </w:rPr>
              <w:t>122</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435</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42"/>
        </w:trPr>
        <w:tc>
          <w:tcPr>
            <w:tcW w:w="3740" w:type="dxa"/>
            <w:vAlign w:val="bottom"/>
          </w:tcPr>
          <w:p>
            <w:pPr>
              <w:spacing w:after="0"/>
              <w:rPr>
                <w:sz w:val="20"/>
                <w:szCs w:val="20"/>
                <w:color w:val="auto"/>
              </w:rPr>
            </w:pPr>
            <w:r>
              <w:rPr>
                <w:rFonts w:ascii="Arial" w:cs="Arial" w:eastAsia="Arial" w:hAnsi="Arial"/>
                <w:sz w:val="16"/>
                <w:szCs w:val="16"/>
                <w:color w:val="auto"/>
              </w:rPr>
              <w:t>Foreign Government</w:t>
            </w:r>
          </w:p>
        </w:tc>
        <w:tc>
          <w:tcPr>
            <w:tcW w:w="12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120</w:t>
            </w:r>
          </w:p>
        </w:tc>
        <w:tc>
          <w:tcPr>
            <w:tcW w:w="6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c>
          <w:tcPr>
            <w:tcW w:w="6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157</w:t>
            </w:r>
          </w:p>
        </w:tc>
        <w:tc>
          <w:tcPr>
            <w:tcW w:w="6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w:t>
            </w:r>
          </w:p>
        </w:tc>
        <w:tc>
          <w:tcPr>
            <w:tcW w:w="6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277</w:t>
            </w:r>
          </w:p>
        </w:tc>
        <w:tc>
          <w:tcPr>
            <w:tcW w:w="8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w:t>
            </w:r>
          </w:p>
        </w:tc>
        <w:tc>
          <w:tcPr>
            <w:tcW w:w="0" w:type="dxa"/>
            <w:vAlign w:val="bottom"/>
          </w:tcPr>
          <w:p>
            <w:pPr>
              <w:spacing w:after="0"/>
              <w:rPr>
                <w:sz w:val="1"/>
                <w:szCs w:val="1"/>
                <w:color w:val="auto"/>
              </w:rPr>
            </w:pPr>
          </w:p>
        </w:tc>
      </w:tr>
      <w:tr>
        <w:trPr>
          <w:trHeight w:val="196"/>
        </w:trPr>
        <w:tc>
          <w:tcPr>
            <w:tcW w:w="3740" w:type="dxa"/>
            <w:vAlign w:val="bottom"/>
          </w:tcPr>
          <w:p>
            <w:pPr>
              <w:spacing w:after="0"/>
              <w:rPr>
                <w:sz w:val="20"/>
                <w:szCs w:val="20"/>
                <w:color w:val="auto"/>
              </w:rPr>
            </w:pPr>
            <w:r>
              <w:rPr>
                <w:rFonts w:ascii="Arial" w:cs="Arial" w:eastAsia="Arial" w:hAnsi="Arial"/>
                <w:sz w:val="16"/>
                <w:szCs w:val="16"/>
                <w:b w:val="1"/>
                <w:bCs w:val="1"/>
                <w:color w:val="auto"/>
              </w:rPr>
              <w:t>Total AFS securities</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2"/>
              <w:spacing w:after="0"/>
              <w:rPr>
                <w:sz w:val="20"/>
                <w:szCs w:val="20"/>
                <w:color w:val="auto"/>
              </w:rPr>
            </w:pPr>
            <w:r>
              <w:rPr>
                <w:rFonts w:ascii="Arial" w:cs="Arial" w:eastAsia="Arial" w:hAnsi="Arial"/>
                <w:sz w:val="16"/>
                <w:szCs w:val="16"/>
                <w:color w:val="auto"/>
              </w:rPr>
              <w:t>10,420</w:t>
            </w:r>
          </w:p>
        </w:tc>
        <w:tc>
          <w:tcPr>
            <w:tcW w:w="280" w:type="dxa"/>
            <w:vAlign w:val="bottom"/>
            <w:gridSpan w:val="2"/>
          </w:tcPr>
          <w:p>
            <w:pPr>
              <w:jc w:val="right"/>
              <w:ind w:right="2"/>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(290)</w:t>
            </w: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2"/>
              <w:spacing w:after="0"/>
              <w:rPr>
                <w:sz w:val="20"/>
                <w:szCs w:val="20"/>
                <w:color w:val="auto"/>
              </w:rPr>
            </w:pPr>
            <w:r>
              <w:rPr>
                <w:rFonts w:ascii="Arial" w:cs="Arial" w:eastAsia="Arial" w:hAnsi="Arial"/>
                <w:sz w:val="16"/>
                <w:szCs w:val="16"/>
                <w:color w:val="auto"/>
              </w:rPr>
              <w:t>16,141</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(3,485)</w:t>
            </w: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26,561</w:t>
            </w:r>
          </w:p>
        </w:tc>
        <w:tc>
          <w:tcPr>
            <w:tcW w:w="300" w:type="dxa"/>
            <w:vAlign w:val="bottom"/>
            <w:gridSpan w:val="2"/>
          </w:tcPr>
          <w:p>
            <w:pPr>
              <w:jc w:val="right"/>
              <w:ind w:right="2"/>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(3,775)</w:t>
            </w:r>
          </w:p>
        </w:tc>
        <w:tc>
          <w:tcPr>
            <w:tcW w:w="0" w:type="dxa"/>
            <w:vAlign w:val="bottom"/>
          </w:tcPr>
          <w:p>
            <w:pPr>
              <w:spacing w:after="0"/>
              <w:rPr>
                <w:sz w:val="1"/>
                <w:szCs w:val="1"/>
                <w:color w:val="auto"/>
              </w:rPr>
            </w:pPr>
          </w:p>
        </w:tc>
      </w:tr>
      <w:tr>
        <w:trPr>
          <w:trHeight w:val="20"/>
        </w:trPr>
        <w:tc>
          <w:tcPr>
            <w:tcW w:w="3740" w:type="dxa"/>
            <w:vAlign w:val="bottom"/>
            <w:vMerge w:val="restart"/>
          </w:tcPr>
          <w:p>
            <w:pPr>
              <w:spacing w:after="0"/>
              <w:rPr>
                <w:sz w:val="20"/>
                <w:szCs w:val="20"/>
                <w:color w:val="auto"/>
              </w:rPr>
            </w:pPr>
            <w:r>
              <w:rPr>
                <w:rFonts w:ascii="Arial" w:cs="Arial" w:eastAsia="Arial" w:hAnsi="Arial"/>
                <w:sz w:val="16"/>
                <w:szCs w:val="16"/>
                <w:color w:val="auto"/>
              </w:rPr>
              <w:t>Total number of available-for-sale securities in an</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37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Arial" w:cs="Arial" w:eastAsia="Arial" w:hAnsi="Arial"/>
                <w:sz w:val="16"/>
                <w:szCs w:val="16"/>
                <w:color w:val="auto"/>
              </w:rPr>
              <w:t>2,005</w:t>
            </w:r>
          </w:p>
        </w:tc>
        <w:tc>
          <w:tcPr>
            <w:tcW w:w="0" w:type="dxa"/>
            <w:vAlign w:val="bottom"/>
          </w:tcPr>
          <w:p>
            <w:pPr>
              <w:spacing w:after="0"/>
              <w:rPr>
                <w:sz w:val="1"/>
                <w:szCs w:val="1"/>
                <w:color w:val="auto"/>
              </w:rPr>
            </w:pPr>
          </w:p>
        </w:tc>
      </w:tr>
      <w:tr>
        <w:trPr>
          <w:trHeight w:val="190"/>
        </w:trPr>
        <w:tc>
          <w:tcPr>
            <w:tcW w:w="3740" w:type="dxa"/>
            <w:vAlign w:val="bottom"/>
          </w:tcPr>
          <w:p>
            <w:pPr>
              <w:spacing w:after="0"/>
              <w:rPr>
                <w:sz w:val="20"/>
                <w:szCs w:val="20"/>
                <w:color w:val="auto"/>
              </w:rPr>
            </w:pPr>
            <w:r>
              <w:rPr>
                <w:rFonts w:ascii="Arial" w:cs="Arial" w:eastAsia="Arial" w:hAnsi="Arial"/>
                <w:sz w:val="16"/>
                <w:szCs w:val="16"/>
                <w:color w:val="auto"/>
              </w:rPr>
              <w:t>unrealized loss position less than twelve months</w:t>
            </w: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740" w:type="dxa"/>
            <w:vAlign w:val="bottom"/>
            <w:vMerge w:val="restart"/>
          </w:tcPr>
          <w:p>
            <w:pPr>
              <w:spacing w:after="0"/>
              <w:rPr>
                <w:sz w:val="20"/>
                <w:szCs w:val="20"/>
                <w:color w:val="auto"/>
              </w:rPr>
            </w:pPr>
            <w:r>
              <w:rPr>
                <w:rFonts w:ascii="Arial" w:cs="Arial" w:eastAsia="Arial" w:hAnsi="Arial"/>
                <w:sz w:val="16"/>
                <w:szCs w:val="16"/>
                <w:color w:val="auto"/>
              </w:rPr>
              <w:t>Total number of available-for-sale securities in an</w:t>
            </w: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37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Arial" w:cs="Arial" w:eastAsia="Arial" w:hAnsi="Arial"/>
                <w:sz w:val="16"/>
                <w:szCs w:val="16"/>
                <w:color w:val="auto"/>
              </w:rPr>
              <w:t>2,305</w:t>
            </w:r>
          </w:p>
        </w:tc>
        <w:tc>
          <w:tcPr>
            <w:tcW w:w="0" w:type="dxa"/>
            <w:vAlign w:val="bottom"/>
          </w:tcPr>
          <w:p>
            <w:pPr>
              <w:spacing w:after="0"/>
              <w:rPr>
                <w:sz w:val="1"/>
                <w:szCs w:val="1"/>
                <w:color w:val="auto"/>
              </w:rPr>
            </w:pPr>
          </w:p>
        </w:tc>
      </w:tr>
      <w:tr>
        <w:trPr>
          <w:trHeight w:val="190"/>
        </w:trPr>
        <w:tc>
          <w:tcPr>
            <w:tcW w:w="3740" w:type="dxa"/>
            <w:vAlign w:val="bottom"/>
          </w:tcPr>
          <w:p>
            <w:pPr>
              <w:spacing w:after="0"/>
              <w:rPr>
                <w:sz w:val="20"/>
                <w:szCs w:val="20"/>
                <w:color w:val="auto"/>
              </w:rPr>
            </w:pPr>
            <w:r>
              <w:rPr>
                <w:rFonts w:ascii="Arial" w:cs="Arial" w:eastAsia="Arial" w:hAnsi="Arial"/>
                <w:sz w:val="16"/>
                <w:szCs w:val="16"/>
                <w:color w:val="auto"/>
              </w:rPr>
              <w:t>unrealized loss position twelve months or longer</w:t>
            </w: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740" w:type="dxa"/>
            <w:vAlign w:val="bottom"/>
            <w:vMerge w:val="restart"/>
          </w:tcPr>
          <w:p>
            <w:pPr>
              <w:spacing w:after="0"/>
              <w:rPr>
                <w:sz w:val="20"/>
                <w:szCs w:val="20"/>
                <w:color w:val="auto"/>
              </w:rPr>
            </w:pPr>
            <w:r>
              <w:rPr>
                <w:rFonts w:ascii="Arial" w:cs="Arial" w:eastAsia="Arial" w:hAnsi="Arial"/>
                <w:sz w:val="16"/>
                <w:szCs w:val="16"/>
                <w:color w:val="auto"/>
              </w:rPr>
              <w:t>Total number of available-for-sale securities in an</w:t>
            </w: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37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Arial" w:cs="Arial" w:eastAsia="Arial" w:hAnsi="Arial"/>
                <w:sz w:val="16"/>
                <w:szCs w:val="16"/>
                <w:color w:val="auto"/>
              </w:rPr>
              <w:t>4,310</w:t>
            </w:r>
          </w:p>
        </w:tc>
        <w:tc>
          <w:tcPr>
            <w:tcW w:w="0" w:type="dxa"/>
            <w:vAlign w:val="bottom"/>
          </w:tcPr>
          <w:p>
            <w:pPr>
              <w:spacing w:after="0"/>
              <w:rPr>
                <w:sz w:val="1"/>
                <w:szCs w:val="1"/>
                <w:color w:val="auto"/>
              </w:rPr>
            </w:pPr>
          </w:p>
        </w:tc>
      </w:tr>
      <w:tr>
        <w:trPr>
          <w:trHeight w:val="190"/>
        </w:trPr>
        <w:tc>
          <w:tcPr>
            <w:tcW w:w="3740" w:type="dxa"/>
            <w:vAlign w:val="bottom"/>
          </w:tcPr>
          <w:p>
            <w:pPr>
              <w:spacing w:after="0"/>
              <w:rPr>
                <w:sz w:val="20"/>
                <w:szCs w:val="20"/>
                <w:color w:val="auto"/>
              </w:rPr>
            </w:pPr>
            <w:r>
              <w:rPr>
                <w:rFonts w:ascii="Arial" w:cs="Arial" w:eastAsia="Arial" w:hAnsi="Arial"/>
                <w:sz w:val="16"/>
                <w:szCs w:val="16"/>
                <w:color w:val="auto"/>
              </w:rPr>
              <w:t>unrealized loss position</w:t>
            </w: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-5357495</wp:posOffset>
            </wp:positionV>
            <wp:extent cx="6410325" cy="234315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92">
                      <a:extLst>
                        <a:ext uri="{28A0092B-C50C-407E-A947-70E740481C1C}"/>
                      </a:extLst>
                    </a:blip>
                    <a:srcRect/>
                    <a:stretch>
                      <a:fillRect/>
                    </a:stretch>
                  </pic:blipFill>
                  <pic:spPr bwMode="auto">
                    <a:xfrm>
                      <a:off x="0" y="0"/>
                      <a:ext cx="6410325" cy="2343150"/>
                    </a:xfrm>
                    <a:prstGeom prst="rect">
                      <a:avLst/>
                    </a:prstGeom>
                    <a:noFill/>
                  </pic:spPr>
                </pic:pic>
              </a:graphicData>
            </a:graphic>
          </wp:anchor>
        </w:drawing>
        <w:drawing>
          <wp:anchor simplePos="0" relativeHeight="251657728" behindDoc="1" locked="0" layoutInCell="0" allowOverlap="1">
            <wp:simplePos x="0" y="0"/>
            <wp:positionH relativeFrom="column">
              <wp:posOffset>-16510</wp:posOffset>
            </wp:positionH>
            <wp:positionV relativeFrom="paragraph">
              <wp:posOffset>-2308225</wp:posOffset>
            </wp:positionV>
            <wp:extent cx="6410325" cy="231521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93">
                      <a:extLst>
                        <a:ext uri="{28A0092B-C50C-407E-A947-70E740481C1C}"/>
                      </a:extLst>
                    </a:blip>
                    <a:srcRect/>
                    <a:stretch>
                      <a:fillRect/>
                    </a:stretch>
                  </pic:blipFill>
                  <pic:spPr bwMode="auto">
                    <a:xfrm>
                      <a:off x="0" y="0"/>
                      <a:ext cx="6410325" cy="2315210"/>
                    </a:xfrm>
                    <a:prstGeom prst="rect">
                      <a:avLst/>
                    </a:prstGeom>
                    <a:noFill/>
                  </pic:spPr>
                </pic:pic>
              </a:graphicData>
            </a:graphic>
          </wp:anchor>
        </w:drawing>
      </w:r>
    </w:p>
    <w:p>
      <w:pPr>
        <w:spacing w:after="0" w:line="105" w:lineRule="exact"/>
        <w:rPr>
          <w:sz w:val="20"/>
          <w:szCs w:val="20"/>
          <w:color w:val="auto"/>
        </w:rPr>
      </w:pPr>
    </w:p>
    <w:p>
      <w:pPr>
        <w:jc w:val="both"/>
        <w:ind w:firstLine="353"/>
        <w:spacing w:after="0" w:line="306" w:lineRule="auto"/>
        <w:rPr>
          <w:sz w:val="20"/>
          <w:szCs w:val="20"/>
          <w:color w:val="auto"/>
        </w:rPr>
      </w:pPr>
      <w:r>
        <w:rPr>
          <w:rFonts w:ascii="Arial" w:cs="Arial" w:eastAsia="Arial" w:hAnsi="Arial"/>
          <w:sz w:val="17"/>
          <w:szCs w:val="17"/>
          <w:color w:val="auto"/>
        </w:rPr>
        <w:t>We determined the unrealized losses were caused by higher treasury rates compared to those at the time of the F&amp;G acquisition or the purchase of the security if later. For securities in an unrealized loss position as of December 31, 2025, our allowance for expected credit loss was $112 million. We believe the unrealized loss position for which we have not recorded an allowance for expected credit loss as of December 31, 2025 was primarily attributable to interest rate increases, near-term illiquidity, and other macroeconomic uncertainties as opposed to issuer specific credit concerns.</w:t>
      </w:r>
    </w:p>
    <w:p>
      <w:pPr>
        <w:sectPr>
          <w:pgSz w:w="11880" w:h="15480" w:orient="portrait"/>
          <w:cols w:equalWidth="0" w:num="1">
            <w:col w:w="10040"/>
          </w:cols>
          <w:pgMar w:left="920" w:top="772" w:right="920" w:bottom="0" w:gutter="0" w:footer="0" w:header="0"/>
        </w:sect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136</w:t>
      </w:r>
    </w:p>
    <w:p>
      <w:pPr>
        <w:sectPr>
          <w:pgSz w:w="11880" w:h="15480" w:orient="portrait"/>
          <w:cols w:equalWidth="0" w:num="1">
            <w:col w:w="10040"/>
          </w:cols>
          <w:pgMar w:left="920" w:top="772" w:right="920" w:bottom="0" w:gutter="0" w:footer="0" w:header="0"/>
          <w:type w:val="continuous"/>
        </w:sectPr>
      </w:pPr>
    </w:p>
    <w:bookmarkStart w:id="148" w:name="page149"/>
    <w:bookmarkEnd w:id="148"/>
    <w:p>
      <w:pPr>
        <w:ind w:left="340"/>
        <w:spacing w:after="0"/>
        <w:rPr>
          <w:sz w:val="20"/>
          <w:szCs w:val="20"/>
          <w:color w:val="auto"/>
        </w:rPr>
      </w:pPr>
      <w:r>
        <w:rPr>
          <w:rFonts w:ascii="Arial" w:cs="Arial" w:eastAsia="Arial" w:hAnsi="Arial"/>
          <w:sz w:val="20"/>
          <w:szCs w:val="20"/>
          <w:b w:val="1"/>
          <w:bCs w:val="1"/>
          <w:i w:val="1"/>
          <w:iCs w:val="1"/>
          <w:color w:val="auto"/>
        </w:rPr>
        <w:t>Mortgage Loans</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20"/>
          <w:szCs w:val="20"/>
          <w:color w:val="auto"/>
        </w:rPr>
        <w:t>Our mortgage loans are collateralized by commercial and residential properties.</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20"/>
          <w:szCs w:val="20"/>
          <w:b w:val="1"/>
          <w:bCs w:val="1"/>
          <w:color w:val="auto"/>
        </w:rPr>
        <w:t>Commercial Mortgage Loans</w:t>
      </w:r>
    </w:p>
    <w:p>
      <w:pPr>
        <w:spacing w:after="0" w:line="130" w:lineRule="exact"/>
        <w:rPr>
          <w:sz w:val="20"/>
          <w:szCs w:val="20"/>
          <w:color w:val="auto"/>
        </w:rPr>
      </w:pPr>
    </w:p>
    <w:p>
      <w:pPr>
        <w:jc w:val="both"/>
        <w:ind w:firstLine="353"/>
        <w:spacing w:after="0" w:line="300" w:lineRule="auto"/>
        <w:rPr>
          <w:sz w:val="20"/>
          <w:szCs w:val="20"/>
          <w:color w:val="auto"/>
        </w:rPr>
      </w:pPr>
      <w:r>
        <w:rPr>
          <w:rFonts w:ascii="Arial" w:cs="Arial" w:eastAsia="Arial" w:hAnsi="Arial"/>
          <w:sz w:val="17"/>
          <w:szCs w:val="17"/>
          <w:color w:val="auto"/>
        </w:rPr>
        <w:t>Commercial mortgage loans (“CMLs”) represented approximately 4% of our total investments as of December 31, 2025 and 2024. The mortgage loans in our investment portfolio are generally comprised of high quality commercial first lien and mezzanine real estate loans. Mortgage loans are primarily on income producing properties including industrial properties, retail buildings, multifamily properties and office buildings. We diversify our CML portfolio by geographic region and property type to attempt to reduce concentration risk. We continuously evaluate CMLs based on relevant current information to ensure properties are performing at a consistent and acceptable level to secure the related debt. The distribution of CMLs, gross of valuation allowances, by property type and geographic region is reflected in the following tables:</w:t>
      </w:r>
    </w:p>
    <w:p>
      <w:pPr>
        <w:spacing w:after="0" w:line="141" w:lineRule="exact"/>
        <w:rPr>
          <w:sz w:val="20"/>
          <w:szCs w:val="20"/>
          <w:color w:val="auto"/>
        </w:rPr>
      </w:pPr>
    </w:p>
    <w:tbl>
      <w:tblPr>
        <w:tblLayout w:type="fixed"/>
        <w:tblInd w:w="40" w:type="dxa"/>
        <w:tblCellMar>
          <w:top w:w="0" w:type="dxa"/>
          <w:left w:w="0" w:type="dxa"/>
          <w:bottom w:w="0" w:type="dxa"/>
          <w:right w:w="0" w:type="dxa"/>
        </w:tblCellMar>
      </w:tblPr>
      <w:tr>
        <w:trPr>
          <w:trHeight w:val="213"/>
        </w:trPr>
        <w:tc>
          <w:tcPr>
            <w:tcW w:w="46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340" w:type="dxa"/>
            <w:vAlign w:val="bottom"/>
            <w:tcBorders>
              <w:bottom w:val="single" w:sz="8" w:color="auto"/>
            </w:tcBorders>
            <w:gridSpan w:val="3"/>
          </w:tcPr>
          <w:p>
            <w:pPr>
              <w:jc w:val="right"/>
              <w:ind w:right="602"/>
              <w:spacing w:after="0"/>
              <w:rPr>
                <w:sz w:val="20"/>
                <w:szCs w:val="20"/>
                <w:color w:val="auto"/>
              </w:rPr>
            </w:pPr>
            <w:r>
              <w:rPr>
                <w:rFonts w:ascii="Arial" w:cs="Arial" w:eastAsia="Arial" w:hAnsi="Arial"/>
                <w:sz w:val="16"/>
                <w:szCs w:val="16"/>
                <w:b w:val="1"/>
                <w:bCs w:val="1"/>
                <w:color w:val="auto"/>
              </w:rPr>
              <w:t>December 31, 2025</w:t>
            </w:r>
          </w:p>
        </w:tc>
        <w:tc>
          <w:tcPr>
            <w:tcW w:w="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340" w:type="dxa"/>
            <w:vAlign w:val="bottom"/>
            <w:tcBorders>
              <w:bottom w:val="single" w:sz="8" w:color="auto"/>
            </w:tcBorders>
            <w:gridSpan w:val="3"/>
          </w:tcPr>
          <w:p>
            <w:pPr>
              <w:jc w:val="right"/>
              <w:ind w:right="602"/>
              <w:spacing w:after="0"/>
              <w:rPr>
                <w:sz w:val="20"/>
                <w:szCs w:val="20"/>
                <w:color w:val="auto"/>
              </w:rPr>
            </w:pPr>
            <w:r>
              <w:rPr>
                <w:rFonts w:ascii="Arial" w:cs="Arial" w:eastAsia="Arial" w:hAnsi="Arial"/>
                <w:sz w:val="16"/>
                <w:szCs w:val="16"/>
                <w:b w:val="1"/>
                <w:bCs w:val="1"/>
                <w:color w:val="auto"/>
              </w:rPr>
              <w:t>December 31, 2024</w:t>
            </w:r>
          </w:p>
        </w:tc>
        <w:tc>
          <w:tcPr>
            <w:tcW w:w="0" w:type="dxa"/>
            <w:vAlign w:val="bottom"/>
          </w:tcPr>
          <w:p>
            <w:pPr>
              <w:spacing w:after="0"/>
              <w:rPr>
                <w:sz w:val="1"/>
                <w:szCs w:val="1"/>
                <w:color w:val="auto"/>
              </w:rPr>
            </w:pPr>
          </w:p>
        </w:tc>
      </w:tr>
      <w:tr>
        <w:trPr>
          <w:trHeight w:val="182"/>
        </w:trPr>
        <w:tc>
          <w:tcPr>
            <w:tcW w:w="4680" w:type="dxa"/>
            <w:vAlign w:val="bottom"/>
          </w:tcPr>
          <w:p>
            <w:pPr>
              <w:spacing w:after="0"/>
              <w:rPr>
                <w:sz w:val="15"/>
                <w:szCs w:val="15"/>
                <w:color w:val="auto"/>
              </w:rPr>
            </w:pPr>
          </w:p>
        </w:tc>
        <w:tc>
          <w:tcPr>
            <w:tcW w:w="1280" w:type="dxa"/>
            <w:vAlign w:val="bottom"/>
            <w:gridSpan w:val="2"/>
          </w:tcPr>
          <w:p>
            <w:pPr>
              <w:jc w:val="right"/>
              <w:ind w:right="42"/>
              <w:spacing w:after="0" w:line="182" w:lineRule="exact"/>
              <w:rPr>
                <w:sz w:val="20"/>
                <w:szCs w:val="20"/>
                <w:color w:val="auto"/>
              </w:rPr>
            </w:pPr>
            <w:r>
              <w:rPr>
                <w:rFonts w:ascii="Arial" w:cs="Arial" w:eastAsia="Arial" w:hAnsi="Arial"/>
                <w:sz w:val="16"/>
                <w:szCs w:val="16"/>
                <w:b w:val="1"/>
                <w:bCs w:val="1"/>
                <w:color w:val="auto"/>
                <w:w w:val="97"/>
              </w:rPr>
              <w:t>Gross Carrying</w:t>
            </w:r>
          </w:p>
        </w:tc>
        <w:tc>
          <w:tcPr>
            <w:tcW w:w="60" w:type="dxa"/>
            <w:vAlign w:val="bottom"/>
          </w:tcPr>
          <w:p>
            <w:pPr>
              <w:spacing w:after="0"/>
              <w:rPr>
                <w:sz w:val="15"/>
                <w:szCs w:val="15"/>
                <w:color w:val="auto"/>
              </w:rPr>
            </w:pPr>
          </w:p>
        </w:tc>
        <w:tc>
          <w:tcPr>
            <w:tcW w:w="1280" w:type="dxa"/>
            <w:vAlign w:val="bottom"/>
            <w:vMerge w:val="restart"/>
          </w:tcPr>
          <w:p>
            <w:pPr>
              <w:jc w:val="right"/>
              <w:ind w:right="202"/>
              <w:spacing w:after="0"/>
              <w:rPr>
                <w:sz w:val="20"/>
                <w:szCs w:val="20"/>
                <w:color w:val="auto"/>
              </w:rPr>
            </w:pPr>
            <w:r>
              <w:rPr>
                <w:rFonts w:ascii="Arial" w:cs="Arial" w:eastAsia="Arial" w:hAnsi="Arial"/>
                <w:sz w:val="16"/>
                <w:szCs w:val="16"/>
                <w:b w:val="1"/>
                <w:bCs w:val="1"/>
                <w:color w:val="auto"/>
              </w:rPr>
              <w:t>% of Total</w:t>
            </w:r>
          </w:p>
        </w:tc>
        <w:tc>
          <w:tcPr>
            <w:tcW w:w="80" w:type="dxa"/>
            <w:vAlign w:val="bottom"/>
          </w:tcPr>
          <w:p>
            <w:pPr>
              <w:spacing w:after="0"/>
              <w:rPr>
                <w:sz w:val="15"/>
                <w:szCs w:val="15"/>
                <w:color w:val="auto"/>
              </w:rPr>
            </w:pPr>
          </w:p>
        </w:tc>
        <w:tc>
          <w:tcPr>
            <w:tcW w:w="1280" w:type="dxa"/>
            <w:vAlign w:val="bottom"/>
            <w:gridSpan w:val="2"/>
          </w:tcPr>
          <w:p>
            <w:pPr>
              <w:jc w:val="right"/>
              <w:ind w:right="42"/>
              <w:spacing w:after="0" w:line="182" w:lineRule="exact"/>
              <w:rPr>
                <w:sz w:val="20"/>
                <w:szCs w:val="20"/>
                <w:color w:val="auto"/>
              </w:rPr>
            </w:pPr>
            <w:r>
              <w:rPr>
                <w:rFonts w:ascii="Arial" w:cs="Arial" w:eastAsia="Arial" w:hAnsi="Arial"/>
                <w:sz w:val="16"/>
                <w:szCs w:val="16"/>
                <w:b w:val="1"/>
                <w:bCs w:val="1"/>
                <w:color w:val="auto"/>
                <w:w w:val="97"/>
              </w:rPr>
              <w:t>Gross Carrying</w:t>
            </w:r>
          </w:p>
        </w:tc>
        <w:tc>
          <w:tcPr>
            <w:tcW w:w="60" w:type="dxa"/>
            <w:vAlign w:val="bottom"/>
          </w:tcPr>
          <w:p>
            <w:pPr>
              <w:spacing w:after="0"/>
              <w:rPr>
                <w:sz w:val="15"/>
                <w:szCs w:val="15"/>
                <w:color w:val="auto"/>
              </w:rPr>
            </w:pPr>
          </w:p>
        </w:tc>
        <w:tc>
          <w:tcPr>
            <w:tcW w:w="1280" w:type="dxa"/>
            <w:vAlign w:val="bottom"/>
            <w:vMerge w:val="restart"/>
          </w:tcPr>
          <w:p>
            <w:pPr>
              <w:jc w:val="right"/>
              <w:ind w:right="202"/>
              <w:spacing w:after="0"/>
              <w:rPr>
                <w:sz w:val="20"/>
                <w:szCs w:val="20"/>
                <w:color w:val="auto"/>
              </w:rPr>
            </w:pPr>
            <w:r>
              <w:rPr>
                <w:rFonts w:ascii="Arial" w:cs="Arial" w:eastAsia="Arial" w:hAnsi="Arial"/>
                <w:sz w:val="16"/>
                <w:szCs w:val="16"/>
                <w:b w:val="1"/>
                <w:bCs w:val="1"/>
                <w:color w:val="auto"/>
              </w:rPr>
              <w:t>% of Total</w:t>
            </w:r>
          </w:p>
        </w:tc>
        <w:tc>
          <w:tcPr>
            <w:tcW w:w="0" w:type="dxa"/>
            <w:vAlign w:val="bottom"/>
          </w:tcPr>
          <w:p>
            <w:pPr>
              <w:spacing w:after="0"/>
              <w:rPr>
                <w:sz w:val="1"/>
                <w:szCs w:val="1"/>
                <w:color w:val="auto"/>
              </w:rPr>
            </w:pPr>
          </w:p>
        </w:tc>
      </w:tr>
      <w:tr>
        <w:trPr>
          <w:trHeight w:val="210"/>
        </w:trPr>
        <w:tc>
          <w:tcPr>
            <w:tcW w:w="46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82"/>
              <w:spacing w:after="0"/>
              <w:rPr>
                <w:sz w:val="20"/>
                <w:szCs w:val="20"/>
                <w:color w:val="auto"/>
              </w:rPr>
            </w:pPr>
            <w:r>
              <w:rPr>
                <w:rFonts w:ascii="Arial" w:cs="Arial" w:eastAsia="Arial" w:hAnsi="Arial"/>
                <w:sz w:val="16"/>
                <w:szCs w:val="16"/>
                <w:b w:val="1"/>
                <w:bCs w:val="1"/>
                <w:color w:val="auto"/>
              </w:rPr>
              <w:t>Value</w:t>
            </w:r>
          </w:p>
        </w:tc>
        <w:tc>
          <w:tcPr>
            <w:tcW w:w="60" w:type="dxa"/>
            <w:vAlign w:val="bottom"/>
          </w:tcPr>
          <w:p>
            <w:pPr>
              <w:spacing w:after="0"/>
              <w:rPr>
                <w:sz w:val="18"/>
                <w:szCs w:val="18"/>
                <w:color w:val="auto"/>
              </w:rPr>
            </w:pPr>
          </w:p>
        </w:tc>
        <w:tc>
          <w:tcPr>
            <w:tcW w:w="128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62"/>
              <w:spacing w:after="0"/>
              <w:rPr>
                <w:sz w:val="20"/>
                <w:szCs w:val="20"/>
                <w:color w:val="auto"/>
              </w:rPr>
            </w:pPr>
            <w:r>
              <w:rPr>
                <w:rFonts w:ascii="Arial" w:cs="Arial" w:eastAsia="Arial" w:hAnsi="Arial"/>
                <w:sz w:val="16"/>
                <w:szCs w:val="16"/>
                <w:b w:val="1"/>
                <w:bCs w:val="1"/>
                <w:color w:val="auto"/>
              </w:rPr>
              <w:t>Value</w:t>
            </w:r>
          </w:p>
        </w:tc>
        <w:tc>
          <w:tcPr>
            <w:tcW w:w="60" w:type="dxa"/>
            <w:vAlign w:val="bottom"/>
          </w:tcPr>
          <w:p>
            <w:pPr>
              <w:spacing w:after="0"/>
              <w:rPr>
                <w:sz w:val="18"/>
                <w:szCs w:val="18"/>
                <w:color w:val="auto"/>
              </w:rPr>
            </w:pPr>
          </w:p>
        </w:tc>
        <w:tc>
          <w:tcPr>
            <w:tcW w:w="12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80" w:type="dxa"/>
            <w:vAlign w:val="bottom"/>
          </w:tcPr>
          <w:p>
            <w:pPr>
              <w:spacing w:after="0"/>
              <w:rPr>
                <w:sz w:val="20"/>
                <w:szCs w:val="20"/>
                <w:color w:val="auto"/>
              </w:rPr>
            </w:pPr>
            <w:r>
              <w:rPr>
                <w:rFonts w:ascii="Arial" w:cs="Arial" w:eastAsia="Arial" w:hAnsi="Arial"/>
                <w:sz w:val="16"/>
                <w:szCs w:val="16"/>
                <w:b w:val="1"/>
                <w:bCs w:val="1"/>
                <w:color w:val="auto"/>
              </w:rPr>
              <w:t>Property Type:</w:t>
            </w: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40" w:type="dxa"/>
            <w:vAlign w:val="bottom"/>
            <w:gridSpan w:val="4"/>
          </w:tcPr>
          <w:p>
            <w:pPr>
              <w:jc w:val="right"/>
              <w:ind w:right="582"/>
              <w:spacing w:after="0"/>
              <w:rPr>
                <w:sz w:val="20"/>
                <w:szCs w:val="20"/>
                <w:color w:val="auto"/>
              </w:rPr>
            </w:pPr>
            <w:r>
              <w:rPr>
                <w:rFonts w:ascii="Arial" w:cs="Arial" w:eastAsia="Arial" w:hAnsi="Arial"/>
                <w:sz w:val="16"/>
                <w:szCs w:val="16"/>
                <w:b w:val="1"/>
                <w:bCs w:val="1"/>
                <w:color w:val="auto"/>
              </w:rPr>
              <w:t>(Dollars in millions)</w:t>
            </w:r>
          </w:p>
        </w:tc>
        <w:tc>
          <w:tcPr>
            <w:tcW w:w="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4680" w:type="dxa"/>
            <w:vAlign w:val="bottom"/>
          </w:tcPr>
          <w:p>
            <w:pPr>
              <w:ind w:left="140"/>
              <w:spacing w:after="0"/>
              <w:rPr>
                <w:sz w:val="20"/>
                <w:szCs w:val="20"/>
                <w:color w:val="auto"/>
              </w:rPr>
            </w:pPr>
            <w:r>
              <w:rPr>
                <w:rFonts w:ascii="Arial" w:cs="Arial" w:eastAsia="Arial" w:hAnsi="Arial"/>
                <w:sz w:val="16"/>
                <w:szCs w:val="16"/>
                <w:color w:val="auto"/>
              </w:rPr>
              <w:t>Hotel</w:t>
            </w:r>
          </w:p>
        </w:tc>
        <w:tc>
          <w:tcPr>
            <w:tcW w:w="280" w:type="dxa"/>
            <w:vAlign w:val="bottom"/>
          </w:tcPr>
          <w:p>
            <w:pPr>
              <w:jc w:val="right"/>
              <w:ind w:right="82"/>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2"/>
              <w:spacing w:after="0"/>
              <w:rPr>
                <w:sz w:val="20"/>
                <w:szCs w:val="20"/>
                <w:color w:val="auto"/>
              </w:rPr>
            </w:pPr>
            <w:r>
              <w:rPr>
                <w:rFonts w:ascii="Arial" w:cs="Arial" w:eastAsia="Arial" w:hAnsi="Arial"/>
                <w:sz w:val="16"/>
                <w:szCs w:val="16"/>
                <w:color w:val="auto"/>
              </w:rPr>
              <w:t>9</w:t>
            </w:r>
          </w:p>
        </w:tc>
        <w:tc>
          <w:tcPr>
            <w:tcW w:w="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 %</w:t>
            </w:r>
          </w:p>
        </w:tc>
        <w:tc>
          <w:tcPr>
            <w:tcW w:w="360" w:type="dxa"/>
            <w:vAlign w:val="bottom"/>
            <w:gridSpan w:val="2"/>
          </w:tcPr>
          <w:p>
            <w:pPr>
              <w:jc w:val="right"/>
              <w:ind w:right="82"/>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2"/>
              <w:spacing w:after="0"/>
              <w:rPr>
                <w:sz w:val="20"/>
                <w:szCs w:val="20"/>
                <w:color w:val="auto"/>
              </w:rPr>
            </w:pPr>
            <w:r>
              <w:rPr>
                <w:rFonts w:ascii="Arial" w:cs="Arial" w:eastAsia="Arial" w:hAnsi="Arial"/>
                <w:sz w:val="16"/>
                <w:szCs w:val="16"/>
                <w:color w:val="auto"/>
              </w:rPr>
              <w:t>17</w:t>
            </w:r>
          </w:p>
        </w:tc>
        <w:tc>
          <w:tcPr>
            <w:tcW w:w="1340" w:type="dxa"/>
            <w:vAlign w:val="bottom"/>
            <w:gridSpan w:val="2"/>
          </w:tcPr>
          <w:p>
            <w:pPr>
              <w:jc w:val="right"/>
              <w:spacing w:after="0"/>
              <w:rPr>
                <w:sz w:val="20"/>
                <w:szCs w:val="20"/>
                <w:color w:val="auto"/>
              </w:rPr>
            </w:pPr>
            <w:r>
              <w:rPr>
                <w:rFonts w:ascii="Arial" w:cs="Arial" w:eastAsia="Arial" w:hAnsi="Arial"/>
                <w:sz w:val="16"/>
                <w:szCs w:val="16"/>
                <w:color w:val="auto"/>
              </w:rPr>
              <w:t>1 %</w:t>
            </w:r>
          </w:p>
        </w:tc>
        <w:tc>
          <w:tcPr>
            <w:tcW w:w="0" w:type="dxa"/>
            <w:vAlign w:val="bottom"/>
          </w:tcPr>
          <w:p>
            <w:pPr>
              <w:spacing w:after="0"/>
              <w:rPr>
                <w:sz w:val="1"/>
                <w:szCs w:val="1"/>
                <w:color w:val="auto"/>
              </w:rPr>
            </w:pPr>
          </w:p>
        </w:tc>
      </w:tr>
      <w:tr>
        <w:trPr>
          <w:trHeight w:val="250"/>
        </w:trPr>
        <w:tc>
          <w:tcPr>
            <w:tcW w:w="4680" w:type="dxa"/>
            <w:vAlign w:val="bottom"/>
          </w:tcPr>
          <w:p>
            <w:pPr>
              <w:ind w:left="140"/>
              <w:spacing w:after="0"/>
              <w:rPr>
                <w:sz w:val="20"/>
                <w:szCs w:val="20"/>
                <w:color w:val="auto"/>
              </w:rPr>
            </w:pPr>
            <w:r>
              <w:rPr>
                <w:rFonts w:ascii="Arial" w:cs="Arial" w:eastAsia="Arial" w:hAnsi="Arial"/>
                <w:sz w:val="16"/>
                <w:szCs w:val="16"/>
                <w:color w:val="auto"/>
              </w:rPr>
              <w:t>Industrial</w:t>
            </w:r>
          </w:p>
        </w:tc>
        <w:tc>
          <w:tcPr>
            <w:tcW w:w="280" w:type="dxa"/>
            <w:vAlign w:val="bottom"/>
          </w:tcPr>
          <w:p>
            <w:pPr>
              <w:spacing w:after="0"/>
              <w:rPr>
                <w:sz w:val="21"/>
                <w:szCs w:val="21"/>
                <w:color w:val="auto"/>
              </w:rPr>
            </w:pPr>
          </w:p>
        </w:tc>
        <w:tc>
          <w:tcPr>
            <w:tcW w:w="1000" w:type="dxa"/>
            <w:vAlign w:val="bottom"/>
          </w:tcPr>
          <w:p>
            <w:pPr>
              <w:jc w:val="right"/>
              <w:ind w:right="2"/>
              <w:spacing w:after="0"/>
              <w:rPr>
                <w:sz w:val="20"/>
                <w:szCs w:val="20"/>
                <w:color w:val="auto"/>
              </w:rPr>
            </w:pPr>
            <w:r>
              <w:rPr>
                <w:rFonts w:ascii="Arial" w:cs="Arial" w:eastAsia="Arial" w:hAnsi="Arial"/>
                <w:sz w:val="16"/>
                <w:szCs w:val="16"/>
                <w:color w:val="auto"/>
              </w:rPr>
              <w:t>671</w:t>
            </w:r>
          </w:p>
        </w:tc>
        <w:tc>
          <w:tcPr>
            <w:tcW w:w="1340" w:type="dxa"/>
            <w:vAlign w:val="bottom"/>
            <w:gridSpan w:val="2"/>
          </w:tcPr>
          <w:p>
            <w:pPr>
              <w:jc w:val="right"/>
              <w:ind w:right="122"/>
              <w:spacing w:after="0"/>
              <w:rPr>
                <w:sz w:val="20"/>
                <w:szCs w:val="20"/>
                <w:color w:val="auto"/>
              </w:rPr>
            </w:pPr>
            <w:r>
              <w:rPr>
                <w:rFonts w:ascii="Arial" w:cs="Arial" w:eastAsia="Arial" w:hAnsi="Arial"/>
                <w:sz w:val="16"/>
                <w:szCs w:val="16"/>
                <w:color w:val="auto"/>
              </w:rPr>
              <w:t>21</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jc w:val="right"/>
              <w:ind w:right="2"/>
              <w:spacing w:after="0"/>
              <w:rPr>
                <w:sz w:val="20"/>
                <w:szCs w:val="20"/>
                <w:color w:val="auto"/>
              </w:rPr>
            </w:pPr>
            <w:r>
              <w:rPr>
                <w:rFonts w:ascii="Arial" w:cs="Arial" w:eastAsia="Arial" w:hAnsi="Arial"/>
                <w:sz w:val="16"/>
                <w:szCs w:val="16"/>
                <w:color w:val="auto"/>
              </w:rPr>
              <w:t>657</w:t>
            </w:r>
          </w:p>
        </w:tc>
        <w:tc>
          <w:tcPr>
            <w:tcW w:w="1340" w:type="dxa"/>
            <w:vAlign w:val="bottom"/>
            <w:gridSpan w:val="2"/>
          </w:tcPr>
          <w:p>
            <w:pPr>
              <w:jc w:val="right"/>
              <w:ind w:right="102"/>
              <w:spacing w:after="0"/>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250"/>
        </w:trPr>
        <w:tc>
          <w:tcPr>
            <w:tcW w:w="4680" w:type="dxa"/>
            <w:vAlign w:val="bottom"/>
          </w:tcPr>
          <w:p>
            <w:pPr>
              <w:ind w:left="140"/>
              <w:spacing w:after="0"/>
              <w:rPr>
                <w:sz w:val="20"/>
                <w:szCs w:val="20"/>
                <w:color w:val="auto"/>
              </w:rPr>
            </w:pPr>
            <w:r>
              <w:rPr>
                <w:rFonts w:ascii="Arial" w:cs="Arial" w:eastAsia="Arial" w:hAnsi="Arial"/>
                <w:sz w:val="16"/>
                <w:szCs w:val="16"/>
                <w:color w:val="auto"/>
              </w:rPr>
              <w:t>Mixed Use</w:t>
            </w:r>
          </w:p>
        </w:tc>
        <w:tc>
          <w:tcPr>
            <w:tcW w:w="280" w:type="dxa"/>
            <w:vAlign w:val="bottom"/>
          </w:tcPr>
          <w:p>
            <w:pPr>
              <w:spacing w:after="0"/>
              <w:rPr>
                <w:sz w:val="21"/>
                <w:szCs w:val="21"/>
                <w:color w:val="auto"/>
              </w:rPr>
            </w:pPr>
          </w:p>
        </w:tc>
        <w:tc>
          <w:tcPr>
            <w:tcW w:w="1000" w:type="dxa"/>
            <w:vAlign w:val="bottom"/>
          </w:tcPr>
          <w:p>
            <w:pPr>
              <w:jc w:val="right"/>
              <w:ind w:right="2"/>
              <w:spacing w:after="0"/>
              <w:rPr>
                <w:sz w:val="20"/>
                <w:szCs w:val="20"/>
                <w:color w:val="auto"/>
              </w:rPr>
            </w:pPr>
            <w:r>
              <w:rPr>
                <w:rFonts w:ascii="Arial" w:cs="Arial" w:eastAsia="Arial" w:hAnsi="Arial"/>
                <w:sz w:val="16"/>
                <w:szCs w:val="16"/>
                <w:color w:val="auto"/>
              </w:rPr>
              <w:t>21</w:t>
            </w:r>
          </w:p>
        </w:tc>
        <w:tc>
          <w:tcPr>
            <w:tcW w:w="1340" w:type="dxa"/>
            <w:vAlign w:val="bottom"/>
            <w:gridSpan w:val="2"/>
          </w:tcPr>
          <w:p>
            <w:pPr>
              <w:jc w:val="right"/>
              <w:ind w:right="122"/>
              <w:spacing w:after="0"/>
              <w:rPr>
                <w:sz w:val="20"/>
                <w:szCs w:val="20"/>
                <w:color w:val="auto"/>
              </w:rPr>
            </w:pPr>
            <w:r>
              <w:rPr>
                <w:rFonts w:ascii="Arial" w:cs="Arial" w:eastAsia="Arial" w:hAnsi="Arial"/>
                <w:sz w:val="16"/>
                <w:szCs w:val="16"/>
                <w:color w:val="auto"/>
              </w:rPr>
              <w:t>1</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jc w:val="right"/>
              <w:ind w:right="2"/>
              <w:spacing w:after="0"/>
              <w:rPr>
                <w:sz w:val="20"/>
                <w:szCs w:val="20"/>
                <w:color w:val="auto"/>
              </w:rPr>
            </w:pPr>
            <w:r>
              <w:rPr>
                <w:rFonts w:ascii="Arial" w:cs="Arial" w:eastAsia="Arial" w:hAnsi="Arial"/>
                <w:sz w:val="16"/>
                <w:szCs w:val="16"/>
                <w:color w:val="auto"/>
              </w:rPr>
              <w:t>11</w:t>
            </w:r>
          </w:p>
        </w:tc>
        <w:tc>
          <w:tcPr>
            <w:tcW w:w="60" w:type="dxa"/>
            <w:vAlign w:val="bottom"/>
          </w:tcPr>
          <w:p>
            <w:pPr>
              <w:spacing w:after="0"/>
              <w:rPr>
                <w:sz w:val="21"/>
                <w:szCs w:val="21"/>
                <w:color w:val="auto"/>
              </w:rPr>
            </w:pPr>
          </w:p>
        </w:tc>
        <w:tc>
          <w:tcPr>
            <w:tcW w:w="1280" w:type="dxa"/>
            <w:vAlign w:val="bottom"/>
          </w:tcPr>
          <w:p>
            <w:pPr>
              <w:jc w:val="right"/>
              <w:ind w:right="10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0"/>
        </w:trPr>
        <w:tc>
          <w:tcPr>
            <w:tcW w:w="4680" w:type="dxa"/>
            <w:vAlign w:val="bottom"/>
          </w:tcPr>
          <w:p>
            <w:pPr>
              <w:ind w:left="140"/>
              <w:spacing w:after="0"/>
              <w:rPr>
                <w:sz w:val="20"/>
                <w:szCs w:val="20"/>
                <w:color w:val="auto"/>
              </w:rPr>
            </w:pPr>
            <w:r>
              <w:rPr>
                <w:rFonts w:ascii="Arial" w:cs="Arial" w:eastAsia="Arial" w:hAnsi="Arial"/>
                <w:sz w:val="16"/>
                <w:szCs w:val="16"/>
                <w:color w:val="auto"/>
              </w:rPr>
              <w:t>Multifamily</w:t>
            </w:r>
          </w:p>
        </w:tc>
        <w:tc>
          <w:tcPr>
            <w:tcW w:w="280" w:type="dxa"/>
            <w:vAlign w:val="bottom"/>
          </w:tcPr>
          <w:p>
            <w:pPr>
              <w:spacing w:after="0"/>
              <w:rPr>
                <w:sz w:val="21"/>
                <w:szCs w:val="21"/>
                <w:color w:val="auto"/>
              </w:rPr>
            </w:pPr>
          </w:p>
        </w:tc>
        <w:tc>
          <w:tcPr>
            <w:tcW w:w="1000" w:type="dxa"/>
            <w:vAlign w:val="bottom"/>
          </w:tcPr>
          <w:p>
            <w:pPr>
              <w:jc w:val="right"/>
              <w:ind w:right="2"/>
              <w:spacing w:after="0"/>
              <w:rPr>
                <w:sz w:val="20"/>
                <w:szCs w:val="20"/>
                <w:color w:val="auto"/>
              </w:rPr>
            </w:pPr>
            <w:r>
              <w:rPr>
                <w:rFonts w:ascii="Arial" w:cs="Arial" w:eastAsia="Arial" w:hAnsi="Arial"/>
                <w:sz w:val="16"/>
                <w:szCs w:val="16"/>
                <w:color w:val="auto"/>
              </w:rPr>
              <w:t>1,150</w:t>
            </w:r>
          </w:p>
        </w:tc>
        <w:tc>
          <w:tcPr>
            <w:tcW w:w="1340" w:type="dxa"/>
            <w:vAlign w:val="bottom"/>
            <w:gridSpan w:val="2"/>
          </w:tcPr>
          <w:p>
            <w:pPr>
              <w:jc w:val="right"/>
              <w:ind w:right="122"/>
              <w:spacing w:after="0"/>
              <w:rPr>
                <w:sz w:val="20"/>
                <w:szCs w:val="20"/>
                <w:color w:val="auto"/>
              </w:rPr>
            </w:pPr>
            <w:r>
              <w:rPr>
                <w:rFonts w:ascii="Arial" w:cs="Arial" w:eastAsia="Arial" w:hAnsi="Arial"/>
                <w:sz w:val="16"/>
                <w:szCs w:val="16"/>
                <w:color w:val="auto"/>
              </w:rPr>
              <w:t>35</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jc w:val="right"/>
              <w:ind w:right="2"/>
              <w:spacing w:after="0"/>
              <w:rPr>
                <w:sz w:val="20"/>
                <w:szCs w:val="20"/>
                <w:color w:val="auto"/>
              </w:rPr>
            </w:pPr>
            <w:r>
              <w:rPr>
                <w:rFonts w:ascii="Arial" w:cs="Arial" w:eastAsia="Arial" w:hAnsi="Arial"/>
                <w:sz w:val="16"/>
                <w:szCs w:val="16"/>
                <w:color w:val="auto"/>
              </w:rPr>
              <w:t>1,006</w:t>
            </w:r>
          </w:p>
        </w:tc>
        <w:tc>
          <w:tcPr>
            <w:tcW w:w="1340" w:type="dxa"/>
            <w:vAlign w:val="bottom"/>
            <w:gridSpan w:val="2"/>
          </w:tcPr>
          <w:p>
            <w:pPr>
              <w:jc w:val="right"/>
              <w:ind w:right="102"/>
              <w:spacing w:after="0"/>
              <w:rPr>
                <w:sz w:val="20"/>
                <w:szCs w:val="20"/>
                <w:color w:val="auto"/>
              </w:rPr>
            </w:pPr>
            <w:r>
              <w:rPr>
                <w:rFonts w:ascii="Arial" w:cs="Arial" w:eastAsia="Arial" w:hAnsi="Arial"/>
                <w:sz w:val="16"/>
                <w:szCs w:val="16"/>
                <w:color w:val="auto"/>
              </w:rPr>
              <w:t>37</w:t>
            </w:r>
          </w:p>
        </w:tc>
        <w:tc>
          <w:tcPr>
            <w:tcW w:w="0" w:type="dxa"/>
            <w:vAlign w:val="bottom"/>
          </w:tcPr>
          <w:p>
            <w:pPr>
              <w:spacing w:after="0"/>
              <w:rPr>
                <w:sz w:val="1"/>
                <w:szCs w:val="1"/>
                <w:color w:val="auto"/>
              </w:rPr>
            </w:pPr>
          </w:p>
        </w:tc>
      </w:tr>
      <w:tr>
        <w:trPr>
          <w:trHeight w:val="250"/>
        </w:trPr>
        <w:tc>
          <w:tcPr>
            <w:tcW w:w="4680" w:type="dxa"/>
            <w:vAlign w:val="bottom"/>
          </w:tcPr>
          <w:p>
            <w:pPr>
              <w:ind w:left="140"/>
              <w:spacing w:after="0"/>
              <w:rPr>
                <w:sz w:val="20"/>
                <w:szCs w:val="20"/>
                <w:color w:val="auto"/>
              </w:rPr>
            </w:pPr>
            <w:r>
              <w:rPr>
                <w:rFonts w:ascii="Arial" w:cs="Arial" w:eastAsia="Arial" w:hAnsi="Arial"/>
                <w:sz w:val="16"/>
                <w:szCs w:val="16"/>
                <w:color w:val="auto"/>
              </w:rPr>
              <w:t>Office</w:t>
            </w:r>
          </w:p>
        </w:tc>
        <w:tc>
          <w:tcPr>
            <w:tcW w:w="280" w:type="dxa"/>
            <w:vAlign w:val="bottom"/>
          </w:tcPr>
          <w:p>
            <w:pPr>
              <w:spacing w:after="0"/>
              <w:rPr>
                <w:sz w:val="21"/>
                <w:szCs w:val="21"/>
                <w:color w:val="auto"/>
              </w:rPr>
            </w:pPr>
          </w:p>
        </w:tc>
        <w:tc>
          <w:tcPr>
            <w:tcW w:w="1000" w:type="dxa"/>
            <w:vAlign w:val="bottom"/>
          </w:tcPr>
          <w:p>
            <w:pPr>
              <w:jc w:val="right"/>
              <w:ind w:right="2"/>
              <w:spacing w:after="0"/>
              <w:rPr>
                <w:sz w:val="20"/>
                <w:szCs w:val="20"/>
                <w:color w:val="auto"/>
              </w:rPr>
            </w:pPr>
            <w:r>
              <w:rPr>
                <w:rFonts w:ascii="Arial" w:cs="Arial" w:eastAsia="Arial" w:hAnsi="Arial"/>
                <w:sz w:val="16"/>
                <w:szCs w:val="16"/>
                <w:color w:val="auto"/>
              </w:rPr>
              <w:t>345</w:t>
            </w:r>
          </w:p>
        </w:tc>
        <w:tc>
          <w:tcPr>
            <w:tcW w:w="1340" w:type="dxa"/>
            <w:vAlign w:val="bottom"/>
            <w:gridSpan w:val="2"/>
          </w:tcPr>
          <w:p>
            <w:pPr>
              <w:jc w:val="right"/>
              <w:ind w:right="122"/>
              <w:spacing w:after="0"/>
              <w:rPr>
                <w:sz w:val="20"/>
                <w:szCs w:val="20"/>
                <w:color w:val="auto"/>
              </w:rPr>
            </w:pPr>
            <w:r>
              <w:rPr>
                <w:rFonts w:ascii="Arial" w:cs="Arial" w:eastAsia="Arial" w:hAnsi="Arial"/>
                <w:sz w:val="16"/>
                <w:szCs w:val="16"/>
                <w:color w:val="auto"/>
              </w:rPr>
              <w:t>11</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jc w:val="right"/>
              <w:ind w:right="2"/>
              <w:spacing w:after="0"/>
              <w:rPr>
                <w:sz w:val="20"/>
                <w:szCs w:val="20"/>
                <w:color w:val="auto"/>
              </w:rPr>
            </w:pPr>
            <w:r>
              <w:rPr>
                <w:rFonts w:ascii="Arial" w:cs="Arial" w:eastAsia="Arial" w:hAnsi="Arial"/>
                <w:sz w:val="16"/>
                <w:szCs w:val="16"/>
                <w:color w:val="auto"/>
              </w:rPr>
              <w:t>349</w:t>
            </w:r>
          </w:p>
        </w:tc>
        <w:tc>
          <w:tcPr>
            <w:tcW w:w="1340" w:type="dxa"/>
            <w:vAlign w:val="bottom"/>
            <w:gridSpan w:val="2"/>
          </w:tcPr>
          <w:p>
            <w:pPr>
              <w:jc w:val="right"/>
              <w:ind w:right="102"/>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250"/>
        </w:trPr>
        <w:tc>
          <w:tcPr>
            <w:tcW w:w="4680" w:type="dxa"/>
            <w:vAlign w:val="bottom"/>
          </w:tcPr>
          <w:p>
            <w:pPr>
              <w:ind w:left="140"/>
              <w:spacing w:after="0"/>
              <w:rPr>
                <w:sz w:val="20"/>
                <w:szCs w:val="20"/>
                <w:color w:val="auto"/>
              </w:rPr>
            </w:pPr>
            <w:r>
              <w:rPr>
                <w:rFonts w:ascii="Arial" w:cs="Arial" w:eastAsia="Arial" w:hAnsi="Arial"/>
                <w:sz w:val="16"/>
                <w:szCs w:val="16"/>
                <w:color w:val="auto"/>
              </w:rPr>
              <w:t>Retail</w:t>
            </w:r>
          </w:p>
        </w:tc>
        <w:tc>
          <w:tcPr>
            <w:tcW w:w="280" w:type="dxa"/>
            <w:vAlign w:val="bottom"/>
          </w:tcPr>
          <w:p>
            <w:pPr>
              <w:spacing w:after="0"/>
              <w:rPr>
                <w:sz w:val="21"/>
                <w:szCs w:val="21"/>
                <w:color w:val="auto"/>
              </w:rPr>
            </w:pPr>
          </w:p>
        </w:tc>
        <w:tc>
          <w:tcPr>
            <w:tcW w:w="1000" w:type="dxa"/>
            <w:vAlign w:val="bottom"/>
          </w:tcPr>
          <w:p>
            <w:pPr>
              <w:jc w:val="right"/>
              <w:ind w:right="2"/>
              <w:spacing w:after="0"/>
              <w:rPr>
                <w:sz w:val="20"/>
                <w:szCs w:val="20"/>
                <w:color w:val="auto"/>
              </w:rPr>
            </w:pPr>
            <w:r>
              <w:rPr>
                <w:rFonts w:ascii="Arial" w:cs="Arial" w:eastAsia="Arial" w:hAnsi="Arial"/>
                <w:sz w:val="16"/>
                <w:szCs w:val="16"/>
                <w:color w:val="auto"/>
              </w:rPr>
              <w:t>327</w:t>
            </w:r>
          </w:p>
        </w:tc>
        <w:tc>
          <w:tcPr>
            <w:tcW w:w="1340" w:type="dxa"/>
            <w:vAlign w:val="bottom"/>
            <w:gridSpan w:val="2"/>
          </w:tcPr>
          <w:p>
            <w:pPr>
              <w:jc w:val="right"/>
              <w:ind w:right="122"/>
              <w:spacing w:after="0"/>
              <w:rPr>
                <w:sz w:val="20"/>
                <w:szCs w:val="20"/>
                <w:color w:val="auto"/>
              </w:rPr>
            </w:pPr>
            <w:r>
              <w:rPr>
                <w:rFonts w:ascii="Arial" w:cs="Arial" w:eastAsia="Arial" w:hAnsi="Arial"/>
                <w:sz w:val="16"/>
                <w:szCs w:val="16"/>
                <w:color w:val="auto"/>
              </w:rPr>
              <w:t>10</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jc w:val="right"/>
              <w:ind w:right="2"/>
              <w:spacing w:after="0"/>
              <w:rPr>
                <w:sz w:val="20"/>
                <w:szCs w:val="20"/>
                <w:color w:val="auto"/>
              </w:rPr>
            </w:pPr>
            <w:r>
              <w:rPr>
                <w:rFonts w:ascii="Arial" w:cs="Arial" w:eastAsia="Arial" w:hAnsi="Arial"/>
                <w:sz w:val="16"/>
                <w:szCs w:val="16"/>
                <w:color w:val="auto"/>
              </w:rPr>
              <w:t>98</w:t>
            </w:r>
          </w:p>
        </w:tc>
        <w:tc>
          <w:tcPr>
            <w:tcW w:w="1340" w:type="dxa"/>
            <w:vAlign w:val="bottom"/>
            <w:gridSpan w:val="2"/>
          </w:tcPr>
          <w:p>
            <w:pPr>
              <w:jc w:val="right"/>
              <w:ind w:right="102"/>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50"/>
        </w:trPr>
        <w:tc>
          <w:tcPr>
            <w:tcW w:w="4680" w:type="dxa"/>
            <w:vAlign w:val="bottom"/>
          </w:tcPr>
          <w:p>
            <w:pPr>
              <w:ind w:left="140"/>
              <w:spacing w:after="0"/>
              <w:rPr>
                <w:sz w:val="20"/>
                <w:szCs w:val="20"/>
                <w:color w:val="auto"/>
              </w:rPr>
            </w:pPr>
            <w:r>
              <w:rPr>
                <w:rFonts w:ascii="Arial" w:cs="Arial" w:eastAsia="Arial" w:hAnsi="Arial"/>
                <w:sz w:val="16"/>
                <w:szCs w:val="16"/>
                <w:color w:val="auto"/>
              </w:rPr>
              <w:t>Student Housing</w:t>
            </w:r>
          </w:p>
        </w:tc>
        <w:tc>
          <w:tcPr>
            <w:tcW w:w="280" w:type="dxa"/>
            <w:vAlign w:val="bottom"/>
          </w:tcPr>
          <w:p>
            <w:pPr>
              <w:spacing w:after="0"/>
              <w:rPr>
                <w:sz w:val="21"/>
                <w:szCs w:val="21"/>
                <w:color w:val="auto"/>
              </w:rPr>
            </w:pPr>
          </w:p>
        </w:tc>
        <w:tc>
          <w:tcPr>
            <w:tcW w:w="1000" w:type="dxa"/>
            <w:vAlign w:val="bottom"/>
          </w:tcPr>
          <w:p>
            <w:pPr>
              <w:jc w:val="right"/>
              <w:ind w:right="2"/>
              <w:spacing w:after="0"/>
              <w:rPr>
                <w:sz w:val="20"/>
                <w:szCs w:val="20"/>
                <w:color w:val="auto"/>
              </w:rPr>
            </w:pPr>
            <w:r>
              <w:rPr>
                <w:rFonts w:ascii="Arial" w:cs="Arial" w:eastAsia="Arial" w:hAnsi="Arial"/>
                <w:sz w:val="16"/>
                <w:szCs w:val="16"/>
                <w:color w:val="auto"/>
              </w:rPr>
              <w:t>83</w:t>
            </w:r>
          </w:p>
        </w:tc>
        <w:tc>
          <w:tcPr>
            <w:tcW w:w="1340" w:type="dxa"/>
            <w:vAlign w:val="bottom"/>
            <w:gridSpan w:val="2"/>
          </w:tcPr>
          <w:p>
            <w:pPr>
              <w:jc w:val="right"/>
              <w:ind w:right="122"/>
              <w:spacing w:after="0"/>
              <w:rPr>
                <w:sz w:val="20"/>
                <w:szCs w:val="20"/>
                <w:color w:val="auto"/>
              </w:rPr>
            </w:pPr>
            <w:r>
              <w:rPr>
                <w:rFonts w:ascii="Arial" w:cs="Arial" w:eastAsia="Arial" w:hAnsi="Arial"/>
                <w:sz w:val="16"/>
                <w:szCs w:val="16"/>
                <w:color w:val="auto"/>
              </w:rPr>
              <w:t>3</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jc w:val="right"/>
              <w:ind w:right="2"/>
              <w:spacing w:after="0"/>
              <w:rPr>
                <w:sz w:val="20"/>
                <w:szCs w:val="20"/>
                <w:color w:val="auto"/>
              </w:rPr>
            </w:pPr>
            <w:r>
              <w:rPr>
                <w:rFonts w:ascii="Arial" w:cs="Arial" w:eastAsia="Arial" w:hAnsi="Arial"/>
                <w:sz w:val="16"/>
                <w:szCs w:val="16"/>
                <w:color w:val="auto"/>
              </w:rPr>
              <w:t>83</w:t>
            </w:r>
          </w:p>
        </w:tc>
        <w:tc>
          <w:tcPr>
            <w:tcW w:w="1340" w:type="dxa"/>
            <w:vAlign w:val="bottom"/>
            <w:gridSpan w:val="2"/>
          </w:tcPr>
          <w:p>
            <w:pPr>
              <w:jc w:val="right"/>
              <w:ind w:right="102"/>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57"/>
        </w:trPr>
        <w:tc>
          <w:tcPr>
            <w:tcW w:w="4680" w:type="dxa"/>
            <w:vAlign w:val="bottom"/>
          </w:tcPr>
          <w:p>
            <w:pPr>
              <w:ind w:left="140"/>
              <w:spacing w:after="0"/>
              <w:rPr>
                <w:sz w:val="20"/>
                <w:szCs w:val="20"/>
                <w:color w:val="auto"/>
              </w:rPr>
            </w:pPr>
            <w:r>
              <w:rPr>
                <w:rFonts w:ascii="Arial" w:cs="Arial" w:eastAsia="Arial" w:hAnsi="Arial"/>
                <w:sz w:val="16"/>
                <w:szCs w:val="16"/>
                <w:color w:val="auto"/>
              </w:rPr>
              <w:t>Other</w:t>
            </w:r>
          </w:p>
        </w:tc>
        <w:tc>
          <w:tcPr>
            <w:tcW w:w="2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654</w:t>
            </w:r>
          </w:p>
        </w:tc>
        <w:tc>
          <w:tcPr>
            <w:tcW w:w="60" w:type="dxa"/>
            <w:vAlign w:val="bottom"/>
          </w:tcPr>
          <w:p>
            <w:pPr>
              <w:spacing w:after="0"/>
              <w:rPr>
                <w:sz w:val="22"/>
                <w:szCs w:val="22"/>
                <w:color w:val="auto"/>
              </w:rPr>
            </w:pPr>
          </w:p>
        </w:tc>
        <w:tc>
          <w:tcPr>
            <w:tcW w:w="1280" w:type="dxa"/>
            <w:vAlign w:val="bottom"/>
            <w:tcBorders>
              <w:bottom w:val="single" w:sz="8" w:color="auto"/>
            </w:tcBorders>
          </w:tcPr>
          <w:p>
            <w:pPr>
              <w:jc w:val="right"/>
              <w:ind w:right="122"/>
              <w:spacing w:after="0"/>
              <w:rPr>
                <w:sz w:val="20"/>
                <w:szCs w:val="20"/>
                <w:color w:val="auto"/>
              </w:rPr>
            </w:pPr>
            <w:r>
              <w:rPr>
                <w:rFonts w:ascii="Arial" w:cs="Arial" w:eastAsia="Arial" w:hAnsi="Arial"/>
                <w:sz w:val="16"/>
                <w:szCs w:val="16"/>
                <w:color w:val="auto"/>
              </w:rPr>
              <w:t>19</w:t>
            </w:r>
          </w:p>
        </w:tc>
        <w:tc>
          <w:tcPr>
            <w:tcW w:w="8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501</w:t>
            </w:r>
          </w:p>
        </w:tc>
        <w:tc>
          <w:tcPr>
            <w:tcW w:w="60" w:type="dxa"/>
            <w:vAlign w:val="bottom"/>
          </w:tcPr>
          <w:p>
            <w:pPr>
              <w:spacing w:after="0"/>
              <w:rPr>
                <w:sz w:val="22"/>
                <w:szCs w:val="22"/>
                <w:color w:val="auto"/>
              </w:rPr>
            </w:pPr>
          </w:p>
        </w:tc>
        <w:tc>
          <w:tcPr>
            <w:tcW w:w="1280" w:type="dxa"/>
            <w:vAlign w:val="bottom"/>
            <w:tcBorders>
              <w:bottom w:val="single" w:sz="8" w:color="auto"/>
            </w:tcBorders>
          </w:tcPr>
          <w:p>
            <w:pPr>
              <w:jc w:val="right"/>
              <w:ind w:right="102"/>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210"/>
        </w:trPr>
        <w:tc>
          <w:tcPr>
            <w:tcW w:w="4680" w:type="dxa"/>
            <w:vAlign w:val="bottom"/>
          </w:tcPr>
          <w:p>
            <w:pPr>
              <w:ind w:left="120"/>
              <w:spacing w:after="0"/>
              <w:rPr>
                <w:sz w:val="20"/>
                <w:szCs w:val="20"/>
                <w:color w:val="auto"/>
              </w:rPr>
            </w:pPr>
            <w:r>
              <w:rPr>
                <w:rFonts w:ascii="Arial" w:cs="Arial" w:eastAsia="Arial" w:hAnsi="Arial"/>
                <w:sz w:val="16"/>
                <w:szCs w:val="16"/>
                <w:b w:val="1"/>
                <w:bCs w:val="1"/>
                <w:color w:val="auto"/>
              </w:rPr>
              <w:t>Total CMLs, gross of valuation allowance</w:t>
            </w:r>
          </w:p>
        </w:tc>
        <w:tc>
          <w:tcPr>
            <w:tcW w:w="280" w:type="dxa"/>
            <w:vAlign w:val="bottom"/>
          </w:tcPr>
          <w:p>
            <w:pPr>
              <w:jc w:val="right"/>
              <w:ind w:right="82"/>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2"/>
              <w:spacing w:after="0"/>
              <w:rPr>
                <w:sz w:val="20"/>
                <w:szCs w:val="20"/>
                <w:color w:val="auto"/>
              </w:rPr>
            </w:pPr>
            <w:r>
              <w:rPr>
                <w:rFonts w:ascii="Arial" w:cs="Arial" w:eastAsia="Arial" w:hAnsi="Arial"/>
                <w:sz w:val="16"/>
                <w:szCs w:val="16"/>
                <w:color w:val="auto"/>
              </w:rPr>
              <w:t>3,260</w:t>
            </w:r>
          </w:p>
        </w:tc>
        <w:tc>
          <w:tcPr>
            <w:tcW w:w="1340" w:type="dxa"/>
            <w:vAlign w:val="bottom"/>
            <w:gridSpan w:val="2"/>
          </w:tcPr>
          <w:p>
            <w:pPr>
              <w:jc w:val="right"/>
              <w:spacing w:after="0"/>
              <w:rPr>
                <w:sz w:val="20"/>
                <w:szCs w:val="20"/>
                <w:color w:val="auto"/>
              </w:rPr>
            </w:pPr>
            <w:r>
              <w:rPr>
                <w:rFonts w:ascii="Arial" w:cs="Arial" w:eastAsia="Arial" w:hAnsi="Arial"/>
                <w:sz w:val="16"/>
                <w:szCs w:val="16"/>
                <w:color w:val="auto"/>
              </w:rPr>
              <w:t>100 %</w:t>
            </w:r>
          </w:p>
        </w:tc>
        <w:tc>
          <w:tcPr>
            <w:tcW w:w="360" w:type="dxa"/>
            <w:vAlign w:val="bottom"/>
            <w:gridSpan w:val="2"/>
          </w:tcPr>
          <w:p>
            <w:pPr>
              <w:jc w:val="right"/>
              <w:ind w:right="82"/>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2"/>
              <w:spacing w:after="0"/>
              <w:rPr>
                <w:sz w:val="20"/>
                <w:szCs w:val="20"/>
                <w:color w:val="auto"/>
              </w:rPr>
            </w:pPr>
            <w:r>
              <w:rPr>
                <w:rFonts w:ascii="Arial" w:cs="Arial" w:eastAsia="Arial" w:hAnsi="Arial"/>
                <w:sz w:val="16"/>
                <w:szCs w:val="16"/>
                <w:color w:val="auto"/>
              </w:rPr>
              <w:t>2,722</w:t>
            </w:r>
          </w:p>
        </w:tc>
        <w:tc>
          <w:tcPr>
            <w:tcW w:w="1340" w:type="dxa"/>
            <w:vAlign w:val="bottom"/>
            <w:gridSpan w:val="2"/>
          </w:tcPr>
          <w:p>
            <w:pPr>
              <w:jc w:val="right"/>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0"/>
        </w:trPr>
        <w:tc>
          <w:tcPr>
            <w:tcW w:w="4680" w:type="dxa"/>
            <w:vAlign w:val="bottom"/>
            <w:vMerge w:val="restart"/>
          </w:tcPr>
          <w:p>
            <w:pPr>
              <w:ind w:left="580"/>
              <w:spacing w:after="0"/>
              <w:rPr>
                <w:sz w:val="20"/>
                <w:szCs w:val="20"/>
                <w:color w:val="auto"/>
              </w:rPr>
            </w:pPr>
            <w:r>
              <w:rPr>
                <w:rFonts w:ascii="Arial" w:cs="Arial" w:eastAsia="Arial" w:hAnsi="Arial"/>
                <w:sz w:val="16"/>
                <w:szCs w:val="16"/>
                <w:color w:val="auto"/>
              </w:rPr>
              <w:t>Allowance for expected credit loss</w:t>
            </w:r>
          </w:p>
        </w:tc>
        <w:tc>
          <w:tcPr>
            <w:tcW w:w="280" w:type="dxa"/>
            <w:vAlign w:val="bottom"/>
          </w:tcPr>
          <w:p>
            <w:pPr>
              <w:spacing w:after="0" w:line="20" w:lineRule="exact"/>
              <w:rPr>
                <w:sz w:val="1"/>
                <w:szCs w:val="1"/>
                <w:color w:val="auto"/>
              </w:rPr>
            </w:pPr>
          </w:p>
        </w:tc>
        <w:tc>
          <w:tcPr>
            <w:tcW w:w="1000" w:type="dxa"/>
            <w:vAlign w:val="bottom"/>
            <w:vMerge w:val="restart"/>
          </w:tcPr>
          <w:p>
            <w:pPr>
              <w:jc w:val="right"/>
              <w:spacing w:after="0"/>
              <w:rPr>
                <w:sz w:val="20"/>
                <w:szCs w:val="20"/>
                <w:color w:val="auto"/>
              </w:rPr>
            </w:pPr>
            <w:r>
              <w:rPr>
                <w:rFonts w:ascii="Arial" w:cs="Arial" w:eastAsia="Arial" w:hAnsi="Arial"/>
                <w:sz w:val="16"/>
                <w:szCs w:val="16"/>
                <w:color w:val="auto"/>
              </w:rPr>
              <w:t>(18)</w:t>
            </w:r>
          </w:p>
        </w:tc>
        <w:tc>
          <w:tcPr>
            <w:tcW w:w="6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vMerge w:val="restart"/>
          </w:tcPr>
          <w:p>
            <w:pPr>
              <w:jc w:val="right"/>
              <w:spacing w:after="0"/>
              <w:rPr>
                <w:sz w:val="20"/>
                <w:szCs w:val="20"/>
                <w:color w:val="auto"/>
              </w:rPr>
            </w:pPr>
            <w:r>
              <w:rPr>
                <w:rFonts w:ascii="Arial" w:cs="Arial" w:eastAsia="Arial" w:hAnsi="Arial"/>
                <w:sz w:val="16"/>
                <w:szCs w:val="16"/>
                <w:color w:val="auto"/>
              </w:rPr>
              <w:t>(17)</w:t>
            </w:r>
          </w:p>
        </w:tc>
        <w:tc>
          <w:tcPr>
            <w:tcW w:w="6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9"/>
        </w:trPr>
        <w:tc>
          <w:tcPr>
            <w:tcW w:w="4680" w:type="dxa"/>
            <w:vAlign w:val="bottom"/>
            <w:vMerge w:val="continue"/>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vMerge w:val="continue"/>
          </w:tcPr>
          <w:p>
            <w:pPr>
              <w:spacing w:after="0"/>
              <w:rPr>
                <w:sz w:val="20"/>
                <w:szCs w:val="20"/>
                <w:color w:val="auto"/>
              </w:rPr>
            </w:pPr>
          </w:p>
        </w:tc>
        <w:tc>
          <w:tcPr>
            <w:tcW w:w="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vMerge w:val="continue"/>
          </w:tcPr>
          <w:p>
            <w:pPr>
              <w:spacing w:after="0"/>
              <w:rPr>
                <w:sz w:val="20"/>
                <w:szCs w:val="20"/>
                <w:color w:val="auto"/>
              </w:rPr>
            </w:pPr>
          </w:p>
        </w:tc>
        <w:tc>
          <w:tcPr>
            <w:tcW w:w="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680" w:type="dxa"/>
            <w:vAlign w:val="bottom"/>
          </w:tcPr>
          <w:p>
            <w:pPr>
              <w:ind w:left="120"/>
              <w:spacing w:after="0"/>
              <w:rPr>
                <w:sz w:val="20"/>
                <w:szCs w:val="20"/>
                <w:color w:val="auto"/>
              </w:rPr>
            </w:pPr>
            <w:r>
              <w:rPr>
                <w:rFonts w:ascii="Arial" w:cs="Arial" w:eastAsia="Arial" w:hAnsi="Arial"/>
                <w:sz w:val="16"/>
                <w:szCs w:val="16"/>
                <w:b w:val="1"/>
                <w:bCs w:val="1"/>
                <w:color w:val="auto"/>
              </w:rPr>
              <w:t>Total CMLs, net of valuation allowance</w:t>
            </w:r>
          </w:p>
        </w:tc>
        <w:tc>
          <w:tcPr>
            <w:tcW w:w="280" w:type="dxa"/>
            <w:vAlign w:val="bottom"/>
          </w:tcPr>
          <w:p>
            <w:pPr>
              <w:jc w:val="right"/>
              <w:ind w:right="82"/>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2"/>
              <w:spacing w:after="0"/>
              <w:rPr>
                <w:sz w:val="20"/>
                <w:szCs w:val="20"/>
                <w:color w:val="auto"/>
              </w:rPr>
            </w:pPr>
            <w:r>
              <w:rPr>
                <w:rFonts w:ascii="Arial" w:cs="Arial" w:eastAsia="Arial" w:hAnsi="Arial"/>
                <w:sz w:val="16"/>
                <w:szCs w:val="16"/>
                <w:color w:val="auto"/>
              </w:rPr>
              <w:t>3,242</w:t>
            </w:r>
          </w:p>
        </w:tc>
        <w:tc>
          <w:tcPr>
            <w:tcW w:w="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60" w:type="dxa"/>
            <w:vAlign w:val="bottom"/>
            <w:gridSpan w:val="2"/>
          </w:tcPr>
          <w:p>
            <w:pPr>
              <w:jc w:val="right"/>
              <w:ind w:right="82"/>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2"/>
              <w:spacing w:after="0"/>
              <w:rPr>
                <w:sz w:val="20"/>
                <w:szCs w:val="20"/>
                <w:color w:val="auto"/>
              </w:rPr>
            </w:pPr>
            <w:r>
              <w:rPr>
                <w:rFonts w:ascii="Arial" w:cs="Arial" w:eastAsia="Arial" w:hAnsi="Arial"/>
                <w:sz w:val="16"/>
                <w:szCs w:val="16"/>
                <w:color w:val="auto"/>
              </w:rPr>
              <w:t>2,705</w:t>
            </w:r>
          </w:p>
        </w:tc>
        <w:tc>
          <w:tcPr>
            <w:tcW w:w="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80" w:type="dxa"/>
            <w:vAlign w:val="bottom"/>
            <w:vMerge w:val="restart"/>
          </w:tcPr>
          <w:p>
            <w:pPr>
              <w:spacing w:after="0"/>
              <w:rPr>
                <w:sz w:val="20"/>
                <w:szCs w:val="20"/>
                <w:color w:val="auto"/>
              </w:rPr>
            </w:pPr>
            <w:r>
              <w:rPr>
                <w:rFonts w:ascii="Arial" w:cs="Arial" w:eastAsia="Arial" w:hAnsi="Arial"/>
                <w:sz w:val="16"/>
                <w:szCs w:val="16"/>
                <w:b w:val="1"/>
                <w:bCs w:val="1"/>
                <w:color w:val="auto"/>
              </w:rPr>
              <w:t>U.S. Region:</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2"/>
        </w:trPr>
        <w:tc>
          <w:tcPr>
            <w:tcW w:w="468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680" w:type="dxa"/>
            <w:vAlign w:val="bottom"/>
          </w:tcPr>
          <w:p>
            <w:pPr>
              <w:ind w:left="140"/>
              <w:spacing w:after="0"/>
              <w:rPr>
                <w:sz w:val="20"/>
                <w:szCs w:val="20"/>
                <w:color w:val="auto"/>
              </w:rPr>
            </w:pPr>
            <w:r>
              <w:rPr>
                <w:rFonts w:ascii="Arial" w:cs="Arial" w:eastAsia="Arial" w:hAnsi="Arial"/>
                <w:sz w:val="16"/>
                <w:szCs w:val="16"/>
                <w:color w:val="auto"/>
              </w:rPr>
              <w:t>East North Central</w:t>
            </w:r>
          </w:p>
        </w:tc>
        <w:tc>
          <w:tcPr>
            <w:tcW w:w="280" w:type="dxa"/>
            <w:vAlign w:val="bottom"/>
          </w:tcPr>
          <w:p>
            <w:pPr>
              <w:jc w:val="right"/>
              <w:ind w:right="82"/>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2"/>
              <w:spacing w:after="0"/>
              <w:rPr>
                <w:sz w:val="20"/>
                <w:szCs w:val="20"/>
                <w:color w:val="auto"/>
              </w:rPr>
            </w:pPr>
            <w:r>
              <w:rPr>
                <w:rFonts w:ascii="Arial" w:cs="Arial" w:eastAsia="Arial" w:hAnsi="Arial"/>
                <w:sz w:val="16"/>
                <w:szCs w:val="16"/>
                <w:color w:val="auto"/>
              </w:rPr>
              <w:t>124</w:t>
            </w:r>
          </w:p>
        </w:tc>
        <w:tc>
          <w:tcPr>
            <w:tcW w:w="1340" w:type="dxa"/>
            <w:vAlign w:val="bottom"/>
            <w:gridSpan w:val="2"/>
          </w:tcPr>
          <w:p>
            <w:pPr>
              <w:jc w:val="right"/>
              <w:spacing w:after="0"/>
              <w:rPr>
                <w:sz w:val="20"/>
                <w:szCs w:val="20"/>
                <w:color w:val="auto"/>
              </w:rPr>
            </w:pPr>
            <w:r>
              <w:rPr>
                <w:rFonts w:ascii="Arial" w:cs="Arial" w:eastAsia="Arial" w:hAnsi="Arial"/>
                <w:sz w:val="16"/>
                <w:szCs w:val="16"/>
                <w:color w:val="auto"/>
              </w:rPr>
              <w:t>4 %</w:t>
            </w:r>
          </w:p>
        </w:tc>
        <w:tc>
          <w:tcPr>
            <w:tcW w:w="360" w:type="dxa"/>
            <w:vAlign w:val="bottom"/>
            <w:gridSpan w:val="2"/>
          </w:tcPr>
          <w:p>
            <w:pPr>
              <w:jc w:val="right"/>
              <w:ind w:right="82"/>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2"/>
              <w:spacing w:after="0"/>
              <w:rPr>
                <w:sz w:val="20"/>
                <w:szCs w:val="20"/>
                <w:color w:val="auto"/>
              </w:rPr>
            </w:pPr>
            <w:r>
              <w:rPr>
                <w:rFonts w:ascii="Arial" w:cs="Arial" w:eastAsia="Arial" w:hAnsi="Arial"/>
                <w:sz w:val="16"/>
                <w:szCs w:val="16"/>
                <w:color w:val="auto"/>
              </w:rPr>
              <w:t>98</w:t>
            </w:r>
          </w:p>
        </w:tc>
        <w:tc>
          <w:tcPr>
            <w:tcW w:w="1340" w:type="dxa"/>
            <w:vAlign w:val="bottom"/>
            <w:gridSpan w:val="2"/>
          </w:tcPr>
          <w:p>
            <w:pPr>
              <w:jc w:val="right"/>
              <w:spacing w:after="0"/>
              <w:rPr>
                <w:sz w:val="20"/>
                <w:szCs w:val="20"/>
                <w:color w:val="auto"/>
              </w:rPr>
            </w:pPr>
            <w:r>
              <w:rPr>
                <w:rFonts w:ascii="Arial" w:cs="Arial" w:eastAsia="Arial" w:hAnsi="Arial"/>
                <w:sz w:val="16"/>
                <w:szCs w:val="16"/>
                <w:color w:val="auto"/>
              </w:rPr>
              <w:t>4 %</w:t>
            </w:r>
          </w:p>
        </w:tc>
        <w:tc>
          <w:tcPr>
            <w:tcW w:w="0" w:type="dxa"/>
            <w:vAlign w:val="bottom"/>
          </w:tcPr>
          <w:p>
            <w:pPr>
              <w:spacing w:after="0"/>
              <w:rPr>
                <w:sz w:val="1"/>
                <w:szCs w:val="1"/>
                <w:color w:val="auto"/>
              </w:rPr>
            </w:pPr>
          </w:p>
        </w:tc>
      </w:tr>
      <w:tr>
        <w:trPr>
          <w:trHeight w:val="250"/>
        </w:trPr>
        <w:tc>
          <w:tcPr>
            <w:tcW w:w="4680" w:type="dxa"/>
            <w:vAlign w:val="bottom"/>
          </w:tcPr>
          <w:p>
            <w:pPr>
              <w:ind w:left="140"/>
              <w:spacing w:after="0"/>
              <w:rPr>
                <w:sz w:val="20"/>
                <w:szCs w:val="20"/>
                <w:color w:val="auto"/>
              </w:rPr>
            </w:pPr>
            <w:r>
              <w:rPr>
                <w:rFonts w:ascii="Arial" w:cs="Arial" w:eastAsia="Arial" w:hAnsi="Arial"/>
                <w:sz w:val="16"/>
                <w:szCs w:val="16"/>
                <w:color w:val="auto"/>
              </w:rPr>
              <w:t>East South Central</w:t>
            </w:r>
          </w:p>
        </w:tc>
        <w:tc>
          <w:tcPr>
            <w:tcW w:w="280" w:type="dxa"/>
            <w:vAlign w:val="bottom"/>
          </w:tcPr>
          <w:p>
            <w:pPr>
              <w:spacing w:after="0"/>
              <w:rPr>
                <w:sz w:val="21"/>
                <w:szCs w:val="21"/>
                <w:color w:val="auto"/>
              </w:rPr>
            </w:pPr>
          </w:p>
        </w:tc>
        <w:tc>
          <w:tcPr>
            <w:tcW w:w="1000" w:type="dxa"/>
            <w:vAlign w:val="bottom"/>
          </w:tcPr>
          <w:p>
            <w:pPr>
              <w:jc w:val="right"/>
              <w:ind w:right="2"/>
              <w:spacing w:after="0"/>
              <w:rPr>
                <w:sz w:val="20"/>
                <w:szCs w:val="20"/>
                <w:color w:val="auto"/>
              </w:rPr>
            </w:pPr>
            <w:r>
              <w:rPr>
                <w:rFonts w:ascii="Arial" w:cs="Arial" w:eastAsia="Arial" w:hAnsi="Arial"/>
                <w:sz w:val="16"/>
                <w:szCs w:val="16"/>
                <w:color w:val="auto"/>
              </w:rPr>
              <w:t>86</w:t>
            </w:r>
          </w:p>
        </w:tc>
        <w:tc>
          <w:tcPr>
            <w:tcW w:w="1340" w:type="dxa"/>
            <w:vAlign w:val="bottom"/>
            <w:gridSpan w:val="2"/>
          </w:tcPr>
          <w:p>
            <w:pPr>
              <w:jc w:val="right"/>
              <w:ind w:right="122"/>
              <w:spacing w:after="0"/>
              <w:rPr>
                <w:sz w:val="20"/>
                <w:szCs w:val="20"/>
                <w:color w:val="auto"/>
              </w:rPr>
            </w:pPr>
            <w:r>
              <w:rPr>
                <w:rFonts w:ascii="Arial" w:cs="Arial" w:eastAsia="Arial" w:hAnsi="Arial"/>
                <w:sz w:val="16"/>
                <w:szCs w:val="16"/>
                <w:color w:val="auto"/>
              </w:rPr>
              <w:t>3</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jc w:val="right"/>
              <w:ind w:right="2"/>
              <w:spacing w:after="0"/>
              <w:rPr>
                <w:sz w:val="20"/>
                <w:szCs w:val="20"/>
                <w:color w:val="auto"/>
              </w:rPr>
            </w:pPr>
            <w:r>
              <w:rPr>
                <w:rFonts w:ascii="Arial" w:cs="Arial" w:eastAsia="Arial" w:hAnsi="Arial"/>
                <w:sz w:val="16"/>
                <w:szCs w:val="16"/>
                <w:color w:val="auto"/>
              </w:rPr>
              <w:t>75</w:t>
            </w:r>
          </w:p>
        </w:tc>
        <w:tc>
          <w:tcPr>
            <w:tcW w:w="1340" w:type="dxa"/>
            <w:vAlign w:val="bottom"/>
            <w:gridSpan w:val="2"/>
          </w:tcPr>
          <w:p>
            <w:pPr>
              <w:jc w:val="right"/>
              <w:ind w:right="102"/>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50"/>
        </w:trPr>
        <w:tc>
          <w:tcPr>
            <w:tcW w:w="4680" w:type="dxa"/>
            <w:vAlign w:val="bottom"/>
          </w:tcPr>
          <w:p>
            <w:pPr>
              <w:ind w:left="140"/>
              <w:spacing w:after="0"/>
              <w:rPr>
                <w:sz w:val="20"/>
                <w:szCs w:val="20"/>
                <w:color w:val="auto"/>
              </w:rPr>
            </w:pPr>
            <w:r>
              <w:rPr>
                <w:rFonts w:ascii="Arial" w:cs="Arial" w:eastAsia="Arial" w:hAnsi="Arial"/>
                <w:sz w:val="16"/>
                <w:szCs w:val="16"/>
                <w:color w:val="auto"/>
              </w:rPr>
              <w:t>Middle Atlantic</w:t>
            </w:r>
          </w:p>
        </w:tc>
        <w:tc>
          <w:tcPr>
            <w:tcW w:w="280" w:type="dxa"/>
            <w:vAlign w:val="bottom"/>
          </w:tcPr>
          <w:p>
            <w:pPr>
              <w:spacing w:after="0"/>
              <w:rPr>
                <w:sz w:val="21"/>
                <w:szCs w:val="21"/>
                <w:color w:val="auto"/>
              </w:rPr>
            </w:pPr>
          </w:p>
        </w:tc>
        <w:tc>
          <w:tcPr>
            <w:tcW w:w="1000" w:type="dxa"/>
            <w:vAlign w:val="bottom"/>
          </w:tcPr>
          <w:p>
            <w:pPr>
              <w:jc w:val="right"/>
              <w:ind w:right="2"/>
              <w:spacing w:after="0"/>
              <w:rPr>
                <w:sz w:val="20"/>
                <w:szCs w:val="20"/>
                <w:color w:val="auto"/>
              </w:rPr>
            </w:pPr>
            <w:r>
              <w:rPr>
                <w:rFonts w:ascii="Arial" w:cs="Arial" w:eastAsia="Arial" w:hAnsi="Arial"/>
                <w:sz w:val="16"/>
                <w:szCs w:val="16"/>
                <w:color w:val="auto"/>
              </w:rPr>
              <w:t>356</w:t>
            </w:r>
          </w:p>
        </w:tc>
        <w:tc>
          <w:tcPr>
            <w:tcW w:w="1340" w:type="dxa"/>
            <w:vAlign w:val="bottom"/>
            <w:gridSpan w:val="2"/>
          </w:tcPr>
          <w:p>
            <w:pPr>
              <w:jc w:val="right"/>
              <w:ind w:right="122"/>
              <w:spacing w:after="0"/>
              <w:rPr>
                <w:sz w:val="20"/>
                <w:szCs w:val="20"/>
                <w:color w:val="auto"/>
              </w:rPr>
            </w:pPr>
            <w:r>
              <w:rPr>
                <w:rFonts w:ascii="Arial" w:cs="Arial" w:eastAsia="Arial" w:hAnsi="Arial"/>
                <w:sz w:val="16"/>
                <w:szCs w:val="16"/>
                <w:color w:val="auto"/>
              </w:rPr>
              <w:t>11</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jc w:val="right"/>
              <w:ind w:right="2"/>
              <w:spacing w:after="0"/>
              <w:rPr>
                <w:sz w:val="20"/>
                <w:szCs w:val="20"/>
                <w:color w:val="auto"/>
              </w:rPr>
            </w:pPr>
            <w:r>
              <w:rPr>
                <w:rFonts w:ascii="Arial" w:cs="Arial" w:eastAsia="Arial" w:hAnsi="Arial"/>
                <w:sz w:val="16"/>
                <w:szCs w:val="16"/>
                <w:color w:val="auto"/>
              </w:rPr>
              <w:t>354</w:t>
            </w:r>
          </w:p>
        </w:tc>
        <w:tc>
          <w:tcPr>
            <w:tcW w:w="1340" w:type="dxa"/>
            <w:vAlign w:val="bottom"/>
            <w:gridSpan w:val="2"/>
          </w:tcPr>
          <w:p>
            <w:pPr>
              <w:jc w:val="right"/>
              <w:ind w:right="102"/>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250"/>
        </w:trPr>
        <w:tc>
          <w:tcPr>
            <w:tcW w:w="4680" w:type="dxa"/>
            <w:vAlign w:val="bottom"/>
          </w:tcPr>
          <w:p>
            <w:pPr>
              <w:ind w:left="140"/>
              <w:spacing w:after="0"/>
              <w:rPr>
                <w:sz w:val="20"/>
                <w:szCs w:val="20"/>
                <w:color w:val="auto"/>
              </w:rPr>
            </w:pPr>
            <w:r>
              <w:rPr>
                <w:rFonts w:ascii="Arial" w:cs="Arial" w:eastAsia="Arial" w:hAnsi="Arial"/>
                <w:sz w:val="16"/>
                <w:szCs w:val="16"/>
                <w:color w:val="auto"/>
              </w:rPr>
              <w:t>Mountain</w:t>
            </w:r>
          </w:p>
        </w:tc>
        <w:tc>
          <w:tcPr>
            <w:tcW w:w="280" w:type="dxa"/>
            <w:vAlign w:val="bottom"/>
          </w:tcPr>
          <w:p>
            <w:pPr>
              <w:spacing w:after="0"/>
              <w:rPr>
                <w:sz w:val="21"/>
                <w:szCs w:val="21"/>
                <w:color w:val="auto"/>
              </w:rPr>
            </w:pPr>
          </w:p>
        </w:tc>
        <w:tc>
          <w:tcPr>
            <w:tcW w:w="1000" w:type="dxa"/>
            <w:vAlign w:val="bottom"/>
          </w:tcPr>
          <w:p>
            <w:pPr>
              <w:jc w:val="right"/>
              <w:ind w:right="2"/>
              <w:spacing w:after="0"/>
              <w:rPr>
                <w:sz w:val="20"/>
                <w:szCs w:val="20"/>
                <w:color w:val="auto"/>
              </w:rPr>
            </w:pPr>
            <w:r>
              <w:rPr>
                <w:rFonts w:ascii="Arial" w:cs="Arial" w:eastAsia="Arial" w:hAnsi="Arial"/>
                <w:sz w:val="16"/>
                <w:szCs w:val="16"/>
                <w:color w:val="auto"/>
              </w:rPr>
              <w:t>396</w:t>
            </w:r>
          </w:p>
        </w:tc>
        <w:tc>
          <w:tcPr>
            <w:tcW w:w="1340" w:type="dxa"/>
            <w:vAlign w:val="bottom"/>
            <w:gridSpan w:val="2"/>
          </w:tcPr>
          <w:p>
            <w:pPr>
              <w:jc w:val="right"/>
              <w:ind w:right="122"/>
              <w:spacing w:after="0"/>
              <w:rPr>
                <w:sz w:val="20"/>
                <w:szCs w:val="20"/>
                <w:color w:val="auto"/>
              </w:rPr>
            </w:pPr>
            <w:r>
              <w:rPr>
                <w:rFonts w:ascii="Arial" w:cs="Arial" w:eastAsia="Arial" w:hAnsi="Arial"/>
                <w:sz w:val="16"/>
                <w:szCs w:val="16"/>
                <w:color w:val="auto"/>
              </w:rPr>
              <w:t>12</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jc w:val="right"/>
              <w:ind w:right="2"/>
              <w:spacing w:after="0"/>
              <w:rPr>
                <w:sz w:val="20"/>
                <w:szCs w:val="20"/>
                <w:color w:val="auto"/>
              </w:rPr>
            </w:pPr>
            <w:r>
              <w:rPr>
                <w:rFonts w:ascii="Arial" w:cs="Arial" w:eastAsia="Arial" w:hAnsi="Arial"/>
                <w:sz w:val="16"/>
                <w:szCs w:val="16"/>
                <w:color w:val="auto"/>
              </w:rPr>
              <w:t>409</w:t>
            </w:r>
          </w:p>
        </w:tc>
        <w:tc>
          <w:tcPr>
            <w:tcW w:w="1340" w:type="dxa"/>
            <w:vAlign w:val="bottom"/>
            <w:gridSpan w:val="2"/>
          </w:tcPr>
          <w:p>
            <w:pPr>
              <w:jc w:val="right"/>
              <w:ind w:right="102"/>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250"/>
        </w:trPr>
        <w:tc>
          <w:tcPr>
            <w:tcW w:w="4680" w:type="dxa"/>
            <w:vAlign w:val="bottom"/>
          </w:tcPr>
          <w:p>
            <w:pPr>
              <w:ind w:left="140"/>
              <w:spacing w:after="0"/>
              <w:rPr>
                <w:sz w:val="20"/>
                <w:szCs w:val="20"/>
                <w:color w:val="auto"/>
              </w:rPr>
            </w:pPr>
            <w:r>
              <w:rPr>
                <w:rFonts w:ascii="Arial" w:cs="Arial" w:eastAsia="Arial" w:hAnsi="Arial"/>
                <w:sz w:val="16"/>
                <w:szCs w:val="16"/>
                <w:color w:val="auto"/>
              </w:rPr>
              <w:t>New England</w:t>
            </w:r>
          </w:p>
        </w:tc>
        <w:tc>
          <w:tcPr>
            <w:tcW w:w="280" w:type="dxa"/>
            <w:vAlign w:val="bottom"/>
          </w:tcPr>
          <w:p>
            <w:pPr>
              <w:spacing w:after="0"/>
              <w:rPr>
                <w:sz w:val="21"/>
                <w:szCs w:val="21"/>
                <w:color w:val="auto"/>
              </w:rPr>
            </w:pPr>
          </w:p>
        </w:tc>
        <w:tc>
          <w:tcPr>
            <w:tcW w:w="1000" w:type="dxa"/>
            <w:vAlign w:val="bottom"/>
          </w:tcPr>
          <w:p>
            <w:pPr>
              <w:jc w:val="right"/>
              <w:ind w:right="2"/>
              <w:spacing w:after="0"/>
              <w:rPr>
                <w:sz w:val="20"/>
                <w:szCs w:val="20"/>
                <w:color w:val="auto"/>
              </w:rPr>
            </w:pPr>
            <w:r>
              <w:rPr>
                <w:rFonts w:ascii="Arial" w:cs="Arial" w:eastAsia="Arial" w:hAnsi="Arial"/>
                <w:sz w:val="16"/>
                <w:szCs w:val="16"/>
                <w:color w:val="auto"/>
              </w:rPr>
              <w:t>183</w:t>
            </w:r>
          </w:p>
        </w:tc>
        <w:tc>
          <w:tcPr>
            <w:tcW w:w="1340" w:type="dxa"/>
            <w:vAlign w:val="bottom"/>
            <w:gridSpan w:val="2"/>
          </w:tcPr>
          <w:p>
            <w:pPr>
              <w:jc w:val="right"/>
              <w:ind w:right="122"/>
              <w:spacing w:after="0"/>
              <w:rPr>
                <w:sz w:val="20"/>
                <w:szCs w:val="20"/>
                <w:color w:val="auto"/>
              </w:rPr>
            </w:pPr>
            <w:r>
              <w:rPr>
                <w:rFonts w:ascii="Arial" w:cs="Arial" w:eastAsia="Arial" w:hAnsi="Arial"/>
                <w:sz w:val="16"/>
                <w:szCs w:val="16"/>
                <w:color w:val="auto"/>
              </w:rPr>
              <w:t>6</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jc w:val="right"/>
              <w:ind w:right="2"/>
              <w:spacing w:after="0"/>
              <w:rPr>
                <w:sz w:val="20"/>
                <w:szCs w:val="20"/>
                <w:color w:val="auto"/>
              </w:rPr>
            </w:pPr>
            <w:r>
              <w:rPr>
                <w:rFonts w:ascii="Arial" w:cs="Arial" w:eastAsia="Arial" w:hAnsi="Arial"/>
                <w:sz w:val="16"/>
                <w:szCs w:val="16"/>
                <w:color w:val="auto"/>
              </w:rPr>
              <w:t>164</w:t>
            </w:r>
          </w:p>
        </w:tc>
        <w:tc>
          <w:tcPr>
            <w:tcW w:w="1340" w:type="dxa"/>
            <w:vAlign w:val="bottom"/>
            <w:gridSpan w:val="2"/>
          </w:tcPr>
          <w:p>
            <w:pPr>
              <w:jc w:val="right"/>
              <w:ind w:right="102"/>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50"/>
        </w:trPr>
        <w:tc>
          <w:tcPr>
            <w:tcW w:w="4680" w:type="dxa"/>
            <w:vAlign w:val="bottom"/>
          </w:tcPr>
          <w:p>
            <w:pPr>
              <w:ind w:left="140"/>
              <w:spacing w:after="0"/>
              <w:rPr>
                <w:sz w:val="20"/>
                <w:szCs w:val="20"/>
                <w:color w:val="auto"/>
              </w:rPr>
            </w:pPr>
            <w:r>
              <w:rPr>
                <w:rFonts w:ascii="Arial" w:cs="Arial" w:eastAsia="Arial" w:hAnsi="Arial"/>
                <w:sz w:val="16"/>
                <w:szCs w:val="16"/>
                <w:color w:val="auto"/>
              </w:rPr>
              <w:t>Pacific</w:t>
            </w:r>
          </w:p>
        </w:tc>
        <w:tc>
          <w:tcPr>
            <w:tcW w:w="280" w:type="dxa"/>
            <w:vAlign w:val="bottom"/>
          </w:tcPr>
          <w:p>
            <w:pPr>
              <w:spacing w:after="0"/>
              <w:rPr>
                <w:sz w:val="21"/>
                <w:szCs w:val="21"/>
                <w:color w:val="auto"/>
              </w:rPr>
            </w:pPr>
          </w:p>
        </w:tc>
        <w:tc>
          <w:tcPr>
            <w:tcW w:w="1000" w:type="dxa"/>
            <w:vAlign w:val="bottom"/>
          </w:tcPr>
          <w:p>
            <w:pPr>
              <w:jc w:val="right"/>
              <w:ind w:right="2"/>
              <w:spacing w:after="0"/>
              <w:rPr>
                <w:sz w:val="20"/>
                <w:szCs w:val="20"/>
                <w:color w:val="auto"/>
              </w:rPr>
            </w:pPr>
            <w:r>
              <w:rPr>
                <w:rFonts w:ascii="Arial" w:cs="Arial" w:eastAsia="Arial" w:hAnsi="Arial"/>
                <w:sz w:val="16"/>
                <w:szCs w:val="16"/>
                <w:color w:val="auto"/>
              </w:rPr>
              <w:t>709</w:t>
            </w:r>
          </w:p>
        </w:tc>
        <w:tc>
          <w:tcPr>
            <w:tcW w:w="1340" w:type="dxa"/>
            <w:vAlign w:val="bottom"/>
            <w:gridSpan w:val="2"/>
          </w:tcPr>
          <w:p>
            <w:pPr>
              <w:jc w:val="right"/>
              <w:ind w:right="122"/>
              <w:spacing w:after="0"/>
              <w:rPr>
                <w:sz w:val="20"/>
                <w:szCs w:val="20"/>
                <w:color w:val="auto"/>
              </w:rPr>
            </w:pPr>
            <w:r>
              <w:rPr>
                <w:rFonts w:ascii="Arial" w:cs="Arial" w:eastAsia="Arial" w:hAnsi="Arial"/>
                <w:sz w:val="16"/>
                <w:szCs w:val="16"/>
                <w:color w:val="auto"/>
              </w:rPr>
              <w:t>22</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jc w:val="right"/>
              <w:ind w:right="2"/>
              <w:spacing w:after="0"/>
              <w:rPr>
                <w:sz w:val="20"/>
                <w:szCs w:val="20"/>
                <w:color w:val="auto"/>
              </w:rPr>
            </w:pPr>
            <w:r>
              <w:rPr>
                <w:rFonts w:ascii="Arial" w:cs="Arial" w:eastAsia="Arial" w:hAnsi="Arial"/>
                <w:sz w:val="16"/>
                <w:szCs w:val="16"/>
                <w:color w:val="auto"/>
              </w:rPr>
              <w:t>706</w:t>
            </w:r>
          </w:p>
        </w:tc>
        <w:tc>
          <w:tcPr>
            <w:tcW w:w="1340" w:type="dxa"/>
            <w:vAlign w:val="bottom"/>
            <w:gridSpan w:val="2"/>
          </w:tcPr>
          <w:p>
            <w:pPr>
              <w:jc w:val="right"/>
              <w:ind w:right="102"/>
              <w:spacing w:after="0"/>
              <w:rPr>
                <w:sz w:val="20"/>
                <w:szCs w:val="20"/>
                <w:color w:val="auto"/>
              </w:rPr>
            </w:pPr>
            <w:r>
              <w:rPr>
                <w:rFonts w:ascii="Arial" w:cs="Arial" w:eastAsia="Arial" w:hAnsi="Arial"/>
                <w:sz w:val="16"/>
                <w:szCs w:val="16"/>
                <w:color w:val="auto"/>
              </w:rPr>
              <w:t>26</w:t>
            </w:r>
          </w:p>
        </w:tc>
        <w:tc>
          <w:tcPr>
            <w:tcW w:w="0" w:type="dxa"/>
            <w:vAlign w:val="bottom"/>
          </w:tcPr>
          <w:p>
            <w:pPr>
              <w:spacing w:after="0"/>
              <w:rPr>
                <w:sz w:val="1"/>
                <w:szCs w:val="1"/>
                <w:color w:val="auto"/>
              </w:rPr>
            </w:pPr>
          </w:p>
        </w:tc>
      </w:tr>
      <w:tr>
        <w:trPr>
          <w:trHeight w:val="250"/>
        </w:trPr>
        <w:tc>
          <w:tcPr>
            <w:tcW w:w="4680" w:type="dxa"/>
            <w:vAlign w:val="bottom"/>
          </w:tcPr>
          <w:p>
            <w:pPr>
              <w:ind w:left="140"/>
              <w:spacing w:after="0"/>
              <w:rPr>
                <w:sz w:val="20"/>
                <w:szCs w:val="20"/>
                <w:color w:val="auto"/>
              </w:rPr>
            </w:pPr>
            <w:r>
              <w:rPr>
                <w:rFonts w:ascii="Arial" w:cs="Arial" w:eastAsia="Arial" w:hAnsi="Arial"/>
                <w:sz w:val="16"/>
                <w:szCs w:val="16"/>
                <w:color w:val="auto"/>
              </w:rPr>
              <w:t>South Atlantic</w:t>
            </w:r>
          </w:p>
        </w:tc>
        <w:tc>
          <w:tcPr>
            <w:tcW w:w="280" w:type="dxa"/>
            <w:vAlign w:val="bottom"/>
          </w:tcPr>
          <w:p>
            <w:pPr>
              <w:spacing w:after="0"/>
              <w:rPr>
                <w:sz w:val="21"/>
                <w:szCs w:val="21"/>
                <w:color w:val="auto"/>
              </w:rPr>
            </w:pPr>
          </w:p>
        </w:tc>
        <w:tc>
          <w:tcPr>
            <w:tcW w:w="1000" w:type="dxa"/>
            <w:vAlign w:val="bottom"/>
          </w:tcPr>
          <w:p>
            <w:pPr>
              <w:jc w:val="right"/>
              <w:ind w:right="2"/>
              <w:spacing w:after="0"/>
              <w:rPr>
                <w:sz w:val="20"/>
                <w:szCs w:val="20"/>
                <w:color w:val="auto"/>
              </w:rPr>
            </w:pPr>
            <w:r>
              <w:rPr>
                <w:rFonts w:ascii="Arial" w:cs="Arial" w:eastAsia="Arial" w:hAnsi="Arial"/>
                <w:sz w:val="16"/>
                <w:szCs w:val="16"/>
                <w:color w:val="auto"/>
              </w:rPr>
              <w:t>1,157</w:t>
            </w:r>
          </w:p>
        </w:tc>
        <w:tc>
          <w:tcPr>
            <w:tcW w:w="1340" w:type="dxa"/>
            <w:vAlign w:val="bottom"/>
            <w:gridSpan w:val="2"/>
          </w:tcPr>
          <w:p>
            <w:pPr>
              <w:jc w:val="right"/>
              <w:ind w:right="122"/>
              <w:spacing w:after="0"/>
              <w:rPr>
                <w:sz w:val="20"/>
                <w:szCs w:val="20"/>
                <w:color w:val="auto"/>
              </w:rPr>
            </w:pPr>
            <w:r>
              <w:rPr>
                <w:rFonts w:ascii="Arial" w:cs="Arial" w:eastAsia="Arial" w:hAnsi="Arial"/>
                <w:sz w:val="16"/>
                <w:szCs w:val="16"/>
                <w:color w:val="auto"/>
              </w:rPr>
              <w:t>34</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jc w:val="right"/>
              <w:ind w:right="2"/>
              <w:spacing w:after="0"/>
              <w:rPr>
                <w:sz w:val="20"/>
                <w:szCs w:val="20"/>
                <w:color w:val="auto"/>
              </w:rPr>
            </w:pPr>
            <w:r>
              <w:rPr>
                <w:rFonts w:ascii="Arial" w:cs="Arial" w:eastAsia="Arial" w:hAnsi="Arial"/>
                <w:sz w:val="16"/>
                <w:szCs w:val="16"/>
                <w:color w:val="auto"/>
              </w:rPr>
              <w:t>683</w:t>
            </w:r>
          </w:p>
        </w:tc>
        <w:tc>
          <w:tcPr>
            <w:tcW w:w="1340" w:type="dxa"/>
            <w:vAlign w:val="bottom"/>
            <w:gridSpan w:val="2"/>
          </w:tcPr>
          <w:p>
            <w:pPr>
              <w:jc w:val="right"/>
              <w:ind w:right="102"/>
              <w:spacing w:after="0"/>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250"/>
        </w:trPr>
        <w:tc>
          <w:tcPr>
            <w:tcW w:w="4680" w:type="dxa"/>
            <w:vAlign w:val="bottom"/>
          </w:tcPr>
          <w:p>
            <w:pPr>
              <w:ind w:left="140"/>
              <w:spacing w:after="0"/>
              <w:rPr>
                <w:sz w:val="20"/>
                <w:szCs w:val="20"/>
                <w:color w:val="auto"/>
              </w:rPr>
            </w:pPr>
            <w:r>
              <w:rPr>
                <w:rFonts w:ascii="Arial" w:cs="Arial" w:eastAsia="Arial" w:hAnsi="Arial"/>
                <w:sz w:val="16"/>
                <w:szCs w:val="16"/>
                <w:color w:val="auto"/>
              </w:rPr>
              <w:t>West North Central</w:t>
            </w:r>
          </w:p>
        </w:tc>
        <w:tc>
          <w:tcPr>
            <w:tcW w:w="280" w:type="dxa"/>
            <w:vAlign w:val="bottom"/>
          </w:tcPr>
          <w:p>
            <w:pPr>
              <w:spacing w:after="0"/>
              <w:rPr>
                <w:sz w:val="21"/>
                <w:szCs w:val="21"/>
                <w:color w:val="auto"/>
              </w:rPr>
            </w:pPr>
          </w:p>
        </w:tc>
        <w:tc>
          <w:tcPr>
            <w:tcW w:w="1000" w:type="dxa"/>
            <w:vAlign w:val="bottom"/>
          </w:tcPr>
          <w:p>
            <w:pPr>
              <w:jc w:val="right"/>
              <w:ind w:right="2"/>
              <w:spacing w:after="0"/>
              <w:rPr>
                <w:sz w:val="20"/>
                <w:szCs w:val="20"/>
                <w:color w:val="auto"/>
              </w:rPr>
            </w:pPr>
            <w:r>
              <w:rPr>
                <w:rFonts w:ascii="Arial" w:cs="Arial" w:eastAsia="Arial" w:hAnsi="Arial"/>
                <w:sz w:val="16"/>
                <w:szCs w:val="16"/>
                <w:color w:val="auto"/>
              </w:rPr>
              <w:t>69</w:t>
            </w:r>
          </w:p>
        </w:tc>
        <w:tc>
          <w:tcPr>
            <w:tcW w:w="1340" w:type="dxa"/>
            <w:vAlign w:val="bottom"/>
            <w:gridSpan w:val="2"/>
          </w:tcPr>
          <w:p>
            <w:pPr>
              <w:jc w:val="right"/>
              <w:ind w:right="122"/>
              <w:spacing w:after="0"/>
              <w:rPr>
                <w:sz w:val="20"/>
                <w:szCs w:val="20"/>
                <w:color w:val="auto"/>
              </w:rPr>
            </w:pPr>
            <w:r>
              <w:rPr>
                <w:rFonts w:ascii="Arial" w:cs="Arial" w:eastAsia="Arial" w:hAnsi="Arial"/>
                <w:sz w:val="16"/>
                <w:szCs w:val="16"/>
                <w:color w:val="auto"/>
              </w:rPr>
              <w:t>2</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jc w:val="right"/>
              <w:ind w:right="2"/>
              <w:spacing w:after="0"/>
              <w:rPr>
                <w:sz w:val="20"/>
                <w:szCs w:val="20"/>
                <w:color w:val="auto"/>
              </w:rPr>
            </w:pPr>
            <w:r>
              <w:rPr>
                <w:rFonts w:ascii="Arial" w:cs="Arial" w:eastAsia="Arial" w:hAnsi="Arial"/>
                <w:sz w:val="16"/>
                <w:szCs w:val="16"/>
                <w:color w:val="auto"/>
              </w:rPr>
              <w:t>62</w:t>
            </w:r>
          </w:p>
        </w:tc>
        <w:tc>
          <w:tcPr>
            <w:tcW w:w="1340" w:type="dxa"/>
            <w:vAlign w:val="bottom"/>
            <w:gridSpan w:val="2"/>
          </w:tcPr>
          <w:p>
            <w:pPr>
              <w:jc w:val="right"/>
              <w:ind w:right="102"/>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57"/>
        </w:trPr>
        <w:tc>
          <w:tcPr>
            <w:tcW w:w="4680" w:type="dxa"/>
            <w:vAlign w:val="bottom"/>
          </w:tcPr>
          <w:p>
            <w:pPr>
              <w:ind w:left="140"/>
              <w:spacing w:after="0"/>
              <w:rPr>
                <w:sz w:val="20"/>
                <w:szCs w:val="20"/>
                <w:color w:val="auto"/>
              </w:rPr>
            </w:pPr>
            <w:r>
              <w:rPr>
                <w:rFonts w:ascii="Arial" w:cs="Arial" w:eastAsia="Arial" w:hAnsi="Arial"/>
                <w:sz w:val="16"/>
                <w:szCs w:val="16"/>
                <w:color w:val="auto"/>
              </w:rPr>
              <w:t>West South Central</w:t>
            </w:r>
          </w:p>
        </w:tc>
        <w:tc>
          <w:tcPr>
            <w:tcW w:w="2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180</w:t>
            </w:r>
          </w:p>
        </w:tc>
        <w:tc>
          <w:tcPr>
            <w:tcW w:w="60" w:type="dxa"/>
            <w:vAlign w:val="bottom"/>
          </w:tcPr>
          <w:p>
            <w:pPr>
              <w:spacing w:after="0"/>
              <w:rPr>
                <w:sz w:val="22"/>
                <w:szCs w:val="22"/>
                <w:color w:val="auto"/>
              </w:rPr>
            </w:pPr>
          </w:p>
        </w:tc>
        <w:tc>
          <w:tcPr>
            <w:tcW w:w="1280" w:type="dxa"/>
            <w:vAlign w:val="bottom"/>
            <w:tcBorders>
              <w:bottom w:val="single" w:sz="8" w:color="auto"/>
            </w:tcBorders>
          </w:tcPr>
          <w:p>
            <w:pPr>
              <w:jc w:val="right"/>
              <w:ind w:right="122"/>
              <w:spacing w:after="0"/>
              <w:rPr>
                <w:sz w:val="20"/>
                <w:szCs w:val="20"/>
                <w:color w:val="auto"/>
              </w:rPr>
            </w:pPr>
            <w:r>
              <w:rPr>
                <w:rFonts w:ascii="Arial" w:cs="Arial" w:eastAsia="Arial" w:hAnsi="Arial"/>
                <w:sz w:val="16"/>
                <w:szCs w:val="16"/>
                <w:color w:val="auto"/>
              </w:rPr>
              <w:t>6</w:t>
            </w:r>
          </w:p>
        </w:tc>
        <w:tc>
          <w:tcPr>
            <w:tcW w:w="8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171</w:t>
            </w:r>
          </w:p>
        </w:tc>
        <w:tc>
          <w:tcPr>
            <w:tcW w:w="60" w:type="dxa"/>
            <w:vAlign w:val="bottom"/>
          </w:tcPr>
          <w:p>
            <w:pPr>
              <w:spacing w:after="0"/>
              <w:rPr>
                <w:sz w:val="22"/>
                <w:szCs w:val="22"/>
                <w:color w:val="auto"/>
              </w:rPr>
            </w:pPr>
          </w:p>
        </w:tc>
        <w:tc>
          <w:tcPr>
            <w:tcW w:w="1280" w:type="dxa"/>
            <w:vAlign w:val="bottom"/>
            <w:tcBorders>
              <w:bottom w:val="single" w:sz="8" w:color="auto"/>
            </w:tcBorders>
          </w:tcPr>
          <w:p>
            <w:pPr>
              <w:jc w:val="right"/>
              <w:ind w:right="102"/>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10"/>
        </w:trPr>
        <w:tc>
          <w:tcPr>
            <w:tcW w:w="4680" w:type="dxa"/>
            <w:vAlign w:val="bottom"/>
          </w:tcPr>
          <w:p>
            <w:pPr>
              <w:ind w:left="120"/>
              <w:spacing w:after="0"/>
              <w:rPr>
                <w:sz w:val="20"/>
                <w:szCs w:val="20"/>
                <w:color w:val="auto"/>
              </w:rPr>
            </w:pPr>
            <w:r>
              <w:rPr>
                <w:rFonts w:ascii="Arial" w:cs="Arial" w:eastAsia="Arial" w:hAnsi="Arial"/>
                <w:sz w:val="16"/>
                <w:szCs w:val="16"/>
                <w:b w:val="1"/>
                <w:bCs w:val="1"/>
                <w:color w:val="auto"/>
              </w:rPr>
              <w:t>Total CMLs, gross of valuation allowance</w:t>
            </w:r>
          </w:p>
        </w:tc>
        <w:tc>
          <w:tcPr>
            <w:tcW w:w="280" w:type="dxa"/>
            <w:vAlign w:val="bottom"/>
          </w:tcPr>
          <w:p>
            <w:pPr>
              <w:jc w:val="right"/>
              <w:ind w:right="82"/>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2"/>
              <w:spacing w:after="0"/>
              <w:rPr>
                <w:sz w:val="20"/>
                <w:szCs w:val="20"/>
                <w:color w:val="auto"/>
              </w:rPr>
            </w:pPr>
            <w:r>
              <w:rPr>
                <w:rFonts w:ascii="Arial" w:cs="Arial" w:eastAsia="Arial" w:hAnsi="Arial"/>
                <w:sz w:val="16"/>
                <w:szCs w:val="16"/>
                <w:color w:val="auto"/>
              </w:rPr>
              <w:t>3,260</w:t>
            </w:r>
          </w:p>
        </w:tc>
        <w:tc>
          <w:tcPr>
            <w:tcW w:w="1340" w:type="dxa"/>
            <w:vAlign w:val="bottom"/>
            <w:gridSpan w:val="2"/>
          </w:tcPr>
          <w:p>
            <w:pPr>
              <w:jc w:val="right"/>
              <w:spacing w:after="0"/>
              <w:rPr>
                <w:sz w:val="20"/>
                <w:szCs w:val="20"/>
                <w:color w:val="auto"/>
              </w:rPr>
            </w:pPr>
            <w:r>
              <w:rPr>
                <w:rFonts w:ascii="Arial" w:cs="Arial" w:eastAsia="Arial" w:hAnsi="Arial"/>
                <w:sz w:val="16"/>
                <w:szCs w:val="16"/>
                <w:color w:val="auto"/>
              </w:rPr>
              <w:t>100 %</w:t>
            </w:r>
          </w:p>
        </w:tc>
        <w:tc>
          <w:tcPr>
            <w:tcW w:w="360" w:type="dxa"/>
            <w:vAlign w:val="bottom"/>
            <w:gridSpan w:val="2"/>
          </w:tcPr>
          <w:p>
            <w:pPr>
              <w:jc w:val="right"/>
              <w:ind w:right="82"/>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2"/>
              <w:spacing w:after="0"/>
              <w:rPr>
                <w:sz w:val="20"/>
                <w:szCs w:val="20"/>
                <w:color w:val="auto"/>
              </w:rPr>
            </w:pPr>
            <w:r>
              <w:rPr>
                <w:rFonts w:ascii="Arial" w:cs="Arial" w:eastAsia="Arial" w:hAnsi="Arial"/>
                <w:sz w:val="16"/>
                <w:szCs w:val="16"/>
                <w:color w:val="auto"/>
              </w:rPr>
              <w:t>2,722</w:t>
            </w:r>
          </w:p>
        </w:tc>
        <w:tc>
          <w:tcPr>
            <w:tcW w:w="1340" w:type="dxa"/>
            <w:vAlign w:val="bottom"/>
            <w:gridSpan w:val="2"/>
          </w:tcPr>
          <w:p>
            <w:pPr>
              <w:jc w:val="right"/>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0"/>
        </w:trPr>
        <w:tc>
          <w:tcPr>
            <w:tcW w:w="4680" w:type="dxa"/>
            <w:vAlign w:val="bottom"/>
            <w:vMerge w:val="restart"/>
          </w:tcPr>
          <w:p>
            <w:pPr>
              <w:ind w:left="580"/>
              <w:spacing w:after="0"/>
              <w:rPr>
                <w:sz w:val="20"/>
                <w:szCs w:val="20"/>
                <w:color w:val="auto"/>
              </w:rPr>
            </w:pPr>
            <w:r>
              <w:rPr>
                <w:rFonts w:ascii="Arial" w:cs="Arial" w:eastAsia="Arial" w:hAnsi="Arial"/>
                <w:sz w:val="16"/>
                <w:szCs w:val="16"/>
                <w:color w:val="auto"/>
              </w:rPr>
              <w:t>Allowance for expected credit loss</w:t>
            </w:r>
          </w:p>
        </w:tc>
        <w:tc>
          <w:tcPr>
            <w:tcW w:w="280" w:type="dxa"/>
            <w:vAlign w:val="bottom"/>
          </w:tcPr>
          <w:p>
            <w:pPr>
              <w:spacing w:after="0" w:line="20" w:lineRule="exact"/>
              <w:rPr>
                <w:sz w:val="1"/>
                <w:szCs w:val="1"/>
                <w:color w:val="auto"/>
              </w:rPr>
            </w:pPr>
          </w:p>
        </w:tc>
        <w:tc>
          <w:tcPr>
            <w:tcW w:w="1000" w:type="dxa"/>
            <w:vAlign w:val="bottom"/>
            <w:vMerge w:val="restart"/>
          </w:tcPr>
          <w:p>
            <w:pPr>
              <w:jc w:val="right"/>
              <w:spacing w:after="0"/>
              <w:rPr>
                <w:sz w:val="20"/>
                <w:szCs w:val="20"/>
                <w:color w:val="auto"/>
              </w:rPr>
            </w:pPr>
            <w:r>
              <w:rPr>
                <w:rFonts w:ascii="Arial" w:cs="Arial" w:eastAsia="Arial" w:hAnsi="Arial"/>
                <w:sz w:val="16"/>
                <w:szCs w:val="16"/>
                <w:color w:val="auto"/>
              </w:rPr>
              <w:t>(18)</w:t>
            </w:r>
          </w:p>
        </w:tc>
        <w:tc>
          <w:tcPr>
            <w:tcW w:w="6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vMerge w:val="restart"/>
          </w:tcPr>
          <w:p>
            <w:pPr>
              <w:jc w:val="right"/>
              <w:spacing w:after="0"/>
              <w:rPr>
                <w:sz w:val="20"/>
                <w:szCs w:val="20"/>
                <w:color w:val="auto"/>
              </w:rPr>
            </w:pPr>
            <w:r>
              <w:rPr>
                <w:rFonts w:ascii="Arial" w:cs="Arial" w:eastAsia="Arial" w:hAnsi="Arial"/>
                <w:sz w:val="16"/>
                <w:szCs w:val="16"/>
                <w:color w:val="auto"/>
              </w:rPr>
              <w:t>(17)</w:t>
            </w:r>
          </w:p>
        </w:tc>
        <w:tc>
          <w:tcPr>
            <w:tcW w:w="6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4"/>
        </w:trPr>
        <w:tc>
          <w:tcPr>
            <w:tcW w:w="4680" w:type="dxa"/>
            <w:vAlign w:val="bottom"/>
            <w:vMerge w:val="continue"/>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vMerge w:val="continue"/>
          </w:tcPr>
          <w:p>
            <w:pPr>
              <w:spacing w:after="0"/>
              <w:rPr>
                <w:sz w:val="22"/>
                <w:szCs w:val="22"/>
                <w:color w:val="auto"/>
              </w:rPr>
            </w:pPr>
          </w:p>
        </w:tc>
        <w:tc>
          <w:tcPr>
            <w:tcW w:w="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vMerge w:val="continue"/>
          </w:tcPr>
          <w:p>
            <w:pPr>
              <w:spacing w:after="0"/>
              <w:rPr>
                <w:sz w:val="22"/>
                <w:szCs w:val="22"/>
                <w:color w:val="auto"/>
              </w:rPr>
            </w:pPr>
          </w:p>
        </w:tc>
        <w:tc>
          <w:tcPr>
            <w:tcW w:w="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4680" w:type="dxa"/>
            <w:vAlign w:val="bottom"/>
          </w:tcPr>
          <w:p>
            <w:pPr>
              <w:ind w:left="120"/>
              <w:spacing w:after="0"/>
              <w:rPr>
                <w:sz w:val="20"/>
                <w:szCs w:val="20"/>
                <w:color w:val="auto"/>
              </w:rPr>
            </w:pPr>
            <w:r>
              <w:rPr>
                <w:rFonts w:ascii="Arial" w:cs="Arial" w:eastAsia="Arial" w:hAnsi="Arial"/>
                <w:sz w:val="16"/>
                <w:szCs w:val="16"/>
                <w:b w:val="1"/>
                <w:bCs w:val="1"/>
                <w:color w:val="auto"/>
              </w:rPr>
              <w:t>Total CMLs, net of valuation allowance</w:t>
            </w:r>
          </w:p>
        </w:tc>
        <w:tc>
          <w:tcPr>
            <w:tcW w:w="280" w:type="dxa"/>
            <w:vAlign w:val="bottom"/>
          </w:tcPr>
          <w:p>
            <w:pPr>
              <w:jc w:val="right"/>
              <w:ind w:right="82"/>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2"/>
              <w:spacing w:after="0"/>
              <w:rPr>
                <w:sz w:val="20"/>
                <w:szCs w:val="20"/>
                <w:color w:val="auto"/>
              </w:rPr>
            </w:pPr>
            <w:r>
              <w:rPr>
                <w:rFonts w:ascii="Arial" w:cs="Arial" w:eastAsia="Arial" w:hAnsi="Arial"/>
                <w:sz w:val="16"/>
                <w:szCs w:val="16"/>
                <w:color w:val="auto"/>
              </w:rPr>
              <w:t>3,242</w:t>
            </w:r>
          </w:p>
        </w:tc>
        <w:tc>
          <w:tcPr>
            <w:tcW w:w="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60" w:type="dxa"/>
            <w:vAlign w:val="bottom"/>
            <w:gridSpan w:val="2"/>
          </w:tcPr>
          <w:p>
            <w:pPr>
              <w:jc w:val="right"/>
              <w:ind w:right="82"/>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2"/>
              <w:spacing w:after="0"/>
              <w:rPr>
                <w:sz w:val="20"/>
                <w:szCs w:val="20"/>
                <w:color w:val="auto"/>
              </w:rPr>
            </w:pPr>
            <w:r>
              <w:rPr>
                <w:rFonts w:ascii="Arial" w:cs="Arial" w:eastAsia="Arial" w:hAnsi="Arial"/>
                <w:sz w:val="16"/>
                <w:szCs w:val="16"/>
                <w:color w:val="auto"/>
              </w:rPr>
              <w:t>2,705</w:t>
            </w:r>
          </w:p>
        </w:tc>
        <w:tc>
          <w:tcPr>
            <w:tcW w:w="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-4203700</wp:posOffset>
            </wp:positionV>
            <wp:extent cx="6410325" cy="421068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94">
                      <a:extLst>
                        <a:ext uri="{28A0092B-C50C-407E-A947-70E740481C1C}"/>
                      </a:extLst>
                    </a:blip>
                    <a:srcRect/>
                    <a:stretch>
                      <a:fillRect/>
                    </a:stretch>
                  </pic:blipFill>
                  <pic:spPr bwMode="auto">
                    <a:xfrm>
                      <a:off x="0" y="0"/>
                      <a:ext cx="6410325" cy="4210685"/>
                    </a:xfrm>
                    <a:prstGeom prst="rect">
                      <a:avLst/>
                    </a:prstGeom>
                    <a:noFill/>
                  </pic:spPr>
                </pic:pic>
              </a:graphicData>
            </a:graphic>
          </wp:anchor>
        </w:drawing>
      </w:r>
    </w:p>
    <w:p>
      <w:pPr>
        <w:sectPr>
          <w:pgSz w:w="11880" w:h="15480" w:orient="portrait"/>
          <w:cols w:equalWidth="0" w:num="1">
            <w:col w:w="10040"/>
          </w:cols>
          <w:pgMar w:left="920" w:top="765"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137</w:t>
      </w:r>
    </w:p>
    <w:p>
      <w:pPr>
        <w:sectPr>
          <w:pgSz w:w="11880" w:h="15480" w:orient="portrait"/>
          <w:cols w:equalWidth="0" w:num="1">
            <w:col w:w="10040"/>
          </w:cols>
          <w:pgMar w:left="920" w:top="765" w:right="920" w:bottom="0" w:gutter="0" w:footer="0" w:header="0"/>
          <w:type w:val="continuous"/>
        </w:sectPr>
      </w:pPr>
    </w:p>
    <w:bookmarkStart w:id="149" w:name="page150"/>
    <w:bookmarkEnd w:id="149"/>
    <w:p>
      <w:pPr>
        <w:jc w:val="both"/>
        <w:ind w:right="180" w:firstLine="529"/>
        <w:spacing w:after="0" w:line="278" w:lineRule="auto"/>
        <w:rPr>
          <w:sz w:val="20"/>
          <w:szCs w:val="20"/>
          <w:color w:val="auto"/>
        </w:rPr>
      </w:pPr>
      <w:r>
        <w:rPr>
          <w:rFonts w:ascii="Arial" w:cs="Arial" w:eastAsia="Arial" w:hAnsi="Arial"/>
          <w:sz w:val="19"/>
          <w:szCs w:val="19"/>
          <w:color w:val="auto"/>
        </w:rPr>
        <w:t>An individual loan, or a portion thereof, is charged off when it is determined to be uncollectible. There were no charge offs for CMLs for the years ended December 31, 2025 and 2024. CMLs segregated by aging of the loans (by year of origination), gross of valuation allowances, were as follows for the years ended December 31, 2025 and 2024:</w:t>
      </w:r>
    </w:p>
    <w:p>
      <w:pPr>
        <w:spacing w:after="0" w:line="113" w:lineRule="exact"/>
        <w:rPr>
          <w:sz w:val="20"/>
          <w:szCs w:val="20"/>
          <w:color w:val="auto"/>
        </w:rPr>
      </w:pPr>
    </w:p>
    <w:tbl>
      <w:tblPr>
        <w:tblLayout w:type="fixed"/>
        <w:tblInd w:w="40" w:type="dxa"/>
        <w:tblCellMar>
          <w:top w:w="0" w:type="dxa"/>
          <w:left w:w="0" w:type="dxa"/>
          <w:bottom w:w="0" w:type="dxa"/>
          <w:right w:w="0" w:type="dxa"/>
        </w:tblCellMar>
      </w:tblPr>
      <w:tr>
        <w:trPr>
          <w:trHeight w:val="213"/>
        </w:trPr>
        <w:tc>
          <w:tcPr>
            <w:tcW w:w="42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gridSpan w:val="6"/>
          </w:tcPr>
          <w:p>
            <w:pPr>
              <w:jc w:val="center"/>
              <w:ind w:left="322"/>
              <w:spacing w:after="0"/>
              <w:rPr>
                <w:sz w:val="20"/>
                <w:szCs w:val="20"/>
                <w:color w:val="auto"/>
              </w:rPr>
            </w:pPr>
            <w:r>
              <w:rPr>
                <w:rFonts w:ascii="Arial" w:cs="Arial" w:eastAsia="Arial" w:hAnsi="Arial"/>
                <w:sz w:val="16"/>
                <w:szCs w:val="16"/>
                <w:b w:val="1"/>
                <w:bCs w:val="1"/>
                <w:color w:val="auto"/>
                <w:w w:val="87"/>
              </w:rPr>
              <w:t>December 31, 2025</w:t>
            </w:r>
          </w:p>
        </w:tc>
        <w:tc>
          <w:tcPr>
            <w:tcW w:w="5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r>
      <w:tr>
        <w:trPr>
          <w:trHeight w:val="230"/>
        </w:trPr>
        <w:tc>
          <w:tcPr>
            <w:tcW w:w="42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2520" w:type="dxa"/>
            <w:vAlign w:val="bottom"/>
            <w:tcBorders>
              <w:bottom w:val="single" w:sz="8" w:color="auto"/>
            </w:tcBorders>
            <w:gridSpan w:val="9"/>
          </w:tcPr>
          <w:p>
            <w:pPr>
              <w:jc w:val="center"/>
              <w:ind w:right="60"/>
              <w:spacing w:after="0"/>
              <w:rPr>
                <w:sz w:val="20"/>
                <w:szCs w:val="20"/>
                <w:color w:val="auto"/>
              </w:rPr>
            </w:pPr>
            <w:r>
              <w:rPr>
                <w:rFonts w:ascii="Arial" w:cs="Arial" w:eastAsia="Arial" w:hAnsi="Arial"/>
                <w:sz w:val="16"/>
                <w:szCs w:val="16"/>
                <w:b w:val="1"/>
                <w:bCs w:val="1"/>
                <w:color w:val="auto"/>
                <w:w w:val="91"/>
              </w:rPr>
              <w:t>Amortized Cost by Origination Year</w:t>
            </w:r>
          </w:p>
        </w:tc>
        <w:tc>
          <w:tcPr>
            <w:tcW w:w="1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r>
      <w:tr>
        <w:trPr>
          <w:trHeight w:val="230"/>
        </w:trPr>
        <w:tc>
          <w:tcPr>
            <w:tcW w:w="42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162"/>
              <w:spacing w:after="0"/>
              <w:rPr>
                <w:sz w:val="20"/>
                <w:szCs w:val="20"/>
                <w:color w:val="auto"/>
              </w:rPr>
            </w:pPr>
            <w:r>
              <w:rPr>
                <w:rFonts w:ascii="Arial" w:cs="Arial" w:eastAsia="Arial" w:hAnsi="Arial"/>
                <w:sz w:val="16"/>
                <w:szCs w:val="16"/>
                <w:b w:val="1"/>
                <w:bCs w:val="1"/>
                <w:color w:val="auto"/>
                <w:w w:val="95"/>
              </w:rPr>
              <w:t>2025</w:t>
            </w:r>
          </w:p>
        </w:tc>
        <w:tc>
          <w:tcPr>
            <w:tcW w:w="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162"/>
              <w:spacing w:after="0"/>
              <w:rPr>
                <w:sz w:val="20"/>
                <w:szCs w:val="20"/>
                <w:color w:val="auto"/>
              </w:rPr>
            </w:pPr>
            <w:r>
              <w:rPr>
                <w:rFonts w:ascii="Arial" w:cs="Arial" w:eastAsia="Arial" w:hAnsi="Arial"/>
                <w:sz w:val="16"/>
                <w:szCs w:val="16"/>
                <w:b w:val="1"/>
                <w:bCs w:val="1"/>
                <w:color w:val="auto"/>
                <w:w w:val="95"/>
              </w:rPr>
              <w:t>2024</w:t>
            </w:r>
          </w:p>
        </w:tc>
        <w:tc>
          <w:tcPr>
            <w:tcW w:w="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162"/>
              <w:spacing w:after="0"/>
              <w:rPr>
                <w:sz w:val="20"/>
                <w:szCs w:val="20"/>
                <w:color w:val="auto"/>
              </w:rPr>
            </w:pPr>
            <w:r>
              <w:rPr>
                <w:rFonts w:ascii="Arial" w:cs="Arial" w:eastAsia="Arial" w:hAnsi="Arial"/>
                <w:sz w:val="16"/>
                <w:szCs w:val="16"/>
                <w:b w:val="1"/>
                <w:bCs w:val="1"/>
                <w:color w:val="auto"/>
                <w:w w:val="95"/>
              </w:rPr>
              <w:t>2023</w:t>
            </w:r>
          </w:p>
        </w:tc>
        <w:tc>
          <w:tcPr>
            <w:tcW w:w="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center"/>
              <w:ind w:right="122"/>
              <w:spacing w:after="0"/>
              <w:rPr>
                <w:sz w:val="20"/>
                <w:szCs w:val="20"/>
                <w:color w:val="auto"/>
              </w:rPr>
            </w:pPr>
            <w:r>
              <w:rPr>
                <w:rFonts w:ascii="Arial" w:cs="Arial" w:eastAsia="Arial" w:hAnsi="Arial"/>
                <w:sz w:val="16"/>
                <w:szCs w:val="16"/>
                <w:b w:val="1"/>
                <w:bCs w:val="1"/>
                <w:color w:val="auto"/>
                <w:w w:val="89"/>
              </w:rPr>
              <w:t>2022</w:t>
            </w:r>
          </w:p>
        </w:tc>
        <w:tc>
          <w:tcPr>
            <w:tcW w:w="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162"/>
              <w:spacing w:after="0"/>
              <w:rPr>
                <w:sz w:val="20"/>
                <w:szCs w:val="20"/>
                <w:color w:val="auto"/>
              </w:rPr>
            </w:pPr>
            <w:r>
              <w:rPr>
                <w:rFonts w:ascii="Arial" w:cs="Arial" w:eastAsia="Arial" w:hAnsi="Arial"/>
                <w:sz w:val="16"/>
                <w:szCs w:val="16"/>
                <w:b w:val="1"/>
                <w:bCs w:val="1"/>
                <w:color w:val="auto"/>
                <w:w w:val="89"/>
              </w:rPr>
              <w:t>2021</w:t>
            </w:r>
          </w:p>
        </w:tc>
        <w:tc>
          <w:tcPr>
            <w:tcW w:w="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122"/>
              <w:spacing w:after="0"/>
              <w:rPr>
                <w:sz w:val="20"/>
                <w:szCs w:val="20"/>
                <w:color w:val="auto"/>
              </w:rPr>
            </w:pPr>
            <w:r>
              <w:rPr>
                <w:rFonts w:ascii="Arial" w:cs="Arial" w:eastAsia="Arial" w:hAnsi="Arial"/>
                <w:sz w:val="16"/>
                <w:szCs w:val="16"/>
                <w:b w:val="1"/>
                <w:bCs w:val="1"/>
                <w:color w:val="auto"/>
              </w:rPr>
              <w:t>Prior</w:t>
            </w:r>
          </w:p>
        </w:tc>
        <w:tc>
          <w:tcPr>
            <w:tcW w:w="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122"/>
              <w:spacing w:after="0"/>
              <w:rPr>
                <w:sz w:val="20"/>
                <w:szCs w:val="20"/>
                <w:color w:val="auto"/>
              </w:rPr>
            </w:pPr>
            <w:r>
              <w:rPr>
                <w:rFonts w:ascii="Arial" w:cs="Arial" w:eastAsia="Arial" w:hAnsi="Arial"/>
                <w:sz w:val="16"/>
                <w:szCs w:val="16"/>
                <w:b w:val="1"/>
                <w:bCs w:val="1"/>
                <w:color w:val="auto"/>
                <w:w w:val="99"/>
              </w:rPr>
              <w:t>Total</w:t>
            </w:r>
          </w:p>
        </w:tc>
      </w:tr>
      <w:tr>
        <w:trPr>
          <w:trHeight w:val="223"/>
        </w:trPr>
        <w:tc>
          <w:tcPr>
            <w:tcW w:w="4200" w:type="dxa"/>
            <w:vAlign w:val="bottom"/>
          </w:tcPr>
          <w:p>
            <w:pPr>
              <w:spacing w:after="0"/>
              <w:rPr>
                <w:sz w:val="20"/>
                <w:szCs w:val="20"/>
                <w:color w:val="auto"/>
              </w:rPr>
            </w:pPr>
            <w:r>
              <w:rPr>
                <w:rFonts w:ascii="Arial" w:cs="Arial" w:eastAsia="Arial" w:hAnsi="Arial"/>
                <w:sz w:val="16"/>
                <w:szCs w:val="16"/>
                <w:b w:val="1"/>
                <w:bCs w:val="1"/>
                <w:color w:val="auto"/>
              </w:rPr>
              <w:t>CMLs</w:t>
            </w: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00" w:type="dxa"/>
            <w:vAlign w:val="bottom"/>
            <w:gridSpan w:val="4"/>
          </w:tcPr>
          <w:p>
            <w:pPr>
              <w:jc w:val="center"/>
              <w:spacing w:after="0"/>
              <w:rPr>
                <w:sz w:val="20"/>
                <w:szCs w:val="20"/>
                <w:color w:val="auto"/>
              </w:rPr>
            </w:pPr>
            <w:r>
              <w:rPr>
                <w:rFonts w:ascii="Arial" w:cs="Arial" w:eastAsia="Arial" w:hAnsi="Arial"/>
                <w:sz w:val="16"/>
                <w:szCs w:val="16"/>
                <w:b w:val="1"/>
                <w:bCs w:val="1"/>
                <w:color w:val="auto"/>
                <w:w w:val="91"/>
              </w:rPr>
              <w:t>(In millions)</w:t>
            </w:r>
          </w:p>
        </w:tc>
        <w:tc>
          <w:tcPr>
            <w:tcW w:w="2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r>
      <w:tr>
        <w:trPr>
          <w:trHeight w:val="250"/>
        </w:trPr>
        <w:tc>
          <w:tcPr>
            <w:tcW w:w="4200" w:type="dxa"/>
            <w:vAlign w:val="bottom"/>
          </w:tcPr>
          <w:p>
            <w:pPr>
              <w:spacing w:after="0"/>
              <w:rPr>
                <w:sz w:val="20"/>
                <w:szCs w:val="20"/>
                <w:color w:val="auto"/>
              </w:rPr>
            </w:pPr>
            <w:r>
              <w:rPr>
                <w:rFonts w:ascii="Arial" w:cs="Arial" w:eastAsia="Arial" w:hAnsi="Arial"/>
                <w:sz w:val="16"/>
                <w:szCs w:val="16"/>
                <w:color w:val="auto"/>
              </w:rPr>
              <w:t>Current (less than 30 days past due)</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646</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295</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00" w:type="dxa"/>
            <w:vAlign w:val="bottom"/>
          </w:tcPr>
          <w:p>
            <w:pPr>
              <w:jc w:val="right"/>
              <w:ind w:right="2"/>
              <w:spacing w:after="0"/>
              <w:rPr>
                <w:sz w:val="20"/>
                <w:szCs w:val="20"/>
                <w:color w:val="auto"/>
              </w:rPr>
            </w:pPr>
            <w:r>
              <w:rPr>
                <w:rFonts w:ascii="Arial" w:cs="Arial" w:eastAsia="Arial" w:hAnsi="Arial"/>
                <w:sz w:val="16"/>
                <w:szCs w:val="16"/>
                <w:color w:val="auto"/>
              </w:rPr>
              <w:t>194</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00" w:type="dxa"/>
            <w:vAlign w:val="bottom"/>
          </w:tcPr>
          <w:p>
            <w:pPr>
              <w:jc w:val="right"/>
              <w:ind w:right="2"/>
              <w:spacing w:after="0"/>
              <w:rPr>
                <w:sz w:val="20"/>
                <w:szCs w:val="20"/>
                <w:color w:val="auto"/>
              </w:rPr>
            </w:pPr>
            <w:r>
              <w:rPr>
                <w:rFonts w:ascii="Arial" w:cs="Arial" w:eastAsia="Arial" w:hAnsi="Arial"/>
                <w:sz w:val="16"/>
                <w:szCs w:val="16"/>
                <w:color w:val="auto"/>
              </w:rPr>
              <w:t>292</w:t>
            </w:r>
          </w:p>
        </w:tc>
        <w:tc>
          <w:tcPr>
            <w:tcW w:w="60" w:type="dxa"/>
            <w:vAlign w:val="bottom"/>
          </w:tcPr>
          <w:p>
            <w:pPr>
              <w:spacing w:after="0"/>
              <w:rPr>
                <w:sz w:val="21"/>
                <w:szCs w:val="21"/>
                <w:color w:val="auto"/>
              </w:rPr>
            </w:pPr>
          </w:p>
        </w:tc>
        <w:tc>
          <w:tcPr>
            <w:tcW w:w="20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580" w:type="dxa"/>
            <w:vAlign w:val="bottom"/>
          </w:tcPr>
          <w:p>
            <w:pPr>
              <w:jc w:val="right"/>
              <w:ind w:right="2"/>
              <w:spacing w:after="0"/>
              <w:rPr>
                <w:sz w:val="20"/>
                <w:szCs w:val="20"/>
                <w:color w:val="auto"/>
              </w:rPr>
            </w:pPr>
            <w:r>
              <w:rPr>
                <w:rFonts w:ascii="Arial" w:cs="Arial" w:eastAsia="Arial" w:hAnsi="Arial"/>
                <w:sz w:val="16"/>
                <w:szCs w:val="16"/>
                <w:color w:val="auto"/>
              </w:rPr>
              <w:t>1,252</w:t>
            </w:r>
          </w:p>
        </w:tc>
        <w:tc>
          <w:tcPr>
            <w:tcW w:w="6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569</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3,248</w:t>
            </w:r>
          </w:p>
        </w:tc>
      </w:tr>
      <w:tr>
        <w:trPr>
          <w:trHeight w:val="250"/>
        </w:trPr>
        <w:tc>
          <w:tcPr>
            <w:tcW w:w="4200" w:type="dxa"/>
            <w:vAlign w:val="bottom"/>
          </w:tcPr>
          <w:p>
            <w:pPr>
              <w:spacing w:after="0"/>
              <w:rPr>
                <w:sz w:val="20"/>
                <w:szCs w:val="20"/>
                <w:color w:val="auto"/>
              </w:rPr>
            </w:pPr>
            <w:r>
              <w:rPr>
                <w:rFonts w:ascii="Arial" w:cs="Arial" w:eastAsia="Arial" w:hAnsi="Arial"/>
                <w:sz w:val="16"/>
                <w:szCs w:val="16"/>
                <w:color w:val="auto"/>
              </w:rPr>
              <w:t>30-89 days past due</w:t>
            </w:r>
          </w:p>
        </w:tc>
        <w:tc>
          <w:tcPr>
            <w:tcW w:w="18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1"/>
                <w:szCs w:val="21"/>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57"/>
        </w:trPr>
        <w:tc>
          <w:tcPr>
            <w:tcW w:w="4200" w:type="dxa"/>
            <w:vAlign w:val="bottom"/>
          </w:tcPr>
          <w:p>
            <w:pPr>
              <w:spacing w:after="0"/>
              <w:rPr>
                <w:sz w:val="20"/>
                <w:szCs w:val="20"/>
                <w:color w:val="auto"/>
              </w:rPr>
            </w:pPr>
            <w:r>
              <w:rPr>
                <w:rFonts w:ascii="Arial" w:cs="Arial" w:eastAsia="Arial" w:hAnsi="Arial"/>
                <w:sz w:val="16"/>
                <w:szCs w:val="16"/>
                <w:color w:val="auto"/>
              </w:rPr>
              <w:t>90 days or more past due</w:t>
            </w:r>
          </w:p>
        </w:tc>
        <w:tc>
          <w:tcPr>
            <w:tcW w:w="18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w:t>
            </w:r>
          </w:p>
        </w:tc>
        <w:tc>
          <w:tcPr>
            <w:tcW w:w="6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w:t>
            </w:r>
          </w:p>
        </w:tc>
      </w:tr>
      <w:tr>
        <w:trPr>
          <w:trHeight w:val="210"/>
        </w:trPr>
        <w:tc>
          <w:tcPr>
            <w:tcW w:w="4200" w:type="dxa"/>
            <w:vAlign w:val="bottom"/>
          </w:tcPr>
          <w:p>
            <w:pPr>
              <w:spacing w:after="0"/>
              <w:rPr>
                <w:sz w:val="20"/>
                <w:szCs w:val="20"/>
                <w:color w:val="auto"/>
              </w:rPr>
            </w:pPr>
            <w:r>
              <w:rPr>
                <w:rFonts w:ascii="Arial" w:cs="Arial" w:eastAsia="Arial" w:hAnsi="Arial"/>
                <w:sz w:val="16"/>
                <w:szCs w:val="16"/>
                <w:b w:val="1"/>
                <w:bCs w:val="1"/>
                <w:color w:val="auto"/>
              </w:rPr>
              <w:t>Total CMLs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646</w:t>
            </w:r>
          </w:p>
        </w:tc>
        <w:tc>
          <w:tcPr>
            <w:tcW w:w="6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295</w:t>
            </w:r>
          </w:p>
        </w:tc>
        <w:tc>
          <w:tcPr>
            <w:tcW w:w="6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194</w:t>
            </w:r>
          </w:p>
        </w:tc>
        <w:tc>
          <w:tcPr>
            <w:tcW w:w="6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292</w:t>
            </w:r>
          </w:p>
        </w:tc>
        <w:tc>
          <w:tcPr>
            <w:tcW w:w="60" w:type="dxa"/>
            <w:vAlign w:val="bottom"/>
          </w:tcPr>
          <w:p>
            <w:pPr>
              <w:spacing w:after="0"/>
              <w:rPr>
                <w:sz w:val="18"/>
                <w:szCs w:val="18"/>
                <w:color w:val="auto"/>
              </w:rPr>
            </w:pPr>
          </w:p>
        </w:tc>
        <w:tc>
          <w:tcPr>
            <w:tcW w:w="2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1,252</w:t>
            </w:r>
          </w:p>
        </w:tc>
        <w:tc>
          <w:tcPr>
            <w:tcW w:w="6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581</w:t>
            </w:r>
          </w:p>
        </w:tc>
        <w:tc>
          <w:tcPr>
            <w:tcW w:w="6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3,260</w:t>
            </w:r>
          </w:p>
        </w:tc>
      </w:tr>
      <w:tr>
        <w:trPr>
          <w:trHeight w:val="20"/>
        </w:trPr>
        <w:tc>
          <w:tcPr>
            <w:tcW w:w="4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Borders>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r>
        <w:trPr>
          <w:trHeight w:val="719"/>
        </w:trPr>
        <w:tc>
          <w:tcPr>
            <w:tcW w:w="42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6"/>
          </w:tcPr>
          <w:p>
            <w:pPr>
              <w:jc w:val="center"/>
              <w:ind w:left="322"/>
              <w:spacing w:after="0"/>
              <w:rPr>
                <w:sz w:val="20"/>
                <w:szCs w:val="20"/>
                <w:color w:val="auto"/>
              </w:rPr>
            </w:pPr>
            <w:r>
              <w:rPr>
                <w:rFonts w:ascii="Arial" w:cs="Arial" w:eastAsia="Arial" w:hAnsi="Arial"/>
                <w:sz w:val="16"/>
                <w:szCs w:val="16"/>
                <w:b w:val="1"/>
                <w:bCs w:val="1"/>
                <w:color w:val="auto"/>
                <w:w w:val="87"/>
              </w:rPr>
              <w:t>December 31, 2024</w:t>
            </w:r>
          </w:p>
        </w:tc>
        <w:tc>
          <w:tcPr>
            <w:tcW w:w="5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r>
      <w:tr>
        <w:trPr>
          <w:trHeight w:val="230"/>
        </w:trPr>
        <w:tc>
          <w:tcPr>
            <w:tcW w:w="42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2520" w:type="dxa"/>
            <w:vAlign w:val="bottom"/>
            <w:tcBorders>
              <w:bottom w:val="single" w:sz="8" w:color="auto"/>
            </w:tcBorders>
            <w:gridSpan w:val="9"/>
          </w:tcPr>
          <w:p>
            <w:pPr>
              <w:jc w:val="center"/>
              <w:ind w:right="60"/>
              <w:spacing w:after="0"/>
              <w:rPr>
                <w:sz w:val="20"/>
                <w:szCs w:val="20"/>
                <w:color w:val="auto"/>
              </w:rPr>
            </w:pPr>
            <w:r>
              <w:rPr>
                <w:rFonts w:ascii="Arial" w:cs="Arial" w:eastAsia="Arial" w:hAnsi="Arial"/>
                <w:sz w:val="16"/>
                <w:szCs w:val="16"/>
                <w:b w:val="1"/>
                <w:bCs w:val="1"/>
                <w:color w:val="auto"/>
                <w:w w:val="91"/>
              </w:rPr>
              <w:t>Amortized Cost by Origination Year</w:t>
            </w:r>
          </w:p>
        </w:tc>
        <w:tc>
          <w:tcPr>
            <w:tcW w:w="1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r>
      <w:tr>
        <w:trPr>
          <w:trHeight w:val="230"/>
        </w:trPr>
        <w:tc>
          <w:tcPr>
            <w:tcW w:w="42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162"/>
              <w:spacing w:after="0"/>
              <w:rPr>
                <w:sz w:val="20"/>
                <w:szCs w:val="20"/>
                <w:color w:val="auto"/>
              </w:rPr>
            </w:pPr>
            <w:r>
              <w:rPr>
                <w:rFonts w:ascii="Arial" w:cs="Arial" w:eastAsia="Arial" w:hAnsi="Arial"/>
                <w:sz w:val="16"/>
                <w:szCs w:val="16"/>
                <w:b w:val="1"/>
                <w:bCs w:val="1"/>
                <w:color w:val="auto"/>
                <w:w w:val="95"/>
              </w:rPr>
              <w:t>2024</w:t>
            </w:r>
          </w:p>
        </w:tc>
        <w:tc>
          <w:tcPr>
            <w:tcW w:w="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162"/>
              <w:spacing w:after="0"/>
              <w:rPr>
                <w:sz w:val="20"/>
                <w:szCs w:val="20"/>
                <w:color w:val="auto"/>
              </w:rPr>
            </w:pPr>
            <w:r>
              <w:rPr>
                <w:rFonts w:ascii="Arial" w:cs="Arial" w:eastAsia="Arial" w:hAnsi="Arial"/>
                <w:sz w:val="16"/>
                <w:szCs w:val="16"/>
                <w:b w:val="1"/>
                <w:bCs w:val="1"/>
                <w:color w:val="auto"/>
                <w:w w:val="95"/>
              </w:rPr>
              <w:t>2023</w:t>
            </w:r>
          </w:p>
        </w:tc>
        <w:tc>
          <w:tcPr>
            <w:tcW w:w="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162"/>
              <w:spacing w:after="0"/>
              <w:rPr>
                <w:sz w:val="20"/>
                <w:szCs w:val="20"/>
                <w:color w:val="auto"/>
              </w:rPr>
            </w:pPr>
            <w:r>
              <w:rPr>
                <w:rFonts w:ascii="Arial" w:cs="Arial" w:eastAsia="Arial" w:hAnsi="Arial"/>
                <w:sz w:val="16"/>
                <w:szCs w:val="16"/>
                <w:b w:val="1"/>
                <w:bCs w:val="1"/>
                <w:color w:val="auto"/>
                <w:w w:val="95"/>
              </w:rPr>
              <w:t>2022</w:t>
            </w:r>
          </w:p>
        </w:tc>
        <w:tc>
          <w:tcPr>
            <w:tcW w:w="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center"/>
              <w:ind w:right="122"/>
              <w:spacing w:after="0"/>
              <w:rPr>
                <w:sz w:val="20"/>
                <w:szCs w:val="20"/>
                <w:color w:val="auto"/>
              </w:rPr>
            </w:pPr>
            <w:r>
              <w:rPr>
                <w:rFonts w:ascii="Arial" w:cs="Arial" w:eastAsia="Arial" w:hAnsi="Arial"/>
                <w:sz w:val="16"/>
                <w:szCs w:val="16"/>
                <w:b w:val="1"/>
                <w:bCs w:val="1"/>
                <w:color w:val="auto"/>
                <w:w w:val="89"/>
              </w:rPr>
              <w:t>2021</w:t>
            </w:r>
          </w:p>
        </w:tc>
        <w:tc>
          <w:tcPr>
            <w:tcW w:w="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162"/>
              <w:spacing w:after="0"/>
              <w:rPr>
                <w:sz w:val="20"/>
                <w:szCs w:val="20"/>
                <w:color w:val="auto"/>
              </w:rPr>
            </w:pPr>
            <w:r>
              <w:rPr>
                <w:rFonts w:ascii="Arial" w:cs="Arial" w:eastAsia="Arial" w:hAnsi="Arial"/>
                <w:sz w:val="16"/>
                <w:szCs w:val="16"/>
                <w:b w:val="1"/>
                <w:bCs w:val="1"/>
                <w:color w:val="auto"/>
                <w:w w:val="89"/>
              </w:rPr>
              <w:t>2020</w:t>
            </w:r>
          </w:p>
        </w:tc>
        <w:tc>
          <w:tcPr>
            <w:tcW w:w="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122"/>
              <w:spacing w:after="0"/>
              <w:rPr>
                <w:sz w:val="20"/>
                <w:szCs w:val="20"/>
                <w:color w:val="auto"/>
              </w:rPr>
            </w:pPr>
            <w:r>
              <w:rPr>
                <w:rFonts w:ascii="Arial" w:cs="Arial" w:eastAsia="Arial" w:hAnsi="Arial"/>
                <w:sz w:val="16"/>
                <w:szCs w:val="16"/>
                <w:b w:val="1"/>
                <w:bCs w:val="1"/>
                <w:color w:val="auto"/>
              </w:rPr>
              <w:t>Prior</w:t>
            </w:r>
          </w:p>
        </w:tc>
        <w:tc>
          <w:tcPr>
            <w:tcW w:w="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122"/>
              <w:spacing w:after="0"/>
              <w:rPr>
                <w:sz w:val="20"/>
                <w:szCs w:val="20"/>
                <w:color w:val="auto"/>
              </w:rPr>
            </w:pPr>
            <w:r>
              <w:rPr>
                <w:rFonts w:ascii="Arial" w:cs="Arial" w:eastAsia="Arial" w:hAnsi="Arial"/>
                <w:sz w:val="16"/>
                <w:szCs w:val="16"/>
                <w:b w:val="1"/>
                <w:bCs w:val="1"/>
                <w:color w:val="auto"/>
                <w:w w:val="99"/>
              </w:rPr>
              <w:t>Total</w:t>
            </w:r>
          </w:p>
        </w:tc>
      </w:tr>
      <w:tr>
        <w:trPr>
          <w:trHeight w:val="223"/>
        </w:trPr>
        <w:tc>
          <w:tcPr>
            <w:tcW w:w="4200" w:type="dxa"/>
            <w:vAlign w:val="bottom"/>
          </w:tcPr>
          <w:p>
            <w:pPr>
              <w:spacing w:after="0"/>
              <w:rPr>
                <w:sz w:val="20"/>
                <w:szCs w:val="20"/>
                <w:color w:val="auto"/>
              </w:rPr>
            </w:pPr>
            <w:r>
              <w:rPr>
                <w:rFonts w:ascii="Arial" w:cs="Arial" w:eastAsia="Arial" w:hAnsi="Arial"/>
                <w:sz w:val="16"/>
                <w:szCs w:val="16"/>
                <w:b w:val="1"/>
                <w:bCs w:val="1"/>
                <w:color w:val="auto"/>
              </w:rPr>
              <w:t>CMLs</w:t>
            </w: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00" w:type="dxa"/>
            <w:vAlign w:val="bottom"/>
            <w:gridSpan w:val="4"/>
          </w:tcPr>
          <w:p>
            <w:pPr>
              <w:jc w:val="center"/>
              <w:spacing w:after="0"/>
              <w:rPr>
                <w:sz w:val="20"/>
                <w:szCs w:val="20"/>
                <w:color w:val="auto"/>
              </w:rPr>
            </w:pPr>
            <w:r>
              <w:rPr>
                <w:rFonts w:ascii="Arial" w:cs="Arial" w:eastAsia="Arial" w:hAnsi="Arial"/>
                <w:sz w:val="16"/>
                <w:szCs w:val="16"/>
                <w:b w:val="1"/>
                <w:bCs w:val="1"/>
                <w:color w:val="auto"/>
                <w:w w:val="91"/>
              </w:rPr>
              <w:t>(In millions)</w:t>
            </w:r>
          </w:p>
        </w:tc>
        <w:tc>
          <w:tcPr>
            <w:tcW w:w="2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r>
      <w:tr>
        <w:trPr>
          <w:trHeight w:val="250"/>
        </w:trPr>
        <w:tc>
          <w:tcPr>
            <w:tcW w:w="4200" w:type="dxa"/>
            <w:vAlign w:val="bottom"/>
          </w:tcPr>
          <w:p>
            <w:pPr>
              <w:spacing w:after="0"/>
              <w:rPr>
                <w:sz w:val="20"/>
                <w:szCs w:val="20"/>
                <w:color w:val="auto"/>
              </w:rPr>
            </w:pPr>
            <w:r>
              <w:rPr>
                <w:rFonts w:ascii="Arial" w:cs="Arial" w:eastAsia="Arial" w:hAnsi="Arial"/>
                <w:sz w:val="16"/>
                <w:szCs w:val="16"/>
                <w:color w:val="auto"/>
              </w:rPr>
              <w:t>Current (less than 30 days past due)</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273</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227</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00" w:type="dxa"/>
            <w:vAlign w:val="bottom"/>
          </w:tcPr>
          <w:p>
            <w:pPr>
              <w:jc w:val="right"/>
              <w:ind w:right="2"/>
              <w:spacing w:after="0"/>
              <w:rPr>
                <w:sz w:val="20"/>
                <w:szCs w:val="20"/>
                <w:color w:val="auto"/>
              </w:rPr>
            </w:pPr>
            <w:r>
              <w:rPr>
                <w:rFonts w:ascii="Arial" w:cs="Arial" w:eastAsia="Arial" w:hAnsi="Arial"/>
                <w:sz w:val="16"/>
                <w:szCs w:val="16"/>
                <w:color w:val="auto"/>
              </w:rPr>
              <w:t>290</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00" w:type="dxa"/>
            <w:vAlign w:val="bottom"/>
          </w:tcPr>
          <w:p>
            <w:pPr>
              <w:jc w:val="right"/>
              <w:ind w:right="2"/>
              <w:spacing w:after="0"/>
              <w:rPr>
                <w:sz w:val="20"/>
                <w:szCs w:val="20"/>
                <w:color w:val="auto"/>
              </w:rPr>
            </w:pPr>
            <w:r>
              <w:rPr>
                <w:rFonts w:ascii="Arial" w:cs="Arial" w:eastAsia="Arial" w:hAnsi="Arial"/>
                <w:sz w:val="16"/>
                <w:szCs w:val="16"/>
                <w:color w:val="auto"/>
              </w:rPr>
              <w:t>1,253</w:t>
            </w:r>
          </w:p>
        </w:tc>
        <w:tc>
          <w:tcPr>
            <w:tcW w:w="60" w:type="dxa"/>
            <w:vAlign w:val="bottom"/>
          </w:tcPr>
          <w:p>
            <w:pPr>
              <w:spacing w:after="0"/>
              <w:rPr>
                <w:sz w:val="21"/>
                <w:szCs w:val="21"/>
                <w:color w:val="auto"/>
              </w:rPr>
            </w:pPr>
          </w:p>
        </w:tc>
        <w:tc>
          <w:tcPr>
            <w:tcW w:w="20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580" w:type="dxa"/>
            <w:vAlign w:val="bottom"/>
          </w:tcPr>
          <w:p>
            <w:pPr>
              <w:jc w:val="right"/>
              <w:ind w:right="2"/>
              <w:spacing w:after="0"/>
              <w:rPr>
                <w:sz w:val="20"/>
                <w:szCs w:val="20"/>
                <w:color w:val="auto"/>
              </w:rPr>
            </w:pPr>
            <w:r>
              <w:rPr>
                <w:rFonts w:ascii="Arial" w:cs="Arial" w:eastAsia="Arial" w:hAnsi="Arial"/>
                <w:sz w:val="16"/>
                <w:szCs w:val="16"/>
                <w:color w:val="auto"/>
              </w:rPr>
              <w:t>469</w:t>
            </w:r>
          </w:p>
        </w:tc>
        <w:tc>
          <w:tcPr>
            <w:tcW w:w="6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201</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2,713</w:t>
            </w:r>
          </w:p>
        </w:tc>
      </w:tr>
      <w:tr>
        <w:trPr>
          <w:trHeight w:val="250"/>
        </w:trPr>
        <w:tc>
          <w:tcPr>
            <w:tcW w:w="4200" w:type="dxa"/>
            <w:vAlign w:val="bottom"/>
          </w:tcPr>
          <w:p>
            <w:pPr>
              <w:spacing w:after="0"/>
              <w:rPr>
                <w:sz w:val="20"/>
                <w:szCs w:val="20"/>
                <w:color w:val="auto"/>
              </w:rPr>
            </w:pPr>
            <w:r>
              <w:rPr>
                <w:rFonts w:ascii="Arial" w:cs="Arial" w:eastAsia="Arial" w:hAnsi="Arial"/>
                <w:sz w:val="16"/>
                <w:szCs w:val="16"/>
                <w:color w:val="auto"/>
              </w:rPr>
              <w:t>30-89 days past due</w:t>
            </w:r>
          </w:p>
        </w:tc>
        <w:tc>
          <w:tcPr>
            <w:tcW w:w="18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1"/>
                <w:szCs w:val="21"/>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57"/>
        </w:trPr>
        <w:tc>
          <w:tcPr>
            <w:tcW w:w="4200" w:type="dxa"/>
            <w:vAlign w:val="bottom"/>
          </w:tcPr>
          <w:p>
            <w:pPr>
              <w:spacing w:after="0"/>
              <w:rPr>
                <w:sz w:val="20"/>
                <w:szCs w:val="20"/>
                <w:color w:val="auto"/>
              </w:rPr>
            </w:pPr>
            <w:r>
              <w:rPr>
                <w:rFonts w:ascii="Arial" w:cs="Arial" w:eastAsia="Arial" w:hAnsi="Arial"/>
                <w:sz w:val="16"/>
                <w:szCs w:val="16"/>
                <w:color w:val="auto"/>
              </w:rPr>
              <w:t>90 days or more past due</w:t>
            </w:r>
          </w:p>
        </w:tc>
        <w:tc>
          <w:tcPr>
            <w:tcW w:w="18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w:t>
            </w:r>
          </w:p>
        </w:tc>
        <w:tc>
          <w:tcPr>
            <w:tcW w:w="6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w:t>
            </w:r>
          </w:p>
        </w:tc>
      </w:tr>
      <w:tr>
        <w:trPr>
          <w:trHeight w:val="210"/>
        </w:trPr>
        <w:tc>
          <w:tcPr>
            <w:tcW w:w="4200" w:type="dxa"/>
            <w:vAlign w:val="bottom"/>
          </w:tcPr>
          <w:p>
            <w:pPr>
              <w:spacing w:after="0"/>
              <w:rPr>
                <w:sz w:val="20"/>
                <w:szCs w:val="20"/>
                <w:color w:val="auto"/>
              </w:rPr>
            </w:pPr>
            <w:r>
              <w:rPr>
                <w:rFonts w:ascii="Arial" w:cs="Arial" w:eastAsia="Arial" w:hAnsi="Arial"/>
                <w:sz w:val="16"/>
                <w:szCs w:val="16"/>
                <w:b w:val="1"/>
                <w:bCs w:val="1"/>
                <w:color w:val="auto"/>
              </w:rPr>
              <w:t>Total CMLs</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273</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227</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00" w:type="dxa"/>
            <w:vAlign w:val="bottom"/>
          </w:tcPr>
          <w:p>
            <w:pPr>
              <w:jc w:val="right"/>
              <w:ind w:right="2"/>
              <w:spacing w:after="0"/>
              <w:rPr>
                <w:sz w:val="20"/>
                <w:szCs w:val="20"/>
                <w:color w:val="auto"/>
              </w:rPr>
            </w:pPr>
            <w:r>
              <w:rPr>
                <w:rFonts w:ascii="Arial" w:cs="Arial" w:eastAsia="Arial" w:hAnsi="Arial"/>
                <w:sz w:val="16"/>
                <w:szCs w:val="16"/>
                <w:color w:val="auto"/>
              </w:rPr>
              <w:t>290</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00" w:type="dxa"/>
            <w:vAlign w:val="bottom"/>
          </w:tcPr>
          <w:p>
            <w:pPr>
              <w:jc w:val="right"/>
              <w:ind w:right="2"/>
              <w:spacing w:after="0"/>
              <w:rPr>
                <w:sz w:val="20"/>
                <w:szCs w:val="20"/>
                <w:color w:val="auto"/>
              </w:rPr>
            </w:pPr>
            <w:r>
              <w:rPr>
                <w:rFonts w:ascii="Arial" w:cs="Arial" w:eastAsia="Arial" w:hAnsi="Arial"/>
                <w:sz w:val="16"/>
                <w:szCs w:val="16"/>
                <w:color w:val="auto"/>
              </w:rPr>
              <w:t>1,253</w:t>
            </w:r>
          </w:p>
        </w:tc>
        <w:tc>
          <w:tcPr>
            <w:tcW w:w="60" w:type="dxa"/>
            <w:vAlign w:val="bottom"/>
          </w:tcPr>
          <w:p>
            <w:pPr>
              <w:spacing w:after="0"/>
              <w:rPr>
                <w:sz w:val="18"/>
                <w:szCs w:val="18"/>
                <w:color w:val="auto"/>
              </w:rPr>
            </w:pPr>
          </w:p>
        </w:tc>
        <w:tc>
          <w:tcPr>
            <w:tcW w:w="20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580" w:type="dxa"/>
            <w:vAlign w:val="bottom"/>
          </w:tcPr>
          <w:p>
            <w:pPr>
              <w:jc w:val="right"/>
              <w:ind w:right="2"/>
              <w:spacing w:after="0"/>
              <w:rPr>
                <w:sz w:val="20"/>
                <w:szCs w:val="20"/>
                <w:color w:val="auto"/>
              </w:rPr>
            </w:pPr>
            <w:r>
              <w:rPr>
                <w:rFonts w:ascii="Arial" w:cs="Arial" w:eastAsia="Arial" w:hAnsi="Arial"/>
                <w:sz w:val="16"/>
                <w:szCs w:val="16"/>
                <w:color w:val="auto"/>
              </w:rPr>
              <w:t>469</w:t>
            </w:r>
          </w:p>
        </w:tc>
        <w:tc>
          <w:tcPr>
            <w:tcW w:w="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210</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2,722</w:t>
            </w:r>
          </w:p>
        </w:tc>
      </w:tr>
      <w:tr>
        <w:trPr>
          <w:trHeight w:val="20"/>
        </w:trPr>
        <w:tc>
          <w:tcPr>
            <w:tcW w:w="4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-2417445</wp:posOffset>
            </wp:positionV>
            <wp:extent cx="6410325" cy="83121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95">
                      <a:extLst>
                        <a:ext uri="{28A0092B-C50C-407E-A947-70E740481C1C}"/>
                      </a:extLst>
                    </a:blip>
                    <a:srcRect/>
                    <a:stretch>
                      <a:fillRect/>
                    </a:stretch>
                  </pic:blipFill>
                  <pic:spPr bwMode="auto">
                    <a:xfrm>
                      <a:off x="0" y="0"/>
                      <a:ext cx="6410325" cy="831215"/>
                    </a:xfrm>
                    <a:prstGeom prst="rect">
                      <a:avLst/>
                    </a:prstGeom>
                    <a:noFill/>
                  </pic:spPr>
                </pic:pic>
              </a:graphicData>
            </a:graphic>
          </wp:anchor>
        </w:drawing>
        <w:drawing>
          <wp:anchor simplePos="0" relativeHeight="251657728" behindDoc="1" locked="0" layoutInCell="0" allowOverlap="1">
            <wp:simplePos x="0" y="0"/>
            <wp:positionH relativeFrom="column">
              <wp:posOffset>-16510</wp:posOffset>
            </wp:positionH>
            <wp:positionV relativeFrom="paragraph">
              <wp:posOffset>-824230</wp:posOffset>
            </wp:positionV>
            <wp:extent cx="6410325" cy="83121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96">
                      <a:extLst>
                        <a:ext uri="{28A0092B-C50C-407E-A947-70E740481C1C}"/>
                      </a:extLst>
                    </a:blip>
                    <a:srcRect/>
                    <a:stretch>
                      <a:fillRect/>
                    </a:stretch>
                  </pic:blipFill>
                  <pic:spPr bwMode="auto">
                    <a:xfrm>
                      <a:off x="0" y="0"/>
                      <a:ext cx="6410325" cy="831215"/>
                    </a:xfrm>
                    <a:prstGeom prst="rect">
                      <a:avLst/>
                    </a:prstGeom>
                    <a:noFill/>
                  </pic:spPr>
                </pic:pic>
              </a:graphicData>
            </a:graphic>
          </wp:anchor>
        </w:drawing>
      </w:r>
    </w:p>
    <w:p>
      <w:pPr>
        <w:spacing w:after="0" w:line="144" w:lineRule="exact"/>
        <w:rPr>
          <w:sz w:val="20"/>
          <w:szCs w:val="20"/>
          <w:color w:val="auto"/>
        </w:rPr>
      </w:pPr>
    </w:p>
    <w:p>
      <w:pPr>
        <w:jc w:val="both"/>
        <w:ind w:right="180" w:firstLine="353"/>
        <w:spacing w:after="0" w:line="264" w:lineRule="auto"/>
        <w:rPr>
          <w:sz w:val="20"/>
          <w:szCs w:val="20"/>
          <w:color w:val="auto"/>
        </w:rPr>
      </w:pPr>
      <w:r>
        <w:rPr>
          <w:rFonts w:ascii="Arial" w:cs="Arial" w:eastAsia="Arial" w:hAnsi="Arial"/>
          <w:sz w:val="19"/>
          <w:szCs w:val="19"/>
          <w:color w:val="auto"/>
        </w:rPr>
        <w:t>Loan-to-value (“LTV”) and debt service coverage (“DSC”) ratios are measures commonly used to assess the risk and quality of mortgage loans. The LTV ratio is expressed as a percentage of the amount of the loan relative to the value of the underlying property. A LTV ratio in excess of 100% indicates the unpaid loan amount exceeds the underlying collateral. The DSC ratio, based upon the most recently received financial statements, is expressed as a percentage of the amount of a property’s net income to its debt service payments. A DSC ratio of less than 1.00 indicates that a property’s operations do not generate sufficient income to cover debt payments. We normalize our DSC ratios to a 25-year amortization period for purposes of our general loan allowance evaluation.</w:t>
      </w:r>
    </w:p>
    <w:p>
      <w:pPr>
        <w:spacing w:after="0" w:line="82" w:lineRule="exact"/>
        <w:rPr>
          <w:sz w:val="20"/>
          <w:szCs w:val="20"/>
          <w:color w:val="auto"/>
        </w:rPr>
      </w:pPr>
    </w:p>
    <w:p>
      <w:pPr>
        <w:jc w:val="both"/>
        <w:ind w:right="180" w:firstLine="353"/>
        <w:spacing w:after="0" w:line="271" w:lineRule="auto"/>
        <w:rPr>
          <w:sz w:val="20"/>
          <w:szCs w:val="20"/>
          <w:color w:val="auto"/>
        </w:rPr>
      </w:pPr>
      <w:r>
        <w:rPr>
          <w:rFonts w:ascii="Arial" w:cs="Arial" w:eastAsia="Arial" w:hAnsi="Arial"/>
          <w:sz w:val="20"/>
          <w:szCs w:val="20"/>
          <w:color w:val="auto"/>
        </w:rPr>
        <w:t>The following tables present the recorded investment in CMLs by LTV and DSC ratio categories and estimated fair value by the indicated LTV ratios, gross of valuation allowances</w:t>
      </w:r>
      <w:r>
        <w:rPr>
          <w:rFonts w:ascii="Arial" w:cs="Arial" w:eastAsia="Arial" w:hAnsi="Arial"/>
          <w:sz w:val="17"/>
          <w:szCs w:val="17"/>
          <w:color w:val="auto"/>
        </w:rPr>
        <w:t>:</w:t>
      </w:r>
    </w:p>
    <w:p>
      <w:pPr>
        <w:spacing w:after="0" w:line="186" w:lineRule="exact"/>
        <w:rPr>
          <w:sz w:val="20"/>
          <w:szCs w:val="20"/>
          <w:color w:val="auto"/>
        </w:rPr>
      </w:pPr>
    </w:p>
    <w:tbl>
      <w:tblPr>
        <w:tblLayout w:type="fixed"/>
        <w:tblInd w:w="40" w:type="dxa"/>
        <w:tblCellMar>
          <w:top w:w="0" w:type="dxa"/>
          <w:left w:w="0" w:type="dxa"/>
          <w:bottom w:w="0" w:type="dxa"/>
          <w:right w:w="0" w:type="dxa"/>
        </w:tblCellMar>
      </w:tblPr>
      <w:tr>
        <w:trPr>
          <w:trHeight w:val="213"/>
        </w:trPr>
        <w:tc>
          <w:tcPr>
            <w:tcW w:w="43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200" w:type="dxa"/>
            <w:vAlign w:val="bottom"/>
            <w:tcBorders>
              <w:bottom w:val="single" w:sz="8" w:color="auto"/>
            </w:tcBorders>
            <w:gridSpan w:val="7"/>
          </w:tcPr>
          <w:p>
            <w:pPr>
              <w:jc w:val="right"/>
              <w:ind w:right="102"/>
              <w:spacing w:after="0"/>
              <w:rPr>
                <w:sz w:val="20"/>
                <w:szCs w:val="20"/>
                <w:color w:val="auto"/>
              </w:rPr>
            </w:pPr>
            <w:r>
              <w:rPr>
                <w:rFonts w:ascii="Arial" w:cs="Arial" w:eastAsia="Arial" w:hAnsi="Arial"/>
                <w:sz w:val="16"/>
                <w:szCs w:val="16"/>
                <w:b w:val="1"/>
                <w:bCs w:val="1"/>
                <w:color w:val="auto"/>
                <w:w w:val="87"/>
              </w:rPr>
              <w:t>Debt-Service Coverage Ratios</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vMerge w:val="restart"/>
          </w:tcPr>
          <w:p>
            <w:pPr>
              <w:jc w:val="right"/>
              <w:ind w:right="142"/>
              <w:spacing w:after="0"/>
              <w:rPr>
                <w:sz w:val="20"/>
                <w:szCs w:val="20"/>
                <w:color w:val="auto"/>
              </w:rPr>
            </w:pPr>
            <w:r>
              <w:rPr>
                <w:rFonts w:ascii="Arial" w:cs="Arial" w:eastAsia="Arial" w:hAnsi="Arial"/>
                <w:sz w:val="16"/>
                <w:szCs w:val="16"/>
                <w:b w:val="1"/>
                <w:bCs w:val="1"/>
                <w:color w:val="auto"/>
                <w:w w:val="99"/>
              </w:rPr>
              <w:t>Total</w:t>
            </w:r>
          </w:p>
        </w:tc>
        <w:tc>
          <w:tcPr>
            <w:tcW w:w="80" w:type="dxa"/>
            <w:vAlign w:val="bottom"/>
          </w:tcPr>
          <w:p>
            <w:pPr>
              <w:spacing w:after="0"/>
              <w:rPr>
                <w:sz w:val="18"/>
                <w:szCs w:val="18"/>
                <w:color w:val="auto"/>
              </w:rPr>
            </w:pPr>
          </w:p>
        </w:tc>
        <w:tc>
          <w:tcPr>
            <w:tcW w:w="780" w:type="dxa"/>
            <w:vAlign w:val="bottom"/>
            <w:vMerge w:val="restart"/>
          </w:tcPr>
          <w:p>
            <w:pPr>
              <w:jc w:val="right"/>
              <w:ind w:right="162"/>
              <w:spacing w:after="0"/>
              <w:rPr>
                <w:sz w:val="20"/>
                <w:szCs w:val="20"/>
                <w:color w:val="auto"/>
              </w:rPr>
            </w:pPr>
            <w:r>
              <w:rPr>
                <w:rFonts w:ascii="Arial" w:cs="Arial" w:eastAsia="Arial" w:hAnsi="Arial"/>
                <w:sz w:val="16"/>
                <w:szCs w:val="16"/>
                <w:b w:val="1"/>
                <w:bCs w:val="1"/>
                <w:color w:val="auto"/>
              </w:rPr>
              <w:t>% of</w:t>
            </w:r>
          </w:p>
        </w:tc>
        <w:tc>
          <w:tcPr>
            <w:tcW w:w="60" w:type="dxa"/>
            <w:vAlign w:val="bottom"/>
          </w:tcPr>
          <w:p>
            <w:pPr>
              <w:spacing w:after="0"/>
              <w:rPr>
                <w:sz w:val="18"/>
                <w:szCs w:val="18"/>
                <w:color w:val="auto"/>
              </w:rPr>
            </w:pPr>
          </w:p>
        </w:tc>
        <w:tc>
          <w:tcPr>
            <w:tcW w:w="880" w:type="dxa"/>
            <w:vAlign w:val="bottom"/>
            <w:gridSpan w:val="2"/>
            <w:vMerge w:val="restart"/>
          </w:tcPr>
          <w:p>
            <w:pPr>
              <w:jc w:val="right"/>
              <w:ind w:right="22"/>
              <w:spacing w:after="0"/>
              <w:rPr>
                <w:sz w:val="20"/>
                <w:szCs w:val="20"/>
                <w:color w:val="auto"/>
              </w:rPr>
            </w:pPr>
            <w:r>
              <w:rPr>
                <w:rFonts w:ascii="Arial" w:cs="Arial" w:eastAsia="Arial" w:hAnsi="Arial"/>
                <w:sz w:val="16"/>
                <w:szCs w:val="16"/>
                <w:b w:val="1"/>
                <w:bCs w:val="1"/>
                <w:color w:val="auto"/>
                <w:w w:val="99"/>
              </w:rPr>
              <w:t>Estimated</w:t>
            </w:r>
          </w:p>
        </w:tc>
        <w:tc>
          <w:tcPr>
            <w:tcW w:w="60" w:type="dxa"/>
            <w:vAlign w:val="bottom"/>
          </w:tcPr>
          <w:p>
            <w:pPr>
              <w:spacing w:after="0"/>
              <w:rPr>
                <w:sz w:val="18"/>
                <w:szCs w:val="18"/>
                <w:color w:val="auto"/>
              </w:rPr>
            </w:pPr>
          </w:p>
        </w:tc>
        <w:tc>
          <w:tcPr>
            <w:tcW w:w="780" w:type="dxa"/>
            <w:vAlign w:val="bottom"/>
            <w:vMerge w:val="restart"/>
          </w:tcPr>
          <w:p>
            <w:pPr>
              <w:jc w:val="right"/>
              <w:ind w:right="142"/>
              <w:spacing w:after="0"/>
              <w:rPr>
                <w:sz w:val="20"/>
                <w:szCs w:val="20"/>
                <w:color w:val="auto"/>
              </w:rPr>
            </w:pPr>
            <w:r>
              <w:rPr>
                <w:rFonts w:ascii="Arial" w:cs="Arial" w:eastAsia="Arial" w:hAnsi="Arial"/>
                <w:sz w:val="16"/>
                <w:szCs w:val="16"/>
                <w:b w:val="1"/>
                <w:bCs w:val="1"/>
                <w:color w:val="auto"/>
              </w:rPr>
              <w:t>% of</w:t>
            </w:r>
          </w:p>
        </w:tc>
        <w:tc>
          <w:tcPr>
            <w:tcW w:w="0" w:type="dxa"/>
            <w:vAlign w:val="bottom"/>
          </w:tcPr>
          <w:p>
            <w:pPr>
              <w:spacing w:after="0"/>
              <w:rPr>
                <w:sz w:val="1"/>
                <w:szCs w:val="1"/>
                <w:color w:val="auto"/>
              </w:rPr>
            </w:pPr>
          </w:p>
        </w:tc>
      </w:tr>
      <w:tr>
        <w:trPr>
          <w:trHeight w:val="58"/>
        </w:trPr>
        <w:tc>
          <w:tcPr>
            <w:tcW w:w="4320" w:type="dxa"/>
            <w:vAlign w:val="bottom"/>
          </w:tcPr>
          <w:p>
            <w:pPr>
              <w:spacing w:after="0"/>
              <w:rPr>
                <w:sz w:val="5"/>
                <w:szCs w:val="5"/>
                <w:color w:val="auto"/>
              </w:rPr>
            </w:pPr>
          </w:p>
        </w:tc>
        <w:tc>
          <w:tcPr>
            <w:tcW w:w="160" w:type="dxa"/>
            <w:vAlign w:val="bottom"/>
          </w:tcPr>
          <w:p>
            <w:pPr>
              <w:spacing w:after="0"/>
              <w:rPr>
                <w:sz w:val="5"/>
                <w:szCs w:val="5"/>
                <w:color w:val="auto"/>
              </w:rPr>
            </w:pPr>
          </w:p>
        </w:tc>
        <w:tc>
          <w:tcPr>
            <w:tcW w:w="62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62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52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880" w:type="dxa"/>
            <w:vAlign w:val="bottom"/>
            <w:gridSpan w:val="2"/>
            <w:vMerge w:val="continue"/>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8"/>
        </w:trPr>
        <w:tc>
          <w:tcPr>
            <w:tcW w:w="4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vMerge w:val="restart"/>
          </w:tcPr>
          <w:p>
            <w:pPr>
              <w:jc w:val="right"/>
              <w:ind w:right="142"/>
              <w:spacing w:after="0"/>
              <w:rPr>
                <w:sz w:val="20"/>
                <w:szCs w:val="20"/>
                <w:color w:val="auto"/>
              </w:rPr>
            </w:pPr>
            <w:r>
              <w:rPr>
                <w:rFonts w:ascii="Arial" w:cs="Arial" w:eastAsia="Arial" w:hAnsi="Arial"/>
                <w:sz w:val="16"/>
                <w:szCs w:val="16"/>
                <w:b w:val="1"/>
                <w:bCs w:val="1"/>
                <w:color w:val="auto"/>
                <w:w w:val="93"/>
              </w:rPr>
              <w:t>&gt;1.25</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jc w:val="right"/>
              <w:ind w:right="142"/>
              <w:spacing w:after="0" w:line="168" w:lineRule="exact"/>
              <w:rPr>
                <w:sz w:val="20"/>
                <w:szCs w:val="20"/>
                <w:color w:val="auto"/>
              </w:rPr>
            </w:pPr>
            <w:r>
              <w:rPr>
                <w:rFonts w:ascii="Arial" w:cs="Arial" w:eastAsia="Arial" w:hAnsi="Arial"/>
                <w:sz w:val="16"/>
                <w:szCs w:val="16"/>
                <w:b w:val="1"/>
                <w:bCs w:val="1"/>
                <w:color w:val="auto"/>
                <w:w w:val="92"/>
              </w:rPr>
              <w:t>1.00 -</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vMerge w:val="restart"/>
          </w:tcPr>
          <w:p>
            <w:pPr>
              <w:jc w:val="right"/>
              <w:ind w:right="62"/>
              <w:spacing w:after="0"/>
              <w:rPr>
                <w:sz w:val="20"/>
                <w:szCs w:val="20"/>
                <w:color w:val="auto"/>
              </w:rPr>
            </w:pPr>
            <w:r>
              <w:rPr>
                <w:rFonts w:ascii="Arial" w:cs="Arial" w:eastAsia="Arial" w:hAnsi="Arial"/>
                <w:sz w:val="16"/>
                <w:szCs w:val="16"/>
                <w:b w:val="1"/>
                <w:bCs w:val="1"/>
                <w:color w:val="auto"/>
                <w:w w:val="88"/>
              </w:rPr>
              <w:t>&lt;1.00</w:t>
            </w:r>
          </w:p>
        </w:tc>
        <w:tc>
          <w:tcPr>
            <w:tcW w:w="80" w:type="dxa"/>
            <w:vAlign w:val="bottom"/>
          </w:tcPr>
          <w:p>
            <w:pPr>
              <w:spacing w:after="0"/>
              <w:rPr>
                <w:sz w:val="14"/>
                <w:szCs w:val="14"/>
                <w:color w:val="auto"/>
              </w:rPr>
            </w:pPr>
          </w:p>
        </w:tc>
        <w:tc>
          <w:tcPr>
            <w:tcW w:w="780" w:type="dxa"/>
            <w:vAlign w:val="bottom"/>
            <w:gridSpan w:val="2"/>
          </w:tcPr>
          <w:p>
            <w:pPr>
              <w:jc w:val="right"/>
              <w:ind w:right="42"/>
              <w:spacing w:after="0" w:line="168" w:lineRule="exact"/>
              <w:rPr>
                <w:sz w:val="20"/>
                <w:szCs w:val="20"/>
                <w:color w:val="auto"/>
              </w:rPr>
            </w:pPr>
            <w:r>
              <w:rPr>
                <w:rFonts w:ascii="Arial" w:cs="Arial" w:eastAsia="Arial" w:hAnsi="Arial"/>
                <w:sz w:val="16"/>
                <w:szCs w:val="16"/>
                <w:b w:val="1"/>
                <w:bCs w:val="1"/>
                <w:color w:val="auto"/>
              </w:rPr>
              <w:t>Amount</w:t>
            </w:r>
          </w:p>
        </w:tc>
        <w:tc>
          <w:tcPr>
            <w:tcW w:w="80" w:type="dxa"/>
            <w:vAlign w:val="bottom"/>
          </w:tcPr>
          <w:p>
            <w:pPr>
              <w:spacing w:after="0"/>
              <w:rPr>
                <w:sz w:val="14"/>
                <w:szCs w:val="14"/>
                <w:color w:val="auto"/>
              </w:rPr>
            </w:pPr>
          </w:p>
        </w:tc>
        <w:tc>
          <w:tcPr>
            <w:tcW w:w="780" w:type="dxa"/>
            <w:vAlign w:val="bottom"/>
          </w:tcPr>
          <w:p>
            <w:pPr>
              <w:jc w:val="right"/>
              <w:ind w:right="142"/>
              <w:spacing w:after="0" w:line="168" w:lineRule="exact"/>
              <w:rPr>
                <w:sz w:val="20"/>
                <w:szCs w:val="20"/>
                <w:color w:val="auto"/>
              </w:rPr>
            </w:pPr>
            <w:r>
              <w:rPr>
                <w:rFonts w:ascii="Arial" w:cs="Arial" w:eastAsia="Arial" w:hAnsi="Arial"/>
                <w:sz w:val="16"/>
                <w:szCs w:val="16"/>
                <w:b w:val="1"/>
                <w:bCs w:val="1"/>
                <w:color w:val="auto"/>
              </w:rPr>
              <w:t>Total</w:t>
            </w:r>
          </w:p>
        </w:tc>
        <w:tc>
          <w:tcPr>
            <w:tcW w:w="60" w:type="dxa"/>
            <w:vAlign w:val="bottom"/>
          </w:tcPr>
          <w:p>
            <w:pPr>
              <w:spacing w:after="0"/>
              <w:rPr>
                <w:sz w:val="14"/>
                <w:szCs w:val="14"/>
                <w:color w:val="auto"/>
              </w:rPr>
            </w:pPr>
          </w:p>
        </w:tc>
        <w:tc>
          <w:tcPr>
            <w:tcW w:w="880" w:type="dxa"/>
            <w:vAlign w:val="bottom"/>
            <w:gridSpan w:val="2"/>
          </w:tcPr>
          <w:p>
            <w:pPr>
              <w:jc w:val="right"/>
              <w:ind w:right="2"/>
              <w:spacing w:after="0" w:line="168" w:lineRule="exact"/>
              <w:rPr>
                <w:sz w:val="20"/>
                <w:szCs w:val="20"/>
                <w:color w:val="auto"/>
              </w:rPr>
            </w:pPr>
            <w:r>
              <w:rPr>
                <w:rFonts w:ascii="Arial" w:cs="Arial" w:eastAsia="Arial" w:hAnsi="Arial"/>
                <w:sz w:val="16"/>
                <w:szCs w:val="16"/>
                <w:b w:val="1"/>
                <w:bCs w:val="1"/>
                <w:color w:val="auto"/>
              </w:rPr>
              <w:t>Fair Value</w:t>
            </w:r>
          </w:p>
        </w:tc>
        <w:tc>
          <w:tcPr>
            <w:tcW w:w="60" w:type="dxa"/>
            <w:vAlign w:val="bottom"/>
          </w:tcPr>
          <w:p>
            <w:pPr>
              <w:spacing w:after="0"/>
              <w:rPr>
                <w:sz w:val="14"/>
                <w:szCs w:val="14"/>
                <w:color w:val="auto"/>
              </w:rPr>
            </w:pPr>
          </w:p>
        </w:tc>
        <w:tc>
          <w:tcPr>
            <w:tcW w:w="780" w:type="dxa"/>
            <w:vAlign w:val="bottom"/>
          </w:tcPr>
          <w:p>
            <w:pPr>
              <w:jc w:val="right"/>
              <w:ind w:right="122"/>
              <w:spacing w:after="0" w:line="168" w:lineRule="exact"/>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0"/>
        </w:trPr>
        <w:tc>
          <w:tcPr>
            <w:tcW w:w="43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82"/>
              <w:spacing w:after="0"/>
              <w:rPr>
                <w:sz w:val="20"/>
                <w:szCs w:val="20"/>
                <w:color w:val="auto"/>
              </w:rPr>
            </w:pPr>
            <w:r>
              <w:rPr>
                <w:rFonts w:ascii="Arial" w:cs="Arial" w:eastAsia="Arial" w:hAnsi="Arial"/>
                <w:sz w:val="16"/>
                <w:szCs w:val="16"/>
                <w:b w:val="1"/>
                <w:bCs w:val="1"/>
                <w:color w:val="auto"/>
              </w:rPr>
              <w:t>1.25</w:t>
            </w:r>
          </w:p>
        </w:tc>
        <w:tc>
          <w:tcPr>
            <w:tcW w:w="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320" w:type="dxa"/>
            <w:vAlign w:val="bottom"/>
          </w:tcPr>
          <w:p>
            <w:pPr>
              <w:spacing w:after="0"/>
              <w:rPr>
                <w:sz w:val="20"/>
                <w:szCs w:val="20"/>
                <w:color w:val="auto"/>
              </w:rPr>
            </w:pPr>
            <w:r>
              <w:rPr>
                <w:rFonts w:ascii="Arial" w:cs="Arial" w:eastAsia="Arial" w:hAnsi="Arial"/>
                <w:sz w:val="16"/>
                <w:szCs w:val="16"/>
                <w:b w:val="1"/>
                <w:bCs w:val="1"/>
                <w:color w:val="auto"/>
              </w:rPr>
              <w:t>December 31, 2025</w:t>
            </w: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40" w:type="dxa"/>
            <w:vAlign w:val="bottom"/>
            <w:gridSpan w:val="6"/>
          </w:tcPr>
          <w:p>
            <w:pPr>
              <w:jc w:val="right"/>
              <w:ind w:right="402"/>
              <w:spacing w:after="0"/>
              <w:rPr>
                <w:sz w:val="20"/>
                <w:szCs w:val="20"/>
                <w:color w:val="auto"/>
              </w:rPr>
            </w:pPr>
            <w:r>
              <w:rPr>
                <w:rFonts w:ascii="Arial" w:cs="Arial" w:eastAsia="Arial" w:hAnsi="Arial"/>
                <w:sz w:val="16"/>
                <w:szCs w:val="16"/>
                <w:b w:val="1"/>
                <w:bCs w:val="1"/>
                <w:color w:val="auto"/>
              </w:rPr>
              <w:t>(Dollars in millions)</w:t>
            </w: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4320" w:type="dxa"/>
            <w:vAlign w:val="bottom"/>
          </w:tcPr>
          <w:p>
            <w:pPr>
              <w:spacing w:after="0"/>
              <w:rPr>
                <w:sz w:val="20"/>
                <w:szCs w:val="20"/>
                <w:color w:val="auto"/>
              </w:rPr>
            </w:pPr>
            <w:r>
              <w:rPr>
                <w:rFonts w:ascii="Arial" w:cs="Arial" w:eastAsia="Arial" w:hAnsi="Arial"/>
                <w:sz w:val="16"/>
                <w:szCs w:val="16"/>
                <w:color w:val="auto"/>
              </w:rPr>
              <w:t>LTV Ratios:</w:t>
            </w:r>
          </w:p>
        </w:tc>
        <w:tc>
          <w:tcPr>
            <w:tcW w:w="1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320" w:type="dxa"/>
            <w:vAlign w:val="bottom"/>
          </w:tcPr>
          <w:p>
            <w:pPr>
              <w:spacing w:after="0"/>
              <w:rPr>
                <w:sz w:val="20"/>
                <w:szCs w:val="20"/>
                <w:color w:val="auto"/>
              </w:rPr>
            </w:pPr>
            <w:r>
              <w:rPr>
                <w:rFonts w:ascii="Arial" w:cs="Arial" w:eastAsia="Arial" w:hAnsi="Arial"/>
                <w:sz w:val="16"/>
                <w:szCs w:val="16"/>
                <w:color w:val="auto"/>
              </w:rPr>
              <w:t>Less than 50.00%</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594</w:t>
            </w:r>
          </w:p>
        </w:tc>
        <w:tc>
          <w:tcPr>
            <w:tcW w:w="24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620" w:type="dxa"/>
            <w:vAlign w:val="bottom"/>
          </w:tcPr>
          <w:p>
            <w:pPr>
              <w:jc w:val="right"/>
              <w:ind w:right="2"/>
              <w:spacing w:after="0"/>
              <w:rPr>
                <w:sz w:val="20"/>
                <w:szCs w:val="20"/>
                <w:color w:val="auto"/>
              </w:rPr>
            </w:pPr>
            <w:r>
              <w:rPr>
                <w:rFonts w:ascii="Arial" w:cs="Arial" w:eastAsia="Arial" w:hAnsi="Arial"/>
                <w:sz w:val="16"/>
                <w:szCs w:val="16"/>
                <w:color w:val="auto"/>
              </w:rPr>
              <w:t>16</w:t>
            </w: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610</w:t>
            </w: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19 %</w:t>
            </w:r>
          </w:p>
        </w:tc>
        <w:tc>
          <w:tcPr>
            <w:tcW w:w="360" w:type="dxa"/>
            <w:vAlign w:val="bottom"/>
            <w:gridSpan w:val="2"/>
          </w:tcPr>
          <w:p>
            <w:pPr>
              <w:jc w:val="right"/>
              <w:ind w:right="82"/>
              <w:spacing w:after="0"/>
              <w:rPr>
                <w:sz w:val="20"/>
                <w:szCs w:val="20"/>
                <w:color w:val="auto"/>
              </w:rPr>
            </w:pPr>
            <w:r>
              <w:rPr>
                <w:rFonts w:ascii="Arial" w:cs="Arial" w:eastAsia="Arial" w:hAnsi="Arial"/>
                <w:sz w:val="16"/>
                <w:szCs w:val="16"/>
                <w:color w:val="auto"/>
              </w:rPr>
              <w:t>$</w:t>
            </w:r>
          </w:p>
        </w:tc>
        <w:tc>
          <w:tcPr>
            <w:tcW w:w="580" w:type="dxa"/>
            <w:vAlign w:val="bottom"/>
          </w:tcPr>
          <w:p>
            <w:pPr>
              <w:jc w:val="right"/>
              <w:ind w:right="2"/>
              <w:spacing w:after="0"/>
              <w:rPr>
                <w:sz w:val="20"/>
                <w:szCs w:val="20"/>
                <w:color w:val="auto"/>
              </w:rPr>
            </w:pPr>
            <w:r>
              <w:rPr>
                <w:rFonts w:ascii="Arial" w:cs="Arial" w:eastAsia="Arial" w:hAnsi="Arial"/>
                <w:sz w:val="16"/>
                <w:szCs w:val="16"/>
                <w:color w:val="auto"/>
              </w:rPr>
              <w:t>596</w:t>
            </w:r>
          </w:p>
        </w:tc>
        <w:tc>
          <w:tcPr>
            <w:tcW w:w="840" w:type="dxa"/>
            <w:vAlign w:val="bottom"/>
            <w:gridSpan w:val="2"/>
          </w:tcPr>
          <w:p>
            <w:pPr>
              <w:jc w:val="right"/>
              <w:spacing w:after="0"/>
              <w:rPr>
                <w:sz w:val="20"/>
                <w:szCs w:val="20"/>
                <w:color w:val="auto"/>
              </w:rPr>
            </w:pPr>
            <w:r>
              <w:rPr>
                <w:rFonts w:ascii="Arial" w:cs="Arial" w:eastAsia="Arial" w:hAnsi="Arial"/>
                <w:sz w:val="16"/>
                <w:szCs w:val="16"/>
                <w:color w:val="auto"/>
              </w:rPr>
              <w:t>19 %</w:t>
            </w:r>
          </w:p>
        </w:tc>
        <w:tc>
          <w:tcPr>
            <w:tcW w:w="0" w:type="dxa"/>
            <w:vAlign w:val="bottom"/>
          </w:tcPr>
          <w:p>
            <w:pPr>
              <w:spacing w:after="0"/>
              <w:rPr>
                <w:sz w:val="1"/>
                <w:szCs w:val="1"/>
                <w:color w:val="auto"/>
              </w:rPr>
            </w:pPr>
          </w:p>
        </w:tc>
      </w:tr>
      <w:tr>
        <w:trPr>
          <w:trHeight w:val="250"/>
        </w:trPr>
        <w:tc>
          <w:tcPr>
            <w:tcW w:w="4320" w:type="dxa"/>
            <w:vAlign w:val="bottom"/>
          </w:tcPr>
          <w:p>
            <w:pPr>
              <w:spacing w:after="0"/>
              <w:rPr>
                <w:sz w:val="20"/>
                <w:szCs w:val="20"/>
                <w:color w:val="auto"/>
              </w:rPr>
            </w:pPr>
            <w:r>
              <w:rPr>
                <w:rFonts w:ascii="Arial" w:cs="Arial" w:eastAsia="Arial" w:hAnsi="Arial"/>
                <w:sz w:val="16"/>
                <w:szCs w:val="16"/>
                <w:color w:val="auto"/>
              </w:rPr>
              <w:t>50.00% to 59.99%</w:t>
            </w:r>
          </w:p>
        </w:tc>
        <w:tc>
          <w:tcPr>
            <w:tcW w:w="16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850</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20" w:type="dxa"/>
            <w:vAlign w:val="bottom"/>
          </w:tcPr>
          <w:p>
            <w:pPr>
              <w:jc w:val="right"/>
              <w:ind w:right="2"/>
              <w:spacing w:after="0"/>
              <w:rPr>
                <w:sz w:val="20"/>
                <w:szCs w:val="20"/>
                <w:color w:val="auto"/>
              </w:rPr>
            </w:pPr>
            <w:r>
              <w:rPr>
                <w:rFonts w:ascii="Arial" w:cs="Arial" w:eastAsia="Arial" w:hAnsi="Arial"/>
                <w:sz w:val="16"/>
                <w:szCs w:val="16"/>
                <w:color w:val="auto"/>
              </w:rPr>
              <w:t>36</w:t>
            </w: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37</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923</w:t>
            </w:r>
          </w:p>
        </w:tc>
        <w:tc>
          <w:tcPr>
            <w:tcW w:w="860" w:type="dxa"/>
            <w:vAlign w:val="bottom"/>
            <w:gridSpan w:val="2"/>
          </w:tcPr>
          <w:p>
            <w:pPr>
              <w:jc w:val="right"/>
              <w:ind w:right="122"/>
              <w:spacing w:after="0"/>
              <w:rPr>
                <w:sz w:val="20"/>
                <w:szCs w:val="20"/>
                <w:color w:val="auto"/>
              </w:rPr>
            </w:pPr>
            <w:r>
              <w:rPr>
                <w:rFonts w:ascii="Arial" w:cs="Arial" w:eastAsia="Arial" w:hAnsi="Arial"/>
                <w:sz w:val="16"/>
                <w:szCs w:val="16"/>
                <w:color w:val="auto"/>
              </w:rPr>
              <w:t>28</w:t>
            </w: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80" w:type="dxa"/>
            <w:vAlign w:val="bottom"/>
          </w:tcPr>
          <w:p>
            <w:pPr>
              <w:jc w:val="right"/>
              <w:ind w:right="2"/>
              <w:spacing w:after="0"/>
              <w:rPr>
                <w:sz w:val="20"/>
                <w:szCs w:val="20"/>
                <w:color w:val="auto"/>
              </w:rPr>
            </w:pPr>
            <w:r>
              <w:rPr>
                <w:rFonts w:ascii="Arial" w:cs="Arial" w:eastAsia="Arial" w:hAnsi="Arial"/>
                <w:sz w:val="16"/>
                <w:szCs w:val="16"/>
                <w:color w:val="auto"/>
              </w:rPr>
              <w:t>852</w:t>
            </w:r>
          </w:p>
        </w:tc>
        <w:tc>
          <w:tcPr>
            <w:tcW w:w="840" w:type="dxa"/>
            <w:vAlign w:val="bottom"/>
            <w:gridSpan w:val="2"/>
          </w:tcPr>
          <w:p>
            <w:pPr>
              <w:jc w:val="right"/>
              <w:ind w:right="122"/>
              <w:spacing w:after="0"/>
              <w:rPr>
                <w:sz w:val="20"/>
                <w:szCs w:val="20"/>
                <w:color w:val="auto"/>
              </w:rPr>
            </w:pPr>
            <w:r>
              <w:rPr>
                <w:rFonts w:ascii="Arial" w:cs="Arial" w:eastAsia="Arial" w:hAnsi="Arial"/>
                <w:sz w:val="16"/>
                <w:szCs w:val="16"/>
                <w:color w:val="auto"/>
              </w:rPr>
              <w:t>28</w:t>
            </w:r>
          </w:p>
        </w:tc>
        <w:tc>
          <w:tcPr>
            <w:tcW w:w="0" w:type="dxa"/>
            <w:vAlign w:val="bottom"/>
          </w:tcPr>
          <w:p>
            <w:pPr>
              <w:spacing w:after="0"/>
              <w:rPr>
                <w:sz w:val="1"/>
                <w:szCs w:val="1"/>
                <w:color w:val="auto"/>
              </w:rPr>
            </w:pPr>
          </w:p>
        </w:tc>
      </w:tr>
      <w:tr>
        <w:trPr>
          <w:trHeight w:val="250"/>
        </w:trPr>
        <w:tc>
          <w:tcPr>
            <w:tcW w:w="4320" w:type="dxa"/>
            <w:vAlign w:val="bottom"/>
          </w:tcPr>
          <w:p>
            <w:pPr>
              <w:spacing w:after="0"/>
              <w:rPr>
                <w:sz w:val="20"/>
                <w:szCs w:val="20"/>
                <w:color w:val="auto"/>
              </w:rPr>
            </w:pPr>
            <w:r>
              <w:rPr>
                <w:rFonts w:ascii="Arial" w:cs="Arial" w:eastAsia="Arial" w:hAnsi="Arial"/>
                <w:sz w:val="16"/>
                <w:szCs w:val="16"/>
                <w:color w:val="auto"/>
              </w:rPr>
              <w:t>60.00% to 74.99%</w:t>
            </w:r>
          </w:p>
        </w:tc>
        <w:tc>
          <w:tcPr>
            <w:tcW w:w="16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1,415</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20" w:type="dxa"/>
            <w:vAlign w:val="bottom"/>
          </w:tcPr>
          <w:p>
            <w:pPr>
              <w:jc w:val="right"/>
              <w:ind w:right="2"/>
              <w:spacing w:after="0"/>
              <w:rPr>
                <w:sz w:val="20"/>
                <w:szCs w:val="20"/>
                <w:color w:val="auto"/>
              </w:rPr>
            </w:pPr>
            <w:r>
              <w:rPr>
                <w:rFonts w:ascii="Arial" w:cs="Arial" w:eastAsia="Arial" w:hAnsi="Arial"/>
                <w:sz w:val="16"/>
                <w:szCs w:val="16"/>
                <w:color w:val="auto"/>
              </w:rPr>
              <w:t>288</w:t>
            </w: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6</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1,709</w:t>
            </w:r>
          </w:p>
        </w:tc>
        <w:tc>
          <w:tcPr>
            <w:tcW w:w="860" w:type="dxa"/>
            <w:vAlign w:val="bottom"/>
            <w:gridSpan w:val="2"/>
          </w:tcPr>
          <w:p>
            <w:pPr>
              <w:jc w:val="right"/>
              <w:ind w:right="122"/>
              <w:spacing w:after="0"/>
              <w:rPr>
                <w:sz w:val="20"/>
                <w:szCs w:val="20"/>
                <w:color w:val="auto"/>
              </w:rPr>
            </w:pPr>
            <w:r>
              <w:rPr>
                <w:rFonts w:ascii="Arial" w:cs="Arial" w:eastAsia="Arial" w:hAnsi="Arial"/>
                <w:sz w:val="16"/>
                <w:szCs w:val="16"/>
                <w:color w:val="auto"/>
              </w:rPr>
              <w:t>52</w:t>
            </w: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80" w:type="dxa"/>
            <w:vAlign w:val="bottom"/>
          </w:tcPr>
          <w:p>
            <w:pPr>
              <w:jc w:val="right"/>
              <w:ind w:right="2"/>
              <w:spacing w:after="0"/>
              <w:rPr>
                <w:sz w:val="20"/>
                <w:szCs w:val="20"/>
                <w:color w:val="auto"/>
              </w:rPr>
            </w:pPr>
            <w:r>
              <w:rPr>
                <w:rFonts w:ascii="Arial" w:cs="Arial" w:eastAsia="Arial" w:hAnsi="Arial"/>
                <w:sz w:val="16"/>
                <w:szCs w:val="16"/>
                <w:color w:val="auto"/>
              </w:rPr>
              <w:t>1,560</w:t>
            </w:r>
          </w:p>
        </w:tc>
        <w:tc>
          <w:tcPr>
            <w:tcW w:w="840" w:type="dxa"/>
            <w:vAlign w:val="bottom"/>
            <w:gridSpan w:val="2"/>
          </w:tcPr>
          <w:p>
            <w:pPr>
              <w:jc w:val="right"/>
              <w:ind w:right="122"/>
              <w:spacing w:after="0"/>
              <w:rPr>
                <w:sz w:val="20"/>
                <w:szCs w:val="20"/>
                <w:color w:val="auto"/>
              </w:rPr>
            </w:pPr>
            <w:r>
              <w:rPr>
                <w:rFonts w:ascii="Arial" w:cs="Arial" w:eastAsia="Arial" w:hAnsi="Arial"/>
                <w:sz w:val="16"/>
                <w:szCs w:val="16"/>
                <w:color w:val="auto"/>
              </w:rPr>
              <w:t>52</w:t>
            </w:r>
          </w:p>
        </w:tc>
        <w:tc>
          <w:tcPr>
            <w:tcW w:w="0" w:type="dxa"/>
            <w:vAlign w:val="bottom"/>
          </w:tcPr>
          <w:p>
            <w:pPr>
              <w:spacing w:after="0"/>
              <w:rPr>
                <w:sz w:val="1"/>
                <w:szCs w:val="1"/>
                <w:color w:val="auto"/>
              </w:rPr>
            </w:pPr>
          </w:p>
        </w:tc>
      </w:tr>
      <w:tr>
        <w:trPr>
          <w:trHeight w:val="257"/>
        </w:trPr>
        <w:tc>
          <w:tcPr>
            <w:tcW w:w="4320" w:type="dxa"/>
            <w:vAlign w:val="bottom"/>
          </w:tcPr>
          <w:p>
            <w:pPr>
              <w:spacing w:after="0"/>
              <w:rPr>
                <w:sz w:val="20"/>
                <w:szCs w:val="20"/>
                <w:color w:val="auto"/>
              </w:rPr>
            </w:pPr>
            <w:r>
              <w:rPr>
                <w:rFonts w:ascii="Arial" w:cs="Arial" w:eastAsia="Arial" w:hAnsi="Arial"/>
                <w:sz w:val="16"/>
                <w:szCs w:val="16"/>
                <w:color w:val="auto"/>
              </w:rPr>
              <w:t>75.00% to 84.99%</w:t>
            </w:r>
          </w:p>
        </w:tc>
        <w:tc>
          <w:tcPr>
            <w:tcW w:w="16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9</w:t>
            </w:r>
          </w:p>
        </w:tc>
        <w:tc>
          <w:tcPr>
            <w:tcW w:w="6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w:t>
            </w:r>
          </w:p>
        </w:tc>
        <w:tc>
          <w:tcPr>
            <w:tcW w:w="8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w:t>
            </w:r>
          </w:p>
        </w:tc>
        <w:tc>
          <w:tcPr>
            <w:tcW w:w="80" w:type="dxa"/>
            <w:vAlign w:val="bottom"/>
          </w:tcPr>
          <w:p>
            <w:pPr>
              <w:spacing w:after="0"/>
              <w:rPr>
                <w:sz w:val="22"/>
                <w:szCs w:val="22"/>
                <w:color w:val="auto"/>
              </w:rPr>
            </w:pPr>
          </w:p>
        </w:tc>
        <w:tc>
          <w:tcPr>
            <w:tcW w:w="780" w:type="dxa"/>
            <w:vAlign w:val="bottom"/>
            <w:tcBorders>
              <w:bottom w:val="single" w:sz="8" w:color="auto"/>
            </w:tcBorders>
          </w:tcPr>
          <w:p>
            <w:pPr>
              <w:jc w:val="right"/>
              <w:ind w:right="122"/>
              <w:spacing w:after="0"/>
              <w:rPr>
                <w:sz w:val="20"/>
                <w:szCs w:val="20"/>
                <w:color w:val="auto"/>
              </w:rPr>
            </w:pPr>
            <w:r>
              <w:rPr>
                <w:rFonts w:ascii="Arial" w:cs="Arial" w:eastAsia="Arial" w:hAnsi="Arial"/>
                <w:sz w:val="16"/>
                <w:szCs w:val="16"/>
                <w:color w:val="auto"/>
              </w:rPr>
              <w:t>1</w:t>
            </w:r>
          </w:p>
        </w:tc>
        <w:tc>
          <w:tcPr>
            <w:tcW w:w="6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17</w:t>
            </w:r>
          </w:p>
        </w:tc>
        <w:tc>
          <w:tcPr>
            <w:tcW w:w="60" w:type="dxa"/>
            <w:vAlign w:val="bottom"/>
          </w:tcPr>
          <w:p>
            <w:pPr>
              <w:spacing w:after="0"/>
              <w:rPr>
                <w:sz w:val="22"/>
                <w:szCs w:val="22"/>
                <w:color w:val="auto"/>
              </w:rPr>
            </w:pPr>
          </w:p>
        </w:tc>
        <w:tc>
          <w:tcPr>
            <w:tcW w:w="780" w:type="dxa"/>
            <w:vAlign w:val="bottom"/>
            <w:tcBorders>
              <w:bottom w:val="single" w:sz="8" w:color="auto"/>
            </w:tcBorders>
          </w:tcPr>
          <w:p>
            <w:pPr>
              <w:jc w:val="right"/>
              <w:ind w:right="122"/>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0"/>
        </w:trPr>
        <w:tc>
          <w:tcPr>
            <w:tcW w:w="4320" w:type="dxa"/>
            <w:vAlign w:val="bottom"/>
          </w:tcPr>
          <w:p>
            <w:pPr>
              <w:spacing w:after="0"/>
              <w:rPr>
                <w:sz w:val="20"/>
                <w:szCs w:val="20"/>
                <w:color w:val="auto"/>
              </w:rPr>
            </w:pPr>
            <w:r>
              <w:rPr>
                <w:rFonts w:ascii="Arial" w:cs="Arial" w:eastAsia="Arial" w:hAnsi="Arial"/>
                <w:sz w:val="16"/>
                <w:szCs w:val="16"/>
                <w:b w:val="1"/>
                <w:bCs w:val="1"/>
                <w:color w:val="auto"/>
              </w:rPr>
              <w:t>Total CMLs</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2,859</w:t>
            </w:r>
          </w:p>
        </w:tc>
        <w:tc>
          <w:tcPr>
            <w:tcW w:w="24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620" w:type="dxa"/>
            <w:vAlign w:val="bottom"/>
          </w:tcPr>
          <w:p>
            <w:pPr>
              <w:jc w:val="right"/>
              <w:ind w:right="2"/>
              <w:spacing w:after="0"/>
              <w:rPr>
                <w:sz w:val="20"/>
                <w:szCs w:val="20"/>
                <w:color w:val="auto"/>
              </w:rPr>
            </w:pPr>
            <w:r>
              <w:rPr>
                <w:rFonts w:ascii="Arial" w:cs="Arial" w:eastAsia="Arial" w:hAnsi="Arial"/>
                <w:sz w:val="16"/>
                <w:szCs w:val="16"/>
                <w:color w:val="auto"/>
              </w:rPr>
              <w:t>349</w:t>
            </w: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52</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3,260</w:t>
            </w: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100 %</w:t>
            </w:r>
          </w:p>
        </w:tc>
        <w:tc>
          <w:tcPr>
            <w:tcW w:w="360" w:type="dxa"/>
            <w:vAlign w:val="bottom"/>
            <w:gridSpan w:val="2"/>
          </w:tcPr>
          <w:p>
            <w:pPr>
              <w:jc w:val="right"/>
              <w:ind w:right="82"/>
              <w:spacing w:after="0"/>
              <w:rPr>
                <w:sz w:val="20"/>
                <w:szCs w:val="20"/>
                <w:color w:val="auto"/>
              </w:rPr>
            </w:pPr>
            <w:r>
              <w:rPr>
                <w:rFonts w:ascii="Arial" w:cs="Arial" w:eastAsia="Arial" w:hAnsi="Arial"/>
                <w:sz w:val="16"/>
                <w:szCs w:val="16"/>
                <w:color w:val="auto"/>
              </w:rPr>
              <w:t>$</w:t>
            </w:r>
          </w:p>
        </w:tc>
        <w:tc>
          <w:tcPr>
            <w:tcW w:w="580" w:type="dxa"/>
            <w:vAlign w:val="bottom"/>
          </w:tcPr>
          <w:p>
            <w:pPr>
              <w:jc w:val="right"/>
              <w:ind w:right="2"/>
              <w:spacing w:after="0"/>
              <w:rPr>
                <w:sz w:val="20"/>
                <w:szCs w:val="20"/>
                <w:color w:val="auto"/>
              </w:rPr>
            </w:pPr>
            <w:r>
              <w:rPr>
                <w:rFonts w:ascii="Arial" w:cs="Arial" w:eastAsia="Arial" w:hAnsi="Arial"/>
                <w:sz w:val="16"/>
                <w:szCs w:val="16"/>
                <w:color w:val="auto"/>
              </w:rPr>
              <w:t>3,025</w:t>
            </w:r>
          </w:p>
        </w:tc>
        <w:tc>
          <w:tcPr>
            <w:tcW w:w="840" w:type="dxa"/>
            <w:vAlign w:val="bottom"/>
            <w:gridSpan w:val="2"/>
          </w:tcPr>
          <w:p>
            <w:pPr>
              <w:jc w:val="right"/>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0"/>
        </w:trPr>
        <w:tc>
          <w:tcPr>
            <w:tcW w:w="4320" w:type="dxa"/>
            <w:vAlign w:val="bottom"/>
            <w:vMerge w:val="restart"/>
          </w:tcPr>
          <w:p>
            <w:pPr>
              <w:spacing w:after="0"/>
              <w:rPr>
                <w:sz w:val="20"/>
                <w:szCs w:val="20"/>
                <w:color w:val="auto"/>
              </w:rPr>
            </w:pPr>
            <w:r>
              <w:rPr>
                <w:rFonts w:ascii="Arial" w:cs="Arial" w:eastAsia="Arial" w:hAnsi="Arial"/>
                <w:sz w:val="16"/>
                <w:szCs w:val="16"/>
                <w:b w:val="1"/>
                <w:bCs w:val="1"/>
                <w:color w:val="auto"/>
              </w:rPr>
              <w:t>December 31, 2024</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5"/>
        </w:trPr>
        <w:tc>
          <w:tcPr>
            <w:tcW w:w="432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320" w:type="dxa"/>
            <w:vAlign w:val="bottom"/>
          </w:tcPr>
          <w:p>
            <w:pPr>
              <w:spacing w:after="0"/>
              <w:rPr>
                <w:sz w:val="20"/>
                <w:szCs w:val="20"/>
                <w:color w:val="auto"/>
              </w:rPr>
            </w:pPr>
            <w:r>
              <w:rPr>
                <w:rFonts w:ascii="Arial" w:cs="Arial" w:eastAsia="Arial" w:hAnsi="Arial"/>
                <w:sz w:val="16"/>
                <w:szCs w:val="16"/>
                <w:color w:val="auto"/>
              </w:rPr>
              <w:t>LTV Ratios:</w:t>
            </w:r>
          </w:p>
        </w:tc>
        <w:tc>
          <w:tcPr>
            <w:tcW w:w="1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320" w:type="dxa"/>
            <w:vAlign w:val="bottom"/>
          </w:tcPr>
          <w:p>
            <w:pPr>
              <w:spacing w:after="0"/>
              <w:rPr>
                <w:sz w:val="20"/>
                <w:szCs w:val="20"/>
                <w:color w:val="auto"/>
              </w:rPr>
            </w:pPr>
            <w:r>
              <w:rPr>
                <w:rFonts w:ascii="Arial" w:cs="Arial" w:eastAsia="Arial" w:hAnsi="Arial"/>
                <w:sz w:val="16"/>
                <w:szCs w:val="16"/>
                <w:color w:val="auto"/>
              </w:rPr>
              <w:t>Less than 50.00%</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490</w:t>
            </w:r>
          </w:p>
        </w:tc>
        <w:tc>
          <w:tcPr>
            <w:tcW w:w="24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620" w:type="dxa"/>
            <w:vAlign w:val="bottom"/>
          </w:tcPr>
          <w:p>
            <w:pPr>
              <w:jc w:val="right"/>
              <w:ind w:right="2"/>
              <w:spacing w:after="0"/>
              <w:rPr>
                <w:sz w:val="20"/>
                <w:szCs w:val="20"/>
                <w:color w:val="auto"/>
              </w:rPr>
            </w:pPr>
            <w:r>
              <w:rPr>
                <w:rFonts w:ascii="Arial" w:cs="Arial" w:eastAsia="Arial" w:hAnsi="Arial"/>
                <w:sz w:val="16"/>
                <w:szCs w:val="16"/>
                <w:color w:val="auto"/>
              </w:rPr>
              <w:t>34</w:t>
            </w: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524</w:t>
            </w: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19 %</w:t>
            </w:r>
          </w:p>
        </w:tc>
        <w:tc>
          <w:tcPr>
            <w:tcW w:w="360" w:type="dxa"/>
            <w:vAlign w:val="bottom"/>
            <w:gridSpan w:val="2"/>
          </w:tcPr>
          <w:p>
            <w:pPr>
              <w:jc w:val="right"/>
              <w:ind w:right="82"/>
              <w:spacing w:after="0"/>
              <w:rPr>
                <w:sz w:val="20"/>
                <w:szCs w:val="20"/>
                <w:color w:val="auto"/>
              </w:rPr>
            </w:pPr>
            <w:r>
              <w:rPr>
                <w:rFonts w:ascii="Arial" w:cs="Arial" w:eastAsia="Arial" w:hAnsi="Arial"/>
                <w:sz w:val="16"/>
                <w:szCs w:val="16"/>
                <w:color w:val="auto"/>
              </w:rPr>
              <w:t>$</w:t>
            </w:r>
          </w:p>
        </w:tc>
        <w:tc>
          <w:tcPr>
            <w:tcW w:w="580" w:type="dxa"/>
            <w:vAlign w:val="bottom"/>
          </w:tcPr>
          <w:p>
            <w:pPr>
              <w:jc w:val="right"/>
              <w:ind w:right="2"/>
              <w:spacing w:after="0"/>
              <w:rPr>
                <w:sz w:val="20"/>
                <w:szCs w:val="20"/>
                <w:color w:val="auto"/>
              </w:rPr>
            </w:pPr>
            <w:r>
              <w:rPr>
                <w:rFonts w:ascii="Arial" w:cs="Arial" w:eastAsia="Arial" w:hAnsi="Arial"/>
                <w:sz w:val="16"/>
                <w:szCs w:val="16"/>
                <w:color w:val="auto"/>
              </w:rPr>
              <w:t>501</w:t>
            </w:r>
          </w:p>
        </w:tc>
        <w:tc>
          <w:tcPr>
            <w:tcW w:w="840" w:type="dxa"/>
            <w:vAlign w:val="bottom"/>
            <w:gridSpan w:val="2"/>
          </w:tcPr>
          <w:p>
            <w:pPr>
              <w:jc w:val="right"/>
              <w:spacing w:after="0"/>
              <w:rPr>
                <w:sz w:val="20"/>
                <w:szCs w:val="20"/>
                <w:color w:val="auto"/>
              </w:rPr>
            </w:pPr>
            <w:r>
              <w:rPr>
                <w:rFonts w:ascii="Arial" w:cs="Arial" w:eastAsia="Arial" w:hAnsi="Arial"/>
                <w:sz w:val="16"/>
                <w:szCs w:val="16"/>
                <w:color w:val="auto"/>
              </w:rPr>
              <w:t>21 %</w:t>
            </w:r>
          </w:p>
        </w:tc>
        <w:tc>
          <w:tcPr>
            <w:tcW w:w="0" w:type="dxa"/>
            <w:vAlign w:val="bottom"/>
          </w:tcPr>
          <w:p>
            <w:pPr>
              <w:spacing w:after="0"/>
              <w:rPr>
                <w:sz w:val="1"/>
                <w:szCs w:val="1"/>
                <w:color w:val="auto"/>
              </w:rPr>
            </w:pPr>
          </w:p>
        </w:tc>
      </w:tr>
      <w:tr>
        <w:trPr>
          <w:trHeight w:val="250"/>
        </w:trPr>
        <w:tc>
          <w:tcPr>
            <w:tcW w:w="4320" w:type="dxa"/>
            <w:vAlign w:val="bottom"/>
          </w:tcPr>
          <w:p>
            <w:pPr>
              <w:spacing w:after="0"/>
              <w:rPr>
                <w:sz w:val="20"/>
                <w:szCs w:val="20"/>
                <w:color w:val="auto"/>
              </w:rPr>
            </w:pPr>
            <w:r>
              <w:rPr>
                <w:rFonts w:ascii="Arial" w:cs="Arial" w:eastAsia="Arial" w:hAnsi="Arial"/>
                <w:sz w:val="16"/>
                <w:szCs w:val="16"/>
                <w:color w:val="auto"/>
              </w:rPr>
              <w:t>50.00% to 59.99%</w:t>
            </w:r>
          </w:p>
        </w:tc>
        <w:tc>
          <w:tcPr>
            <w:tcW w:w="16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803</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20" w:type="dxa"/>
            <w:vAlign w:val="bottom"/>
          </w:tcPr>
          <w:p>
            <w:pPr>
              <w:jc w:val="right"/>
              <w:ind w:right="2"/>
              <w:spacing w:after="0"/>
              <w:rPr>
                <w:sz w:val="20"/>
                <w:szCs w:val="20"/>
                <w:color w:val="auto"/>
              </w:rPr>
            </w:pPr>
            <w:r>
              <w:rPr>
                <w:rFonts w:ascii="Arial" w:cs="Arial" w:eastAsia="Arial" w:hAnsi="Arial"/>
                <w:sz w:val="16"/>
                <w:szCs w:val="16"/>
                <w:color w:val="auto"/>
              </w:rPr>
              <w:t>112</w:t>
            </w: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12</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927</w:t>
            </w:r>
          </w:p>
        </w:tc>
        <w:tc>
          <w:tcPr>
            <w:tcW w:w="860" w:type="dxa"/>
            <w:vAlign w:val="bottom"/>
            <w:gridSpan w:val="2"/>
          </w:tcPr>
          <w:p>
            <w:pPr>
              <w:jc w:val="right"/>
              <w:ind w:right="122"/>
              <w:spacing w:after="0"/>
              <w:rPr>
                <w:sz w:val="20"/>
                <w:szCs w:val="20"/>
                <w:color w:val="auto"/>
              </w:rPr>
            </w:pPr>
            <w:r>
              <w:rPr>
                <w:rFonts w:ascii="Arial" w:cs="Arial" w:eastAsia="Arial" w:hAnsi="Arial"/>
                <w:sz w:val="16"/>
                <w:szCs w:val="16"/>
                <w:color w:val="auto"/>
              </w:rPr>
              <w:t>34</w:t>
            </w: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80" w:type="dxa"/>
            <w:vAlign w:val="bottom"/>
          </w:tcPr>
          <w:p>
            <w:pPr>
              <w:jc w:val="right"/>
              <w:ind w:right="2"/>
              <w:spacing w:after="0"/>
              <w:rPr>
                <w:sz w:val="20"/>
                <w:szCs w:val="20"/>
                <w:color w:val="auto"/>
              </w:rPr>
            </w:pPr>
            <w:r>
              <w:rPr>
                <w:rFonts w:ascii="Arial" w:cs="Arial" w:eastAsia="Arial" w:hAnsi="Arial"/>
                <w:sz w:val="16"/>
                <w:szCs w:val="16"/>
                <w:color w:val="auto"/>
              </w:rPr>
              <w:t>826</w:t>
            </w:r>
          </w:p>
        </w:tc>
        <w:tc>
          <w:tcPr>
            <w:tcW w:w="840" w:type="dxa"/>
            <w:vAlign w:val="bottom"/>
            <w:gridSpan w:val="2"/>
          </w:tcPr>
          <w:p>
            <w:pPr>
              <w:jc w:val="right"/>
              <w:ind w:right="122"/>
              <w:spacing w:after="0"/>
              <w:rPr>
                <w:sz w:val="20"/>
                <w:szCs w:val="20"/>
                <w:color w:val="auto"/>
              </w:rPr>
            </w:pPr>
            <w:r>
              <w:rPr>
                <w:rFonts w:ascii="Arial" w:cs="Arial" w:eastAsia="Arial" w:hAnsi="Arial"/>
                <w:sz w:val="16"/>
                <w:szCs w:val="16"/>
                <w:color w:val="auto"/>
              </w:rPr>
              <w:t>34</w:t>
            </w:r>
          </w:p>
        </w:tc>
        <w:tc>
          <w:tcPr>
            <w:tcW w:w="0" w:type="dxa"/>
            <w:vAlign w:val="bottom"/>
          </w:tcPr>
          <w:p>
            <w:pPr>
              <w:spacing w:after="0"/>
              <w:rPr>
                <w:sz w:val="1"/>
                <w:szCs w:val="1"/>
                <w:color w:val="auto"/>
              </w:rPr>
            </w:pPr>
          </w:p>
        </w:tc>
      </w:tr>
      <w:tr>
        <w:trPr>
          <w:trHeight w:val="250"/>
        </w:trPr>
        <w:tc>
          <w:tcPr>
            <w:tcW w:w="4320" w:type="dxa"/>
            <w:vAlign w:val="bottom"/>
          </w:tcPr>
          <w:p>
            <w:pPr>
              <w:spacing w:after="0"/>
              <w:rPr>
                <w:sz w:val="20"/>
                <w:szCs w:val="20"/>
                <w:color w:val="auto"/>
              </w:rPr>
            </w:pPr>
            <w:r>
              <w:rPr>
                <w:rFonts w:ascii="Arial" w:cs="Arial" w:eastAsia="Arial" w:hAnsi="Arial"/>
                <w:sz w:val="16"/>
                <w:szCs w:val="16"/>
                <w:color w:val="auto"/>
              </w:rPr>
              <w:t>60.00% to 74.99%</w:t>
            </w:r>
          </w:p>
        </w:tc>
        <w:tc>
          <w:tcPr>
            <w:tcW w:w="16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1,238</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20" w:type="dxa"/>
            <w:vAlign w:val="bottom"/>
          </w:tcPr>
          <w:p>
            <w:pPr>
              <w:jc w:val="right"/>
              <w:ind w:right="2"/>
              <w:spacing w:after="0"/>
              <w:rPr>
                <w:sz w:val="20"/>
                <w:szCs w:val="20"/>
                <w:color w:val="auto"/>
              </w:rPr>
            </w:pPr>
            <w:r>
              <w:rPr>
                <w:rFonts w:ascii="Arial" w:cs="Arial" w:eastAsia="Arial" w:hAnsi="Arial"/>
                <w:sz w:val="16"/>
                <w:szCs w:val="16"/>
                <w:color w:val="auto"/>
              </w:rPr>
              <w:t>16</w:t>
            </w: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1,254</w:t>
            </w:r>
          </w:p>
        </w:tc>
        <w:tc>
          <w:tcPr>
            <w:tcW w:w="860" w:type="dxa"/>
            <w:vAlign w:val="bottom"/>
            <w:gridSpan w:val="2"/>
          </w:tcPr>
          <w:p>
            <w:pPr>
              <w:jc w:val="right"/>
              <w:ind w:right="122"/>
              <w:spacing w:after="0"/>
              <w:rPr>
                <w:sz w:val="20"/>
                <w:szCs w:val="20"/>
                <w:color w:val="auto"/>
              </w:rPr>
            </w:pPr>
            <w:r>
              <w:rPr>
                <w:rFonts w:ascii="Arial" w:cs="Arial" w:eastAsia="Arial" w:hAnsi="Arial"/>
                <w:sz w:val="16"/>
                <w:szCs w:val="16"/>
                <w:color w:val="auto"/>
              </w:rPr>
              <w:t>46</w:t>
            </w: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80" w:type="dxa"/>
            <w:vAlign w:val="bottom"/>
          </w:tcPr>
          <w:p>
            <w:pPr>
              <w:jc w:val="right"/>
              <w:ind w:right="2"/>
              <w:spacing w:after="0"/>
              <w:rPr>
                <w:sz w:val="20"/>
                <w:szCs w:val="20"/>
                <w:color w:val="auto"/>
              </w:rPr>
            </w:pPr>
            <w:r>
              <w:rPr>
                <w:rFonts w:ascii="Arial" w:cs="Arial" w:eastAsia="Arial" w:hAnsi="Arial"/>
                <w:sz w:val="16"/>
                <w:szCs w:val="16"/>
                <w:color w:val="auto"/>
              </w:rPr>
              <w:t>1,060</w:t>
            </w:r>
          </w:p>
        </w:tc>
        <w:tc>
          <w:tcPr>
            <w:tcW w:w="840" w:type="dxa"/>
            <w:vAlign w:val="bottom"/>
            <w:gridSpan w:val="2"/>
          </w:tcPr>
          <w:p>
            <w:pPr>
              <w:jc w:val="right"/>
              <w:ind w:right="122"/>
              <w:spacing w:after="0"/>
              <w:rPr>
                <w:sz w:val="20"/>
                <w:szCs w:val="20"/>
                <w:color w:val="auto"/>
              </w:rPr>
            </w:pPr>
            <w:r>
              <w:rPr>
                <w:rFonts w:ascii="Arial" w:cs="Arial" w:eastAsia="Arial" w:hAnsi="Arial"/>
                <w:sz w:val="16"/>
                <w:szCs w:val="16"/>
                <w:color w:val="auto"/>
              </w:rPr>
              <w:t>44</w:t>
            </w:r>
          </w:p>
        </w:tc>
        <w:tc>
          <w:tcPr>
            <w:tcW w:w="0" w:type="dxa"/>
            <w:vAlign w:val="bottom"/>
          </w:tcPr>
          <w:p>
            <w:pPr>
              <w:spacing w:after="0"/>
              <w:rPr>
                <w:sz w:val="1"/>
                <w:szCs w:val="1"/>
                <w:color w:val="auto"/>
              </w:rPr>
            </w:pPr>
          </w:p>
        </w:tc>
      </w:tr>
      <w:tr>
        <w:trPr>
          <w:trHeight w:val="257"/>
        </w:trPr>
        <w:tc>
          <w:tcPr>
            <w:tcW w:w="4320" w:type="dxa"/>
            <w:vAlign w:val="bottom"/>
          </w:tcPr>
          <w:p>
            <w:pPr>
              <w:spacing w:after="0"/>
              <w:rPr>
                <w:sz w:val="20"/>
                <w:szCs w:val="20"/>
                <w:color w:val="auto"/>
              </w:rPr>
            </w:pPr>
            <w:r>
              <w:rPr>
                <w:rFonts w:ascii="Arial" w:cs="Arial" w:eastAsia="Arial" w:hAnsi="Arial"/>
                <w:sz w:val="16"/>
                <w:szCs w:val="16"/>
                <w:color w:val="auto"/>
              </w:rPr>
              <w:t>75.00% to 84.99%</w:t>
            </w:r>
          </w:p>
        </w:tc>
        <w:tc>
          <w:tcPr>
            <w:tcW w:w="16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8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4</w:t>
            </w:r>
          </w:p>
        </w:tc>
        <w:tc>
          <w:tcPr>
            <w:tcW w:w="6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w:t>
            </w:r>
          </w:p>
        </w:tc>
        <w:tc>
          <w:tcPr>
            <w:tcW w:w="8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w:t>
            </w:r>
          </w:p>
        </w:tc>
        <w:tc>
          <w:tcPr>
            <w:tcW w:w="80" w:type="dxa"/>
            <w:vAlign w:val="bottom"/>
          </w:tcPr>
          <w:p>
            <w:pPr>
              <w:spacing w:after="0"/>
              <w:rPr>
                <w:sz w:val="22"/>
                <w:szCs w:val="22"/>
                <w:color w:val="auto"/>
              </w:rPr>
            </w:pPr>
          </w:p>
        </w:tc>
        <w:tc>
          <w:tcPr>
            <w:tcW w:w="780" w:type="dxa"/>
            <w:vAlign w:val="bottom"/>
            <w:tcBorders>
              <w:bottom w:val="single" w:sz="8" w:color="auto"/>
            </w:tcBorders>
          </w:tcPr>
          <w:p>
            <w:pPr>
              <w:jc w:val="right"/>
              <w:ind w:right="122"/>
              <w:spacing w:after="0"/>
              <w:rPr>
                <w:sz w:val="20"/>
                <w:szCs w:val="20"/>
                <w:color w:val="auto"/>
              </w:rPr>
            </w:pPr>
            <w:r>
              <w:rPr>
                <w:rFonts w:ascii="Arial" w:cs="Arial" w:eastAsia="Arial" w:hAnsi="Arial"/>
                <w:sz w:val="16"/>
                <w:szCs w:val="16"/>
                <w:color w:val="auto"/>
              </w:rPr>
              <w:t>1</w:t>
            </w:r>
          </w:p>
        </w:tc>
        <w:tc>
          <w:tcPr>
            <w:tcW w:w="6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17</w:t>
            </w:r>
          </w:p>
        </w:tc>
        <w:tc>
          <w:tcPr>
            <w:tcW w:w="60" w:type="dxa"/>
            <w:vAlign w:val="bottom"/>
          </w:tcPr>
          <w:p>
            <w:pPr>
              <w:spacing w:after="0"/>
              <w:rPr>
                <w:sz w:val="22"/>
                <w:szCs w:val="22"/>
                <w:color w:val="auto"/>
              </w:rPr>
            </w:pPr>
          </w:p>
        </w:tc>
        <w:tc>
          <w:tcPr>
            <w:tcW w:w="780" w:type="dxa"/>
            <w:vAlign w:val="bottom"/>
            <w:tcBorders>
              <w:bottom w:val="single" w:sz="8" w:color="auto"/>
            </w:tcBorders>
          </w:tcPr>
          <w:p>
            <w:pPr>
              <w:jc w:val="right"/>
              <w:ind w:right="122"/>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0"/>
        </w:trPr>
        <w:tc>
          <w:tcPr>
            <w:tcW w:w="4320" w:type="dxa"/>
            <w:vAlign w:val="bottom"/>
          </w:tcPr>
          <w:p>
            <w:pPr>
              <w:spacing w:after="0"/>
              <w:rPr>
                <w:sz w:val="20"/>
                <w:szCs w:val="20"/>
                <w:color w:val="auto"/>
              </w:rPr>
            </w:pPr>
            <w:r>
              <w:rPr>
                <w:rFonts w:ascii="Arial" w:cs="Arial" w:eastAsia="Arial" w:hAnsi="Arial"/>
                <w:sz w:val="16"/>
                <w:szCs w:val="16"/>
                <w:b w:val="1"/>
                <w:bCs w:val="1"/>
                <w:color w:val="auto"/>
              </w:rPr>
              <w:t>Total CMLs</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2,535</w:t>
            </w:r>
          </w:p>
        </w:tc>
        <w:tc>
          <w:tcPr>
            <w:tcW w:w="24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620" w:type="dxa"/>
            <w:vAlign w:val="bottom"/>
          </w:tcPr>
          <w:p>
            <w:pPr>
              <w:jc w:val="right"/>
              <w:ind w:right="2"/>
              <w:spacing w:after="0"/>
              <w:rPr>
                <w:sz w:val="20"/>
                <w:szCs w:val="20"/>
                <w:color w:val="auto"/>
              </w:rPr>
            </w:pPr>
            <w:r>
              <w:rPr>
                <w:rFonts w:ascii="Arial" w:cs="Arial" w:eastAsia="Arial" w:hAnsi="Arial"/>
                <w:sz w:val="16"/>
                <w:szCs w:val="16"/>
                <w:color w:val="auto"/>
              </w:rPr>
              <w:t>166</w:t>
            </w: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21</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2,722</w:t>
            </w: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100 %</w:t>
            </w:r>
          </w:p>
        </w:tc>
        <w:tc>
          <w:tcPr>
            <w:tcW w:w="360" w:type="dxa"/>
            <w:vAlign w:val="bottom"/>
            <w:gridSpan w:val="2"/>
          </w:tcPr>
          <w:p>
            <w:pPr>
              <w:jc w:val="right"/>
              <w:ind w:right="82"/>
              <w:spacing w:after="0"/>
              <w:rPr>
                <w:sz w:val="20"/>
                <w:szCs w:val="20"/>
                <w:color w:val="auto"/>
              </w:rPr>
            </w:pPr>
            <w:r>
              <w:rPr>
                <w:rFonts w:ascii="Arial" w:cs="Arial" w:eastAsia="Arial" w:hAnsi="Arial"/>
                <w:sz w:val="16"/>
                <w:szCs w:val="16"/>
                <w:color w:val="auto"/>
              </w:rPr>
              <w:t>$</w:t>
            </w:r>
          </w:p>
        </w:tc>
        <w:tc>
          <w:tcPr>
            <w:tcW w:w="580" w:type="dxa"/>
            <w:vAlign w:val="bottom"/>
          </w:tcPr>
          <w:p>
            <w:pPr>
              <w:jc w:val="right"/>
              <w:ind w:right="2"/>
              <w:spacing w:after="0"/>
              <w:rPr>
                <w:sz w:val="20"/>
                <w:szCs w:val="20"/>
                <w:color w:val="auto"/>
              </w:rPr>
            </w:pPr>
            <w:r>
              <w:rPr>
                <w:rFonts w:ascii="Arial" w:cs="Arial" w:eastAsia="Arial" w:hAnsi="Arial"/>
                <w:sz w:val="16"/>
                <w:szCs w:val="16"/>
                <w:color w:val="auto"/>
              </w:rPr>
              <w:t>2,404</w:t>
            </w:r>
          </w:p>
        </w:tc>
        <w:tc>
          <w:tcPr>
            <w:tcW w:w="840" w:type="dxa"/>
            <w:vAlign w:val="bottom"/>
            <w:gridSpan w:val="2"/>
          </w:tcPr>
          <w:p>
            <w:pPr>
              <w:jc w:val="right"/>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-2336800</wp:posOffset>
            </wp:positionV>
            <wp:extent cx="6522085" cy="234378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97">
                      <a:extLst>
                        <a:ext uri="{28A0092B-C50C-407E-A947-70E740481C1C}"/>
                      </a:extLst>
                    </a:blip>
                    <a:srcRect/>
                    <a:stretch>
                      <a:fillRect/>
                    </a:stretch>
                  </pic:blipFill>
                  <pic:spPr bwMode="auto">
                    <a:xfrm>
                      <a:off x="0" y="0"/>
                      <a:ext cx="6522085" cy="2343785"/>
                    </a:xfrm>
                    <a:prstGeom prst="rect">
                      <a:avLst/>
                    </a:prstGeom>
                    <a:noFill/>
                  </pic:spPr>
                </pic:pic>
              </a:graphicData>
            </a:graphic>
          </wp:anchor>
        </w:drawing>
      </w:r>
    </w:p>
    <w:p>
      <w:pPr>
        <w:sectPr>
          <w:pgSz w:w="11880" w:h="15480" w:orient="portrait"/>
          <w:cols w:equalWidth="0" w:num="1">
            <w:col w:w="10220"/>
          </w:cols>
          <w:pgMar w:left="920" w:top="772" w:right="7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180"/>
        <w:spacing w:after="0"/>
        <w:rPr>
          <w:sz w:val="20"/>
          <w:szCs w:val="20"/>
          <w:color w:val="auto"/>
        </w:rPr>
      </w:pPr>
      <w:r>
        <w:rPr>
          <w:rFonts w:ascii="Arial" w:cs="Arial" w:eastAsia="Arial" w:hAnsi="Arial"/>
          <w:sz w:val="16"/>
          <w:szCs w:val="16"/>
          <w:color w:val="auto"/>
        </w:rPr>
        <w:t>138</w:t>
      </w:r>
    </w:p>
    <w:p>
      <w:pPr>
        <w:sectPr>
          <w:pgSz w:w="11880" w:h="15480" w:orient="portrait"/>
          <w:cols w:equalWidth="0" w:num="1">
            <w:col w:w="10220"/>
          </w:cols>
          <w:pgMar w:left="920" w:top="772" w:right="740" w:bottom="0" w:gutter="0" w:footer="0" w:header="0"/>
          <w:type w:val="continuous"/>
        </w:sectPr>
      </w:pPr>
    </w:p>
    <w:bookmarkStart w:id="150" w:name="page151"/>
    <w:bookmarkEnd w:id="150"/>
    <w:tbl>
      <w:tblPr>
        <w:tblLayout w:type="fixed"/>
        <w:tblInd w:w="40" w:type="dxa"/>
        <w:tblCellMar>
          <w:top w:w="0" w:type="dxa"/>
          <w:left w:w="0" w:type="dxa"/>
          <w:bottom w:w="0" w:type="dxa"/>
          <w:right w:w="0" w:type="dxa"/>
        </w:tblCellMar>
      </w:tblPr>
      <w:tr>
        <w:trPr>
          <w:trHeight w:val="213"/>
        </w:trPr>
        <w:tc>
          <w:tcPr>
            <w:tcW w:w="42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gridSpan w:val="6"/>
          </w:tcPr>
          <w:p>
            <w:pPr>
              <w:jc w:val="center"/>
              <w:ind w:left="322"/>
              <w:spacing w:after="0"/>
              <w:rPr>
                <w:sz w:val="20"/>
                <w:szCs w:val="20"/>
                <w:color w:val="auto"/>
              </w:rPr>
            </w:pPr>
            <w:r>
              <w:rPr>
                <w:rFonts w:ascii="Arial" w:cs="Arial" w:eastAsia="Arial" w:hAnsi="Arial"/>
                <w:sz w:val="16"/>
                <w:szCs w:val="16"/>
                <w:b w:val="1"/>
                <w:bCs w:val="1"/>
                <w:color w:val="auto"/>
                <w:w w:val="87"/>
              </w:rPr>
              <w:t>December 31, 2025</w:t>
            </w:r>
          </w:p>
        </w:tc>
        <w:tc>
          <w:tcPr>
            <w:tcW w:w="5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2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2520" w:type="dxa"/>
            <w:vAlign w:val="bottom"/>
            <w:tcBorders>
              <w:bottom w:val="single" w:sz="8" w:color="auto"/>
            </w:tcBorders>
            <w:gridSpan w:val="9"/>
          </w:tcPr>
          <w:p>
            <w:pPr>
              <w:jc w:val="center"/>
              <w:ind w:right="60"/>
              <w:spacing w:after="0"/>
              <w:rPr>
                <w:sz w:val="20"/>
                <w:szCs w:val="20"/>
                <w:color w:val="auto"/>
              </w:rPr>
            </w:pPr>
            <w:r>
              <w:rPr>
                <w:rFonts w:ascii="Arial" w:cs="Arial" w:eastAsia="Arial" w:hAnsi="Arial"/>
                <w:sz w:val="16"/>
                <w:szCs w:val="16"/>
                <w:b w:val="1"/>
                <w:bCs w:val="1"/>
                <w:color w:val="auto"/>
                <w:w w:val="91"/>
              </w:rPr>
              <w:t>Amortized Cost by Origination Year</w:t>
            </w:r>
          </w:p>
        </w:tc>
        <w:tc>
          <w:tcPr>
            <w:tcW w:w="1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jc w:val="right"/>
              <w:ind w:right="162"/>
              <w:spacing w:after="0"/>
              <w:rPr>
                <w:sz w:val="20"/>
                <w:szCs w:val="20"/>
                <w:color w:val="auto"/>
              </w:rPr>
            </w:pPr>
            <w:r>
              <w:rPr>
                <w:rFonts w:ascii="Arial" w:cs="Arial" w:eastAsia="Arial" w:hAnsi="Arial"/>
                <w:sz w:val="16"/>
                <w:szCs w:val="16"/>
                <w:b w:val="1"/>
                <w:bCs w:val="1"/>
                <w:color w:val="auto"/>
                <w:w w:val="95"/>
              </w:rPr>
              <w:t>2025</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jc w:val="right"/>
              <w:ind w:right="162"/>
              <w:spacing w:after="0"/>
              <w:rPr>
                <w:sz w:val="20"/>
                <w:szCs w:val="20"/>
                <w:color w:val="auto"/>
              </w:rPr>
            </w:pPr>
            <w:r>
              <w:rPr>
                <w:rFonts w:ascii="Arial" w:cs="Arial" w:eastAsia="Arial" w:hAnsi="Arial"/>
                <w:sz w:val="16"/>
                <w:szCs w:val="16"/>
                <w:b w:val="1"/>
                <w:bCs w:val="1"/>
                <w:color w:val="auto"/>
                <w:w w:val="95"/>
              </w:rPr>
              <w:t>2024</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jc w:val="right"/>
              <w:ind w:right="162"/>
              <w:spacing w:after="0"/>
              <w:rPr>
                <w:sz w:val="20"/>
                <w:szCs w:val="20"/>
                <w:color w:val="auto"/>
              </w:rPr>
            </w:pPr>
            <w:r>
              <w:rPr>
                <w:rFonts w:ascii="Arial" w:cs="Arial" w:eastAsia="Arial" w:hAnsi="Arial"/>
                <w:sz w:val="16"/>
                <w:szCs w:val="16"/>
                <w:b w:val="1"/>
                <w:bCs w:val="1"/>
                <w:color w:val="auto"/>
                <w:w w:val="95"/>
              </w:rPr>
              <w:t>2023</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jc w:val="center"/>
              <w:ind w:right="122"/>
              <w:spacing w:after="0"/>
              <w:rPr>
                <w:sz w:val="20"/>
                <w:szCs w:val="20"/>
                <w:color w:val="auto"/>
              </w:rPr>
            </w:pPr>
            <w:r>
              <w:rPr>
                <w:rFonts w:ascii="Arial" w:cs="Arial" w:eastAsia="Arial" w:hAnsi="Arial"/>
                <w:sz w:val="16"/>
                <w:szCs w:val="16"/>
                <w:b w:val="1"/>
                <w:bCs w:val="1"/>
                <w:color w:val="auto"/>
                <w:w w:val="89"/>
              </w:rPr>
              <w:t>2022</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Pr>
          <w:p>
            <w:pPr>
              <w:jc w:val="right"/>
              <w:ind w:right="162"/>
              <w:spacing w:after="0"/>
              <w:rPr>
                <w:sz w:val="20"/>
                <w:szCs w:val="20"/>
                <w:color w:val="auto"/>
              </w:rPr>
            </w:pPr>
            <w:r>
              <w:rPr>
                <w:rFonts w:ascii="Arial" w:cs="Arial" w:eastAsia="Arial" w:hAnsi="Arial"/>
                <w:sz w:val="16"/>
                <w:szCs w:val="16"/>
                <w:b w:val="1"/>
                <w:bCs w:val="1"/>
                <w:color w:val="auto"/>
                <w:w w:val="89"/>
              </w:rPr>
              <w:t>2021</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jc w:val="right"/>
              <w:ind w:right="122"/>
              <w:spacing w:after="0"/>
              <w:rPr>
                <w:sz w:val="20"/>
                <w:szCs w:val="20"/>
                <w:color w:val="auto"/>
              </w:rPr>
            </w:pPr>
            <w:r>
              <w:rPr>
                <w:rFonts w:ascii="Arial" w:cs="Arial" w:eastAsia="Arial" w:hAnsi="Arial"/>
                <w:sz w:val="16"/>
                <w:szCs w:val="16"/>
                <w:b w:val="1"/>
                <w:bCs w:val="1"/>
                <w:color w:val="auto"/>
              </w:rPr>
              <w:t>Prior</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jc w:val="right"/>
              <w:ind w:right="122"/>
              <w:spacing w:after="0"/>
              <w:rPr>
                <w:sz w:val="20"/>
                <w:szCs w:val="20"/>
                <w:color w:val="auto"/>
              </w:rPr>
            </w:pPr>
            <w:r>
              <w:rPr>
                <w:rFonts w:ascii="Arial" w:cs="Arial" w:eastAsia="Arial" w:hAnsi="Arial"/>
                <w:sz w:val="16"/>
                <w:szCs w:val="16"/>
                <w:b w:val="1"/>
                <w:bCs w:val="1"/>
                <w:color w:val="auto"/>
                <w:w w:val="99"/>
              </w:rPr>
              <w:t>Total</w:t>
            </w:r>
          </w:p>
        </w:tc>
        <w:tc>
          <w:tcPr>
            <w:tcW w:w="0" w:type="dxa"/>
            <w:vAlign w:val="bottom"/>
          </w:tcPr>
          <w:p>
            <w:pPr>
              <w:spacing w:after="0"/>
              <w:rPr>
                <w:sz w:val="1"/>
                <w:szCs w:val="1"/>
                <w:color w:val="auto"/>
              </w:rPr>
            </w:pPr>
          </w:p>
        </w:tc>
      </w:tr>
      <w:tr>
        <w:trPr>
          <w:trHeight w:val="250"/>
        </w:trPr>
        <w:tc>
          <w:tcPr>
            <w:tcW w:w="4200" w:type="dxa"/>
            <w:vAlign w:val="bottom"/>
          </w:tcPr>
          <w:p>
            <w:pPr>
              <w:spacing w:after="0"/>
              <w:rPr>
                <w:sz w:val="20"/>
                <w:szCs w:val="20"/>
                <w:color w:val="auto"/>
              </w:rPr>
            </w:pPr>
            <w:r>
              <w:rPr>
                <w:rFonts w:ascii="Arial" w:cs="Arial" w:eastAsia="Arial" w:hAnsi="Arial"/>
                <w:sz w:val="16"/>
                <w:szCs w:val="16"/>
                <w:b w:val="1"/>
                <w:bCs w:val="1"/>
                <w:color w:val="auto"/>
              </w:rPr>
              <w:t>LTV Ratios:</w:t>
            </w:r>
          </w:p>
        </w:tc>
        <w:tc>
          <w:tcPr>
            <w:tcW w:w="1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00" w:type="dxa"/>
            <w:vAlign w:val="bottom"/>
            <w:gridSpan w:val="4"/>
          </w:tcPr>
          <w:p>
            <w:pPr>
              <w:jc w:val="center"/>
              <w:spacing w:after="0"/>
              <w:rPr>
                <w:sz w:val="20"/>
                <w:szCs w:val="20"/>
                <w:color w:val="auto"/>
              </w:rPr>
            </w:pPr>
            <w:r>
              <w:rPr>
                <w:rFonts w:ascii="Arial" w:cs="Arial" w:eastAsia="Arial" w:hAnsi="Arial"/>
                <w:sz w:val="16"/>
                <w:szCs w:val="16"/>
                <w:b w:val="1"/>
                <w:bCs w:val="1"/>
                <w:color w:val="auto"/>
                <w:w w:val="91"/>
              </w:rPr>
              <w:t>(In millions)</w:t>
            </w:r>
          </w:p>
        </w:tc>
        <w:tc>
          <w:tcPr>
            <w:tcW w:w="2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200" w:type="dxa"/>
            <w:vAlign w:val="bottom"/>
          </w:tcPr>
          <w:p>
            <w:pPr>
              <w:spacing w:after="0"/>
              <w:rPr>
                <w:sz w:val="20"/>
                <w:szCs w:val="20"/>
                <w:color w:val="auto"/>
              </w:rPr>
            </w:pPr>
            <w:r>
              <w:rPr>
                <w:rFonts w:ascii="Arial" w:cs="Arial" w:eastAsia="Arial" w:hAnsi="Arial"/>
                <w:sz w:val="16"/>
                <w:szCs w:val="16"/>
                <w:color w:val="auto"/>
              </w:rPr>
              <w:t>Less than 50.00%</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148</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49</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00" w:type="dxa"/>
            <w:vAlign w:val="bottom"/>
          </w:tcPr>
          <w:p>
            <w:pPr>
              <w:jc w:val="right"/>
              <w:ind w:right="2"/>
              <w:spacing w:after="0"/>
              <w:rPr>
                <w:sz w:val="20"/>
                <w:szCs w:val="20"/>
                <w:color w:val="auto"/>
              </w:rPr>
            </w:pPr>
            <w:r>
              <w:rPr>
                <w:rFonts w:ascii="Arial" w:cs="Arial" w:eastAsia="Arial" w:hAnsi="Arial"/>
                <w:sz w:val="16"/>
                <w:szCs w:val="16"/>
                <w:color w:val="auto"/>
              </w:rPr>
              <w:t>66</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00" w:type="dxa"/>
            <w:vAlign w:val="bottom"/>
          </w:tcPr>
          <w:p>
            <w:pPr>
              <w:jc w:val="right"/>
              <w:ind w:right="2"/>
              <w:spacing w:after="0"/>
              <w:rPr>
                <w:sz w:val="20"/>
                <w:szCs w:val="20"/>
                <w:color w:val="auto"/>
              </w:rPr>
            </w:pPr>
            <w:r>
              <w:rPr>
                <w:rFonts w:ascii="Arial" w:cs="Arial" w:eastAsia="Arial" w:hAnsi="Arial"/>
                <w:sz w:val="16"/>
                <w:szCs w:val="16"/>
                <w:color w:val="auto"/>
              </w:rPr>
              <w:t>21</w:t>
            </w:r>
          </w:p>
        </w:tc>
        <w:tc>
          <w:tcPr>
            <w:tcW w:w="60" w:type="dxa"/>
            <w:vAlign w:val="bottom"/>
          </w:tcPr>
          <w:p>
            <w:pPr>
              <w:spacing w:after="0"/>
              <w:rPr>
                <w:sz w:val="21"/>
                <w:szCs w:val="21"/>
                <w:color w:val="auto"/>
              </w:rPr>
            </w:pPr>
          </w:p>
        </w:tc>
        <w:tc>
          <w:tcPr>
            <w:tcW w:w="20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580" w:type="dxa"/>
            <w:vAlign w:val="bottom"/>
          </w:tcPr>
          <w:p>
            <w:pPr>
              <w:jc w:val="right"/>
              <w:ind w:right="2"/>
              <w:spacing w:after="0"/>
              <w:rPr>
                <w:sz w:val="20"/>
                <w:szCs w:val="20"/>
                <w:color w:val="auto"/>
              </w:rPr>
            </w:pPr>
            <w:r>
              <w:rPr>
                <w:rFonts w:ascii="Arial" w:cs="Arial" w:eastAsia="Arial" w:hAnsi="Arial"/>
                <w:sz w:val="16"/>
                <w:szCs w:val="16"/>
                <w:color w:val="auto"/>
              </w:rPr>
              <w:t>75</w:t>
            </w:r>
          </w:p>
        </w:tc>
        <w:tc>
          <w:tcPr>
            <w:tcW w:w="6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251</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610</w:t>
            </w:r>
          </w:p>
        </w:tc>
        <w:tc>
          <w:tcPr>
            <w:tcW w:w="0" w:type="dxa"/>
            <w:vAlign w:val="bottom"/>
          </w:tcPr>
          <w:p>
            <w:pPr>
              <w:spacing w:after="0"/>
              <w:rPr>
                <w:sz w:val="1"/>
                <w:szCs w:val="1"/>
                <w:color w:val="auto"/>
              </w:rPr>
            </w:pPr>
          </w:p>
        </w:tc>
      </w:tr>
      <w:tr>
        <w:trPr>
          <w:trHeight w:val="250"/>
        </w:trPr>
        <w:tc>
          <w:tcPr>
            <w:tcW w:w="4200" w:type="dxa"/>
            <w:vAlign w:val="bottom"/>
          </w:tcPr>
          <w:p>
            <w:pPr>
              <w:spacing w:after="0"/>
              <w:rPr>
                <w:sz w:val="20"/>
                <w:szCs w:val="20"/>
                <w:color w:val="auto"/>
              </w:rPr>
            </w:pPr>
            <w:r>
              <w:rPr>
                <w:rFonts w:ascii="Arial" w:cs="Arial" w:eastAsia="Arial" w:hAnsi="Arial"/>
                <w:sz w:val="16"/>
                <w:szCs w:val="16"/>
                <w:color w:val="auto"/>
              </w:rPr>
              <w:t>50.00% to 59.99%</w:t>
            </w:r>
          </w:p>
        </w:tc>
        <w:tc>
          <w:tcPr>
            <w:tcW w:w="18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157</w:t>
            </w: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36</w:t>
            </w: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0" w:type="dxa"/>
            <w:vAlign w:val="bottom"/>
          </w:tcPr>
          <w:p>
            <w:pPr>
              <w:jc w:val="right"/>
              <w:ind w:right="2"/>
              <w:spacing w:after="0"/>
              <w:rPr>
                <w:sz w:val="20"/>
                <w:szCs w:val="20"/>
                <w:color w:val="auto"/>
              </w:rPr>
            </w:pPr>
            <w:r>
              <w:rPr>
                <w:rFonts w:ascii="Arial" w:cs="Arial" w:eastAsia="Arial" w:hAnsi="Arial"/>
                <w:sz w:val="16"/>
                <w:szCs w:val="16"/>
                <w:color w:val="auto"/>
              </w:rPr>
              <w:t>53</w:t>
            </w: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0" w:type="dxa"/>
            <w:vAlign w:val="bottom"/>
          </w:tcPr>
          <w:p>
            <w:pPr>
              <w:jc w:val="right"/>
              <w:ind w:right="2"/>
              <w:spacing w:after="0"/>
              <w:rPr>
                <w:sz w:val="20"/>
                <w:szCs w:val="20"/>
                <w:color w:val="auto"/>
              </w:rPr>
            </w:pPr>
            <w:r>
              <w:rPr>
                <w:rFonts w:ascii="Arial" w:cs="Arial" w:eastAsia="Arial" w:hAnsi="Arial"/>
                <w:sz w:val="16"/>
                <w:szCs w:val="16"/>
                <w:color w:val="auto"/>
              </w:rPr>
              <w:t>149</w:t>
            </w: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80" w:type="dxa"/>
            <w:vAlign w:val="bottom"/>
          </w:tcPr>
          <w:p>
            <w:pPr>
              <w:jc w:val="right"/>
              <w:ind w:right="2"/>
              <w:spacing w:after="0"/>
              <w:rPr>
                <w:sz w:val="20"/>
                <w:szCs w:val="20"/>
                <w:color w:val="auto"/>
              </w:rPr>
            </w:pPr>
            <w:r>
              <w:rPr>
                <w:rFonts w:ascii="Arial" w:cs="Arial" w:eastAsia="Arial" w:hAnsi="Arial"/>
                <w:sz w:val="16"/>
                <w:szCs w:val="16"/>
                <w:color w:val="auto"/>
              </w:rPr>
              <w:t>320</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208</w:t>
            </w: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923</w:t>
            </w:r>
          </w:p>
        </w:tc>
        <w:tc>
          <w:tcPr>
            <w:tcW w:w="0" w:type="dxa"/>
            <w:vAlign w:val="bottom"/>
          </w:tcPr>
          <w:p>
            <w:pPr>
              <w:spacing w:after="0"/>
              <w:rPr>
                <w:sz w:val="1"/>
                <w:szCs w:val="1"/>
                <w:color w:val="auto"/>
              </w:rPr>
            </w:pPr>
          </w:p>
        </w:tc>
      </w:tr>
      <w:tr>
        <w:trPr>
          <w:trHeight w:val="250"/>
        </w:trPr>
        <w:tc>
          <w:tcPr>
            <w:tcW w:w="4200" w:type="dxa"/>
            <w:vAlign w:val="bottom"/>
          </w:tcPr>
          <w:p>
            <w:pPr>
              <w:spacing w:after="0"/>
              <w:rPr>
                <w:sz w:val="20"/>
                <w:szCs w:val="20"/>
                <w:color w:val="auto"/>
              </w:rPr>
            </w:pPr>
            <w:r>
              <w:rPr>
                <w:rFonts w:ascii="Arial" w:cs="Arial" w:eastAsia="Arial" w:hAnsi="Arial"/>
                <w:sz w:val="16"/>
                <w:szCs w:val="16"/>
                <w:color w:val="auto"/>
              </w:rPr>
              <w:t>60.00% to 74.99%</w:t>
            </w:r>
          </w:p>
        </w:tc>
        <w:tc>
          <w:tcPr>
            <w:tcW w:w="18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341</w:t>
            </w: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206</w:t>
            </w: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0" w:type="dxa"/>
            <w:vAlign w:val="bottom"/>
          </w:tcPr>
          <w:p>
            <w:pPr>
              <w:jc w:val="right"/>
              <w:ind w:right="2"/>
              <w:spacing w:after="0"/>
              <w:rPr>
                <w:sz w:val="20"/>
                <w:szCs w:val="20"/>
                <w:color w:val="auto"/>
              </w:rPr>
            </w:pPr>
            <w:r>
              <w:rPr>
                <w:rFonts w:ascii="Arial" w:cs="Arial" w:eastAsia="Arial" w:hAnsi="Arial"/>
                <w:sz w:val="16"/>
                <w:szCs w:val="16"/>
                <w:color w:val="auto"/>
              </w:rPr>
              <w:t>70</w:t>
            </w: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0" w:type="dxa"/>
            <w:vAlign w:val="bottom"/>
          </w:tcPr>
          <w:p>
            <w:pPr>
              <w:jc w:val="right"/>
              <w:ind w:right="2"/>
              <w:spacing w:after="0"/>
              <w:rPr>
                <w:sz w:val="20"/>
                <w:szCs w:val="20"/>
                <w:color w:val="auto"/>
              </w:rPr>
            </w:pPr>
            <w:r>
              <w:rPr>
                <w:rFonts w:ascii="Arial" w:cs="Arial" w:eastAsia="Arial" w:hAnsi="Arial"/>
                <w:sz w:val="16"/>
                <w:szCs w:val="16"/>
                <w:color w:val="auto"/>
              </w:rPr>
              <w:t>113</w:t>
            </w: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80" w:type="dxa"/>
            <w:vAlign w:val="bottom"/>
          </w:tcPr>
          <w:p>
            <w:pPr>
              <w:jc w:val="right"/>
              <w:ind w:right="2"/>
              <w:spacing w:after="0"/>
              <w:rPr>
                <w:sz w:val="20"/>
                <w:szCs w:val="20"/>
                <w:color w:val="auto"/>
              </w:rPr>
            </w:pPr>
            <w:r>
              <w:rPr>
                <w:rFonts w:ascii="Arial" w:cs="Arial" w:eastAsia="Arial" w:hAnsi="Arial"/>
                <w:sz w:val="16"/>
                <w:szCs w:val="16"/>
                <w:color w:val="auto"/>
              </w:rPr>
              <w:t>857</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122</w:t>
            </w: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1,709</w:t>
            </w:r>
          </w:p>
        </w:tc>
        <w:tc>
          <w:tcPr>
            <w:tcW w:w="0" w:type="dxa"/>
            <w:vAlign w:val="bottom"/>
          </w:tcPr>
          <w:p>
            <w:pPr>
              <w:spacing w:after="0"/>
              <w:rPr>
                <w:sz w:val="1"/>
                <w:szCs w:val="1"/>
                <w:color w:val="auto"/>
              </w:rPr>
            </w:pPr>
          </w:p>
        </w:tc>
      </w:tr>
      <w:tr>
        <w:trPr>
          <w:trHeight w:val="257"/>
        </w:trPr>
        <w:tc>
          <w:tcPr>
            <w:tcW w:w="4200" w:type="dxa"/>
            <w:vAlign w:val="bottom"/>
          </w:tcPr>
          <w:p>
            <w:pPr>
              <w:spacing w:after="0"/>
              <w:rPr>
                <w:sz w:val="20"/>
                <w:szCs w:val="20"/>
                <w:color w:val="auto"/>
              </w:rPr>
            </w:pPr>
            <w:r>
              <w:rPr>
                <w:rFonts w:ascii="Arial" w:cs="Arial" w:eastAsia="Arial" w:hAnsi="Arial"/>
                <w:sz w:val="16"/>
                <w:szCs w:val="16"/>
                <w:color w:val="auto"/>
              </w:rPr>
              <w:t>75.00% to 84.99%</w:t>
            </w:r>
          </w:p>
        </w:tc>
        <w:tc>
          <w:tcPr>
            <w:tcW w:w="18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6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5</w:t>
            </w:r>
          </w:p>
        </w:tc>
        <w:tc>
          <w:tcPr>
            <w:tcW w:w="6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9</w:t>
            </w:r>
          </w:p>
        </w:tc>
        <w:tc>
          <w:tcPr>
            <w:tcW w:w="6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210"/>
        </w:trPr>
        <w:tc>
          <w:tcPr>
            <w:tcW w:w="4200" w:type="dxa"/>
            <w:vAlign w:val="bottom"/>
          </w:tcPr>
          <w:p>
            <w:pPr>
              <w:ind w:left="240"/>
              <w:spacing w:after="0"/>
              <w:rPr>
                <w:sz w:val="20"/>
                <w:szCs w:val="20"/>
                <w:color w:val="auto"/>
              </w:rPr>
            </w:pPr>
            <w:r>
              <w:rPr>
                <w:rFonts w:ascii="Arial" w:cs="Arial" w:eastAsia="Arial" w:hAnsi="Arial"/>
                <w:sz w:val="16"/>
                <w:szCs w:val="16"/>
                <w:b w:val="1"/>
                <w:bCs w:val="1"/>
                <w:color w:val="auto"/>
              </w:rPr>
              <w:t>Total CMLs</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646</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295</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00" w:type="dxa"/>
            <w:vAlign w:val="bottom"/>
          </w:tcPr>
          <w:p>
            <w:pPr>
              <w:jc w:val="right"/>
              <w:ind w:right="2"/>
              <w:spacing w:after="0"/>
              <w:rPr>
                <w:sz w:val="20"/>
                <w:szCs w:val="20"/>
                <w:color w:val="auto"/>
              </w:rPr>
            </w:pPr>
            <w:r>
              <w:rPr>
                <w:rFonts w:ascii="Arial" w:cs="Arial" w:eastAsia="Arial" w:hAnsi="Arial"/>
                <w:sz w:val="16"/>
                <w:szCs w:val="16"/>
                <w:color w:val="auto"/>
              </w:rPr>
              <w:t>194</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00" w:type="dxa"/>
            <w:vAlign w:val="bottom"/>
          </w:tcPr>
          <w:p>
            <w:pPr>
              <w:jc w:val="right"/>
              <w:ind w:right="2"/>
              <w:spacing w:after="0"/>
              <w:rPr>
                <w:sz w:val="20"/>
                <w:szCs w:val="20"/>
                <w:color w:val="auto"/>
              </w:rPr>
            </w:pPr>
            <w:r>
              <w:rPr>
                <w:rFonts w:ascii="Arial" w:cs="Arial" w:eastAsia="Arial" w:hAnsi="Arial"/>
                <w:sz w:val="16"/>
                <w:szCs w:val="16"/>
                <w:color w:val="auto"/>
              </w:rPr>
              <w:t>292</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jc w:val="right"/>
              <w:ind w:right="2"/>
              <w:spacing w:after="0"/>
              <w:rPr>
                <w:sz w:val="20"/>
                <w:szCs w:val="20"/>
                <w:color w:val="auto"/>
              </w:rPr>
            </w:pPr>
            <w:r>
              <w:rPr>
                <w:rFonts w:ascii="Arial" w:cs="Arial" w:eastAsia="Arial" w:hAnsi="Arial"/>
                <w:sz w:val="16"/>
                <w:szCs w:val="16"/>
                <w:color w:val="auto"/>
              </w:rPr>
              <w:t>1,252</w:t>
            </w:r>
          </w:p>
        </w:tc>
        <w:tc>
          <w:tcPr>
            <w:tcW w:w="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581</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3,260</w:t>
            </w:r>
          </w:p>
        </w:tc>
        <w:tc>
          <w:tcPr>
            <w:tcW w:w="0" w:type="dxa"/>
            <w:vAlign w:val="bottom"/>
          </w:tcPr>
          <w:p>
            <w:pPr>
              <w:spacing w:after="0"/>
              <w:rPr>
                <w:sz w:val="1"/>
                <w:szCs w:val="1"/>
                <w:color w:val="auto"/>
              </w:rPr>
            </w:pPr>
          </w:p>
        </w:tc>
      </w:tr>
      <w:tr>
        <w:trPr>
          <w:trHeight w:val="20"/>
        </w:trPr>
        <w:tc>
          <w:tcPr>
            <w:tcW w:w="4200" w:type="dxa"/>
            <w:vAlign w:val="bottom"/>
            <w:vMerge w:val="restart"/>
          </w:tcPr>
          <w:p>
            <w:pPr>
              <w:spacing w:after="0"/>
              <w:rPr>
                <w:sz w:val="20"/>
                <w:szCs w:val="20"/>
                <w:color w:val="auto"/>
              </w:rPr>
            </w:pPr>
            <w:r>
              <w:rPr>
                <w:rFonts w:ascii="Arial" w:cs="Arial" w:eastAsia="Arial" w:hAnsi="Arial"/>
                <w:sz w:val="16"/>
                <w:szCs w:val="16"/>
                <w:b w:val="1"/>
                <w:bCs w:val="1"/>
                <w:color w:val="auto"/>
              </w:rPr>
              <w:t>DSC Ratios</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420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4200" w:type="dxa"/>
            <w:vAlign w:val="bottom"/>
          </w:tcPr>
          <w:p>
            <w:pPr>
              <w:spacing w:after="0"/>
              <w:rPr>
                <w:sz w:val="20"/>
                <w:szCs w:val="20"/>
                <w:color w:val="auto"/>
              </w:rPr>
            </w:pPr>
            <w:r>
              <w:rPr>
                <w:rFonts w:ascii="Arial" w:cs="Arial" w:eastAsia="Arial" w:hAnsi="Arial"/>
                <w:sz w:val="16"/>
                <w:szCs w:val="16"/>
                <w:color w:val="auto"/>
              </w:rPr>
              <w:t>Greater than 1.25x</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469</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140</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00" w:type="dxa"/>
            <w:vAlign w:val="bottom"/>
          </w:tcPr>
          <w:p>
            <w:pPr>
              <w:jc w:val="right"/>
              <w:ind w:right="2"/>
              <w:spacing w:after="0"/>
              <w:rPr>
                <w:sz w:val="20"/>
                <w:szCs w:val="20"/>
                <w:color w:val="auto"/>
              </w:rPr>
            </w:pPr>
            <w:r>
              <w:rPr>
                <w:rFonts w:ascii="Arial" w:cs="Arial" w:eastAsia="Arial" w:hAnsi="Arial"/>
                <w:sz w:val="16"/>
                <w:szCs w:val="16"/>
                <w:color w:val="auto"/>
              </w:rPr>
              <w:t>182</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00" w:type="dxa"/>
            <w:vAlign w:val="bottom"/>
          </w:tcPr>
          <w:p>
            <w:pPr>
              <w:jc w:val="right"/>
              <w:ind w:right="2"/>
              <w:spacing w:after="0"/>
              <w:rPr>
                <w:sz w:val="20"/>
                <w:szCs w:val="20"/>
                <w:color w:val="auto"/>
              </w:rPr>
            </w:pPr>
            <w:r>
              <w:rPr>
                <w:rFonts w:ascii="Arial" w:cs="Arial" w:eastAsia="Arial" w:hAnsi="Arial"/>
                <w:sz w:val="16"/>
                <w:szCs w:val="16"/>
                <w:color w:val="auto"/>
              </w:rPr>
              <w:t>283</w:t>
            </w:r>
          </w:p>
        </w:tc>
        <w:tc>
          <w:tcPr>
            <w:tcW w:w="60" w:type="dxa"/>
            <w:vAlign w:val="bottom"/>
          </w:tcPr>
          <w:p>
            <w:pPr>
              <w:spacing w:after="0"/>
              <w:rPr>
                <w:sz w:val="21"/>
                <w:szCs w:val="21"/>
                <w:color w:val="auto"/>
              </w:rPr>
            </w:pPr>
          </w:p>
        </w:tc>
        <w:tc>
          <w:tcPr>
            <w:tcW w:w="20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580" w:type="dxa"/>
            <w:vAlign w:val="bottom"/>
          </w:tcPr>
          <w:p>
            <w:pPr>
              <w:jc w:val="right"/>
              <w:ind w:right="2"/>
              <w:spacing w:after="0"/>
              <w:rPr>
                <w:sz w:val="20"/>
                <w:szCs w:val="20"/>
                <w:color w:val="auto"/>
              </w:rPr>
            </w:pPr>
            <w:r>
              <w:rPr>
                <w:rFonts w:ascii="Arial" w:cs="Arial" w:eastAsia="Arial" w:hAnsi="Arial"/>
                <w:sz w:val="16"/>
                <w:szCs w:val="16"/>
                <w:color w:val="auto"/>
              </w:rPr>
              <w:t>1,240</w:t>
            </w:r>
          </w:p>
        </w:tc>
        <w:tc>
          <w:tcPr>
            <w:tcW w:w="6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545</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2,859</w:t>
            </w:r>
          </w:p>
        </w:tc>
        <w:tc>
          <w:tcPr>
            <w:tcW w:w="0" w:type="dxa"/>
            <w:vAlign w:val="bottom"/>
          </w:tcPr>
          <w:p>
            <w:pPr>
              <w:spacing w:after="0"/>
              <w:rPr>
                <w:sz w:val="1"/>
                <w:szCs w:val="1"/>
                <w:color w:val="auto"/>
              </w:rPr>
            </w:pPr>
          </w:p>
        </w:tc>
      </w:tr>
      <w:tr>
        <w:trPr>
          <w:trHeight w:val="250"/>
        </w:trPr>
        <w:tc>
          <w:tcPr>
            <w:tcW w:w="4200" w:type="dxa"/>
            <w:vAlign w:val="bottom"/>
          </w:tcPr>
          <w:p>
            <w:pPr>
              <w:spacing w:after="0"/>
              <w:rPr>
                <w:sz w:val="20"/>
                <w:szCs w:val="20"/>
                <w:color w:val="auto"/>
              </w:rPr>
            </w:pPr>
            <w:r>
              <w:rPr>
                <w:rFonts w:ascii="Arial" w:cs="Arial" w:eastAsia="Arial" w:hAnsi="Arial"/>
                <w:sz w:val="16"/>
                <w:szCs w:val="16"/>
                <w:color w:val="auto"/>
              </w:rPr>
              <w:t>1.00x - 1.25x</w:t>
            </w:r>
          </w:p>
        </w:tc>
        <w:tc>
          <w:tcPr>
            <w:tcW w:w="18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169</w:t>
            </w: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155</w:t>
            </w: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0" w:type="dxa"/>
            <w:vAlign w:val="bottom"/>
          </w:tcPr>
          <w:p>
            <w:pPr>
              <w:jc w:val="right"/>
              <w:ind w:right="2"/>
              <w:spacing w:after="0"/>
              <w:rPr>
                <w:sz w:val="20"/>
                <w:szCs w:val="20"/>
                <w:color w:val="auto"/>
              </w:rPr>
            </w:pPr>
            <w:r>
              <w:rPr>
                <w:rFonts w:ascii="Arial" w:cs="Arial" w:eastAsia="Arial" w:hAnsi="Arial"/>
                <w:sz w:val="16"/>
                <w:szCs w:val="16"/>
                <w:color w:val="auto"/>
              </w:rPr>
              <w:t>12</w:t>
            </w: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1"/>
                <w:szCs w:val="21"/>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13</w:t>
            </w: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349</w:t>
            </w:r>
          </w:p>
        </w:tc>
        <w:tc>
          <w:tcPr>
            <w:tcW w:w="0" w:type="dxa"/>
            <w:vAlign w:val="bottom"/>
          </w:tcPr>
          <w:p>
            <w:pPr>
              <w:spacing w:after="0"/>
              <w:rPr>
                <w:sz w:val="1"/>
                <w:szCs w:val="1"/>
                <w:color w:val="auto"/>
              </w:rPr>
            </w:pPr>
          </w:p>
        </w:tc>
      </w:tr>
      <w:tr>
        <w:trPr>
          <w:trHeight w:val="257"/>
        </w:trPr>
        <w:tc>
          <w:tcPr>
            <w:tcW w:w="4200" w:type="dxa"/>
            <w:vAlign w:val="bottom"/>
          </w:tcPr>
          <w:p>
            <w:pPr>
              <w:spacing w:after="0"/>
              <w:rPr>
                <w:sz w:val="20"/>
                <w:szCs w:val="20"/>
                <w:color w:val="auto"/>
              </w:rPr>
            </w:pPr>
            <w:r>
              <w:rPr>
                <w:rFonts w:ascii="Arial" w:cs="Arial" w:eastAsia="Arial" w:hAnsi="Arial"/>
                <w:sz w:val="16"/>
                <w:szCs w:val="16"/>
                <w:color w:val="auto"/>
              </w:rPr>
              <w:t>Less than 1.00x</w:t>
            </w:r>
          </w:p>
        </w:tc>
        <w:tc>
          <w:tcPr>
            <w:tcW w:w="18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w:t>
            </w:r>
          </w:p>
        </w:tc>
        <w:tc>
          <w:tcPr>
            <w:tcW w:w="6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9</w:t>
            </w:r>
          </w:p>
        </w:tc>
        <w:tc>
          <w:tcPr>
            <w:tcW w:w="6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12</w:t>
            </w:r>
          </w:p>
        </w:tc>
        <w:tc>
          <w:tcPr>
            <w:tcW w:w="6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w:t>
            </w:r>
          </w:p>
        </w:tc>
        <w:tc>
          <w:tcPr>
            <w:tcW w:w="6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w:t>
            </w:r>
          </w:p>
        </w:tc>
        <w:tc>
          <w:tcPr>
            <w:tcW w:w="0" w:type="dxa"/>
            <w:vAlign w:val="bottom"/>
          </w:tcPr>
          <w:p>
            <w:pPr>
              <w:spacing w:after="0"/>
              <w:rPr>
                <w:sz w:val="1"/>
                <w:szCs w:val="1"/>
                <w:color w:val="auto"/>
              </w:rPr>
            </w:pPr>
          </w:p>
        </w:tc>
      </w:tr>
      <w:tr>
        <w:trPr>
          <w:trHeight w:val="210"/>
        </w:trPr>
        <w:tc>
          <w:tcPr>
            <w:tcW w:w="4200" w:type="dxa"/>
            <w:vAlign w:val="bottom"/>
          </w:tcPr>
          <w:p>
            <w:pPr>
              <w:ind w:left="240"/>
              <w:spacing w:after="0"/>
              <w:rPr>
                <w:sz w:val="20"/>
                <w:szCs w:val="20"/>
                <w:color w:val="auto"/>
              </w:rPr>
            </w:pPr>
            <w:r>
              <w:rPr>
                <w:rFonts w:ascii="Arial" w:cs="Arial" w:eastAsia="Arial" w:hAnsi="Arial"/>
                <w:sz w:val="16"/>
                <w:szCs w:val="16"/>
                <w:b w:val="1"/>
                <w:bCs w:val="1"/>
                <w:color w:val="auto"/>
              </w:rPr>
              <w:t>Total CMLs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646</w:t>
            </w:r>
          </w:p>
        </w:tc>
        <w:tc>
          <w:tcPr>
            <w:tcW w:w="6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295</w:t>
            </w:r>
          </w:p>
        </w:tc>
        <w:tc>
          <w:tcPr>
            <w:tcW w:w="6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194</w:t>
            </w:r>
          </w:p>
        </w:tc>
        <w:tc>
          <w:tcPr>
            <w:tcW w:w="6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292</w:t>
            </w:r>
          </w:p>
        </w:tc>
        <w:tc>
          <w:tcPr>
            <w:tcW w:w="60" w:type="dxa"/>
            <w:vAlign w:val="bottom"/>
          </w:tcPr>
          <w:p>
            <w:pPr>
              <w:spacing w:after="0"/>
              <w:rPr>
                <w:sz w:val="18"/>
                <w:szCs w:val="18"/>
                <w:color w:val="auto"/>
              </w:rPr>
            </w:pPr>
          </w:p>
        </w:tc>
        <w:tc>
          <w:tcPr>
            <w:tcW w:w="2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1,252</w:t>
            </w:r>
          </w:p>
        </w:tc>
        <w:tc>
          <w:tcPr>
            <w:tcW w:w="6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581</w:t>
            </w:r>
          </w:p>
        </w:tc>
        <w:tc>
          <w:tcPr>
            <w:tcW w:w="6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3,260</w:t>
            </w: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Borders>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5"/>
        </w:trPr>
        <w:tc>
          <w:tcPr>
            <w:tcW w:w="42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6"/>
          </w:tcPr>
          <w:p>
            <w:pPr>
              <w:jc w:val="center"/>
              <w:ind w:left="322"/>
              <w:spacing w:after="0"/>
              <w:rPr>
                <w:sz w:val="20"/>
                <w:szCs w:val="20"/>
                <w:color w:val="auto"/>
              </w:rPr>
            </w:pPr>
            <w:r>
              <w:rPr>
                <w:rFonts w:ascii="Arial" w:cs="Arial" w:eastAsia="Arial" w:hAnsi="Arial"/>
                <w:sz w:val="16"/>
                <w:szCs w:val="16"/>
                <w:b w:val="1"/>
                <w:bCs w:val="1"/>
                <w:color w:val="auto"/>
                <w:w w:val="87"/>
              </w:rPr>
              <w:t>December 31, 2024</w:t>
            </w:r>
          </w:p>
        </w:tc>
        <w:tc>
          <w:tcPr>
            <w:tcW w:w="5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2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2520" w:type="dxa"/>
            <w:vAlign w:val="bottom"/>
            <w:tcBorders>
              <w:bottom w:val="single" w:sz="8" w:color="auto"/>
            </w:tcBorders>
            <w:gridSpan w:val="9"/>
          </w:tcPr>
          <w:p>
            <w:pPr>
              <w:jc w:val="center"/>
              <w:ind w:right="60"/>
              <w:spacing w:after="0"/>
              <w:rPr>
                <w:sz w:val="20"/>
                <w:szCs w:val="20"/>
                <w:color w:val="auto"/>
              </w:rPr>
            </w:pPr>
            <w:r>
              <w:rPr>
                <w:rFonts w:ascii="Arial" w:cs="Arial" w:eastAsia="Arial" w:hAnsi="Arial"/>
                <w:sz w:val="16"/>
                <w:szCs w:val="16"/>
                <w:b w:val="1"/>
                <w:bCs w:val="1"/>
                <w:color w:val="auto"/>
                <w:w w:val="91"/>
              </w:rPr>
              <w:t>Amortized Cost by Origination Year</w:t>
            </w:r>
          </w:p>
        </w:tc>
        <w:tc>
          <w:tcPr>
            <w:tcW w:w="1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jc w:val="right"/>
              <w:ind w:right="162"/>
              <w:spacing w:after="0"/>
              <w:rPr>
                <w:sz w:val="20"/>
                <w:szCs w:val="20"/>
                <w:color w:val="auto"/>
              </w:rPr>
            </w:pPr>
            <w:r>
              <w:rPr>
                <w:rFonts w:ascii="Arial" w:cs="Arial" w:eastAsia="Arial" w:hAnsi="Arial"/>
                <w:sz w:val="16"/>
                <w:szCs w:val="16"/>
                <w:b w:val="1"/>
                <w:bCs w:val="1"/>
                <w:color w:val="auto"/>
                <w:w w:val="95"/>
              </w:rPr>
              <w:t>2024</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jc w:val="right"/>
              <w:ind w:right="162"/>
              <w:spacing w:after="0"/>
              <w:rPr>
                <w:sz w:val="20"/>
                <w:szCs w:val="20"/>
                <w:color w:val="auto"/>
              </w:rPr>
            </w:pPr>
            <w:r>
              <w:rPr>
                <w:rFonts w:ascii="Arial" w:cs="Arial" w:eastAsia="Arial" w:hAnsi="Arial"/>
                <w:sz w:val="16"/>
                <w:szCs w:val="16"/>
                <w:b w:val="1"/>
                <w:bCs w:val="1"/>
                <w:color w:val="auto"/>
                <w:w w:val="95"/>
              </w:rPr>
              <w:t>2023</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jc w:val="right"/>
              <w:ind w:right="162"/>
              <w:spacing w:after="0"/>
              <w:rPr>
                <w:sz w:val="20"/>
                <w:szCs w:val="20"/>
                <w:color w:val="auto"/>
              </w:rPr>
            </w:pPr>
            <w:r>
              <w:rPr>
                <w:rFonts w:ascii="Arial" w:cs="Arial" w:eastAsia="Arial" w:hAnsi="Arial"/>
                <w:sz w:val="16"/>
                <w:szCs w:val="16"/>
                <w:b w:val="1"/>
                <w:bCs w:val="1"/>
                <w:color w:val="auto"/>
                <w:w w:val="95"/>
              </w:rPr>
              <w:t>2022</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jc w:val="center"/>
              <w:ind w:right="122"/>
              <w:spacing w:after="0"/>
              <w:rPr>
                <w:sz w:val="20"/>
                <w:szCs w:val="20"/>
                <w:color w:val="auto"/>
              </w:rPr>
            </w:pPr>
            <w:r>
              <w:rPr>
                <w:rFonts w:ascii="Arial" w:cs="Arial" w:eastAsia="Arial" w:hAnsi="Arial"/>
                <w:sz w:val="16"/>
                <w:szCs w:val="16"/>
                <w:b w:val="1"/>
                <w:bCs w:val="1"/>
                <w:color w:val="auto"/>
                <w:w w:val="89"/>
              </w:rPr>
              <w:t>2021</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Pr>
          <w:p>
            <w:pPr>
              <w:jc w:val="right"/>
              <w:ind w:right="162"/>
              <w:spacing w:after="0"/>
              <w:rPr>
                <w:sz w:val="20"/>
                <w:szCs w:val="20"/>
                <w:color w:val="auto"/>
              </w:rPr>
            </w:pPr>
            <w:r>
              <w:rPr>
                <w:rFonts w:ascii="Arial" w:cs="Arial" w:eastAsia="Arial" w:hAnsi="Arial"/>
                <w:sz w:val="16"/>
                <w:szCs w:val="16"/>
                <w:b w:val="1"/>
                <w:bCs w:val="1"/>
                <w:color w:val="auto"/>
                <w:w w:val="89"/>
              </w:rPr>
              <w:t>2020</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jc w:val="right"/>
              <w:ind w:right="122"/>
              <w:spacing w:after="0"/>
              <w:rPr>
                <w:sz w:val="20"/>
                <w:szCs w:val="20"/>
                <w:color w:val="auto"/>
              </w:rPr>
            </w:pPr>
            <w:r>
              <w:rPr>
                <w:rFonts w:ascii="Arial" w:cs="Arial" w:eastAsia="Arial" w:hAnsi="Arial"/>
                <w:sz w:val="16"/>
                <w:szCs w:val="16"/>
                <w:b w:val="1"/>
                <w:bCs w:val="1"/>
                <w:color w:val="auto"/>
              </w:rPr>
              <w:t>Prior</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jc w:val="right"/>
              <w:ind w:right="122"/>
              <w:spacing w:after="0"/>
              <w:rPr>
                <w:sz w:val="20"/>
                <w:szCs w:val="20"/>
                <w:color w:val="auto"/>
              </w:rPr>
            </w:pPr>
            <w:r>
              <w:rPr>
                <w:rFonts w:ascii="Arial" w:cs="Arial" w:eastAsia="Arial" w:hAnsi="Arial"/>
                <w:sz w:val="16"/>
                <w:szCs w:val="16"/>
                <w:b w:val="1"/>
                <w:bCs w:val="1"/>
                <w:color w:val="auto"/>
                <w:w w:val="99"/>
              </w:rPr>
              <w:t>Total</w:t>
            </w:r>
          </w:p>
        </w:tc>
        <w:tc>
          <w:tcPr>
            <w:tcW w:w="0" w:type="dxa"/>
            <w:vAlign w:val="bottom"/>
          </w:tcPr>
          <w:p>
            <w:pPr>
              <w:spacing w:after="0"/>
              <w:rPr>
                <w:sz w:val="1"/>
                <w:szCs w:val="1"/>
                <w:color w:val="auto"/>
              </w:rPr>
            </w:pPr>
          </w:p>
        </w:tc>
      </w:tr>
      <w:tr>
        <w:trPr>
          <w:trHeight w:val="250"/>
        </w:trPr>
        <w:tc>
          <w:tcPr>
            <w:tcW w:w="4200" w:type="dxa"/>
            <w:vAlign w:val="bottom"/>
          </w:tcPr>
          <w:p>
            <w:pPr>
              <w:spacing w:after="0"/>
              <w:rPr>
                <w:sz w:val="20"/>
                <w:szCs w:val="20"/>
                <w:color w:val="auto"/>
              </w:rPr>
            </w:pPr>
            <w:r>
              <w:rPr>
                <w:rFonts w:ascii="Arial" w:cs="Arial" w:eastAsia="Arial" w:hAnsi="Arial"/>
                <w:sz w:val="16"/>
                <w:szCs w:val="16"/>
                <w:b w:val="1"/>
                <w:bCs w:val="1"/>
                <w:color w:val="auto"/>
              </w:rPr>
              <w:t>LTV Ratios:</w:t>
            </w:r>
          </w:p>
        </w:tc>
        <w:tc>
          <w:tcPr>
            <w:tcW w:w="1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00" w:type="dxa"/>
            <w:vAlign w:val="bottom"/>
            <w:gridSpan w:val="4"/>
          </w:tcPr>
          <w:p>
            <w:pPr>
              <w:jc w:val="center"/>
              <w:spacing w:after="0"/>
              <w:rPr>
                <w:sz w:val="20"/>
                <w:szCs w:val="20"/>
                <w:color w:val="auto"/>
              </w:rPr>
            </w:pPr>
            <w:r>
              <w:rPr>
                <w:rFonts w:ascii="Arial" w:cs="Arial" w:eastAsia="Arial" w:hAnsi="Arial"/>
                <w:sz w:val="16"/>
                <w:szCs w:val="16"/>
                <w:b w:val="1"/>
                <w:bCs w:val="1"/>
                <w:color w:val="auto"/>
                <w:w w:val="91"/>
              </w:rPr>
              <w:t>(In millions)</w:t>
            </w:r>
          </w:p>
        </w:tc>
        <w:tc>
          <w:tcPr>
            <w:tcW w:w="2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200" w:type="dxa"/>
            <w:vAlign w:val="bottom"/>
          </w:tcPr>
          <w:p>
            <w:pPr>
              <w:spacing w:after="0"/>
              <w:rPr>
                <w:sz w:val="20"/>
                <w:szCs w:val="20"/>
                <w:color w:val="auto"/>
              </w:rPr>
            </w:pPr>
            <w:r>
              <w:rPr>
                <w:rFonts w:ascii="Arial" w:cs="Arial" w:eastAsia="Arial" w:hAnsi="Arial"/>
                <w:sz w:val="16"/>
                <w:szCs w:val="16"/>
                <w:color w:val="auto"/>
              </w:rPr>
              <w:t>Less than 50.00%</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66</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99</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00" w:type="dxa"/>
            <w:vAlign w:val="bottom"/>
          </w:tcPr>
          <w:p>
            <w:pPr>
              <w:jc w:val="right"/>
              <w:ind w:right="2"/>
              <w:spacing w:after="0"/>
              <w:rPr>
                <w:sz w:val="20"/>
                <w:szCs w:val="20"/>
                <w:color w:val="auto"/>
              </w:rPr>
            </w:pPr>
            <w:r>
              <w:rPr>
                <w:rFonts w:ascii="Arial" w:cs="Arial" w:eastAsia="Arial" w:hAnsi="Arial"/>
                <w:sz w:val="16"/>
                <w:szCs w:val="16"/>
                <w:color w:val="auto"/>
              </w:rPr>
              <w:t>19</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00" w:type="dxa"/>
            <w:vAlign w:val="bottom"/>
          </w:tcPr>
          <w:p>
            <w:pPr>
              <w:jc w:val="right"/>
              <w:ind w:right="2"/>
              <w:spacing w:after="0"/>
              <w:rPr>
                <w:sz w:val="20"/>
                <w:szCs w:val="20"/>
                <w:color w:val="auto"/>
              </w:rPr>
            </w:pPr>
            <w:r>
              <w:rPr>
                <w:rFonts w:ascii="Arial" w:cs="Arial" w:eastAsia="Arial" w:hAnsi="Arial"/>
                <w:sz w:val="16"/>
                <w:szCs w:val="16"/>
                <w:color w:val="auto"/>
              </w:rPr>
              <w:t>74</w:t>
            </w:r>
          </w:p>
        </w:tc>
        <w:tc>
          <w:tcPr>
            <w:tcW w:w="60" w:type="dxa"/>
            <w:vAlign w:val="bottom"/>
          </w:tcPr>
          <w:p>
            <w:pPr>
              <w:spacing w:after="0"/>
              <w:rPr>
                <w:sz w:val="21"/>
                <w:szCs w:val="21"/>
                <w:color w:val="auto"/>
              </w:rPr>
            </w:pPr>
          </w:p>
        </w:tc>
        <w:tc>
          <w:tcPr>
            <w:tcW w:w="20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580" w:type="dxa"/>
            <w:vAlign w:val="bottom"/>
          </w:tcPr>
          <w:p>
            <w:pPr>
              <w:jc w:val="right"/>
              <w:ind w:right="2"/>
              <w:spacing w:after="0"/>
              <w:rPr>
                <w:sz w:val="20"/>
                <w:szCs w:val="20"/>
                <w:color w:val="auto"/>
              </w:rPr>
            </w:pPr>
            <w:r>
              <w:rPr>
                <w:rFonts w:ascii="Arial" w:cs="Arial" w:eastAsia="Arial" w:hAnsi="Arial"/>
                <w:sz w:val="16"/>
                <w:szCs w:val="16"/>
                <w:color w:val="auto"/>
              </w:rPr>
              <w:t>189</w:t>
            </w:r>
          </w:p>
        </w:tc>
        <w:tc>
          <w:tcPr>
            <w:tcW w:w="6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77</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524</w:t>
            </w:r>
          </w:p>
        </w:tc>
        <w:tc>
          <w:tcPr>
            <w:tcW w:w="0" w:type="dxa"/>
            <w:vAlign w:val="bottom"/>
          </w:tcPr>
          <w:p>
            <w:pPr>
              <w:spacing w:after="0"/>
              <w:rPr>
                <w:sz w:val="1"/>
                <w:szCs w:val="1"/>
                <w:color w:val="auto"/>
              </w:rPr>
            </w:pPr>
          </w:p>
        </w:tc>
      </w:tr>
      <w:tr>
        <w:trPr>
          <w:trHeight w:val="250"/>
        </w:trPr>
        <w:tc>
          <w:tcPr>
            <w:tcW w:w="4200" w:type="dxa"/>
            <w:vAlign w:val="bottom"/>
          </w:tcPr>
          <w:p>
            <w:pPr>
              <w:spacing w:after="0"/>
              <w:rPr>
                <w:sz w:val="20"/>
                <w:szCs w:val="20"/>
                <w:color w:val="auto"/>
              </w:rPr>
            </w:pPr>
            <w:r>
              <w:rPr>
                <w:rFonts w:ascii="Arial" w:cs="Arial" w:eastAsia="Arial" w:hAnsi="Arial"/>
                <w:sz w:val="16"/>
                <w:szCs w:val="16"/>
                <w:color w:val="auto"/>
              </w:rPr>
              <w:t>50.00% to 59.99%</w:t>
            </w:r>
          </w:p>
        </w:tc>
        <w:tc>
          <w:tcPr>
            <w:tcW w:w="18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112</w:t>
            </w: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53</w:t>
            </w: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0" w:type="dxa"/>
            <w:vAlign w:val="bottom"/>
          </w:tcPr>
          <w:p>
            <w:pPr>
              <w:jc w:val="right"/>
              <w:ind w:right="2"/>
              <w:spacing w:after="0"/>
              <w:rPr>
                <w:sz w:val="20"/>
                <w:szCs w:val="20"/>
                <w:color w:val="auto"/>
              </w:rPr>
            </w:pPr>
            <w:r>
              <w:rPr>
                <w:rFonts w:ascii="Arial" w:cs="Arial" w:eastAsia="Arial" w:hAnsi="Arial"/>
                <w:sz w:val="16"/>
                <w:szCs w:val="16"/>
                <w:color w:val="auto"/>
              </w:rPr>
              <w:t>149</w:t>
            </w: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0" w:type="dxa"/>
            <w:vAlign w:val="bottom"/>
          </w:tcPr>
          <w:p>
            <w:pPr>
              <w:jc w:val="right"/>
              <w:ind w:right="2"/>
              <w:spacing w:after="0"/>
              <w:rPr>
                <w:sz w:val="20"/>
                <w:szCs w:val="20"/>
                <w:color w:val="auto"/>
              </w:rPr>
            </w:pPr>
            <w:r>
              <w:rPr>
                <w:rFonts w:ascii="Arial" w:cs="Arial" w:eastAsia="Arial" w:hAnsi="Arial"/>
                <w:sz w:val="16"/>
                <w:szCs w:val="16"/>
                <w:color w:val="auto"/>
              </w:rPr>
              <w:t>321</w:t>
            </w: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80" w:type="dxa"/>
            <w:vAlign w:val="bottom"/>
          </w:tcPr>
          <w:p>
            <w:pPr>
              <w:jc w:val="right"/>
              <w:ind w:right="2"/>
              <w:spacing w:after="0"/>
              <w:rPr>
                <w:sz w:val="20"/>
                <w:szCs w:val="20"/>
                <w:color w:val="auto"/>
              </w:rPr>
            </w:pPr>
            <w:r>
              <w:rPr>
                <w:rFonts w:ascii="Arial" w:cs="Arial" w:eastAsia="Arial" w:hAnsi="Arial"/>
                <w:sz w:val="16"/>
                <w:szCs w:val="16"/>
                <w:color w:val="auto"/>
              </w:rPr>
              <w:t>159</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133</w:t>
            </w: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927</w:t>
            </w:r>
          </w:p>
        </w:tc>
        <w:tc>
          <w:tcPr>
            <w:tcW w:w="0" w:type="dxa"/>
            <w:vAlign w:val="bottom"/>
          </w:tcPr>
          <w:p>
            <w:pPr>
              <w:spacing w:after="0"/>
              <w:rPr>
                <w:sz w:val="1"/>
                <w:szCs w:val="1"/>
                <w:color w:val="auto"/>
              </w:rPr>
            </w:pPr>
          </w:p>
        </w:tc>
      </w:tr>
      <w:tr>
        <w:trPr>
          <w:trHeight w:val="250"/>
        </w:trPr>
        <w:tc>
          <w:tcPr>
            <w:tcW w:w="4200" w:type="dxa"/>
            <w:vAlign w:val="bottom"/>
          </w:tcPr>
          <w:p>
            <w:pPr>
              <w:spacing w:after="0"/>
              <w:rPr>
                <w:sz w:val="20"/>
                <w:szCs w:val="20"/>
                <w:color w:val="auto"/>
              </w:rPr>
            </w:pPr>
            <w:r>
              <w:rPr>
                <w:rFonts w:ascii="Arial" w:cs="Arial" w:eastAsia="Arial" w:hAnsi="Arial"/>
                <w:sz w:val="16"/>
                <w:szCs w:val="16"/>
                <w:color w:val="auto"/>
              </w:rPr>
              <w:t>60.00% to 74.99%</w:t>
            </w:r>
          </w:p>
        </w:tc>
        <w:tc>
          <w:tcPr>
            <w:tcW w:w="18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91</w:t>
            </w: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71</w:t>
            </w: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0" w:type="dxa"/>
            <w:vAlign w:val="bottom"/>
          </w:tcPr>
          <w:p>
            <w:pPr>
              <w:jc w:val="right"/>
              <w:ind w:right="2"/>
              <w:spacing w:after="0"/>
              <w:rPr>
                <w:sz w:val="20"/>
                <w:szCs w:val="20"/>
                <w:color w:val="auto"/>
              </w:rPr>
            </w:pPr>
            <w:r>
              <w:rPr>
                <w:rFonts w:ascii="Arial" w:cs="Arial" w:eastAsia="Arial" w:hAnsi="Arial"/>
                <w:sz w:val="16"/>
                <w:szCs w:val="16"/>
                <w:color w:val="auto"/>
              </w:rPr>
              <w:t>113</w:t>
            </w: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0" w:type="dxa"/>
            <w:vAlign w:val="bottom"/>
          </w:tcPr>
          <w:p>
            <w:pPr>
              <w:jc w:val="right"/>
              <w:ind w:right="2"/>
              <w:spacing w:after="0"/>
              <w:rPr>
                <w:sz w:val="20"/>
                <w:szCs w:val="20"/>
                <w:color w:val="auto"/>
              </w:rPr>
            </w:pPr>
            <w:r>
              <w:rPr>
                <w:rFonts w:ascii="Arial" w:cs="Arial" w:eastAsia="Arial" w:hAnsi="Arial"/>
                <w:sz w:val="16"/>
                <w:szCs w:val="16"/>
                <w:color w:val="auto"/>
              </w:rPr>
              <w:t>858</w:t>
            </w: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80" w:type="dxa"/>
            <w:vAlign w:val="bottom"/>
          </w:tcPr>
          <w:p>
            <w:pPr>
              <w:jc w:val="right"/>
              <w:ind w:right="2"/>
              <w:spacing w:after="0"/>
              <w:rPr>
                <w:sz w:val="20"/>
                <w:szCs w:val="20"/>
                <w:color w:val="auto"/>
              </w:rPr>
            </w:pPr>
            <w:r>
              <w:rPr>
                <w:rFonts w:ascii="Arial" w:cs="Arial" w:eastAsia="Arial" w:hAnsi="Arial"/>
                <w:sz w:val="16"/>
                <w:szCs w:val="16"/>
                <w:color w:val="auto"/>
              </w:rPr>
              <w:t>121</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1,254</w:t>
            </w:r>
          </w:p>
        </w:tc>
        <w:tc>
          <w:tcPr>
            <w:tcW w:w="0" w:type="dxa"/>
            <w:vAlign w:val="bottom"/>
          </w:tcPr>
          <w:p>
            <w:pPr>
              <w:spacing w:after="0"/>
              <w:rPr>
                <w:sz w:val="1"/>
                <w:szCs w:val="1"/>
                <w:color w:val="auto"/>
              </w:rPr>
            </w:pPr>
          </w:p>
        </w:tc>
      </w:tr>
      <w:tr>
        <w:trPr>
          <w:trHeight w:val="257"/>
        </w:trPr>
        <w:tc>
          <w:tcPr>
            <w:tcW w:w="4200" w:type="dxa"/>
            <w:vAlign w:val="bottom"/>
          </w:tcPr>
          <w:p>
            <w:pPr>
              <w:spacing w:after="0"/>
              <w:rPr>
                <w:sz w:val="20"/>
                <w:szCs w:val="20"/>
                <w:color w:val="auto"/>
              </w:rPr>
            </w:pPr>
            <w:r>
              <w:rPr>
                <w:rFonts w:ascii="Arial" w:cs="Arial" w:eastAsia="Arial" w:hAnsi="Arial"/>
                <w:sz w:val="16"/>
                <w:szCs w:val="16"/>
                <w:color w:val="auto"/>
              </w:rPr>
              <w:t>75.00% to 84.99%</w:t>
            </w:r>
          </w:p>
        </w:tc>
        <w:tc>
          <w:tcPr>
            <w:tcW w:w="18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6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6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9</w:t>
            </w:r>
          </w:p>
        </w:tc>
        <w:tc>
          <w:tcPr>
            <w:tcW w:w="6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210"/>
        </w:trPr>
        <w:tc>
          <w:tcPr>
            <w:tcW w:w="4200" w:type="dxa"/>
            <w:vAlign w:val="bottom"/>
          </w:tcPr>
          <w:p>
            <w:pPr>
              <w:ind w:left="240"/>
              <w:spacing w:after="0"/>
              <w:rPr>
                <w:sz w:val="20"/>
                <w:szCs w:val="20"/>
                <w:color w:val="auto"/>
              </w:rPr>
            </w:pPr>
            <w:r>
              <w:rPr>
                <w:rFonts w:ascii="Arial" w:cs="Arial" w:eastAsia="Arial" w:hAnsi="Arial"/>
                <w:sz w:val="16"/>
                <w:szCs w:val="16"/>
                <w:b w:val="1"/>
                <w:bCs w:val="1"/>
                <w:color w:val="auto"/>
              </w:rPr>
              <w:t>Total CMLs</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273</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227</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00" w:type="dxa"/>
            <w:vAlign w:val="bottom"/>
          </w:tcPr>
          <w:p>
            <w:pPr>
              <w:jc w:val="right"/>
              <w:ind w:right="2"/>
              <w:spacing w:after="0"/>
              <w:rPr>
                <w:sz w:val="20"/>
                <w:szCs w:val="20"/>
                <w:color w:val="auto"/>
              </w:rPr>
            </w:pPr>
            <w:r>
              <w:rPr>
                <w:rFonts w:ascii="Arial" w:cs="Arial" w:eastAsia="Arial" w:hAnsi="Arial"/>
                <w:sz w:val="16"/>
                <w:szCs w:val="16"/>
                <w:color w:val="auto"/>
              </w:rPr>
              <w:t>290</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00" w:type="dxa"/>
            <w:vAlign w:val="bottom"/>
          </w:tcPr>
          <w:p>
            <w:pPr>
              <w:jc w:val="right"/>
              <w:ind w:right="2"/>
              <w:spacing w:after="0"/>
              <w:rPr>
                <w:sz w:val="20"/>
                <w:szCs w:val="20"/>
                <w:color w:val="auto"/>
              </w:rPr>
            </w:pPr>
            <w:r>
              <w:rPr>
                <w:rFonts w:ascii="Arial" w:cs="Arial" w:eastAsia="Arial" w:hAnsi="Arial"/>
                <w:sz w:val="16"/>
                <w:szCs w:val="16"/>
                <w:color w:val="auto"/>
              </w:rPr>
              <w:t>1,253</w:t>
            </w:r>
          </w:p>
        </w:tc>
        <w:tc>
          <w:tcPr>
            <w:tcW w:w="60" w:type="dxa"/>
            <w:vAlign w:val="bottom"/>
          </w:tcPr>
          <w:p>
            <w:pPr>
              <w:spacing w:after="0"/>
              <w:rPr>
                <w:sz w:val="18"/>
                <w:szCs w:val="18"/>
                <w:color w:val="auto"/>
              </w:rPr>
            </w:pPr>
          </w:p>
        </w:tc>
        <w:tc>
          <w:tcPr>
            <w:tcW w:w="20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580" w:type="dxa"/>
            <w:vAlign w:val="bottom"/>
          </w:tcPr>
          <w:p>
            <w:pPr>
              <w:jc w:val="right"/>
              <w:ind w:right="2"/>
              <w:spacing w:after="0"/>
              <w:rPr>
                <w:sz w:val="20"/>
                <w:szCs w:val="20"/>
                <w:color w:val="auto"/>
              </w:rPr>
            </w:pPr>
            <w:r>
              <w:rPr>
                <w:rFonts w:ascii="Arial" w:cs="Arial" w:eastAsia="Arial" w:hAnsi="Arial"/>
                <w:sz w:val="16"/>
                <w:szCs w:val="16"/>
                <w:color w:val="auto"/>
              </w:rPr>
              <w:t>469</w:t>
            </w:r>
          </w:p>
        </w:tc>
        <w:tc>
          <w:tcPr>
            <w:tcW w:w="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210</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2,722</w:t>
            </w:r>
          </w:p>
        </w:tc>
        <w:tc>
          <w:tcPr>
            <w:tcW w:w="0" w:type="dxa"/>
            <w:vAlign w:val="bottom"/>
          </w:tcPr>
          <w:p>
            <w:pPr>
              <w:spacing w:after="0"/>
              <w:rPr>
                <w:sz w:val="1"/>
                <w:szCs w:val="1"/>
                <w:color w:val="auto"/>
              </w:rPr>
            </w:pPr>
          </w:p>
        </w:tc>
      </w:tr>
      <w:tr>
        <w:trPr>
          <w:trHeight w:val="20"/>
        </w:trPr>
        <w:tc>
          <w:tcPr>
            <w:tcW w:w="4200" w:type="dxa"/>
            <w:vAlign w:val="bottom"/>
            <w:vMerge w:val="restart"/>
          </w:tcPr>
          <w:p>
            <w:pPr>
              <w:spacing w:after="0"/>
              <w:rPr>
                <w:sz w:val="20"/>
                <w:szCs w:val="20"/>
                <w:color w:val="auto"/>
              </w:rPr>
            </w:pPr>
            <w:r>
              <w:rPr>
                <w:rFonts w:ascii="Arial" w:cs="Arial" w:eastAsia="Arial" w:hAnsi="Arial"/>
                <w:sz w:val="16"/>
                <w:szCs w:val="16"/>
                <w:b w:val="1"/>
                <w:bCs w:val="1"/>
                <w:color w:val="auto"/>
              </w:rPr>
              <w:t>DSC Ratios</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420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4200" w:type="dxa"/>
            <w:vAlign w:val="bottom"/>
          </w:tcPr>
          <w:p>
            <w:pPr>
              <w:spacing w:after="0"/>
              <w:rPr>
                <w:sz w:val="20"/>
                <w:szCs w:val="20"/>
                <w:color w:val="auto"/>
              </w:rPr>
            </w:pPr>
            <w:r>
              <w:rPr>
                <w:rFonts w:ascii="Arial" w:cs="Arial" w:eastAsia="Arial" w:hAnsi="Arial"/>
                <w:sz w:val="16"/>
                <w:szCs w:val="16"/>
                <w:color w:val="auto"/>
              </w:rPr>
              <w:t>Greater than 1.25x</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140</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215</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00" w:type="dxa"/>
            <w:vAlign w:val="bottom"/>
          </w:tcPr>
          <w:p>
            <w:pPr>
              <w:jc w:val="right"/>
              <w:ind w:right="2"/>
              <w:spacing w:after="0"/>
              <w:rPr>
                <w:sz w:val="20"/>
                <w:szCs w:val="20"/>
                <w:color w:val="auto"/>
              </w:rPr>
            </w:pPr>
            <w:r>
              <w:rPr>
                <w:rFonts w:ascii="Arial" w:cs="Arial" w:eastAsia="Arial" w:hAnsi="Arial"/>
                <w:sz w:val="16"/>
                <w:szCs w:val="16"/>
                <w:color w:val="auto"/>
              </w:rPr>
              <w:t>278</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00" w:type="dxa"/>
            <w:vAlign w:val="bottom"/>
          </w:tcPr>
          <w:p>
            <w:pPr>
              <w:jc w:val="right"/>
              <w:ind w:right="2"/>
              <w:spacing w:after="0"/>
              <w:rPr>
                <w:sz w:val="20"/>
                <w:szCs w:val="20"/>
                <w:color w:val="auto"/>
              </w:rPr>
            </w:pPr>
            <w:r>
              <w:rPr>
                <w:rFonts w:ascii="Arial" w:cs="Arial" w:eastAsia="Arial" w:hAnsi="Arial"/>
                <w:sz w:val="16"/>
                <w:szCs w:val="16"/>
                <w:color w:val="auto"/>
              </w:rPr>
              <w:t>1,241</w:t>
            </w:r>
          </w:p>
        </w:tc>
        <w:tc>
          <w:tcPr>
            <w:tcW w:w="60" w:type="dxa"/>
            <w:vAlign w:val="bottom"/>
          </w:tcPr>
          <w:p>
            <w:pPr>
              <w:spacing w:after="0"/>
              <w:rPr>
                <w:sz w:val="21"/>
                <w:szCs w:val="21"/>
                <w:color w:val="auto"/>
              </w:rPr>
            </w:pPr>
          </w:p>
        </w:tc>
        <w:tc>
          <w:tcPr>
            <w:tcW w:w="20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580" w:type="dxa"/>
            <w:vAlign w:val="bottom"/>
          </w:tcPr>
          <w:p>
            <w:pPr>
              <w:jc w:val="right"/>
              <w:ind w:right="2"/>
              <w:spacing w:after="0"/>
              <w:rPr>
                <w:sz w:val="20"/>
                <w:szCs w:val="20"/>
                <w:color w:val="auto"/>
              </w:rPr>
            </w:pPr>
            <w:r>
              <w:rPr>
                <w:rFonts w:ascii="Arial" w:cs="Arial" w:eastAsia="Arial" w:hAnsi="Arial"/>
                <w:sz w:val="16"/>
                <w:szCs w:val="16"/>
                <w:color w:val="auto"/>
              </w:rPr>
              <w:t>469</w:t>
            </w:r>
          </w:p>
        </w:tc>
        <w:tc>
          <w:tcPr>
            <w:tcW w:w="6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192</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2,535</w:t>
            </w:r>
          </w:p>
        </w:tc>
        <w:tc>
          <w:tcPr>
            <w:tcW w:w="0" w:type="dxa"/>
            <w:vAlign w:val="bottom"/>
          </w:tcPr>
          <w:p>
            <w:pPr>
              <w:spacing w:after="0"/>
              <w:rPr>
                <w:sz w:val="1"/>
                <w:szCs w:val="1"/>
                <w:color w:val="auto"/>
              </w:rPr>
            </w:pPr>
          </w:p>
        </w:tc>
      </w:tr>
      <w:tr>
        <w:trPr>
          <w:trHeight w:val="250"/>
        </w:trPr>
        <w:tc>
          <w:tcPr>
            <w:tcW w:w="4200" w:type="dxa"/>
            <w:vAlign w:val="bottom"/>
          </w:tcPr>
          <w:p>
            <w:pPr>
              <w:spacing w:after="0"/>
              <w:rPr>
                <w:sz w:val="20"/>
                <w:szCs w:val="20"/>
                <w:color w:val="auto"/>
              </w:rPr>
            </w:pPr>
            <w:r>
              <w:rPr>
                <w:rFonts w:ascii="Arial" w:cs="Arial" w:eastAsia="Arial" w:hAnsi="Arial"/>
                <w:sz w:val="16"/>
                <w:szCs w:val="16"/>
                <w:color w:val="auto"/>
              </w:rPr>
              <w:t>1.00x - 1.25x</w:t>
            </w:r>
          </w:p>
        </w:tc>
        <w:tc>
          <w:tcPr>
            <w:tcW w:w="18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133</w:t>
            </w: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12</w:t>
            </w: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0" w:type="dxa"/>
            <w:vAlign w:val="bottom"/>
          </w:tcPr>
          <w:p>
            <w:pPr>
              <w:jc w:val="right"/>
              <w:ind w:right="2"/>
              <w:spacing w:after="0"/>
              <w:rPr>
                <w:sz w:val="20"/>
                <w:szCs w:val="20"/>
                <w:color w:val="auto"/>
              </w:rPr>
            </w:pPr>
            <w:r>
              <w:rPr>
                <w:rFonts w:ascii="Arial" w:cs="Arial" w:eastAsia="Arial" w:hAnsi="Arial"/>
                <w:sz w:val="16"/>
                <w:szCs w:val="16"/>
                <w:color w:val="auto"/>
              </w:rPr>
              <w:t>3</w:t>
            </w: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1"/>
                <w:szCs w:val="21"/>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18</w:t>
            </w: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166</w:t>
            </w:r>
          </w:p>
        </w:tc>
        <w:tc>
          <w:tcPr>
            <w:tcW w:w="0" w:type="dxa"/>
            <w:vAlign w:val="bottom"/>
          </w:tcPr>
          <w:p>
            <w:pPr>
              <w:spacing w:after="0"/>
              <w:rPr>
                <w:sz w:val="1"/>
                <w:szCs w:val="1"/>
                <w:color w:val="auto"/>
              </w:rPr>
            </w:pPr>
          </w:p>
        </w:tc>
      </w:tr>
      <w:tr>
        <w:trPr>
          <w:trHeight w:val="257"/>
        </w:trPr>
        <w:tc>
          <w:tcPr>
            <w:tcW w:w="4200" w:type="dxa"/>
            <w:vAlign w:val="bottom"/>
          </w:tcPr>
          <w:p>
            <w:pPr>
              <w:spacing w:after="0"/>
              <w:rPr>
                <w:sz w:val="20"/>
                <w:szCs w:val="20"/>
                <w:color w:val="auto"/>
              </w:rPr>
            </w:pPr>
            <w:r>
              <w:rPr>
                <w:rFonts w:ascii="Arial" w:cs="Arial" w:eastAsia="Arial" w:hAnsi="Arial"/>
                <w:sz w:val="16"/>
                <w:szCs w:val="16"/>
                <w:color w:val="auto"/>
              </w:rPr>
              <w:t>Less than 1.00x</w:t>
            </w:r>
          </w:p>
        </w:tc>
        <w:tc>
          <w:tcPr>
            <w:tcW w:w="18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9</w:t>
            </w:r>
          </w:p>
        </w:tc>
        <w:tc>
          <w:tcPr>
            <w:tcW w:w="6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12</w:t>
            </w:r>
          </w:p>
        </w:tc>
        <w:tc>
          <w:tcPr>
            <w:tcW w:w="6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210"/>
        </w:trPr>
        <w:tc>
          <w:tcPr>
            <w:tcW w:w="4200" w:type="dxa"/>
            <w:vAlign w:val="bottom"/>
          </w:tcPr>
          <w:p>
            <w:pPr>
              <w:ind w:left="240"/>
              <w:spacing w:after="0"/>
              <w:rPr>
                <w:sz w:val="20"/>
                <w:szCs w:val="20"/>
                <w:color w:val="auto"/>
              </w:rPr>
            </w:pPr>
            <w:r>
              <w:rPr>
                <w:rFonts w:ascii="Arial" w:cs="Arial" w:eastAsia="Arial" w:hAnsi="Arial"/>
                <w:sz w:val="16"/>
                <w:szCs w:val="16"/>
                <w:b w:val="1"/>
                <w:bCs w:val="1"/>
                <w:color w:val="auto"/>
              </w:rPr>
              <w:t>Total CMLs</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273</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227</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00" w:type="dxa"/>
            <w:vAlign w:val="bottom"/>
          </w:tcPr>
          <w:p>
            <w:pPr>
              <w:jc w:val="right"/>
              <w:ind w:right="2"/>
              <w:spacing w:after="0"/>
              <w:rPr>
                <w:sz w:val="20"/>
                <w:szCs w:val="20"/>
                <w:color w:val="auto"/>
              </w:rPr>
            </w:pPr>
            <w:r>
              <w:rPr>
                <w:rFonts w:ascii="Arial" w:cs="Arial" w:eastAsia="Arial" w:hAnsi="Arial"/>
                <w:sz w:val="16"/>
                <w:szCs w:val="16"/>
                <w:color w:val="auto"/>
              </w:rPr>
              <w:t>290</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00" w:type="dxa"/>
            <w:vAlign w:val="bottom"/>
          </w:tcPr>
          <w:p>
            <w:pPr>
              <w:jc w:val="right"/>
              <w:ind w:right="2"/>
              <w:spacing w:after="0"/>
              <w:rPr>
                <w:sz w:val="20"/>
                <w:szCs w:val="20"/>
                <w:color w:val="auto"/>
              </w:rPr>
            </w:pPr>
            <w:r>
              <w:rPr>
                <w:rFonts w:ascii="Arial" w:cs="Arial" w:eastAsia="Arial" w:hAnsi="Arial"/>
                <w:sz w:val="16"/>
                <w:szCs w:val="16"/>
                <w:color w:val="auto"/>
              </w:rPr>
              <w:t>1253</w:t>
            </w:r>
          </w:p>
        </w:tc>
        <w:tc>
          <w:tcPr>
            <w:tcW w:w="60" w:type="dxa"/>
            <w:vAlign w:val="bottom"/>
          </w:tcPr>
          <w:p>
            <w:pPr>
              <w:spacing w:after="0"/>
              <w:rPr>
                <w:sz w:val="18"/>
                <w:szCs w:val="18"/>
                <w:color w:val="auto"/>
              </w:rPr>
            </w:pPr>
          </w:p>
        </w:tc>
        <w:tc>
          <w:tcPr>
            <w:tcW w:w="20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580" w:type="dxa"/>
            <w:vAlign w:val="bottom"/>
          </w:tcPr>
          <w:p>
            <w:pPr>
              <w:jc w:val="right"/>
              <w:ind w:right="2"/>
              <w:spacing w:after="0"/>
              <w:rPr>
                <w:sz w:val="20"/>
                <w:szCs w:val="20"/>
                <w:color w:val="auto"/>
              </w:rPr>
            </w:pPr>
            <w:r>
              <w:rPr>
                <w:rFonts w:ascii="Arial" w:cs="Arial" w:eastAsia="Arial" w:hAnsi="Arial"/>
                <w:sz w:val="16"/>
                <w:szCs w:val="16"/>
                <w:color w:val="auto"/>
              </w:rPr>
              <w:t>469</w:t>
            </w:r>
          </w:p>
        </w:tc>
        <w:tc>
          <w:tcPr>
            <w:tcW w:w="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210</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2,722</w:t>
            </w: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-3976370</wp:posOffset>
            </wp:positionV>
            <wp:extent cx="6410325" cy="162496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98">
                      <a:extLst>
                        <a:ext uri="{28A0092B-C50C-407E-A947-70E740481C1C}"/>
                      </a:extLst>
                    </a:blip>
                    <a:srcRect/>
                    <a:stretch>
                      <a:fillRect/>
                    </a:stretch>
                  </pic:blipFill>
                  <pic:spPr bwMode="auto">
                    <a:xfrm>
                      <a:off x="0" y="0"/>
                      <a:ext cx="6410325" cy="1624965"/>
                    </a:xfrm>
                    <a:prstGeom prst="rect">
                      <a:avLst/>
                    </a:prstGeom>
                    <a:noFill/>
                  </pic:spPr>
                </pic:pic>
              </a:graphicData>
            </a:graphic>
          </wp:anchor>
        </w:drawing>
        <w:drawing>
          <wp:anchor simplePos="0" relativeHeight="251657728" behindDoc="1" locked="0" layoutInCell="0" allowOverlap="1">
            <wp:simplePos x="0" y="0"/>
            <wp:positionH relativeFrom="column">
              <wp:posOffset>-16510</wp:posOffset>
            </wp:positionH>
            <wp:positionV relativeFrom="paragraph">
              <wp:posOffset>-1617980</wp:posOffset>
            </wp:positionV>
            <wp:extent cx="6410325" cy="162496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99">
                      <a:extLst>
                        <a:ext uri="{28A0092B-C50C-407E-A947-70E740481C1C}"/>
                      </a:extLst>
                    </a:blip>
                    <a:srcRect/>
                    <a:stretch>
                      <a:fillRect/>
                    </a:stretch>
                  </pic:blipFill>
                  <pic:spPr bwMode="auto">
                    <a:xfrm>
                      <a:off x="0" y="0"/>
                      <a:ext cx="6410325" cy="1624965"/>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jc w:val="both"/>
        <w:ind w:firstLine="353"/>
        <w:spacing w:after="0" w:line="258" w:lineRule="auto"/>
        <w:rPr>
          <w:sz w:val="20"/>
          <w:szCs w:val="20"/>
          <w:color w:val="auto"/>
        </w:rPr>
      </w:pPr>
      <w:r>
        <w:rPr>
          <w:rFonts w:ascii="Arial" w:cs="Arial" w:eastAsia="Arial" w:hAnsi="Arial"/>
          <w:sz w:val="20"/>
          <w:szCs w:val="20"/>
          <w:color w:val="auto"/>
        </w:rPr>
        <w:t>We recognize a mortgage loan as delinquent when payments on the loan are greater than 30 days past due. As of December 31, 2025 and 2024, we had one CML that was delinquent in principal or interest payments as shown in the tables above.</w:t>
      </w:r>
    </w:p>
    <w:p>
      <w:pPr>
        <w:spacing w:after="0" w:line="7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Residential Mortgage Loans</w:t>
      </w:r>
    </w:p>
    <w:p>
      <w:pPr>
        <w:spacing w:after="0" w:line="248" w:lineRule="exact"/>
        <w:rPr>
          <w:sz w:val="20"/>
          <w:szCs w:val="20"/>
          <w:color w:val="auto"/>
        </w:rPr>
      </w:pPr>
    </w:p>
    <w:p>
      <w:pPr>
        <w:jc w:val="both"/>
        <w:ind w:firstLine="353"/>
        <w:spacing w:after="0" w:line="251" w:lineRule="auto"/>
        <w:rPr>
          <w:sz w:val="20"/>
          <w:szCs w:val="20"/>
          <w:color w:val="auto"/>
        </w:rPr>
      </w:pPr>
      <w:r>
        <w:rPr>
          <w:rFonts w:ascii="Arial" w:cs="Arial" w:eastAsia="Arial" w:hAnsi="Arial"/>
          <w:sz w:val="20"/>
          <w:szCs w:val="20"/>
          <w:color w:val="auto"/>
        </w:rPr>
        <w:t>Residential mortgage loans (“RMLs”) represented approximately 7% and 5% of our total investments reported on the Condensed Consolidated Balance Sheets as of December 31, 2025 and 2024, respectively. Our RMLs are primarily closed end, amortizing loans and 100% of the properties are located in the United States. We diversify our RML portfolio by state to attempt to reduce concentration risk. The distribution of RMLs by state with highest-to-lowest concentration are reflected in the following tables, gross of valuation allowances: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3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520" w:type="dxa"/>
            <w:vAlign w:val="bottom"/>
            <w:tcBorders>
              <w:bottom w:val="single" w:sz="8" w:color="auto"/>
            </w:tcBorders>
            <w:gridSpan w:val="3"/>
          </w:tcPr>
          <w:p>
            <w:pPr>
              <w:jc w:val="right"/>
              <w:ind w:right="602"/>
              <w:spacing w:after="0"/>
              <w:rPr>
                <w:sz w:val="20"/>
                <w:szCs w:val="20"/>
                <w:color w:val="auto"/>
              </w:rPr>
            </w:pPr>
            <w:r>
              <w:rPr>
                <w:rFonts w:ascii="Arial" w:cs="Arial" w:eastAsia="Arial" w:hAnsi="Arial"/>
                <w:sz w:val="16"/>
                <w:szCs w:val="16"/>
                <w:b w:val="1"/>
                <w:bCs w:val="1"/>
                <w:color w:val="auto"/>
              </w:rPr>
              <w:t>December 31, 2025</w:t>
            </w:r>
          </w:p>
        </w:tc>
        <w:tc>
          <w:tcPr>
            <w:tcW w:w="0" w:type="dxa"/>
            <w:vAlign w:val="bottom"/>
          </w:tcPr>
          <w:p>
            <w:pPr>
              <w:spacing w:after="0"/>
              <w:rPr>
                <w:sz w:val="1"/>
                <w:szCs w:val="1"/>
                <w:color w:val="auto"/>
              </w:rPr>
            </w:pPr>
          </w:p>
        </w:tc>
      </w:tr>
      <w:tr>
        <w:trPr>
          <w:trHeight w:val="182"/>
        </w:trPr>
        <w:tc>
          <w:tcPr>
            <w:tcW w:w="738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U.S. States:</w:t>
            </w:r>
          </w:p>
        </w:tc>
        <w:tc>
          <w:tcPr>
            <w:tcW w:w="140" w:type="dxa"/>
            <w:vAlign w:val="bottom"/>
          </w:tcPr>
          <w:p>
            <w:pPr>
              <w:spacing w:after="0"/>
              <w:rPr>
                <w:sz w:val="15"/>
                <w:szCs w:val="15"/>
                <w:color w:val="auto"/>
              </w:rPr>
            </w:pPr>
          </w:p>
        </w:tc>
        <w:tc>
          <w:tcPr>
            <w:tcW w:w="1140" w:type="dxa"/>
            <w:vAlign w:val="bottom"/>
          </w:tcPr>
          <w:p>
            <w:pPr>
              <w:jc w:val="right"/>
              <w:ind w:right="2"/>
              <w:spacing w:after="0" w:line="182" w:lineRule="exact"/>
              <w:rPr>
                <w:sz w:val="20"/>
                <w:szCs w:val="20"/>
                <w:color w:val="auto"/>
              </w:rPr>
            </w:pPr>
            <w:r>
              <w:rPr>
                <w:rFonts w:ascii="Arial" w:cs="Arial" w:eastAsia="Arial" w:hAnsi="Arial"/>
                <w:sz w:val="16"/>
                <w:szCs w:val="16"/>
                <w:b w:val="1"/>
                <w:bCs w:val="1"/>
                <w:color w:val="auto"/>
                <w:w w:val="87"/>
              </w:rPr>
              <w:t>Amortized Cost</w:t>
            </w:r>
          </w:p>
        </w:tc>
        <w:tc>
          <w:tcPr>
            <w:tcW w:w="100" w:type="dxa"/>
            <w:vAlign w:val="bottom"/>
          </w:tcPr>
          <w:p>
            <w:pPr>
              <w:spacing w:after="0"/>
              <w:rPr>
                <w:sz w:val="15"/>
                <w:szCs w:val="15"/>
                <w:color w:val="auto"/>
              </w:rPr>
            </w:pPr>
          </w:p>
        </w:tc>
        <w:tc>
          <w:tcPr>
            <w:tcW w:w="1280" w:type="dxa"/>
            <w:vAlign w:val="bottom"/>
            <w:vMerge w:val="restart"/>
          </w:tcPr>
          <w:p>
            <w:pPr>
              <w:jc w:val="right"/>
              <w:ind w:right="182"/>
              <w:spacing w:after="0"/>
              <w:rPr>
                <w:sz w:val="20"/>
                <w:szCs w:val="20"/>
                <w:color w:val="auto"/>
              </w:rPr>
            </w:pPr>
            <w:r>
              <w:rPr>
                <w:rFonts w:ascii="Arial" w:cs="Arial" w:eastAsia="Arial" w:hAnsi="Arial"/>
                <w:sz w:val="16"/>
                <w:szCs w:val="16"/>
                <w:b w:val="1"/>
                <w:bCs w:val="1"/>
                <w:color w:val="auto"/>
              </w:rPr>
              <w:t>% of Total</w:t>
            </w:r>
          </w:p>
        </w:tc>
        <w:tc>
          <w:tcPr>
            <w:tcW w:w="0" w:type="dxa"/>
            <w:vAlign w:val="bottom"/>
          </w:tcPr>
          <w:p>
            <w:pPr>
              <w:spacing w:after="0"/>
              <w:rPr>
                <w:sz w:val="1"/>
                <w:szCs w:val="1"/>
                <w:color w:val="auto"/>
              </w:rPr>
            </w:pPr>
          </w:p>
        </w:tc>
      </w:tr>
      <w:tr>
        <w:trPr>
          <w:trHeight w:val="210"/>
        </w:trPr>
        <w:tc>
          <w:tcPr>
            <w:tcW w:w="7380" w:type="dxa"/>
            <w:vAlign w:val="bottom"/>
            <w:vMerge w:val="continue"/>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22"/>
              <w:spacing w:after="0"/>
              <w:rPr>
                <w:sz w:val="20"/>
                <w:szCs w:val="20"/>
                <w:color w:val="auto"/>
              </w:rPr>
            </w:pPr>
            <w:r>
              <w:rPr>
                <w:rFonts w:ascii="Arial" w:cs="Arial" w:eastAsia="Arial" w:hAnsi="Arial"/>
                <w:sz w:val="16"/>
                <w:szCs w:val="16"/>
                <w:b w:val="1"/>
                <w:bCs w:val="1"/>
                <w:color w:val="auto"/>
              </w:rPr>
              <w:t>(In millions)</w:t>
            </w:r>
          </w:p>
        </w:tc>
        <w:tc>
          <w:tcPr>
            <w:tcW w:w="100" w:type="dxa"/>
            <w:vAlign w:val="bottom"/>
          </w:tcPr>
          <w:p>
            <w:pPr>
              <w:spacing w:after="0"/>
              <w:rPr>
                <w:sz w:val="18"/>
                <w:szCs w:val="18"/>
                <w:color w:val="auto"/>
              </w:rPr>
            </w:pPr>
          </w:p>
        </w:tc>
        <w:tc>
          <w:tcPr>
            <w:tcW w:w="12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380" w:type="dxa"/>
            <w:vAlign w:val="bottom"/>
          </w:tcPr>
          <w:p>
            <w:pPr>
              <w:ind w:left="40"/>
              <w:spacing w:after="0"/>
              <w:rPr>
                <w:sz w:val="20"/>
                <w:szCs w:val="20"/>
                <w:color w:val="auto"/>
              </w:rPr>
            </w:pPr>
            <w:r>
              <w:rPr>
                <w:rFonts w:ascii="Arial" w:cs="Arial" w:eastAsia="Arial" w:hAnsi="Arial"/>
                <w:sz w:val="16"/>
                <w:szCs w:val="16"/>
                <w:color w:val="auto"/>
              </w:rPr>
              <w:t>California</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288</w:t>
            </w:r>
          </w:p>
        </w:tc>
        <w:tc>
          <w:tcPr>
            <w:tcW w:w="1380" w:type="dxa"/>
            <w:vAlign w:val="bottom"/>
            <w:gridSpan w:val="2"/>
          </w:tcPr>
          <w:p>
            <w:pPr>
              <w:jc w:val="right"/>
              <w:spacing w:after="0"/>
              <w:rPr>
                <w:sz w:val="20"/>
                <w:szCs w:val="20"/>
                <w:color w:val="auto"/>
              </w:rPr>
            </w:pPr>
            <w:r>
              <w:rPr>
                <w:rFonts w:ascii="Arial" w:cs="Arial" w:eastAsia="Arial" w:hAnsi="Arial"/>
                <w:sz w:val="16"/>
                <w:szCs w:val="16"/>
                <w:color w:val="auto"/>
              </w:rPr>
              <w:t>6 %</w:t>
            </w:r>
          </w:p>
        </w:tc>
        <w:tc>
          <w:tcPr>
            <w:tcW w:w="0" w:type="dxa"/>
            <w:vAlign w:val="bottom"/>
          </w:tcPr>
          <w:p>
            <w:pPr>
              <w:spacing w:after="0"/>
              <w:rPr>
                <w:sz w:val="1"/>
                <w:szCs w:val="1"/>
                <w:color w:val="auto"/>
              </w:rPr>
            </w:pPr>
          </w:p>
        </w:tc>
      </w:tr>
      <w:tr>
        <w:trPr>
          <w:trHeight w:val="250"/>
        </w:trPr>
        <w:tc>
          <w:tcPr>
            <w:tcW w:w="7380" w:type="dxa"/>
            <w:vAlign w:val="bottom"/>
          </w:tcPr>
          <w:p>
            <w:pPr>
              <w:ind w:left="40"/>
              <w:spacing w:after="0"/>
              <w:rPr>
                <w:sz w:val="20"/>
                <w:szCs w:val="20"/>
                <w:color w:val="auto"/>
              </w:rPr>
            </w:pPr>
            <w:r>
              <w:rPr>
                <w:rFonts w:ascii="Arial" w:cs="Arial" w:eastAsia="Arial" w:hAnsi="Arial"/>
                <w:sz w:val="16"/>
                <w:szCs w:val="16"/>
                <w:color w:val="auto"/>
              </w:rPr>
              <w:t>Florida</w:t>
            </w:r>
          </w:p>
        </w:tc>
        <w:tc>
          <w:tcPr>
            <w:tcW w:w="1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246</w:t>
            </w:r>
          </w:p>
        </w:tc>
        <w:tc>
          <w:tcPr>
            <w:tcW w:w="1380" w:type="dxa"/>
            <w:vAlign w:val="bottom"/>
            <w:gridSpan w:val="2"/>
          </w:tcPr>
          <w:p>
            <w:pPr>
              <w:jc w:val="right"/>
              <w:ind w:right="102"/>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50"/>
        </w:trPr>
        <w:tc>
          <w:tcPr>
            <w:tcW w:w="7380" w:type="dxa"/>
            <w:vAlign w:val="bottom"/>
          </w:tcPr>
          <w:p>
            <w:pPr>
              <w:ind w:left="40"/>
              <w:spacing w:after="0"/>
              <w:rPr>
                <w:sz w:val="20"/>
                <w:szCs w:val="20"/>
                <w:color w:val="auto"/>
              </w:rPr>
            </w:pPr>
            <w:r>
              <w:rPr>
                <w:rFonts w:ascii="Arial" w:cs="Arial" w:eastAsia="Arial" w:hAnsi="Arial"/>
                <w:sz w:val="16"/>
                <w:szCs w:val="16"/>
                <w:color w:val="auto"/>
              </w:rPr>
              <w:t>New York</w:t>
            </w:r>
          </w:p>
        </w:tc>
        <w:tc>
          <w:tcPr>
            <w:tcW w:w="1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232</w:t>
            </w:r>
          </w:p>
        </w:tc>
        <w:tc>
          <w:tcPr>
            <w:tcW w:w="1380" w:type="dxa"/>
            <w:vAlign w:val="bottom"/>
            <w:gridSpan w:val="2"/>
          </w:tcPr>
          <w:p>
            <w:pPr>
              <w:jc w:val="right"/>
              <w:ind w:right="102"/>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57"/>
        </w:trPr>
        <w:tc>
          <w:tcPr>
            <w:tcW w:w="7380" w:type="dxa"/>
            <w:vAlign w:val="bottom"/>
          </w:tcPr>
          <w:p>
            <w:pPr>
              <w:ind w:left="40"/>
              <w:spacing w:after="0"/>
              <w:rPr>
                <w:sz w:val="20"/>
                <w:szCs w:val="20"/>
                <w:color w:val="auto"/>
              </w:rPr>
            </w:pPr>
            <w:r>
              <w:rPr>
                <w:rFonts w:ascii="Arial" w:cs="Arial" w:eastAsia="Arial" w:hAnsi="Arial"/>
                <w:sz w:val="16"/>
                <w:szCs w:val="16"/>
                <w:color w:val="auto"/>
              </w:rPr>
              <w:t>All other states (a)</w:t>
            </w:r>
          </w:p>
        </w:tc>
        <w:tc>
          <w:tcPr>
            <w:tcW w:w="1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3,951</w:t>
            </w:r>
          </w:p>
        </w:tc>
        <w:tc>
          <w:tcPr>
            <w:tcW w:w="100" w:type="dxa"/>
            <w:vAlign w:val="bottom"/>
          </w:tcPr>
          <w:p>
            <w:pPr>
              <w:spacing w:after="0"/>
              <w:rPr>
                <w:sz w:val="22"/>
                <w:szCs w:val="22"/>
                <w:color w:val="auto"/>
              </w:rPr>
            </w:pPr>
          </w:p>
        </w:tc>
        <w:tc>
          <w:tcPr>
            <w:tcW w:w="1280" w:type="dxa"/>
            <w:vAlign w:val="bottom"/>
            <w:tcBorders>
              <w:bottom w:val="single" w:sz="8" w:color="auto"/>
            </w:tcBorders>
          </w:tcPr>
          <w:p>
            <w:pPr>
              <w:jc w:val="right"/>
              <w:ind w:right="102"/>
              <w:spacing w:after="0"/>
              <w:rPr>
                <w:sz w:val="20"/>
                <w:szCs w:val="20"/>
                <w:color w:val="auto"/>
              </w:rPr>
            </w:pPr>
            <w:r>
              <w:rPr>
                <w:rFonts w:ascii="Arial" w:cs="Arial" w:eastAsia="Arial" w:hAnsi="Arial"/>
                <w:sz w:val="16"/>
                <w:szCs w:val="16"/>
                <w:color w:val="auto"/>
              </w:rPr>
              <w:t>84</w:t>
            </w:r>
          </w:p>
        </w:tc>
        <w:tc>
          <w:tcPr>
            <w:tcW w:w="0" w:type="dxa"/>
            <w:vAlign w:val="bottom"/>
          </w:tcPr>
          <w:p>
            <w:pPr>
              <w:spacing w:after="0"/>
              <w:rPr>
                <w:sz w:val="1"/>
                <w:szCs w:val="1"/>
                <w:color w:val="auto"/>
              </w:rPr>
            </w:pPr>
          </w:p>
        </w:tc>
      </w:tr>
      <w:tr>
        <w:trPr>
          <w:trHeight w:val="223"/>
        </w:trPr>
        <w:tc>
          <w:tcPr>
            <w:tcW w:w="7380" w:type="dxa"/>
            <w:vAlign w:val="bottom"/>
          </w:tcPr>
          <w:p>
            <w:pPr>
              <w:ind w:left="40"/>
              <w:spacing w:after="0"/>
              <w:rPr>
                <w:sz w:val="20"/>
                <w:szCs w:val="20"/>
                <w:color w:val="auto"/>
              </w:rPr>
            </w:pPr>
            <w:r>
              <w:rPr>
                <w:rFonts w:ascii="Arial" w:cs="Arial" w:eastAsia="Arial" w:hAnsi="Arial"/>
                <w:sz w:val="16"/>
                <w:szCs w:val="16"/>
                <w:b w:val="1"/>
                <w:bCs w:val="1"/>
                <w:color w:val="auto"/>
              </w:rPr>
              <w:t>Total RMLs, gross of valuation allowance</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4,717</w:t>
            </w:r>
          </w:p>
        </w:tc>
        <w:tc>
          <w:tcPr>
            <w:tcW w:w="1380" w:type="dxa"/>
            <w:vAlign w:val="bottom"/>
            <w:gridSpan w:val="2"/>
          </w:tcPr>
          <w:p>
            <w:pPr>
              <w:jc w:val="right"/>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57"/>
        </w:trPr>
        <w:tc>
          <w:tcPr>
            <w:tcW w:w="7380" w:type="dxa"/>
            <w:vAlign w:val="bottom"/>
          </w:tcPr>
          <w:p>
            <w:pPr>
              <w:ind w:left="620"/>
              <w:spacing w:after="0"/>
              <w:rPr>
                <w:sz w:val="20"/>
                <w:szCs w:val="20"/>
                <w:color w:val="auto"/>
              </w:rPr>
            </w:pPr>
            <w:r>
              <w:rPr>
                <w:rFonts w:ascii="Arial" w:cs="Arial" w:eastAsia="Arial" w:hAnsi="Arial"/>
                <w:sz w:val="16"/>
                <w:szCs w:val="16"/>
                <w:color w:val="auto"/>
              </w:rPr>
              <w:t>Allowance for expected credit loss</w:t>
            </w:r>
          </w:p>
        </w:tc>
        <w:tc>
          <w:tcPr>
            <w:tcW w:w="1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w:t>
            </w:r>
          </w:p>
        </w:tc>
        <w:tc>
          <w:tcPr>
            <w:tcW w:w="1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7380" w:type="dxa"/>
            <w:vAlign w:val="bottom"/>
          </w:tcPr>
          <w:p>
            <w:pPr>
              <w:ind w:left="40"/>
              <w:spacing w:after="0"/>
              <w:rPr>
                <w:sz w:val="20"/>
                <w:szCs w:val="20"/>
                <w:color w:val="auto"/>
              </w:rPr>
            </w:pPr>
            <w:r>
              <w:rPr>
                <w:rFonts w:ascii="Arial" w:cs="Arial" w:eastAsia="Arial" w:hAnsi="Arial"/>
                <w:sz w:val="16"/>
                <w:szCs w:val="16"/>
                <w:b w:val="1"/>
                <w:bCs w:val="1"/>
                <w:color w:val="auto"/>
              </w:rPr>
              <w:t>Total RMLs, net of valuation allowance</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4,649</w:t>
            </w: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380" w:type="dxa"/>
            <w:vAlign w:val="bottom"/>
            <w:vMerge w:val="restart"/>
          </w:tcPr>
          <w:p>
            <w:pPr>
              <w:spacing w:after="0"/>
              <w:rPr>
                <w:sz w:val="20"/>
                <w:szCs w:val="20"/>
                <w:color w:val="auto"/>
              </w:rPr>
            </w:pPr>
            <w:r>
              <w:rPr>
                <w:rFonts w:ascii="Arial" w:cs="Arial" w:eastAsia="Arial" w:hAnsi="Arial"/>
                <w:sz w:val="16"/>
                <w:szCs w:val="16"/>
                <w:color w:val="auto"/>
              </w:rPr>
              <w:t>(a) The individual concentration of each state is less than 5% as of December 31, 2025.</w:t>
            </w: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38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-1283335</wp:posOffset>
            </wp:positionV>
            <wp:extent cx="6410325" cy="114871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00">
                      <a:extLst>
                        <a:ext uri="{28A0092B-C50C-407E-A947-70E740481C1C}"/>
                      </a:extLst>
                    </a:blip>
                    <a:srcRect/>
                    <a:stretch>
                      <a:fillRect/>
                    </a:stretch>
                  </pic:blipFill>
                  <pic:spPr bwMode="auto">
                    <a:xfrm>
                      <a:off x="0" y="0"/>
                      <a:ext cx="6410325" cy="1148715"/>
                    </a:xfrm>
                    <a:prstGeom prst="rect">
                      <a:avLst/>
                    </a:prstGeom>
                    <a:noFill/>
                  </pic:spPr>
                </pic:pic>
              </a:graphicData>
            </a:graphic>
          </wp:anchor>
        </w:drawing>
      </w:r>
    </w:p>
    <w:p>
      <w:pPr>
        <w:sectPr>
          <w:pgSz w:w="11880" w:h="15480" w:orient="portrait"/>
          <w:cols w:equalWidth="0" w:num="1">
            <w:col w:w="10040"/>
          </w:cols>
          <w:pgMar w:left="920" w:top="860"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139</w:t>
      </w:r>
    </w:p>
    <w:p>
      <w:pPr>
        <w:sectPr>
          <w:pgSz w:w="11880" w:h="15480" w:orient="portrait"/>
          <w:cols w:equalWidth="0" w:num="1">
            <w:col w:w="10040"/>
          </w:cols>
          <w:pgMar w:left="920" w:top="860" w:right="920" w:bottom="0" w:gutter="0" w:footer="0" w:header="0"/>
          <w:type w:val="continuous"/>
        </w:sectPr>
      </w:pPr>
    </w:p>
    <w:bookmarkStart w:id="151" w:name="page152"/>
    <w:bookmarkEnd w:id="151"/>
    <w:tbl>
      <w:tblPr>
        <w:tblLayout w:type="fixed"/>
        <w:tblInd w:w="40" w:type="dxa"/>
        <w:tblCellMar>
          <w:top w:w="0" w:type="dxa"/>
          <w:left w:w="0" w:type="dxa"/>
          <w:bottom w:w="0" w:type="dxa"/>
          <w:right w:w="0" w:type="dxa"/>
        </w:tblCellMar>
      </w:tblPr>
      <w:tr>
        <w:trPr>
          <w:trHeight w:val="213"/>
        </w:trPr>
        <w:tc>
          <w:tcPr>
            <w:tcW w:w="73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520" w:type="dxa"/>
            <w:vAlign w:val="bottom"/>
            <w:tcBorders>
              <w:bottom w:val="single" w:sz="8" w:color="auto"/>
            </w:tcBorders>
            <w:gridSpan w:val="3"/>
          </w:tcPr>
          <w:p>
            <w:pPr>
              <w:jc w:val="right"/>
              <w:ind w:right="602"/>
              <w:spacing w:after="0"/>
              <w:rPr>
                <w:sz w:val="20"/>
                <w:szCs w:val="20"/>
                <w:color w:val="auto"/>
              </w:rPr>
            </w:pPr>
            <w:r>
              <w:rPr>
                <w:rFonts w:ascii="Arial" w:cs="Arial" w:eastAsia="Arial" w:hAnsi="Arial"/>
                <w:sz w:val="16"/>
                <w:szCs w:val="16"/>
                <w:b w:val="1"/>
                <w:bCs w:val="1"/>
                <w:color w:val="auto"/>
              </w:rPr>
              <w:t>December 31, 2024</w:t>
            </w:r>
          </w:p>
        </w:tc>
        <w:tc>
          <w:tcPr>
            <w:tcW w:w="0" w:type="dxa"/>
            <w:vAlign w:val="bottom"/>
          </w:tcPr>
          <w:p>
            <w:pPr>
              <w:spacing w:after="0"/>
              <w:rPr>
                <w:sz w:val="1"/>
                <w:szCs w:val="1"/>
                <w:color w:val="auto"/>
              </w:rPr>
            </w:pPr>
          </w:p>
        </w:tc>
      </w:tr>
      <w:tr>
        <w:trPr>
          <w:trHeight w:val="182"/>
        </w:trPr>
        <w:tc>
          <w:tcPr>
            <w:tcW w:w="7340" w:type="dxa"/>
            <w:vAlign w:val="bottom"/>
            <w:vMerge w:val="restart"/>
          </w:tcPr>
          <w:p>
            <w:pPr>
              <w:spacing w:after="0"/>
              <w:rPr>
                <w:sz w:val="20"/>
                <w:szCs w:val="20"/>
                <w:color w:val="auto"/>
              </w:rPr>
            </w:pPr>
            <w:r>
              <w:rPr>
                <w:rFonts w:ascii="Arial" w:cs="Arial" w:eastAsia="Arial" w:hAnsi="Arial"/>
                <w:sz w:val="16"/>
                <w:szCs w:val="16"/>
                <w:b w:val="1"/>
                <w:bCs w:val="1"/>
                <w:color w:val="auto"/>
              </w:rPr>
              <w:t>U.S. States:</w:t>
            </w:r>
          </w:p>
        </w:tc>
        <w:tc>
          <w:tcPr>
            <w:tcW w:w="140" w:type="dxa"/>
            <w:vAlign w:val="bottom"/>
          </w:tcPr>
          <w:p>
            <w:pPr>
              <w:spacing w:after="0"/>
              <w:rPr>
                <w:sz w:val="15"/>
                <w:szCs w:val="15"/>
                <w:color w:val="auto"/>
              </w:rPr>
            </w:pPr>
          </w:p>
        </w:tc>
        <w:tc>
          <w:tcPr>
            <w:tcW w:w="1140" w:type="dxa"/>
            <w:vAlign w:val="bottom"/>
          </w:tcPr>
          <w:p>
            <w:pPr>
              <w:jc w:val="right"/>
              <w:ind w:right="2"/>
              <w:spacing w:after="0" w:line="182" w:lineRule="exact"/>
              <w:rPr>
                <w:sz w:val="20"/>
                <w:szCs w:val="20"/>
                <w:color w:val="auto"/>
              </w:rPr>
            </w:pPr>
            <w:r>
              <w:rPr>
                <w:rFonts w:ascii="Arial" w:cs="Arial" w:eastAsia="Arial" w:hAnsi="Arial"/>
                <w:sz w:val="16"/>
                <w:szCs w:val="16"/>
                <w:b w:val="1"/>
                <w:bCs w:val="1"/>
                <w:color w:val="auto"/>
                <w:w w:val="87"/>
              </w:rPr>
              <w:t>Amortized Cost</w:t>
            </w:r>
          </w:p>
        </w:tc>
        <w:tc>
          <w:tcPr>
            <w:tcW w:w="100" w:type="dxa"/>
            <w:vAlign w:val="bottom"/>
          </w:tcPr>
          <w:p>
            <w:pPr>
              <w:spacing w:after="0"/>
              <w:rPr>
                <w:sz w:val="15"/>
                <w:szCs w:val="15"/>
                <w:color w:val="auto"/>
              </w:rPr>
            </w:pPr>
          </w:p>
        </w:tc>
        <w:tc>
          <w:tcPr>
            <w:tcW w:w="1280" w:type="dxa"/>
            <w:vAlign w:val="bottom"/>
            <w:vMerge w:val="restart"/>
          </w:tcPr>
          <w:p>
            <w:pPr>
              <w:jc w:val="right"/>
              <w:ind w:right="182"/>
              <w:spacing w:after="0"/>
              <w:rPr>
                <w:sz w:val="20"/>
                <w:szCs w:val="20"/>
                <w:color w:val="auto"/>
              </w:rPr>
            </w:pPr>
            <w:r>
              <w:rPr>
                <w:rFonts w:ascii="Arial" w:cs="Arial" w:eastAsia="Arial" w:hAnsi="Arial"/>
                <w:sz w:val="16"/>
                <w:szCs w:val="16"/>
                <w:b w:val="1"/>
                <w:bCs w:val="1"/>
                <w:color w:val="auto"/>
              </w:rPr>
              <w:t>% of Total</w:t>
            </w:r>
          </w:p>
        </w:tc>
        <w:tc>
          <w:tcPr>
            <w:tcW w:w="0" w:type="dxa"/>
            <w:vAlign w:val="bottom"/>
          </w:tcPr>
          <w:p>
            <w:pPr>
              <w:spacing w:after="0"/>
              <w:rPr>
                <w:sz w:val="1"/>
                <w:szCs w:val="1"/>
                <w:color w:val="auto"/>
              </w:rPr>
            </w:pPr>
          </w:p>
        </w:tc>
      </w:tr>
      <w:tr>
        <w:trPr>
          <w:trHeight w:val="210"/>
        </w:trPr>
        <w:tc>
          <w:tcPr>
            <w:tcW w:w="7340" w:type="dxa"/>
            <w:vAlign w:val="bottom"/>
            <w:vMerge w:val="continue"/>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22"/>
              <w:spacing w:after="0"/>
              <w:rPr>
                <w:sz w:val="20"/>
                <w:szCs w:val="20"/>
                <w:color w:val="auto"/>
              </w:rPr>
            </w:pPr>
            <w:r>
              <w:rPr>
                <w:rFonts w:ascii="Arial" w:cs="Arial" w:eastAsia="Arial" w:hAnsi="Arial"/>
                <w:sz w:val="16"/>
                <w:szCs w:val="16"/>
                <w:b w:val="1"/>
                <w:bCs w:val="1"/>
                <w:color w:val="auto"/>
              </w:rPr>
              <w:t>(In millions)</w:t>
            </w:r>
          </w:p>
        </w:tc>
        <w:tc>
          <w:tcPr>
            <w:tcW w:w="100" w:type="dxa"/>
            <w:vAlign w:val="bottom"/>
          </w:tcPr>
          <w:p>
            <w:pPr>
              <w:spacing w:after="0"/>
              <w:rPr>
                <w:sz w:val="18"/>
                <w:szCs w:val="18"/>
                <w:color w:val="auto"/>
              </w:rPr>
            </w:pPr>
          </w:p>
        </w:tc>
        <w:tc>
          <w:tcPr>
            <w:tcW w:w="12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52"/>
        </w:trPr>
        <w:tc>
          <w:tcPr>
            <w:tcW w:w="7340" w:type="dxa"/>
            <w:vAlign w:val="bottom"/>
          </w:tcPr>
          <w:p>
            <w:pPr>
              <w:spacing w:after="0"/>
              <w:rPr>
                <w:sz w:val="20"/>
                <w:szCs w:val="20"/>
                <w:color w:val="auto"/>
              </w:rPr>
            </w:pPr>
            <w:r>
              <w:rPr>
                <w:rFonts w:ascii="Arial" w:cs="Arial" w:eastAsia="Arial" w:hAnsi="Arial"/>
                <w:sz w:val="16"/>
                <w:szCs w:val="16"/>
                <w:color w:val="auto"/>
              </w:rPr>
              <w:t>Florida</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164</w:t>
            </w:r>
          </w:p>
        </w:tc>
        <w:tc>
          <w:tcPr>
            <w:tcW w:w="1380" w:type="dxa"/>
            <w:vAlign w:val="bottom"/>
            <w:gridSpan w:val="2"/>
          </w:tcPr>
          <w:p>
            <w:pPr>
              <w:jc w:val="right"/>
              <w:spacing w:after="0"/>
              <w:rPr>
                <w:sz w:val="20"/>
                <w:szCs w:val="20"/>
                <w:color w:val="auto"/>
              </w:rPr>
            </w:pPr>
            <w:r>
              <w:rPr>
                <w:rFonts w:ascii="Arial" w:cs="Arial" w:eastAsia="Arial" w:hAnsi="Arial"/>
                <w:sz w:val="16"/>
                <w:szCs w:val="16"/>
                <w:color w:val="auto"/>
              </w:rPr>
              <w:t>5 %</w:t>
            </w:r>
          </w:p>
        </w:tc>
        <w:tc>
          <w:tcPr>
            <w:tcW w:w="0" w:type="dxa"/>
            <w:vAlign w:val="bottom"/>
          </w:tcPr>
          <w:p>
            <w:pPr>
              <w:spacing w:after="0"/>
              <w:rPr>
                <w:sz w:val="1"/>
                <w:szCs w:val="1"/>
                <w:color w:val="auto"/>
              </w:rPr>
            </w:pPr>
          </w:p>
        </w:tc>
      </w:tr>
      <w:tr>
        <w:trPr>
          <w:trHeight w:val="286"/>
        </w:trPr>
        <w:tc>
          <w:tcPr>
            <w:tcW w:w="7340" w:type="dxa"/>
            <w:vAlign w:val="bottom"/>
          </w:tcPr>
          <w:p>
            <w:pPr>
              <w:spacing w:after="0"/>
              <w:rPr>
                <w:sz w:val="20"/>
                <w:szCs w:val="20"/>
                <w:color w:val="auto"/>
              </w:rPr>
            </w:pPr>
            <w:r>
              <w:rPr>
                <w:rFonts w:ascii="Arial" w:cs="Arial" w:eastAsia="Arial" w:hAnsi="Arial"/>
                <w:sz w:val="16"/>
                <w:szCs w:val="16"/>
                <w:color w:val="auto"/>
              </w:rPr>
              <w:t>All other states (a)</w:t>
            </w:r>
          </w:p>
        </w:tc>
        <w:tc>
          <w:tcPr>
            <w:tcW w:w="1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3,110</w:t>
            </w:r>
          </w:p>
        </w:tc>
        <w:tc>
          <w:tcPr>
            <w:tcW w:w="100" w:type="dxa"/>
            <w:vAlign w:val="bottom"/>
          </w:tcPr>
          <w:p>
            <w:pPr>
              <w:spacing w:after="0"/>
              <w:rPr>
                <w:sz w:val="24"/>
                <w:szCs w:val="24"/>
                <w:color w:val="auto"/>
              </w:rPr>
            </w:pPr>
          </w:p>
        </w:tc>
        <w:tc>
          <w:tcPr>
            <w:tcW w:w="1280" w:type="dxa"/>
            <w:vAlign w:val="bottom"/>
            <w:tcBorders>
              <w:bottom w:val="single" w:sz="8" w:color="auto"/>
            </w:tcBorders>
          </w:tcPr>
          <w:p>
            <w:pPr>
              <w:jc w:val="right"/>
              <w:ind w:right="102"/>
              <w:spacing w:after="0"/>
              <w:rPr>
                <w:sz w:val="20"/>
                <w:szCs w:val="20"/>
                <w:color w:val="auto"/>
              </w:rPr>
            </w:pPr>
            <w:r>
              <w:rPr>
                <w:rFonts w:ascii="Arial" w:cs="Arial" w:eastAsia="Arial" w:hAnsi="Arial"/>
                <w:sz w:val="16"/>
                <w:szCs w:val="16"/>
                <w:color w:val="auto"/>
              </w:rPr>
              <w:t>95</w:t>
            </w:r>
          </w:p>
        </w:tc>
        <w:tc>
          <w:tcPr>
            <w:tcW w:w="0" w:type="dxa"/>
            <w:vAlign w:val="bottom"/>
          </w:tcPr>
          <w:p>
            <w:pPr>
              <w:spacing w:after="0"/>
              <w:rPr>
                <w:sz w:val="1"/>
                <w:szCs w:val="1"/>
                <w:color w:val="auto"/>
              </w:rPr>
            </w:pPr>
          </w:p>
        </w:tc>
      </w:tr>
      <w:tr>
        <w:trPr>
          <w:trHeight w:val="252"/>
        </w:trPr>
        <w:tc>
          <w:tcPr>
            <w:tcW w:w="7340" w:type="dxa"/>
            <w:vAlign w:val="bottom"/>
          </w:tcPr>
          <w:p>
            <w:pPr>
              <w:spacing w:after="0"/>
              <w:rPr>
                <w:sz w:val="20"/>
                <w:szCs w:val="20"/>
                <w:color w:val="auto"/>
              </w:rPr>
            </w:pPr>
            <w:r>
              <w:rPr>
                <w:rFonts w:ascii="Arial" w:cs="Arial" w:eastAsia="Arial" w:hAnsi="Arial"/>
                <w:sz w:val="16"/>
                <w:szCs w:val="16"/>
                <w:b w:val="1"/>
                <w:bCs w:val="1"/>
                <w:color w:val="auto"/>
              </w:rPr>
              <w:t>Total RMLs, gross of valuation allowance</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3,274</w:t>
            </w:r>
          </w:p>
        </w:tc>
        <w:tc>
          <w:tcPr>
            <w:tcW w:w="1380" w:type="dxa"/>
            <w:vAlign w:val="bottom"/>
            <w:gridSpan w:val="2"/>
          </w:tcPr>
          <w:p>
            <w:pPr>
              <w:jc w:val="right"/>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86"/>
        </w:trPr>
        <w:tc>
          <w:tcPr>
            <w:tcW w:w="7340" w:type="dxa"/>
            <w:vAlign w:val="bottom"/>
          </w:tcPr>
          <w:p>
            <w:pPr>
              <w:ind w:left="580"/>
              <w:spacing w:after="0"/>
              <w:rPr>
                <w:sz w:val="20"/>
                <w:szCs w:val="20"/>
                <w:color w:val="auto"/>
              </w:rPr>
            </w:pPr>
            <w:r>
              <w:rPr>
                <w:rFonts w:ascii="Arial" w:cs="Arial" w:eastAsia="Arial" w:hAnsi="Arial"/>
                <w:sz w:val="16"/>
                <w:szCs w:val="16"/>
                <w:color w:val="auto"/>
              </w:rPr>
              <w:t>Allowance for expected credit loss</w:t>
            </w:r>
          </w:p>
        </w:tc>
        <w:tc>
          <w:tcPr>
            <w:tcW w:w="1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w:t>
            </w: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7340" w:type="dxa"/>
            <w:vAlign w:val="bottom"/>
          </w:tcPr>
          <w:p>
            <w:pPr>
              <w:spacing w:after="0"/>
              <w:rPr>
                <w:sz w:val="20"/>
                <w:szCs w:val="20"/>
                <w:color w:val="auto"/>
              </w:rPr>
            </w:pPr>
            <w:r>
              <w:rPr>
                <w:rFonts w:ascii="Arial" w:cs="Arial" w:eastAsia="Arial" w:hAnsi="Arial"/>
                <w:sz w:val="16"/>
                <w:szCs w:val="16"/>
                <w:b w:val="1"/>
                <w:bCs w:val="1"/>
                <w:color w:val="auto"/>
              </w:rPr>
              <w:t>Total RMLs, net of valuation allowance</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3,221</w:t>
            </w:r>
          </w:p>
        </w:tc>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-917575</wp:posOffset>
            </wp:positionV>
            <wp:extent cx="6410325" cy="92456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01">
                      <a:extLst>
                        <a:ext uri="{28A0092B-C50C-407E-A947-70E740481C1C}"/>
                      </a:extLst>
                    </a:blip>
                    <a:srcRect/>
                    <a:stretch>
                      <a:fillRect/>
                    </a:stretch>
                  </pic:blipFill>
                  <pic:spPr bwMode="auto">
                    <a:xfrm>
                      <a:off x="0" y="0"/>
                      <a:ext cx="6410325" cy="924560"/>
                    </a:xfrm>
                    <a:prstGeom prst="rect">
                      <a:avLst/>
                    </a:prstGeom>
                    <a:noFill/>
                  </pic:spPr>
                </pic:pic>
              </a:graphicData>
            </a:graphic>
          </wp:anchor>
        </w:drawing>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(a) The individual concentration of each state is less than 5% as of December 31, 2024.</w:t>
      </w:r>
    </w:p>
    <w:p>
      <w:pPr>
        <w:spacing w:after="0" w:line="110" w:lineRule="exact"/>
        <w:rPr>
          <w:sz w:val="20"/>
          <w:szCs w:val="20"/>
          <w:color w:val="auto"/>
        </w:rPr>
      </w:pPr>
    </w:p>
    <w:p>
      <w:pPr>
        <w:jc w:val="both"/>
        <w:ind w:firstLine="353"/>
        <w:spacing w:after="0" w:line="258" w:lineRule="auto"/>
        <w:rPr>
          <w:sz w:val="20"/>
          <w:szCs w:val="20"/>
          <w:color w:val="auto"/>
        </w:rPr>
      </w:pPr>
      <w:r>
        <w:rPr>
          <w:rFonts w:ascii="Arial" w:cs="Arial" w:eastAsia="Arial" w:hAnsi="Arial"/>
          <w:sz w:val="20"/>
          <w:szCs w:val="20"/>
          <w:color w:val="auto"/>
        </w:rPr>
        <w:t>RMLs have a primary credit quality indicator of either a performing or non-performing loan. We define non-performing residential mortgage loans as those that are 90 or more days past due or in non-accrual status, which is assessed monthly. The credit quality of RMLs was as follows:</w:t>
      </w:r>
    </w:p>
    <w:p>
      <w:pPr>
        <w:spacing w:after="0" w:line="155" w:lineRule="exact"/>
        <w:rPr>
          <w:sz w:val="20"/>
          <w:szCs w:val="20"/>
          <w:color w:val="auto"/>
        </w:rPr>
      </w:pPr>
    </w:p>
    <w:tbl>
      <w:tblPr>
        <w:tblLayout w:type="fixed"/>
        <w:tblInd w:w="40" w:type="dxa"/>
        <w:tblCellMar>
          <w:top w:w="0" w:type="dxa"/>
          <w:left w:w="0" w:type="dxa"/>
          <w:bottom w:w="0" w:type="dxa"/>
          <w:right w:w="0" w:type="dxa"/>
        </w:tblCellMar>
      </w:tblPr>
      <w:tr>
        <w:trPr>
          <w:trHeight w:val="213"/>
        </w:trPr>
        <w:tc>
          <w:tcPr>
            <w:tcW w:w="5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260" w:type="dxa"/>
            <w:vAlign w:val="bottom"/>
            <w:tcBorders>
              <w:bottom w:val="single" w:sz="8" w:color="auto"/>
            </w:tcBorders>
            <w:gridSpan w:val="3"/>
          </w:tcPr>
          <w:p>
            <w:pPr>
              <w:jc w:val="right"/>
              <w:ind w:right="502"/>
              <w:spacing w:after="0"/>
              <w:rPr>
                <w:sz w:val="20"/>
                <w:szCs w:val="20"/>
                <w:color w:val="auto"/>
              </w:rPr>
            </w:pPr>
            <w:r>
              <w:rPr>
                <w:rFonts w:ascii="Arial" w:cs="Arial" w:eastAsia="Arial" w:hAnsi="Arial"/>
                <w:sz w:val="16"/>
                <w:szCs w:val="16"/>
                <w:b w:val="1"/>
                <w:bCs w:val="1"/>
                <w:color w:val="auto"/>
              </w:rPr>
              <w:t>December 31, 2025</w:t>
            </w:r>
          </w:p>
        </w:tc>
        <w:tc>
          <w:tcPr>
            <w:tcW w:w="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2040" w:type="dxa"/>
            <w:vAlign w:val="bottom"/>
            <w:tcBorders>
              <w:bottom w:val="single" w:sz="8" w:color="auto"/>
            </w:tcBorders>
            <w:gridSpan w:val="3"/>
          </w:tcPr>
          <w:p>
            <w:pPr>
              <w:jc w:val="right"/>
              <w:ind w:right="482"/>
              <w:spacing w:after="0"/>
              <w:rPr>
                <w:sz w:val="20"/>
                <w:szCs w:val="20"/>
                <w:color w:val="auto"/>
              </w:rPr>
            </w:pPr>
            <w:r>
              <w:rPr>
                <w:rFonts w:ascii="Arial" w:cs="Arial" w:eastAsia="Arial" w:hAnsi="Arial"/>
                <w:sz w:val="16"/>
                <w:szCs w:val="16"/>
                <w:b w:val="1"/>
                <w:bCs w:val="1"/>
                <w:color w:val="auto"/>
              </w:rPr>
              <w:t>December 31, 2024</w:t>
            </w:r>
          </w:p>
        </w:tc>
        <w:tc>
          <w:tcPr>
            <w:tcW w:w="0" w:type="dxa"/>
            <w:vAlign w:val="bottom"/>
          </w:tcPr>
          <w:p>
            <w:pPr>
              <w:spacing w:after="0"/>
              <w:rPr>
                <w:sz w:val="1"/>
                <w:szCs w:val="1"/>
                <w:color w:val="auto"/>
              </w:rPr>
            </w:pPr>
          </w:p>
        </w:tc>
      </w:tr>
      <w:tr>
        <w:trPr>
          <w:trHeight w:val="215"/>
        </w:trPr>
        <w:tc>
          <w:tcPr>
            <w:tcW w:w="5120" w:type="dxa"/>
            <w:vAlign w:val="bottom"/>
          </w:tcPr>
          <w:p>
            <w:pPr>
              <w:spacing w:after="0"/>
              <w:rPr>
                <w:sz w:val="18"/>
                <w:szCs w:val="18"/>
                <w:color w:val="auto"/>
              </w:rPr>
            </w:pPr>
          </w:p>
        </w:tc>
        <w:tc>
          <w:tcPr>
            <w:tcW w:w="1160" w:type="dxa"/>
            <w:vAlign w:val="bottom"/>
            <w:tcBorders>
              <w:bottom w:val="single" w:sz="8" w:color="auto"/>
            </w:tcBorders>
            <w:gridSpan w:val="2"/>
          </w:tcPr>
          <w:p>
            <w:pPr>
              <w:ind w:left="60"/>
              <w:spacing w:after="0"/>
              <w:rPr>
                <w:sz w:val="20"/>
                <w:szCs w:val="20"/>
                <w:color w:val="auto"/>
              </w:rPr>
            </w:pPr>
            <w:r>
              <w:rPr>
                <w:rFonts w:ascii="Arial" w:cs="Arial" w:eastAsia="Arial" w:hAnsi="Arial"/>
                <w:sz w:val="16"/>
                <w:szCs w:val="16"/>
                <w:b w:val="1"/>
                <w:bCs w:val="1"/>
                <w:color w:val="auto"/>
                <w:w w:val="91"/>
              </w:rPr>
              <w:t>Amortized Cost</w:t>
            </w:r>
          </w:p>
        </w:tc>
        <w:tc>
          <w:tcPr>
            <w:tcW w:w="100" w:type="dxa"/>
            <w:vAlign w:val="bottom"/>
          </w:tcPr>
          <w:p>
            <w:pPr>
              <w:spacing w:after="0"/>
              <w:rPr>
                <w:sz w:val="18"/>
                <w:szCs w:val="18"/>
                <w:color w:val="auto"/>
              </w:rPr>
            </w:pPr>
          </w:p>
        </w:tc>
        <w:tc>
          <w:tcPr>
            <w:tcW w:w="1160" w:type="dxa"/>
            <w:vAlign w:val="bottom"/>
            <w:tcBorders>
              <w:bottom w:val="single" w:sz="8" w:color="auto"/>
            </w:tcBorders>
          </w:tcPr>
          <w:p>
            <w:pPr>
              <w:jc w:val="right"/>
              <w:ind w:right="122"/>
              <w:spacing w:after="0"/>
              <w:rPr>
                <w:sz w:val="20"/>
                <w:szCs w:val="20"/>
                <w:color w:val="auto"/>
              </w:rPr>
            </w:pPr>
            <w:r>
              <w:rPr>
                <w:rFonts w:ascii="Arial" w:cs="Arial" w:eastAsia="Arial" w:hAnsi="Arial"/>
                <w:sz w:val="16"/>
                <w:szCs w:val="16"/>
                <w:b w:val="1"/>
                <w:bCs w:val="1"/>
                <w:color w:val="auto"/>
              </w:rPr>
              <w:t>% of Total</w:t>
            </w:r>
          </w:p>
        </w:tc>
        <w:tc>
          <w:tcPr>
            <w:tcW w:w="80" w:type="dxa"/>
            <w:vAlign w:val="bottom"/>
          </w:tcPr>
          <w:p>
            <w:pPr>
              <w:spacing w:after="0"/>
              <w:rPr>
                <w:sz w:val="18"/>
                <w:szCs w:val="18"/>
                <w:color w:val="auto"/>
              </w:rPr>
            </w:pPr>
          </w:p>
        </w:tc>
        <w:tc>
          <w:tcPr>
            <w:tcW w:w="1160" w:type="dxa"/>
            <w:vAlign w:val="bottom"/>
            <w:tcBorders>
              <w:bottom w:val="single" w:sz="8" w:color="auto"/>
            </w:tcBorders>
            <w:gridSpan w:val="2"/>
          </w:tcPr>
          <w:p>
            <w:pPr>
              <w:ind w:left="60"/>
              <w:spacing w:after="0"/>
              <w:rPr>
                <w:sz w:val="20"/>
                <w:szCs w:val="20"/>
                <w:color w:val="auto"/>
              </w:rPr>
            </w:pPr>
            <w:r>
              <w:rPr>
                <w:rFonts w:ascii="Arial" w:cs="Arial" w:eastAsia="Arial" w:hAnsi="Arial"/>
                <w:sz w:val="16"/>
                <w:szCs w:val="16"/>
                <w:b w:val="1"/>
                <w:bCs w:val="1"/>
                <w:color w:val="auto"/>
                <w:w w:val="91"/>
              </w:rPr>
              <w:t>Amortized Cost</w:t>
            </w:r>
          </w:p>
        </w:tc>
        <w:tc>
          <w:tcPr>
            <w:tcW w:w="60" w:type="dxa"/>
            <w:vAlign w:val="bottom"/>
          </w:tcPr>
          <w:p>
            <w:pPr>
              <w:spacing w:after="0"/>
              <w:rPr>
                <w:sz w:val="18"/>
                <w:szCs w:val="18"/>
                <w:color w:val="auto"/>
              </w:rPr>
            </w:pPr>
          </w:p>
        </w:tc>
        <w:tc>
          <w:tcPr>
            <w:tcW w:w="1160" w:type="dxa"/>
            <w:vAlign w:val="bottom"/>
            <w:tcBorders>
              <w:bottom w:val="single" w:sz="8" w:color="auto"/>
            </w:tcBorders>
          </w:tcPr>
          <w:p>
            <w:pPr>
              <w:jc w:val="right"/>
              <w:ind w:right="122"/>
              <w:spacing w:after="0"/>
              <w:rPr>
                <w:sz w:val="20"/>
                <w:szCs w:val="20"/>
                <w:color w:val="auto"/>
              </w:rPr>
            </w:pPr>
            <w:r>
              <w:rPr>
                <w:rFonts w:ascii="Arial" w:cs="Arial" w:eastAsia="Arial" w:hAnsi="Arial"/>
                <w:sz w:val="16"/>
                <w:szCs w:val="16"/>
                <w:b w:val="1"/>
                <w:bCs w:val="1"/>
                <w:color w:val="auto"/>
              </w:rPr>
              <w:t>% of Total</w:t>
            </w:r>
          </w:p>
        </w:tc>
        <w:tc>
          <w:tcPr>
            <w:tcW w:w="0" w:type="dxa"/>
            <w:vAlign w:val="bottom"/>
          </w:tcPr>
          <w:p>
            <w:pPr>
              <w:spacing w:after="0"/>
              <w:rPr>
                <w:sz w:val="1"/>
                <w:szCs w:val="1"/>
                <w:color w:val="auto"/>
              </w:rPr>
            </w:pPr>
          </w:p>
        </w:tc>
      </w:tr>
      <w:tr>
        <w:trPr>
          <w:trHeight w:val="208"/>
        </w:trPr>
        <w:tc>
          <w:tcPr>
            <w:tcW w:w="5120" w:type="dxa"/>
            <w:vAlign w:val="bottom"/>
          </w:tcPr>
          <w:p>
            <w:pPr>
              <w:spacing w:after="0"/>
              <w:rPr>
                <w:sz w:val="20"/>
                <w:szCs w:val="20"/>
                <w:color w:val="auto"/>
              </w:rPr>
            </w:pPr>
            <w:r>
              <w:rPr>
                <w:rFonts w:ascii="Arial" w:cs="Arial" w:eastAsia="Arial" w:hAnsi="Arial"/>
                <w:sz w:val="16"/>
                <w:szCs w:val="16"/>
                <w:b w:val="1"/>
                <w:bCs w:val="1"/>
                <w:color w:val="auto"/>
              </w:rPr>
              <w:t>Performance indicators:</w:t>
            </w:r>
          </w:p>
        </w:tc>
        <w:tc>
          <w:tcPr>
            <w:tcW w:w="160" w:type="dxa"/>
            <w:vAlign w:val="bottom"/>
          </w:tcPr>
          <w:p>
            <w:pPr>
              <w:spacing w:after="0"/>
              <w:rPr>
                <w:sz w:val="18"/>
                <w:szCs w:val="18"/>
                <w:color w:val="auto"/>
              </w:rPr>
            </w:pPr>
          </w:p>
        </w:tc>
        <w:tc>
          <w:tcPr>
            <w:tcW w:w="1000" w:type="dxa"/>
            <w:vAlign w:val="bottom"/>
          </w:tcPr>
          <w:p>
            <w:pPr>
              <w:jc w:val="right"/>
              <w:ind w:right="82"/>
              <w:spacing w:after="0"/>
              <w:rPr>
                <w:sz w:val="20"/>
                <w:szCs w:val="20"/>
                <w:color w:val="auto"/>
              </w:rPr>
            </w:pPr>
            <w:r>
              <w:rPr>
                <w:rFonts w:ascii="Arial" w:cs="Arial" w:eastAsia="Arial" w:hAnsi="Arial"/>
                <w:sz w:val="16"/>
                <w:szCs w:val="16"/>
                <w:b w:val="1"/>
                <w:bCs w:val="1"/>
                <w:color w:val="auto"/>
                <w:w w:val="91"/>
              </w:rPr>
              <w:t>(In millions)</w:t>
            </w: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60" w:type="dxa"/>
            <w:vAlign w:val="bottom"/>
          </w:tcPr>
          <w:p>
            <w:pPr>
              <w:jc w:val="right"/>
              <w:ind w:right="62"/>
              <w:spacing w:after="0"/>
              <w:rPr>
                <w:sz w:val="20"/>
                <w:szCs w:val="20"/>
                <w:color w:val="auto"/>
              </w:rPr>
            </w:pPr>
            <w:r>
              <w:rPr>
                <w:rFonts w:ascii="Arial" w:cs="Arial" w:eastAsia="Arial" w:hAnsi="Arial"/>
                <w:sz w:val="16"/>
                <w:szCs w:val="16"/>
                <w:b w:val="1"/>
                <w:bCs w:val="1"/>
                <w:color w:val="auto"/>
              </w:rPr>
              <w:t>(In millions)</w:t>
            </w:r>
          </w:p>
        </w:tc>
        <w:tc>
          <w:tcPr>
            <w:tcW w:w="0" w:type="dxa"/>
            <w:vAlign w:val="bottom"/>
          </w:tcPr>
          <w:p>
            <w:pPr>
              <w:spacing w:after="0"/>
              <w:rPr>
                <w:sz w:val="1"/>
                <w:szCs w:val="1"/>
                <w:color w:val="auto"/>
              </w:rPr>
            </w:pPr>
          </w:p>
        </w:tc>
      </w:tr>
      <w:tr>
        <w:trPr>
          <w:trHeight w:val="235"/>
        </w:trPr>
        <w:tc>
          <w:tcPr>
            <w:tcW w:w="5120" w:type="dxa"/>
            <w:vAlign w:val="bottom"/>
          </w:tcPr>
          <w:p>
            <w:pPr>
              <w:spacing w:after="0"/>
              <w:rPr>
                <w:sz w:val="20"/>
                <w:szCs w:val="20"/>
                <w:color w:val="auto"/>
              </w:rPr>
            </w:pPr>
            <w:r>
              <w:rPr>
                <w:rFonts w:ascii="Arial" w:cs="Arial" w:eastAsia="Arial" w:hAnsi="Arial"/>
                <w:sz w:val="16"/>
                <w:szCs w:val="16"/>
                <w:color w:val="auto"/>
              </w:rPr>
              <w:t>Performing</w:t>
            </w:r>
          </w:p>
        </w:tc>
        <w:tc>
          <w:tcPr>
            <w:tcW w:w="160" w:type="dxa"/>
            <w:vAlign w:val="bottom"/>
          </w:tcPr>
          <w:p>
            <w:pPr>
              <w:ind w:left="40"/>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2"/>
              <w:spacing w:after="0"/>
              <w:rPr>
                <w:sz w:val="20"/>
                <w:szCs w:val="20"/>
                <w:color w:val="auto"/>
              </w:rPr>
            </w:pPr>
            <w:r>
              <w:rPr>
                <w:rFonts w:ascii="Arial" w:cs="Arial" w:eastAsia="Arial" w:hAnsi="Arial"/>
                <w:sz w:val="16"/>
                <w:szCs w:val="16"/>
                <w:color w:val="auto"/>
              </w:rPr>
              <w:t>4,650</w:t>
            </w:r>
          </w:p>
        </w:tc>
        <w:tc>
          <w:tcPr>
            <w:tcW w:w="1260" w:type="dxa"/>
            <w:vAlign w:val="bottom"/>
            <w:gridSpan w:val="2"/>
          </w:tcPr>
          <w:p>
            <w:pPr>
              <w:jc w:val="right"/>
              <w:spacing w:after="0"/>
              <w:rPr>
                <w:sz w:val="20"/>
                <w:szCs w:val="20"/>
                <w:color w:val="auto"/>
              </w:rPr>
            </w:pPr>
            <w:r>
              <w:rPr>
                <w:rFonts w:ascii="Arial" w:cs="Arial" w:eastAsia="Arial" w:hAnsi="Arial"/>
                <w:sz w:val="16"/>
                <w:szCs w:val="16"/>
                <w:color w:val="auto"/>
              </w:rPr>
              <w:t>99 %</w:t>
            </w:r>
          </w:p>
        </w:tc>
        <w:tc>
          <w:tcPr>
            <w:tcW w:w="420" w:type="dxa"/>
            <w:vAlign w:val="bottom"/>
            <w:gridSpan w:val="2"/>
          </w:tcPr>
          <w:p>
            <w:pPr>
              <w:ind w:left="120"/>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2"/>
              <w:spacing w:after="0"/>
              <w:rPr>
                <w:sz w:val="20"/>
                <w:szCs w:val="20"/>
                <w:color w:val="auto"/>
              </w:rPr>
            </w:pPr>
            <w:r>
              <w:rPr>
                <w:rFonts w:ascii="Arial" w:cs="Arial" w:eastAsia="Arial" w:hAnsi="Arial"/>
                <w:sz w:val="16"/>
                <w:szCs w:val="16"/>
                <w:color w:val="auto"/>
              </w:rPr>
              <w:t>3,188</w:t>
            </w:r>
          </w:p>
        </w:tc>
        <w:tc>
          <w:tcPr>
            <w:tcW w:w="1220" w:type="dxa"/>
            <w:vAlign w:val="bottom"/>
            <w:gridSpan w:val="2"/>
          </w:tcPr>
          <w:p>
            <w:pPr>
              <w:jc w:val="right"/>
              <w:spacing w:after="0"/>
              <w:rPr>
                <w:sz w:val="20"/>
                <w:szCs w:val="20"/>
                <w:color w:val="auto"/>
              </w:rPr>
            </w:pPr>
            <w:r>
              <w:rPr>
                <w:rFonts w:ascii="Arial" w:cs="Arial" w:eastAsia="Arial" w:hAnsi="Arial"/>
                <w:sz w:val="16"/>
                <w:szCs w:val="16"/>
                <w:color w:val="auto"/>
              </w:rPr>
              <w:t>97 %</w:t>
            </w:r>
          </w:p>
        </w:tc>
        <w:tc>
          <w:tcPr>
            <w:tcW w:w="0" w:type="dxa"/>
            <w:vAlign w:val="bottom"/>
          </w:tcPr>
          <w:p>
            <w:pPr>
              <w:spacing w:after="0"/>
              <w:rPr>
                <w:sz w:val="1"/>
                <w:szCs w:val="1"/>
                <w:color w:val="auto"/>
              </w:rPr>
            </w:pPr>
          </w:p>
        </w:tc>
      </w:tr>
      <w:tr>
        <w:trPr>
          <w:trHeight w:val="242"/>
        </w:trPr>
        <w:tc>
          <w:tcPr>
            <w:tcW w:w="5120" w:type="dxa"/>
            <w:vAlign w:val="bottom"/>
          </w:tcPr>
          <w:p>
            <w:pPr>
              <w:spacing w:after="0"/>
              <w:rPr>
                <w:sz w:val="20"/>
                <w:szCs w:val="20"/>
                <w:color w:val="auto"/>
              </w:rPr>
            </w:pPr>
            <w:r>
              <w:rPr>
                <w:rFonts w:ascii="Arial" w:cs="Arial" w:eastAsia="Arial" w:hAnsi="Arial"/>
                <w:sz w:val="16"/>
                <w:szCs w:val="16"/>
                <w:color w:val="auto"/>
              </w:rPr>
              <w:t>Non-performing</w:t>
            </w:r>
          </w:p>
        </w:tc>
        <w:tc>
          <w:tcPr>
            <w:tcW w:w="160" w:type="dxa"/>
            <w:vAlign w:val="bottom"/>
          </w:tcPr>
          <w:p>
            <w:pPr>
              <w:spacing w:after="0"/>
              <w:rPr>
                <w:sz w:val="21"/>
                <w:szCs w:val="21"/>
                <w:color w:val="auto"/>
              </w:rPr>
            </w:pPr>
          </w:p>
        </w:tc>
        <w:tc>
          <w:tcPr>
            <w:tcW w:w="1000" w:type="dxa"/>
            <w:vAlign w:val="bottom"/>
          </w:tcPr>
          <w:p>
            <w:pPr>
              <w:jc w:val="right"/>
              <w:ind w:right="2"/>
              <w:spacing w:after="0"/>
              <w:rPr>
                <w:sz w:val="20"/>
                <w:szCs w:val="20"/>
                <w:color w:val="auto"/>
              </w:rPr>
            </w:pPr>
            <w:r>
              <w:rPr>
                <w:rFonts w:ascii="Arial" w:cs="Arial" w:eastAsia="Arial" w:hAnsi="Arial"/>
                <w:sz w:val="16"/>
                <w:szCs w:val="16"/>
                <w:color w:val="auto"/>
              </w:rPr>
              <w:t>67</w:t>
            </w:r>
          </w:p>
        </w:tc>
        <w:tc>
          <w:tcPr>
            <w:tcW w:w="1260" w:type="dxa"/>
            <w:vAlign w:val="bottom"/>
            <w:gridSpan w:val="2"/>
          </w:tcPr>
          <w:p>
            <w:pPr>
              <w:jc w:val="right"/>
              <w:ind w:right="122"/>
              <w:spacing w:after="0"/>
              <w:rPr>
                <w:sz w:val="20"/>
                <w:szCs w:val="20"/>
                <w:color w:val="auto"/>
              </w:rPr>
            </w:pPr>
            <w:r>
              <w:rPr>
                <w:rFonts w:ascii="Arial" w:cs="Arial" w:eastAsia="Arial" w:hAnsi="Arial"/>
                <w:sz w:val="16"/>
                <w:szCs w:val="16"/>
                <w:color w:val="auto"/>
              </w:rPr>
              <w:t>1</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20" w:type="dxa"/>
            <w:vAlign w:val="bottom"/>
          </w:tcPr>
          <w:p>
            <w:pPr>
              <w:jc w:val="right"/>
              <w:ind w:right="2"/>
              <w:spacing w:after="0"/>
              <w:rPr>
                <w:sz w:val="20"/>
                <w:szCs w:val="20"/>
                <w:color w:val="auto"/>
              </w:rPr>
            </w:pPr>
            <w:r>
              <w:rPr>
                <w:rFonts w:ascii="Arial" w:cs="Arial" w:eastAsia="Arial" w:hAnsi="Arial"/>
                <w:sz w:val="16"/>
                <w:szCs w:val="16"/>
                <w:color w:val="auto"/>
              </w:rPr>
              <w:t>86</w:t>
            </w:r>
          </w:p>
        </w:tc>
        <w:tc>
          <w:tcPr>
            <w:tcW w:w="1220" w:type="dxa"/>
            <w:vAlign w:val="bottom"/>
            <w:gridSpan w:val="2"/>
          </w:tcPr>
          <w:p>
            <w:pPr>
              <w:jc w:val="right"/>
              <w:ind w:right="102"/>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181"/>
        </w:trPr>
        <w:tc>
          <w:tcPr>
            <w:tcW w:w="5120" w:type="dxa"/>
            <w:vAlign w:val="bottom"/>
          </w:tcPr>
          <w:p>
            <w:pPr>
              <w:spacing w:after="0" w:line="181" w:lineRule="exact"/>
              <w:rPr>
                <w:sz w:val="20"/>
                <w:szCs w:val="20"/>
                <w:color w:val="auto"/>
              </w:rPr>
            </w:pPr>
            <w:r>
              <w:rPr>
                <w:rFonts w:ascii="Arial" w:cs="Arial" w:eastAsia="Arial" w:hAnsi="Arial"/>
                <w:sz w:val="16"/>
                <w:szCs w:val="16"/>
                <w:b w:val="1"/>
                <w:bCs w:val="1"/>
                <w:color w:val="auto"/>
              </w:rPr>
              <w:t>Total RMLs, gross of valuation allowance</w:t>
            </w:r>
          </w:p>
        </w:tc>
        <w:tc>
          <w:tcPr>
            <w:tcW w:w="160" w:type="dxa"/>
            <w:vAlign w:val="bottom"/>
            <w:tcBorders>
              <w:top w:val="single" w:sz="8" w:color="auto"/>
            </w:tcBorders>
          </w:tcPr>
          <w:p>
            <w:pPr>
              <w:ind w:left="40"/>
              <w:spacing w:after="0" w:line="181" w:lineRule="exact"/>
              <w:rPr>
                <w:sz w:val="20"/>
                <w:szCs w:val="20"/>
                <w:color w:val="auto"/>
              </w:rPr>
            </w:pPr>
            <w:r>
              <w:rPr>
                <w:rFonts w:ascii="Arial" w:cs="Arial" w:eastAsia="Arial" w:hAnsi="Arial"/>
                <w:sz w:val="16"/>
                <w:szCs w:val="16"/>
                <w:color w:val="auto"/>
              </w:rPr>
              <w:t>$</w:t>
            </w:r>
          </w:p>
        </w:tc>
        <w:tc>
          <w:tcPr>
            <w:tcW w:w="1000" w:type="dxa"/>
            <w:vAlign w:val="bottom"/>
            <w:tcBorders>
              <w:top w:val="single" w:sz="8" w:color="auto"/>
            </w:tcBorders>
          </w:tcPr>
          <w:p>
            <w:pPr>
              <w:jc w:val="right"/>
              <w:ind w:right="2"/>
              <w:spacing w:after="0" w:line="181" w:lineRule="exact"/>
              <w:rPr>
                <w:sz w:val="20"/>
                <w:szCs w:val="20"/>
                <w:color w:val="auto"/>
              </w:rPr>
            </w:pPr>
            <w:r>
              <w:rPr>
                <w:rFonts w:ascii="Arial" w:cs="Arial" w:eastAsia="Arial" w:hAnsi="Arial"/>
                <w:sz w:val="16"/>
                <w:szCs w:val="16"/>
                <w:color w:val="auto"/>
              </w:rPr>
              <w:t>4,717</w:t>
            </w:r>
          </w:p>
        </w:tc>
        <w:tc>
          <w:tcPr>
            <w:tcW w:w="100" w:type="dxa"/>
            <w:vAlign w:val="bottom"/>
          </w:tcPr>
          <w:p>
            <w:pPr>
              <w:spacing w:after="0"/>
              <w:rPr>
                <w:sz w:val="15"/>
                <w:szCs w:val="15"/>
                <w:color w:val="auto"/>
              </w:rPr>
            </w:pPr>
          </w:p>
        </w:tc>
        <w:tc>
          <w:tcPr>
            <w:tcW w:w="1160" w:type="dxa"/>
            <w:vAlign w:val="bottom"/>
            <w:tcBorders>
              <w:top w:val="single" w:sz="8" w:color="auto"/>
              <w:bottom w:val="single" w:sz="8" w:color="auto"/>
            </w:tcBorders>
          </w:tcPr>
          <w:p>
            <w:pPr>
              <w:jc w:val="right"/>
              <w:spacing w:after="0" w:line="181" w:lineRule="exact"/>
              <w:rPr>
                <w:sz w:val="20"/>
                <w:szCs w:val="20"/>
                <w:color w:val="auto"/>
              </w:rPr>
            </w:pPr>
            <w:r>
              <w:rPr>
                <w:rFonts w:ascii="Arial" w:cs="Arial" w:eastAsia="Arial" w:hAnsi="Arial"/>
                <w:sz w:val="16"/>
                <w:szCs w:val="16"/>
                <w:color w:val="auto"/>
              </w:rPr>
              <w:t>100 %</w:t>
            </w:r>
          </w:p>
        </w:tc>
        <w:tc>
          <w:tcPr>
            <w:tcW w:w="80" w:type="dxa"/>
            <w:vAlign w:val="bottom"/>
          </w:tcPr>
          <w:p>
            <w:pPr>
              <w:spacing w:after="0"/>
              <w:rPr>
                <w:sz w:val="15"/>
                <w:szCs w:val="15"/>
                <w:color w:val="auto"/>
              </w:rPr>
            </w:pPr>
          </w:p>
        </w:tc>
        <w:tc>
          <w:tcPr>
            <w:tcW w:w="340" w:type="dxa"/>
            <w:vAlign w:val="bottom"/>
            <w:tcBorders>
              <w:top w:val="single" w:sz="8" w:color="auto"/>
            </w:tcBorders>
          </w:tcPr>
          <w:p>
            <w:pPr>
              <w:ind w:left="40"/>
              <w:spacing w:after="0" w:line="181" w:lineRule="exact"/>
              <w:rPr>
                <w:sz w:val="20"/>
                <w:szCs w:val="20"/>
                <w:color w:val="auto"/>
              </w:rPr>
            </w:pPr>
            <w:r>
              <w:rPr>
                <w:rFonts w:ascii="Arial" w:cs="Arial" w:eastAsia="Arial" w:hAnsi="Arial"/>
                <w:sz w:val="16"/>
                <w:szCs w:val="16"/>
                <w:color w:val="auto"/>
              </w:rPr>
              <w:t>$</w:t>
            </w:r>
          </w:p>
        </w:tc>
        <w:tc>
          <w:tcPr>
            <w:tcW w:w="820" w:type="dxa"/>
            <w:vAlign w:val="bottom"/>
            <w:tcBorders>
              <w:top w:val="single" w:sz="8" w:color="auto"/>
            </w:tcBorders>
          </w:tcPr>
          <w:p>
            <w:pPr>
              <w:jc w:val="right"/>
              <w:ind w:right="2"/>
              <w:spacing w:after="0" w:line="181" w:lineRule="exact"/>
              <w:rPr>
                <w:sz w:val="20"/>
                <w:szCs w:val="20"/>
                <w:color w:val="auto"/>
              </w:rPr>
            </w:pPr>
            <w:r>
              <w:rPr>
                <w:rFonts w:ascii="Arial" w:cs="Arial" w:eastAsia="Arial" w:hAnsi="Arial"/>
                <w:sz w:val="16"/>
                <w:szCs w:val="16"/>
                <w:color w:val="auto"/>
              </w:rPr>
              <w:t>3,274</w:t>
            </w:r>
          </w:p>
        </w:tc>
        <w:tc>
          <w:tcPr>
            <w:tcW w:w="60" w:type="dxa"/>
            <w:vAlign w:val="bottom"/>
          </w:tcPr>
          <w:p>
            <w:pPr>
              <w:spacing w:after="0"/>
              <w:rPr>
                <w:sz w:val="15"/>
                <w:szCs w:val="15"/>
                <w:color w:val="auto"/>
              </w:rPr>
            </w:pPr>
          </w:p>
        </w:tc>
        <w:tc>
          <w:tcPr>
            <w:tcW w:w="1160" w:type="dxa"/>
            <w:vAlign w:val="bottom"/>
            <w:tcBorders>
              <w:top w:val="single" w:sz="8" w:color="auto"/>
              <w:bottom w:val="single" w:sz="8" w:color="auto"/>
            </w:tcBorders>
          </w:tcPr>
          <w:p>
            <w:pPr>
              <w:jc w:val="right"/>
              <w:spacing w:after="0" w:line="181" w:lineRule="exact"/>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0"/>
        </w:trPr>
        <w:tc>
          <w:tcPr>
            <w:tcW w:w="5120" w:type="dxa"/>
            <w:vAlign w:val="bottom"/>
            <w:vMerge w:val="restart"/>
          </w:tcPr>
          <w:p>
            <w:pPr>
              <w:spacing w:after="0"/>
              <w:rPr>
                <w:sz w:val="20"/>
                <w:szCs w:val="20"/>
                <w:color w:val="auto"/>
              </w:rPr>
            </w:pPr>
            <w:r>
              <w:rPr>
                <w:rFonts w:ascii="Arial" w:cs="Arial" w:eastAsia="Arial" w:hAnsi="Arial"/>
                <w:sz w:val="16"/>
                <w:szCs w:val="16"/>
                <w:color w:val="auto"/>
              </w:rPr>
              <w:t>Allowance for expected loan loss</w:t>
            </w:r>
          </w:p>
        </w:tc>
        <w:tc>
          <w:tcPr>
            <w:tcW w:w="160" w:type="dxa"/>
            <w:vAlign w:val="bottom"/>
          </w:tcPr>
          <w:p>
            <w:pPr>
              <w:spacing w:after="0" w:line="20" w:lineRule="exact"/>
              <w:rPr>
                <w:sz w:val="1"/>
                <w:szCs w:val="1"/>
                <w:color w:val="auto"/>
              </w:rPr>
            </w:pPr>
          </w:p>
        </w:tc>
        <w:tc>
          <w:tcPr>
            <w:tcW w:w="1000" w:type="dxa"/>
            <w:vAlign w:val="bottom"/>
            <w:vMerge w:val="restart"/>
          </w:tcPr>
          <w:p>
            <w:pPr>
              <w:jc w:val="right"/>
              <w:spacing w:after="0"/>
              <w:rPr>
                <w:sz w:val="20"/>
                <w:szCs w:val="20"/>
                <w:color w:val="auto"/>
              </w:rPr>
            </w:pPr>
            <w:r>
              <w:rPr>
                <w:rFonts w:ascii="Arial" w:cs="Arial" w:eastAsia="Arial" w:hAnsi="Arial"/>
                <w:sz w:val="16"/>
                <w:szCs w:val="16"/>
                <w:color w:val="auto"/>
              </w:rPr>
              <w:t>(68)</w:t>
            </w:r>
          </w:p>
        </w:tc>
        <w:tc>
          <w:tcPr>
            <w:tcW w:w="1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(53)</w:t>
            </w:r>
          </w:p>
        </w:tc>
        <w:tc>
          <w:tcPr>
            <w:tcW w:w="6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5120" w:type="dxa"/>
            <w:vAlign w:val="bottom"/>
            <w:vMerge w:val="continue"/>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vMerge w:val="continue"/>
          </w:tcPr>
          <w:p>
            <w:pPr>
              <w:spacing w:after="0"/>
              <w:rPr>
                <w:sz w:val="15"/>
                <w:szCs w:val="15"/>
                <w:color w:val="auto"/>
              </w:rPr>
            </w:pPr>
          </w:p>
        </w:tc>
        <w:tc>
          <w:tcPr>
            <w:tcW w:w="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120" w:type="dxa"/>
            <w:vAlign w:val="bottom"/>
          </w:tcPr>
          <w:p>
            <w:pPr>
              <w:spacing w:after="0"/>
              <w:rPr>
                <w:sz w:val="20"/>
                <w:szCs w:val="20"/>
                <w:color w:val="auto"/>
              </w:rPr>
            </w:pPr>
            <w:r>
              <w:rPr>
                <w:rFonts w:ascii="Arial" w:cs="Arial" w:eastAsia="Arial" w:hAnsi="Arial"/>
                <w:sz w:val="16"/>
                <w:szCs w:val="16"/>
                <w:b w:val="1"/>
                <w:bCs w:val="1"/>
                <w:color w:val="auto"/>
              </w:rPr>
              <w:t>Total RMLs, net of valuation allowance</w:t>
            </w:r>
          </w:p>
        </w:tc>
        <w:tc>
          <w:tcPr>
            <w:tcW w:w="160" w:type="dxa"/>
            <w:vAlign w:val="bottom"/>
          </w:tcPr>
          <w:p>
            <w:pPr>
              <w:ind w:left="40"/>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2"/>
              <w:spacing w:after="0"/>
              <w:rPr>
                <w:sz w:val="20"/>
                <w:szCs w:val="20"/>
                <w:color w:val="auto"/>
              </w:rPr>
            </w:pPr>
            <w:r>
              <w:rPr>
                <w:rFonts w:ascii="Arial" w:cs="Arial" w:eastAsia="Arial" w:hAnsi="Arial"/>
                <w:sz w:val="16"/>
                <w:szCs w:val="16"/>
                <w:color w:val="auto"/>
              </w:rPr>
              <w:t>4,649</w:t>
            </w: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20" w:type="dxa"/>
            <w:vAlign w:val="bottom"/>
            <w:gridSpan w:val="2"/>
          </w:tcPr>
          <w:p>
            <w:pPr>
              <w:ind w:left="120"/>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2"/>
              <w:spacing w:after="0"/>
              <w:rPr>
                <w:sz w:val="20"/>
                <w:szCs w:val="20"/>
                <w:color w:val="auto"/>
              </w:rPr>
            </w:pPr>
            <w:r>
              <w:rPr>
                <w:rFonts w:ascii="Arial" w:cs="Arial" w:eastAsia="Arial" w:hAnsi="Arial"/>
                <w:sz w:val="16"/>
                <w:szCs w:val="16"/>
                <w:color w:val="auto"/>
              </w:rPr>
              <w:t>3,221</w:t>
            </w:r>
          </w:p>
        </w:tc>
        <w:tc>
          <w:tcPr>
            <w:tcW w:w="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-768350</wp:posOffset>
            </wp:positionV>
            <wp:extent cx="6410325" cy="77533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02">
                      <a:extLst>
                        <a:ext uri="{28A0092B-C50C-407E-A947-70E740481C1C}"/>
                      </a:extLst>
                    </a:blip>
                    <a:srcRect/>
                    <a:stretch>
                      <a:fillRect/>
                    </a:stretch>
                  </pic:blipFill>
                  <pic:spPr bwMode="auto">
                    <a:xfrm>
                      <a:off x="0" y="0"/>
                      <a:ext cx="6410325" cy="775335"/>
                    </a:xfrm>
                    <a:prstGeom prst="rect">
                      <a:avLst/>
                    </a:prstGeom>
                    <a:noFill/>
                  </pic:spPr>
                </pic:pic>
              </a:graphicData>
            </a:graphic>
          </wp:anchor>
        </w:drawing>
      </w:r>
    </w:p>
    <w:p>
      <w:pPr>
        <w:spacing w:after="0" w:line="105" w:lineRule="exact"/>
        <w:rPr>
          <w:sz w:val="20"/>
          <w:szCs w:val="20"/>
          <w:color w:val="auto"/>
        </w:rPr>
      </w:pPr>
    </w:p>
    <w:p>
      <w:pPr>
        <w:jc w:val="both"/>
        <w:ind w:firstLine="529"/>
        <w:spacing w:after="0" w:line="258" w:lineRule="auto"/>
        <w:rPr>
          <w:sz w:val="20"/>
          <w:szCs w:val="20"/>
          <w:color w:val="auto"/>
        </w:rPr>
      </w:pPr>
      <w:r>
        <w:rPr>
          <w:rFonts w:ascii="Arial" w:cs="Arial" w:eastAsia="Arial" w:hAnsi="Arial"/>
          <w:sz w:val="20"/>
          <w:szCs w:val="20"/>
          <w:color w:val="auto"/>
        </w:rPr>
        <w:t>An individual loan, or a portion thereof, is charged off when it is determined to be uncollectible. There were no charge offs recorded for RMLs during the year ended December 31, 2025. RMLs segregated by aging of the loans (by year of origination) as of December 31, 2025 and 2024 were as follows, gross of valuation allowances: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2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4"/>
          </w:tcPr>
          <w:p>
            <w:pPr>
              <w:jc w:val="center"/>
              <w:spacing w:after="0"/>
              <w:rPr>
                <w:sz w:val="20"/>
                <w:szCs w:val="20"/>
                <w:color w:val="auto"/>
              </w:rPr>
            </w:pPr>
            <w:r>
              <w:rPr>
                <w:rFonts w:ascii="Arial" w:cs="Arial" w:eastAsia="Arial" w:hAnsi="Arial"/>
                <w:sz w:val="16"/>
                <w:szCs w:val="16"/>
                <w:b w:val="1"/>
                <w:bCs w:val="1"/>
                <w:color w:val="auto"/>
                <w:w w:val="87"/>
              </w:rPr>
              <w:t>December 31, 2025</w:t>
            </w:r>
          </w:p>
        </w:tc>
        <w:tc>
          <w:tcPr>
            <w:tcW w:w="5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r>
      <w:tr>
        <w:trPr>
          <w:trHeight w:val="230"/>
        </w:trPr>
        <w:tc>
          <w:tcPr>
            <w:tcW w:w="42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2640" w:type="dxa"/>
            <w:vAlign w:val="bottom"/>
            <w:tcBorders>
              <w:bottom w:val="single" w:sz="8" w:color="auto"/>
            </w:tcBorders>
            <w:gridSpan w:val="8"/>
          </w:tcPr>
          <w:p>
            <w:pPr>
              <w:jc w:val="center"/>
              <w:ind w:right="23"/>
              <w:spacing w:after="0"/>
              <w:rPr>
                <w:sz w:val="20"/>
                <w:szCs w:val="20"/>
                <w:color w:val="auto"/>
              </w:rPr>
            </w:pPr>
            <w:r>
              <w:rPr>
                <w:rFonts w:ascii="Arial" w:cs="Arial" w:eastAsia="Arial" w:hAnsi="Arial"/>
                <w:sz w:val="16"/>
                <w:szCs w:val="16"/>
                <w:b w:val="1"/>
                <w:bCs w:val="1"/>
                <w:color w:val="auto"/>
                <w:w w:val="91"/>
              </w:rPr>
              <w:t>Amortized Cost by Origination Year</w:t>
            </w:r>
          </w:p>
        </w:tc>
        <w:tc>
          <w:tcPr>
            <w:tcW w:w="6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r>
      <w:tr>
        <w:trPr>
          <w:trHeight w:val="230"/>
        </w:trPr>
        <w:tc>
          <w:tcPr>
            <w:tcW w:w="42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162"/>
              <w:spacing w:after="0"/>
              <w:rPr>
                <w:sz w:val="20"/>
                <w:szCs w:val="20"/>
                <w:color w:val="auto"/>
              </w:rPr>
            </w:pPr>
            <w:r>
              <w:rPr>
                <w:rFonts w:ascii="Arial" w:cs="Arial" w:eastAsia="Arial" w:hAnsi="Arial"/>
                <w:sz w:val="16"/>
                <w:szCs w:val="16"/>
                <w:b w:val="1"/>
                <w:bCs w:val="1"/>
                <w:color w:val="auto"/>
              </w:rPr>
              <w:t>2025</w:t>
            </w:r>
          </w:p>
        </w:tc>
        <w:tc>
          <w:tcPr>
            <w:tcW w:w="2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142"/>
              <w:spacing w:after="0"/>
              <w:rPr>
                <w:sz w:val="20"/>
                <w:szCs w:val="20"/>
                <w:color w:val="auto"/>
              </w:rPr>
            </w:pPr>
            <w:r>
              <w:rPr>
                <w:rFonts w:ascii="Arial" w:cs="Arial" w:eastAsia="Arial" w:hAnsi="Arial"/>
                <w:sz w:val="16"/>
                <w:szCs w:val="16"/>
                <w:b w:val="1"/>
                <w:bCs w:val="1"/>
                <w:color w:val="auto"/>
              </w:rPr>
              <w:t>2024</w:t>
            </w:r>
          </w:p>
        </w:tc>
        <w:tc>
          <w:tcPr>
            <w:tcW w:w="2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c>
          <w:tcPr>
            <w:tcW w:w="2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center"/>
              <w:ind w:right="142"/>
              <w:spacing w:after="0"/>
              <w:rPr>
                <w:sz w:val="20"/>
                <w:szCs w:val="20"/>
                <w:color w:val="auto"/>
              </w:rPr>
            </w:pPr>
            <w:r>
              <w:rPr>
                <w:rFonts w:ascii="Arial" w:cs="Arial" w:eastAsia="Arial" w:hAnsi="Arial"/>
                <w:sz w:val="16"/>
                <w:szCs w:val="16"/>
                <w:b w:val="1"/>
                <w:bCs w:val="1"/>
                <w:color w:val="auto"/>
                <w:w w:val="89"/>
              </w:rPr>
              <w:t>2022</w:t>
            </w:r>
          </w:p>
        </w:tc>
        <w:tc>
          <w:tcPr>
            <w:tcW w:w="2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ind w:right="122"/>
              <w:spacing w:after="0"/>
              <w:rPr>
                <w:sz w:val="20"/>
                <w:szCs w:val="20"/>
                <w:color w:val="auto"/>
              </w:rPr>
            </w:pPr>
            <w:r>
              <w:rPr>
                <w:rFonts w:ascii="Arial" w:cs="Arial" w:eastAsia="Arial" w:hAnsi="Arial"/>
                <w:sz w:val="16"/>
                <w:szCs w:val="16"/>
                <w:b w:val="1"/>
                <w:bCs w:val="1"/>
                <w:color w:val="auto"/>
                <w:w w:val="84"/>
              </w:rPr>
              <w:t>2021</w:t>
            </w:r>
          </w:p>
        </w:tc>
        <w:tc>
          <w:tcPr>
            <w:tcW w:w="2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142"/>
              <w:spacing w:after="0"/>
              <w:rPr>
                <w:sz w:val="20"/>
                <w:szCs w:val="20"/>
                <w:color w:val="auto"/>
              </w:rPr>
            </w:pPr>
            <w:r>
              <w:rPr>
                <w:rFonts w:ascii="Arial" w:cs="Arial" w:eastAsia="Arial" w:hAnsi="Arial"/>
                <w:sz w:val="16"/>
                <w:szCs w:val="16"/>
                <w:b w:val="1"/>
                <w:bCs w:val="1"/>
                <w:color w:val="auto"/>
              </w:rPr>
              <w:t>Prior</w:t>
            </w: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142"/>
              <w:spacing w:after="0"/>
              <w:rPr>
                <w:sz w:val="20"/>
                <w:szCs w:val="20"/>
                <w:color w:val="auto"/>
              </w:rPr>
            </w:pPr>
            <w:r>
              <w:rPr>
                <w:rFonts w:ascii="Arial" w:cs="Arial" w:eastAsia="Arial" w:hAnsi="Arial"/>
                <w:sz w:val="16"/>
                <w:szCs w:val="16"/>
                <w:b w:val="1"/>
                <w:bCs w:val="1"/>
                <w:color w:val="auto"/>
              </w:rPr>
              <w:t>Total</w:t>
            </w:r>
          </w:p>
        </w:tc>
      </w:tr>
      <w:tr>
        <w:trPr>
          <w:trHeight w:val="223"/>
        </w:trPr>
        <w:tc>
          <w:tcPr>
            <w:tcW w:w="4280" w:type="dxa"/>
            <w:vAlign w:val="bottom"/>
          </w:tcPr>
          <w:p>
            <w:pPr>
              <w:ind w:left="40"/>
              <w:spacing w:after="0"/>
              <w:rPr>
                <w:sz w:val="20"/>
                <w:szCs w:val="20"/>
                <w:color w:val="auto"/>
              </w:rPr>
            </w:pPr>
            <w:r>
              <w:rPr>
                <w:rFonts w:ascii="Arial" w:cs="Arial" w:eastAsia="Arial" w:hAnsi="Arial"/>
                <w:sz w:val="16"/>
                <w:szCs w:val="16"/>
                <w:b w:val="1"/>
                <w:bCs w:val="1"/>
                <w:color w:val="auto"/>
              </w:rPr>
              <w:t>RMLs</w:t>
            </w:r>
          </w:p>
        </w:tc>
        <w:tc>
          <w:tcPr>
            <w:tcW w:w="2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gridSpan w:val="2"/>
          </w:tcPr>
          <w:p>
            <w:pPr>
              <w:jc w:val="center"/>
              <w:spacing w:after="0"/>
              <w:rPr>
                <w:sz w:val="20"/>
                <w:szCs w:val="20"/>
                <w:color w:val="auto"/>
              </w:rPr>
            </w:pPr>
            <w:r>
              <w:rPr>
                <w:rFonts w:ascii="Arial" w:cs="Arial" w:eastAsia="Arial" w:hAnsi="Arial"/>
                <w:sz w:val="16"/>
                <w:szCs w:val="16"/>
                <w:b w:val="1"/>
                <w:bCs w:val="1"/>
                <w:color w:val="auto"/>
                <w:w w:val="91"/>
              </w:rPr>
              <w:t>(In millions)</w:t>
            </w:r>
          </w:p>
        </w:tc>
        <w:tc>
          <w:tcPr>
            <w:tcW w:w="2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r>
      <w:tr>
        <w:trPr>
          <w:trHeight w:val="250"/>
        </w:trPr>
        <w:tc>
          <w:tcPr>
            <w:tcW w:w="4280" w:type="dxa"/>
            <w:vAlign w:val="bottom"/>
          </w:tcPr>
          <w:p>
            <w:pPr>
              <w:ind w:left="40"/>
              <w:spacing w:after="0"/>
              <w:rPr>
                <w:sz w:val="20"/>
                <w:szCs w:val="20"/>
                <w:color w:val="auto"/>
              </w:rPr>
            </w:pPr>
            <w:r>
              <w:rPr>
                <w:rFonts w:ascii="Arial" w:cs="Arial" w:eastAsia="Arial" w:hAnsi="Arial"/>
                <w:sz w:val="16"/>
                <w:szCs w:val="16"/>
                <w:color w:val="auto"/>
              </w:rPr>
              <w:t>Current (less than 30 days past due)</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1,568</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736</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600" w:type="dxa"/>
            <w:vAlign w:val="bottom"/>
            <w:gridSpan w:val="2"/>
          </w:tcPr>
          <w:p>
            <w:pPr>
              <w:jc w:val="right"/>
              <w:spacing w:after="0"/>
              <w:rPr>
                <w:sz w:val="20"/>
                <w:szCs w:val="20"/>
                <w:color w:val="auto"/>
              </w:rPr>
            </w:pPr>
            <w:r>
              <w:rPr>
                <w:rFonts w:ascii="Arial" w:cs="Arial" w:eastAsia="Arial" w:hAnsi="Arial"/>
                <w:sz w:val="16"/>
                <w:szCs w:val="16"/>
                <w:color w:val="auto"/>
              </w:rPr>
              <w:t>327</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ind w:right="2"/>
              <w:spacing w:after="0"/>
              <w:rPr>
                <w:sz w:val="20"/>
                <w:szCs w:val="20"/>
                <w:color w:val="auto"/>
              </w:rPr>
            </w:pPr>
            <w:r>
              <w:rPr>
                <w:rFonts w:ascii="Arial" w:cs="Arial" w:eastAsia="Arial" w:hAnsi="Arial"/>
                <w:sz w:val="16"/>
                <w:szCs w:val="16"/>
                <w:color w:val="auto"/>
              </w:rPr>
              <w:t>798</w:t>
            </w:r>
          </w:p>
        </w:tc>
        <w:tc>
          <w:tcPr>
            <w:tcW w:w="220" w:type="dxa"/>
            <w:vAlign w:val="bottom"/>
          </w:tcPr>
          <w:p>
            <w:pPr>
              <w:jc w:val="right"/>
              <w:ind w:right="42"/>
              <w:spacing w:after="0"/>
              <w:rPr>
                <w:sz w:val="20"/>
                <w:szCs w:val="20"/>
                <w:color w:val="auto"/>
              </w:rPr>
            </w:pPr>
            <w:r>
              <w:rPr>
                <w:rFonts w:ascii="Arial" w:cs="Arial" w:eastAsia="Arial" w:hAnsi="Arial"/>
                <w:sz w:val="16"/>
                <w:szCs w:val="16"/>
                <w:color w:val="auto"/>
                <w:w w:val="89"/>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731</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419</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4,579</w:t>
            </w:r>
          </w:p>
        </w:tc>
      </w:tr>
      <w:tr>
        <w:trPr>
          <w:trHeight w:val="250"/>
        </w:trPr>
        <w:tc>
          <w:tcPr>
            <w:tcW w:w="4280" w:type="dxa"/>
            <w:vAlign w:val="bottom"/>
          </w:tcPr>
          <w:p>
            <w:pPr>
              <w:ind w:left="40"/>
              <w:spacing w:after="0"/>
              <w:rPr>
                <w:sz w:val="20"/>
                <w:szCs w:val="20"/>
                <w:color w:val="auto"/>
              </w:rPr>
            </w:pPr>
            <w:r>
              <w:rPr>
                <w:rFonts w:ascii="Arial" w:cs="Arial" w:eastAsia="Arial" w:hAnsi="Arial"/>
                <w:sz w:val="16"/>
                <w:szCs w:val="16"/>
                <w:color w:val="auto"/>
              </w:rPr>
              <w:t>30-89 days past due</w:t>
            </w:r>
          </w:p>
        </w:tc>
        <w:tc>
          <w:tcPr>
            <w:tcW w:w="20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15</w:t>
            </w:r>
          </w:p>
        </w:tc>
        <w:tc>
          <w:tcPr>
            <w:tcW w:w="2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2</w:t>
            </w:r>
          </w:p>
        </w:tc>
        <w:tc>
          <w:tcPr>
            <w:tcW w:w="220" w:type="dxa"/>
            <w:vAlign w:val="bottom"/>
          </w:tcPr>
          <w:p>
            <w:pPr>
              <w:spacing w:after="0"/>
              <w:rPr>
                <w:sz w:val="21"/>
                <w:szCs w:val="21"/>
                <w:color w:val="auto"/>
              </w:rPr>
            </w:pPr>
          </w:p>
        </w:tc>
        <w:tc>
          <w:tcPr>
            <w:tcW w:w="600" w:type="dxa"/>
            <w:vAlign w:val="bottom"/>
            <w:gridSpan w:val="2"/>
          </w:tcPr>
          <w:p>
            <w:pPr>
              <w:jc w:val="right"/>
              <w:spacing w:after="0"/>
              <w:rPr>
                <w:sz w:val="20"/>
                <w:szCs w:val="20"/>
                <w:color w:val="auto"/>
              </w:rPr>
            </w:pPr>
            <w:r>
              <w:rPr>
                <w:rFonts w:ascii="Arial" w:cs="Arial" w:eastAsia="Arial" w:hAnsi="Arial"/>
                <w:sz w:val="16"/>
                <w:szCs w:val="16"/>
                <w:color w:val="auto"/>
              </w:rPr>
              <w:t>17</w:t>
            </w:r>
          </w:p>
        </w:tc>
        <w:tc>
          <w:tcPr>
            <w:tcW w:w="220" w:type="dxa"/>
            <w:vAlign w:val="bottom"/>
          </w:tcPr>
          <w:p>
            <w:pPr>
              <w:spacing w:after="0"/>
              <w:rPr>
                <w:sz w:val="21"/>
                <w:szCs w:val="21"/>
                <w:color w:val="auto"/>
              </w:rPr>
            </w:pPr>
          </w:p>
        </w:tc>
        <w:tc>
          <w:tcPr>
            <w:tcW w:w="660" w:type="dxa"/>
            <w:vAlign w:val="bottom"/>
          </w:tcPr>
          <w:p>
            <w:pPr>
              <w:jc w:val="right"/>
              <w:ind w:right="2"/>
              <w:spacing w:after="0"/>
              <w:rPr>
                <w:sz w:val="20"/>
                <w:szCs w:val="20"/>
                <w:color w:val="auto"/>
              </w:rPr>
            </w:pPr>
            <w:r>
              <w:rPr>
                <w:rFonts w:ascii="Arial" w:cs="Arial" w:eastAsia="Arial" w:hAnsi="Arial"/>
                <w:sz w:val="16"/>
                <w:szCs w:val="16"/>
                <w:color w:val="auto"/>
              </w:rPr>
              <w:t>29</w:t>
            </w:r>
          </w:p>
        </w:tc>
        <w:tc>
          <w:tcPr>
            <w:tcW w:w="22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4</w:t>
            </w:r>
          </w:p>
        </w:tc>
        <w:tc>
          <w:tcPr>
            <w:tcW w:w="2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3</w:t>
            </w:r>
          </w:p>
        </w:tc>
        <w:tc>
          <w:tcPr>
            <w:tcW w:w="18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70</w:t>
            </w:r>
          </w:p>
        </w:tc>
      </w:tr>
      <w:tr>
        <w:trPr>
          <w:trHeight w:val="257"/>
        </w:trPr>
        <w:tc>
          <w:tcPr>
            <w:tcW w:w="4280" w:type="dxa"/>
            <w:vAlign w:val="bottom"/>
          </w:tcPr>
          <w:p>
            <w:pPr>
              <w:ind w:left="40"/>
              <w:spacing w:after="0"/>
              <w:rPr>
                <w:sz w:val="20"/>
                <w:szCs w:val="20"/>
                <w:color w:val="auto"/>
              </w:rPr>
            </w:pPr>
            <w:r>
              <w:rPr>
                <w:rFonts w:ascii="Arial" w:cs="Arial" w:eastAsia="Arial" w:hAnsi="Arial"/>
                <w:sz w:val="16"/>
                <w:szCs w:val="16"/>
                <w:color w:val="auto"/>
              </w:rPr>
              <w:t>90 days or more past due</w:t>
            </w:r>
          </w:p>
        </w:tc>
        <w:tc>
          <w:tcPr>
            <w:tcW w:w="20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20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22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4</w:t>
            </w:r>
          </w:p>
        </w:tc>
        <w:tc>
          <w:tcPr>
            <w:tcW w:w="22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12</w:t>
            </w:r>
          </w:p>
        </w:tc>
        <w:tc>
          <w:tcPr>
            <w:tcW w:w="22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w:t>
            </w:r>
          </w:p>
        </w:tc>
        <w:tc>
          <w:tcPr>
            <w:tcW w:w="20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w:t>
            </w:r>
          </w:p>
        </w:tc>
        <w:tc>
          <w:tcPr>
            <w:tcW w:w="18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w:t>
            </w:r>
          </w:p>
        </w:tc>
      </w:tr>
      <w:tr>
        <w:trPr>
          <w:trHeight w:val="250"/>
        </w:trPr>
        <w:tc>
          <w:tcPr>
            <w:tcW w:w="4280" w:type="dxa"/>
            <w:vAlign w:val="bottom"/>
            <w:tcBorders>
              <w:bottom w:val="single" w:sz="8" w:color="DEDEDE"/>
            </w:tcBorders>
          </w:tcPr>
          <w:p>
            <w:pPr>
              <w:ind w:left="40"/>
              <w:spacing w:after="0"/>
              <w:rPr>
                <w:sz w:val="20"/>
                <w:szCs w:val="20"/>
                <w:color w:val="auto"/>
              </w:rPr>
            </w:pPr>
            <w:r>
              <w:rPr>
                <w:rFonts w:ascii="Arial" w:cs="Arial" w:eastAsia="Arial" w:hAnsi="Arial"/>
                <w:sz w:val="16"/>
                <w:szCs w:val="16"/>
                <w:b w:val="1"/>
                <w:bCs w:val="1"/>
                <w:color w:val="auto"/>
              </w:rPr>
              <w:t>Total RMLS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1,585</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742</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348</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839</w:t>
            </w:r>
          </w:p>
        </w:tc>
        <w:tc>
          <w:tcPr>
            <w:tcW w:w="22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756</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447</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4,717</w:t>
            </w:r>
          </w:p>
        </w:tc>
      </w:tr>
      <w:tr>
        <w:trPr>
          <w:trHeight w:val="485"/>
        </w:trPr>
        <w:tc>
          <w:tcPr>
            <w:tcW w:w="42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gridSpan w:val="4"/>
          </w:tcPr>
          <w:p>
            <w:pPr>
              <w:jc w:val="center"/>
              <w:spacing w:after="0"/>
              <w:rPr>
                <w:sz w:val="20"/>
                <w:szCs w:val="20"/>
                <w:color w:val="auto"/>
              </w:rPr>
            </w:pPr>
            <w:r>
              <w:rPr>
                <w:rFonts w:ascii="Arial" w:cs="Arial" w:eastAsia="Arial" w:hAnsi="Arial"/>
                <w:sz w:val="16"/>
                <w:szCs w:val="16"/>
                <w:b w:val="1"/>
                <w:bCs w:val="1"/>
                <w:color w:val="auto"/>
                <w:w w:val="87"/>
              </w:rPr>
              <w:t>December 31, 2024</w:t>
            </w:r>
          </w:p>
        </w:tc>
        <w:tc>
          <w:tcPr>
            <w:tcW w:w="5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r>
      <w:tr>
        <w:trPr>
          <w:trHeight w:val="230"/>
        </w:trPr>
        <w:tc>
          <w:tcPr>
            <w:tcW w:w="42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2640" w:type="dxa"/>
            <w:vAlign w:val="bottom"/>
            <w:tcBorders>
              <w:bottom w:val="single" w:sz="8" w:color="auto"/>
            </w:tcBorders>
            <w:gridSpan w:val="8"/>
          </w:tcPr>
          <w:p>
            <w:pPr>
              <w:jc w:val="center"/>
              <w:ind w:right="23"/>
              <w:spacing w:after="0"/>
              <w:rPr>
                <w:sz w:val="20"/>
                <w:szCs w:val="20"/>
                <w:color w:val="auto"/>
              </w:rPr>
            </w:pPr>
            <w:r>
              <w:rPr>
                <w:rFonts w:ascii="Arial" w:cs="Arial" w:eastAsia="Arial" w:hAnsi="Arial"/>
                <w:sz w:val="16"/>
                <w:szCs w:val="16"/>
                <w:b w:val="1"/>
                <w:bCs w:val="1"/>
                <w:color w:val="auto"/>
                <w:w w:val="91"/>
              </w:rPr>
              <w:t>Amortized Cost by Origination Year</w:t>
            </w:r>
          </w:p>
        </w:tc>
        <w:tc>
          <w:tcPr>
            <w:tcW w:w="6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r>
      <w:tr>
        <w:trPr>
          <w:trHeight w:val="230"/>
        </w:trPr>
        <w:tc>
          <w:tcPr>
            <w:tcW w:w="42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162"/>
              <w:spacing w:after="0"/>
              <w:rPr>
                <w:sz w:val="20"/>
                <w:szCs w:val="20"/>
                <w:color w:val="auto"/>
              </w:rPr>
            </w:pPr>
            <w:r>
              <w:rPr>
                <w:rFonts w:ascii="Arial" w:cs="Arial" w:eastAsia="Arial" w:hAnsi="Arial"/>
                <w:sz w:val="16"/>
                <w:szCs w:val="16"/>
                <w:b w:val="1"/>
                <w:bCs w:val="1"/>
                <w:color w:val="auto"/>
              </w:rPr>
              <w:t>2024</w:t>
            </w:r>
          </w:p>
        </w:tc>
        <w:tc>
          <w:tcPr>
            <w:tcW w:w="2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142"/>
              <w:spacing w:after="0"/>
              <w:rPr>
                <w:sz w:val="20"/>
                <w:szCs w:val="20"/>
                <w:color w:val="auto"/>
              </w:rPr>
            </w:pPr>
            <w:r>
              <w:rPr>
                <w:rFonts w:ascii="Arial" w:cs="Arial" w:eastAsia="Arial" w:hAnsi="Arial"/>
                <w:sz w:val="16"/>
                <w:szCs w:val="16"/>
                <w:b w:val="1"/>
                <w:bCs w:val="1"/>
                <w:color w:val="auto"/>
              </w:rPr>
              <w:t>2023</w:t>
            </w:r>
          </w:p>
        </w:tc>
        <w:tc>
          <w:tcPr>
            <w:tcW w:w="2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2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center"/>
              <w:ind w:right="142"/>
              <w:spacing w:after="0"/>
              <w:rPr>
                <w:sz w:val="20"/>
                <w:szCs w:val="20"/>
                <w:color w:val="auto"/>
              </w:rPr>
            </w:pPr>
            <w:r>
              <w:rPr>
                <w:rFonts w:ascii="Arial" w:cs="Arial" w:eastAsia="Arial" w:hAnsi="Arial"/>
                <w:sz w:val="16"/>
                <w:szCs w:val="16"/>
                <w:b w:val="1"/>
                <w:bCs w:val="1"/>
                <w:color w:val="auto"/>
                <w:w w:val="89"/>
              </w:rPr>
              <w:t>2021</w:t>
            </w:r>
          </w:p>
        </w:tc>
        <w:tc>
          <w:tcPr>
            <w:tcW w:w="2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ind w:right="122"/>
              <w:spacing w:after="0"/>
              <w:rPr>
                <w:sz w:val="20"/>
                <w:szCs w:val="20"/>
                <w:color w:val="auto"/>
              </w:rPr>
            </w:pPr>
            <w:r>
              <w:rPr>
                <w:rFonts w:ascii="Arial" w:cs="Arial" w:eastAsia="Arial" w:hAnsi="Arial"/>
                <w:sz w:val="16"/>
                <w:szCs w:val="16"/>
                <w:b w:val="1"/>
                <w:bCs w:val="1"/>
                <w:color w:val="auto"/>
                <w:w w:val="84"/>
              </w:rPr>
              <w:t>2020</w:t>
            </w:r>
          </w:p>
        </w:tc>
        <w:tc>
          <w:tcPr>
            <w:tcW w:w="2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142"/>
              <w:spacing w:after="0"/>
              <w:rPr>
                <w:sz w:val="20"/>
                <w:szCs w:val="20"/>
                <w:color w:val="auto"/>
              </w:rPr>
            </w:pPr>
            <w:r>
              <w:rPr>
                <w:rFonts w:ascii="Arial" w:cs="Arial" w:eastAsia="Arial" w:hAnsi="Arial"/>
                <w:sz w:val="16"/>
                <w:szCs w:val="16"/>
                <w:b w:val="1"/>
                <w:bCs w:val="1"/>
                <w:color w:val="auto"/>
              </w:rPr>
              <w:t>Prior</w:t>
            </w: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142"/>
              <w:spacing w:after="0"/>
              <w:rPr>
                <w:sz w:val="20"/>
                <w:szCs w:val="20"/>
                <w:color w:val="auto"/>
              </w:rPr>
            </w:pPr>
            <w:r>
              <w:rPr>
                <w:rFonts w:ascii="Arial" w:cs="Arial" w:eastAsia="Arial" w:hAnsi="Arial"/>
                <w:sz w:val="16"/>
                <w:szCs w:val="16"/>
                <w:b w:val="1"/>
                <w:bCs w:val="1"/>
                <w:color w:val="auto"/>
              </w:rPr>
              <w:t>Total</w:t>
            </w:r>
          </w:p>
        </w:tc>
      </w:tr>
      <w:tr>
        <w:trPr>
          <w:trHeight w:val="223"/>
        </w:trPr>
        <w:tc>
          <w:tcPr>
            <w:tcW w:w="4280" w:type="dxa"/>
            <w:vAlign w:val="bottom"/>
          </w:tcPr>
          <w:p>
            <w:pPr>
              <w:ind w:left="40"/>
              <w:spacing w:after="0"/>
              <w:rPr>
                <w:sz w:val="20"/>
                <w:szCs w:val="20"/>
                <w:color w:val="auto"/>
              </w:rPr>
            </w:pPr>
            <w:r>
              <w:rPr>
                <w:rFonts w:ascii="Arial" w:cs="Arial" w:eastAsia="Arial" w:hAnsi="Arial"/>
                <w:sz w:val="16"/>
                <w:szCs w:val="16"/>
                <w:b w:val="1"/>
                <w:bCs w:val="1"/>
                <w:color w:val="auto"/>
              </w:rPr>
              <w:t>RMLs</w:t>
            </w:r>
          </w:p>
        </w:tc>
        <w:tc>
          <w:tcPr>
            <w:tcW w:w="2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gridSpan w:val="2"/>
          </w:tcPr>
          <w:p>
            <w:pPr>
              <w:jc w:val="center"/>
              <w:spacing w:after="0"/>
              <w:rPr>
                <w:sz w:val="20"/>
                <w:szCs w:val="20"/>
                <w:color w:val="auto"/>
              </w:rPr>
            </w:pPr>
            <w:r>
              <w:rPr>
                <w:rFonts w:ascii="Arial" w:cs="Arial" w:eastAsia="Arial" w:hAnsi="Arial"/>
                <w:sz w:val="16"/>
                <w:szCs w:val="16"/>
                <w:b w:val="1"/>
                <w:bCs w:val="1"/>
                <w:color w:val="auto"/>
                <w:w w:val="91"/>
              </w:rPr>
              <w:t>(In millions)</w:t>
            </w:r>
          </w:p>
        </w:tc>
        <w:tc>
          <w:tcPr>
            <w:tcW w:w="2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r>
      <w:tr>
        <w:trPr>
          <w:trHeight w:val="250"/>
        </w:trPr>
        <w:tc>
          <w:tcPr>
            <w:tcW w:w="4280" w:type="dxa"/>
            <w:vAlign w:val="bottom"/>
          </w:tcPr>
          <w:p>
            <w:pPr>
              <w:ind w:left="40"/>
              <w:spacing w:after="0"/>
              <w:rPr>
                <w:sz w:val="20"/>
                <w:szCs w:val="20"/>
                <w:color w:val="auto"/>
              </w:rPr>
            </w:pPr>
            <w:r>
              <w:rPr>
                <w:rFonts w:ascii="Arial" w:cs="Arial" w:eastAsia="Arial" w:hAnsi="Arial"/>
                <w:sz w:val="16"/>
                <w:szCs w:val="16"/>
                <w:color w:val="auto"/>
              </w:rPr>
              <w:t>Current (less than 30 days past due)</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610</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368</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600" w:type="dxa"/>
            <w:vAlign w:val="bottom"/>
            <w:gridSpan w:val="2"/>
          </w:tcPr>
          <w:p>
            <w:pPr>
              <w:jc w:val="right"/>
              <w:spacing w:after="0"/>
              <w:rPr>
                <w:sz w:val="20"/>
                <w:szCs w:val="20"/>
                <w:color w:val="auto"/>
              </w:rPr>
            </w:pPr>
            <w:r>
              <w:rPr>
                <w:rFonts w:ascii="Arial" w:cs="Arial" w:eastAsia="Arial" w:hAnsi="Arial"/>
                <w:sz w:val="16"/>
                <w:szCs w:val="16"/>
                <w:color w:val="auto"/>
              </w:rPr>
              <w:t>911</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ind w:right="2"/>
              <w:spacing w:after="0"/>
              <w:rPr>
                <w:sz w:val="20"/>
                <w:szCs w:val="20"/>
                <w:color w:val="auto"/>
              </w:rPr>
            </w:pPr>
            <w:r>
              <w:rPr>
                <w:rFonts w:ascii="Arial" w:cs="Arial" w:eastAsia="Arial" w:hAnsi="Arial"/>
                <w:sz w:val="16"/>
                <w:szCs w:val="16"/>
                <w:color w:val="auto"/>
              </w:rPr>
              <w:t>805</w:t>
            </w:r>
          </w:p>
        </w:tc>
        <w:tc>
          <w:tcPr>
            <w:tcW w:w="220" w:type="dxa"/>
            <w:vAlign w:val="bottom"/>
          </w:tcPr>
          <w:p>
            <w:pPr>
              <w:jc w:val="right"/>
              <w:ind w:right="42"/>
              <w:spacing w:after="0"/>
              <w:rPr>
                <w:sz w:val="20"/>
                <w:szCs w:val="20"/>
                <w:color w:val="auto"/>
              </w:rPr>
            </w:pPr>
            <w:r>
              <w:rPr>
                <w:rFonts w:ascii="Arial" w:cs="Arial" w:eastAsia="Arial" w:hAnsi="Arial"/>
                <w:sz w:val="16"/>
                <w:szCs w:val="16"/>
                <w:color w:val="auto"/>
                <w:w w:val="89"/>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162</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312</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3,168</w:t>
            </w:r>
          </w:p>
        </w:tc>
      </w:tr>
      <w:tr>
        <w:trPr>
          <w:trHeight w:val="250"/>
        </w:trPr>
        <w:tc>
          <w:tcPr>
            <w:tcW w:w="4280" w:type="dxa"/>
            <w:vAlign w:val="bottom"/>
          </w:tcPr>
          <w:p>
            <w:pPr>
              <w:ind w:left="40"/>
              <w:spacing w:after="0"/>
              <w:rPr>
                <w:sz w:val="20"/>
                <w:szCs w:val="20"/>
                <w:color w:val="auto"/>
              </w:rPr>
            </w:pPr>
            <w:r>
              <w:rPr>
                <w:rFonts w:ascii="Arial" w:cs="Arial" w:eastAsia="Arial" w:hAnsi="Arial"/>
                <w:sz w:val="16"/>
                <w:szCs w:val="16"/>
                <w:color w:val="auto"/>
              </w:rPr>
              <w:t>30-89 days past due</w:t>
            </w:r>
          </w:p>
        </w:tc>
        <w:tc>
          <w:tcPr>
            <w:tcW w:w="20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w:t>
            </w:r>
          </w:p>
        </w:tc>
        <w:tc>
          <w:tcPr>
            <w:tcW w:w="2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6</w:t>
            </w:r>
          </w:p>
        </w:tc>
        <w:tc>
          <w:tcPr>
            <w:tcW w:w="220" w:type="dxa"/>
            <w:vAlign w:val="bottom"/>
          </w:tcPr>
          <w:p>
            <w:pPr>
              <w:spacing w:after="0"/>
              <w:rPr>
                <w:sz w:val="21"/>
                <w:szCs w:val="21"/>
                <w:color w:val="auto"/>
              </w:rPr>
            </w:pPr>
          </w:p>
        </w:tc>
        <w:tc>
          <w:tcPr>
            <w:tcW w:w="600" w:type="dxa"/>
            <w:vAlign w:val="bottom"/>
            <w:gridSpan w:val="2"/>
          </w:tcPr>
          <w:p>
            <w:pPr>
              <w:jc w:val="right"/>
              <w:spacing w:after="0"/>
              <w:rPr>
                <w:sz w:val="20"/>
                <w:szCs w:val="20"/>
                <w:color w:val="auto"/>
              </w:rPr>
            </w:pPr>
            <w:r>
              <w:rPr>
                <w:rFonts w:ascii="Arial" w:cs="Arial" w:eastAsia="Arial" w:hAnsi="Arial"/>
                <w:sz w:val="16"/>
                <w:szCs w:val="16"/>
                <w:color w:val="auto"/>
              </w:rPr>
              <w:t>4</w:t>
            </w:r>
          </w:p>
        </w:tc>
        <w:tc>
          <w:tcPr>
            <w:tcW w:w="220" w:type="dxa"/>
            <w:vAlign w:val="bottom"/>
          </w:tcPr>
          <w:p>
            <w:pPr>
              <w:spacing w:after="0"/>
              <w:rPr>
                <w:sz w:val="21"/>
                <w:szCs w:val="21"/>
                <w:color w:val="auto"/>
              </w:rPr>
            </w:pPr>
          </w:p>
        </w:tc>
        <w:tc>
          <w:tcPr>
            <w:tcW w:w="660" w:type="dxa"/>
            <w:vAlign w:val="bottom"/>
          </w:tcPr>
          <w:p>
            <w:pPr>
              <w:jc w:val="right"/>
              <w:ind w:right="2"/>
              <w:spacing w:after="0"/>
              <w:rPr>
                <w:sz w:val="20"/>
                <w:szCs w:val="20"/>
                <w:color w:val="auto"/>
              </w:rPr>
            </w:pPr>
            <w:r>
              <w:rPr>
                <w:rFonts w:ascii="Arial" w:cs="Arial" w:eastAsia="Arial" w:hAnsi="Arial"/>
                <w:sz w:val="16"/>
                <w:szCs w:val="16"/>
                <w:color w:val="auto"/>
              </w:rPr>
              <w:t>6</w:t>
            </w:r>
          </w:p>
        </w:tc>
        <w:tc>
          <w:tcPr>
            <w:tcW w:w="22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1</w:t>
            </w:r>
          </w:p>
        </w:tc>
        <w:tc>
          <w:tcPr>
            <w:tcW w:w="2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3</w:t>
            </w:r>
          </w:p>
        </w:tc>
        <w:tc>
          <w:tcPr>
            <w:tcW w:w="18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21</w:t>
            </w:r>
          </w:p>
        </w:tc>
      </w:tr>
      <w:tr>
        <w:trPr>
          <w:trHeight w:val="257"/>
        </w:trPr>
        <w:tc>
          <w:tcPr>
            <w:tcW w:w="4280" w:type="dxa"/>
            <w:vAlign w:val="bottom"/>
          </w:tcPr>
          <w:p>
            <w:pPr>
              <w:ind w:left="40"/>
              <w:spacing w:after="0"/>
              <w:rPr>
                <w:sz w:val="20"/>
                <w:szCs w:val="20"/>
                <w:color w:val="auto"/>
              </w:rPr>
            </w:pPr>
            <w:r>
              <w:rPr>
                <w:rFonts w:ascii="Arial" w:cs="Arial" w:eastAsia="Arial" w:hAnsi="Arial"/>
                <w:sz w:val="16"/>
                <w:szCs w:val="16"/>
                <w:color w:val="auto"/>
              </w:rPr>
              <w:t>90 days or more past due</w:t>
            </w:r>
          </w:p>
        </w:tc>
        <w:tc>
          <w:tcPr>
            <w:tcW w:w="20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20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22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13</w:t>
            </w:r>
          </w:p>
        </w:tc>
        <w:tc>
          <w:tcPr>
            <w:tcW w:w="22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29</w:t>
            </w:r>
          </w:p>
        </w:tc>
        <w:tc>
          <w:tcPr>
            <w:tcW w:w="22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w:t>
            </w:r>
          </w:p>
        </w:tc>
        <w:tc>
          <w:tcPr>
            <w:tcW w:w="20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w:t>
            </w:r>
          </w:p>
        </w:tc>
        <w:tc>
          <w:tcPr>
            <w:tcW w:w="18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w:t>
            </w:r>
          </w:p>
        </w:tc>
      </w:tr>
      <w:tr>
        <w:trPr>
          <w:trHeight w:val="210"/>
        </w:trPr>
        <w:tc>
          <w:tcPr>
            <w:tcW w:w="4280" w:type="dxa"/>
            <w:vAlign w:val="bottom"/>
          </w:tcPr>
          <w:p>
            <w:pPr>
              <w:ind w:left="40"/>
              <w:spacing w:after="0"/>
              <w:rPr>
                <w:sz w:val="20"/>
                <w:szCs w:val="20"/>
                <w:color w:val="auto"/>
              </w:rPr>
            </w:pPr>
            <w:r>
              <w:rPr>
                <w:rFonts w:ascii="Arial" w:cs="Arial" w:eastAsia="Arial" w:hAnsi="Arial"/>
                <w:sz w:val="16"/>
                <w:szCs w:val="16"/>
                <w:b w:val="1"/>
                <w:bCs w:val="1"/>
                <w:color w:val="auto"/>
              </w:rPr>
              <w:t>Total RMLS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614</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376</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928</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840</w:t>
            </w:r>
          </w:p>
        </w:tc>
        <w:tc>
          <w:tcPr>
            <w:tcW w:w="22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176</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340</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3,274</w:t>
            </w:r>
          </w:p>
        </w:tc>
      </w:tr>
      <w:tr>
        <w:trPr>
          <w:trHeight w:val="20"/>
        </w:trPr>
        <w:tc>
          <w:tcPr>
            <w:tcW w:w="4280" w:type="dxa"/>
            <w:vAlign w:val="bottom"/>
          </w:tcPr>
          <w:p>
            <w:pPr>
              <w:spacing w:after="0" w:line="20" w:lineRule="exact"/>
              <w:rPr>
                <w:sz w:val="1"/>
                <w:szCs w:val="1"/>
                <w:color w:val="auto"/>
              </w:rPr>
            </w:pPr>
          </w:p>
        </w:tc>
        <w:tc>
          <w:tcPr>
            <w:tcW w:w="2240" w:type="dxa"/>
            <w:vAlign w:val="bottom"/>
            <w:tcBorders>
              <w:bottom w:val="single" w:sz="8" w:color="auto"/>
            </w:tcBorders>
            <w:gridSpan w:val="6"/>
          </w:tcPr>
          <w:p>
            <w:pPr>
              <w:spacing w:after="0" w:line="20" w:lineRule="exact"/>
              <w:rPr>
                <w:sz w:val="1"/>
                <w:szCs w:val="1"/>
                <w:color w:val="auto"/>
              </w:rPr>
            </w:pPr>
          </w:p>
        </w:tc>
        <w:tc>
          <w:tcPr>
            <w:tcW w:w="1080" w:type="dxa"/>
            <w:vAlign w:val="bottom"/>
            <w:tcBorders>
              <w:bottom w:val="single" w:sz="8" w:color="auto"/>
            </w:tcBorders>
            <w:gridSpan w:val="3"/>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r>
        <w:trPr>
          <w:trHeight w:val="399"/>
        </w:trPr>
        <w:tc>
          <w:tcPr>
            <w:tcW w:w="7600" w:type="dxa"/>
            <w:vAlign w:val="bottom"/>
            <w:gridSpan w:val="10"/>
          </w:tcPr>
          <w:p>
            <w:pPr>
              <w:ind w:left="340"/>
              <w:spacing w:after="0"/>
              <w:rPr>
                <w:sz w:val="20"/>
                <w:szCs w:val="20"/>
                <w:color w:val="auto"/>
              </w:rPr>
            </w:pPr>
            <w:r>
              <w:rPr>
                <w:rFonts w:ascii="Arial" w:cs="Arial" w:eastAsia="Arial" w:hAnsi="Arial"/>
                <w:sz w:val="20"/>
                <w:szCs w:val="20"/>
                <w:color w:val="auto"/>
                <w:w w:val="91"/>
              </w:rPr>
              <w:t>Non-accrual loans by amortized cost as of December 31, 2025 and 2024 were as follows:</w:t>
            </w: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267"/>
        </w:trPr>
        <w:tc>
          <w:tcPr>
            <w:tcW w:w="42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620" w:type="dxa"/>
            <w:vAlign w:val="bottom"/>
            <w:tcBorders>
              <w:bottom w:val="single" w:sz="8" w:color="auto"/>
            </w:tcBorders>
            <w:gridSpan w:val="4"/>
          </w:tcPr>
          <w:p>
            <w:pPr>
              <w:jc w:val="right"/>
              <w:ind w:right="222"/>
              <w:spacing w:after="0"/>
              <w:rPr>
                <w:sz w:val="20"/>
                <w:szCs w:val="20"/>
                <w:color w:val="auto"/>
              </w:rPr>
            </w:pPr>
            <w:r>
              <w:rPr>
                <w:rFonts w:ascii="Arial" w:cs="Arial" w:eastAsia="Arial" w:hAnsi="Arial"/>
                <w:sz w:val="16"/>
                <w:szCs w:val="16"/>
                <w:b w:val="1"/>
                <w:bCs w:val="1"/>
                <w:color w:val="auto"/>
                <w:w w:val="90"/>
              </w:rPr>
              <w:t>December 31, 2025</w:t>
            </w:r>
          </w:p>
        </w:tc>
        <w:tc>
          <w:tcPr>
            <w:tcW w:w="200" w:type="dxa"/>
            <w:vAlign w:val="bottom"/>
            <w:tcBorders>
              <w:bottom w:val="single" w:sz="8" w:color="auto"/>
            </w:tcBorders>
          </w:tcPr>
          <w:p>
            <w:pPr>
              <w:spacing w:after="0"/>
              <w:rPr>
                <w:sz w:val="23"/>
                <w:szCs w:val="23"/>
                <w:color w:val="auto"/>
              </w:rPr>
            </w:pPr>
          </w:p>
        </w:tc>
        <w:tc>
          <w:tcPr>
            <w:tcW w:w="1500" w:type="dxa"/>
            <w:vAlign w:val="bottom"/>
            <w:tcBorders>
              <w:bottom w:val="single" w:sz="8" w:color="auto"/>
            </w:tcBorders>
            <w:gridSpan w:val="3"/>
          </w:tcPr>
          <w:p>
            <w:pPr>
              <w:jc w:val="right"/>
              <w:ind w:right="162"/>
              <w:spacing w:after="0"/>
              <w:rPr>
                <w:sz w:val="20"/>
                <w:szCs w:val="20"/>
                <w:color w:val="auto"/>
              </w:rPr>
            </w:pPr>
            <w:r>
              <w:rPr>
                <w:rFonts w:ascii="Arial" w:cs="Arial" w:eastAsia="Arial" w:hAnsi="Arial"/>
                <w:sz w:val="16"/>
                <w:szCs w:val="16"/>
                <w:b w:val="1"/>
                <w:bCs w:val="1"/>
                <w:color w:val="auto"/>
                <w:w w:val="86"/>
              </w:rPr>
              <w:t>December 31, 2024</w:t>
            </w:r>
          </w:p>
        </w:tc>
      </w:tr>
      <w:tr>
        <w:trPr>
          <w:trHeight w:val="208"/>
        </w:trPr>
        <w:tc>
          <w:tcPr>
            <w:tcW w:w="4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3"/>
          </w:tcPr>
          <w:p>
            <w:pPr>
              <w:jc w:val="right"/>
              <w:ind w:right="422"/>
              <w:spacing w:after="0"/>
              <w:rPr>
                <w:sz w:val="20"/>
                <w:szCs w:val="20"/>
                <w:color w:val="auto"/>
              </w:rPr>
            </w:pPr>
            <w:r>
              <w:rPr>
                <w:rFonts w:ascii="Arial" w:cs="Arial" w:eastAsia="Arial" w:hAnsi="Arial"/>
                <w:sz w:val="16"/>
                <w:szCs w:val="16"/>
                <w:b w:val="1"/>
                <w:bCs w:val="1"/>
                <w:color w:val="auto"/>
                <w:w w:val="97"/>
              </w:rPr>
              <w:t>(In millions)</w:t>
            </w: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35"/>
        </w:trPr>
        <w:tc>
          <w:tcPr>
            <w:tcW w:w="4280" w:type="dxa"/>
            <w:vAlign w:val="bottom"/>
          </w:tcPr>
          <w:p>
            <w:pPr>
              <w:ind w:left="40"/>
              <w:spacing w:after="0"/>
              <w:rPr>
                <w:sz w:val="20"/>
                <w:szCs w:val="20"/>
                <w:color w:val="auto"/>
              </w:rPr>
            </w:pPr>
            <w:r>
              <w:rPr>
                <w:rFonts w:ascii="Arial" w:cs="Arial" w:eastAsia="Arial" w:hAnsi="Arial"/>
                <w:sz w:val="16"/>
                <w:szCs w:val="16"/>
                <w:color w:val="auto"/>
              </w:rPr>
              <w:t>Residential mortgage</w:t>
            </w:r>
          </w:p>
        </w:tc>
        <w:tc>
          <w:tcPr>
            <w:tcW w:w="2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0" w:type="dxa"/>
            <w:vAlign w:val="bottom"/>
            <w:gridSpan w:val="2"/>
          </w:tcPr>
          <w:p>
            <w:pPr>
              <w:jc w:val="right"/>
              <w:ind w:right="2"/>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20" w:type="dxa"/>
            <w:vAlign w:val="bottom"/>
          </w:tcPr>
          <w:p>
            <w:pPr>
              <w:jc w:val="right"/>
              <w:ind w:right="42"/>
              <w:spacing w:after="0"/>
              <w:rPr>
                <w:sz w:val="20"/>
                <w:szCs w:val="20"/>
                <w:color w:val="auto"/>
              </w:rPr>
            </w:pPr>
            <w:r>
              <w:rPr>
                <w:rFonts w:ascii="Arial" w:cs="Arial" w:eastAsia="Arial" w:hAnsi="Arial"/>
                <w:sz w:val="16"/>
                <w:szCs w:val="16"/>
                <w:color w:val="auto"/>
              </w:rPr>
              <w:t>67</w:t>
            </w: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85</w:t>
            </w:r>
          </w:p>
        </w:tc>
      </w:tr>
      <w:tr>
        <w:trPr>
          <w:trHeight w:val="242"/>
        </w:trPr>
        <w:tc>
          <w:tcPr>
            <w:tcW w:w="4280" w:type="dxa"/>
            <w:vAlign w:val="bottom"/>
          </w:tcPr>
          <w:p>
            <w:pPr>
              <w:ind w:left="40"/>
              <w:spacing w:after="0"/>
              <w:rPr>
                <w:sz w:val="20"/>
                <w:szCs w:val="20"/>
                <w:color w:val="auto"/>
              </w:rPr>
            </w:pPr>
            <w:r>
              <w:rPr>
                <w:rFonts w:ascii="Arial" w:cs="Arial" w:eastAsia="Arial" w:hAnsi="Arial"/>
                <w:sz w:val="16"/>
                <w:szCs w:val="16"/>
                <w:color w:val="auto"/>
              </w:rPr>
              <w:t>Commercial mortgage</w:t>
            </w:r>
          </w:p>
        </w:tc>
        <w:tc>
          <w:tcPr>
            <w:tcW w:w="2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12</w:t>
            </w:r>
          </w:p>
        </w:tc>
        <w:tc>
          <w:tcPr>
            <w:tcW w:w="20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w:t>
            </w:r>
          </w:p>
        </w:tc>
      </w:tr>
      <w:tr>
        <w:trPr>
          <w:trHeight w:val="196"/>
        </w:trPr>
        <w:tc>
          <w:tcPr>
            <w:tcW w:w="4280" w:type="dxa"/>
            <w:vAlign w:val="bottom"/>
          </w:tcPr>
          <w:p>
            <w:pPr>
              <w:ind w:left="40"/>
              <w:spacing w:after="0"/>
              <w:rPr>
                <w:sz w:val="20"/>
                <w:szCs w:val="20"/>
                <w:color w:val="auto"/>
              </w:rPr>
            </w:pPr>
            <w:r>
              <w:rPr>
                <w:rFonts w:ascii="Arial" w:cs="Arial" w:eastAsia="Arial" w:hAnsi="Arial"/>
                <w:sz w:val="16"/>
                <w:szCs w:val="16"/>
                <w:b w:val="1"/>
                <w:bCs w:val="1"/>
                <w:color w:val="auto"/>
              </w:rPr>
              <w:t>Total non-accrual mortgages</w:t>
            </w: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gridSpan w:val="2"/>
          </w:tcPr>
          <w:p>
            <w:pPr>
              <w:jc w:val="right"/>
              <w:ind w:right="2"/>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jc w:val="right"/>
              <w:ind w:right="42"/>
              <w:spacing w:after="0"/>
              <w:rPr>
                <w:sz w:val="20"/>
                <w:szCs w:val="20"/>
                <w:color w:val="auto"/>
              </w:rPr>
            </w:pPr>
            <w:r>
              <w:rPr>
                <w:rFonts w:ascii="Arial" w:cs="Arial" w:eastAsia="Arial" w:hAnsi="Arial"/>
                <w:sz w:val="16"/>
                <w:szCs w:val="16"/>
                <w:color w:val="auto"/>
              </w:rPr>
              <w:t>79</w:t>
            </w: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94</w:t>
            </w:r>
          </w:p>
        </w:tc>
      </w:tr>
      <w:tr>
        <w:trPr>
          <w:trHeight w:val="20"/>
        </w:trPr>
        <w:tc>
          <w:tcPr>
            <w:tcW w:w="4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-3313430</wp:posOffset>
            </wp:positionV>
            <wp:extent cx="6410325" cy="83121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03">
                      <a:extLst>
                        <a:ext uri="{28A0092B-C50C-407E-A947-70E740481C1C}"/>
                      </a:extLst>
                    </a:blip>
                    <a:srcRect/>
                    <a:stretch>
                      <a:fillRect/>
                    </a:stretch>
                  </pic:blipFill>
                  <pic:spPr bwMode="auto">
                    <a:xfrm>
                      <a:off x="0" y="0"/>
                      <a:ext cx="6410325" cy="831215"/>
                    </a:xfrm>
                    <a:prstGeom prst="rect">
                      <a:avLst/>
                    </a:prstGeom>
                    <a:noFill/>
                  </pic:spPr>
                </pic:pic>
              </a:graphicData>
            </a:graphic>
          </wp:anchor>
        </w:drawing>
        <w:drawing>
          <wp:anchor simplePos="0" relativeHeight="251657728" behindDoc="1" locked="0" layoutInCell="0" allowOverlap="1">
            <wp:simplePos x="0" y="0"/>
            <wp:positionH relativeFrom="column">
              <wp:posOffset>-16510</wp:posOffset>
            </wp:positionH>
            <wp:positionV relativeFrom="paragraph">
              <wp:posOffset>-2028190</wp:posOffset>
            </wp:positionV>
            <wp:extent cx="6410325" cy="98996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04">
                      <a:extLst>
                        <a:ext uri="{28A0092B-C50C-407E-A947-70E740481C1C}"/>
                      </a:extLst>
                    </a:blip>
                    <a:srcRect/>
                    <a:stretch>
                      <a:fillRect/>
                    </a:stretch>
                  </pic:blipFill>
                  <pic:spPr bwMode="auto">
                    <a:xfrm>
                      <a:off x="0" y="0"/>
                      <a:ext cx="6410325" cy="989965"/>
                    </a:xfrm>
                    <a:prstGeom prst="rect">
                      <a:avLst/>
                    </a:prstGeom>
                    <a:noFill/>
                  </pic:spPr>
                </pic:pic>
              </a:graphicData>
            </a:graphic>
          </wp:anchor>
        </w:drawing>
        <w:drawing>
          <wp:anchor simplePos="0" relativeHeight="251657728" behindDoc="1" locked="0" layoutInCell="0" allowOverlap="1">
            <wp:simplePos x="0" y="0"/>
            <wp:positionH relativeFrom="column">
              <wp:posOffset>-16510</wp:posOffset>
            </wp:positionH>
            <wp:positionV relativeFrom="paragraph">
              <wp:posOffset>-777875</wp:posOffset>
            </wp:positionV>
            <wp:extent cx="6410325" cy="78486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05">
                      <a:extLst>
                        <a:ext uri="{28A0092B-C50C-407E-A947-70E740481C1C}"/>
                      </a:extLst>
                    </a:blip>
                    <a:srcRect/>
                    <a:stretch>
                      <a:fillRect/>
                    </a:stretch>
                  </pic:blipFill>
                  <pic:spPr bwMode="auto">
                    <a:xfrm>
                      <a:off x="0" y="0"/>
                      <a:ext cx="6410325" cy="784860"/>
                    </a:xfrm>
                    <a:prstGeom prst="rect">
                      <a:avLst/>
                    </a:prstGeom>
                    <a:noFill/>
                  </pic:spPr>
                </pic:pic>
              </a:graphicData>
            </a:graphic>
          </wp:anchor>
        </w:drawing>
      </w:r>
    </w:p>
    <w:p>
      <w:pPr>
        <w:sectPr>
          <w:pgSz w:w="11880" w:h="15480" w:orient="portrait"/>
          <w:cols w:equalWidth="0" w:num="1">
            <w:col w:w="10040"/>
          </w:cols>
          <w:pgMar w:left="920" w:top="860"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140</w:t>
      </w:r>
    </w:p>
    <w:p>
      <w:pPr>
        <w:sectPr>
          <w:pgSz w:w="11880" w:h="15480" w:orient="portrait"/>
          <w:cols w:equalWidth="0" w:num="1">
            <w:col w:w="10040"/>
          </w:cols>
          <w:pgMar w:left="920" w:top="860" w:right="920" w:bottom="0" w:gutter="0" w:footer="0" w:header="0"/>
          <w:type w:val="continuous"/>
        </w:sectPr>
      </w:pPr>
    </w:p>
    <w:bookmarkStart w:id="152" w:name="page153"/>
    <w:bookmarkEnd w:id="152"/>
    <w:p>
      <w:pPr>
        <w:jc w:val="both"/>
        <w:ind w:firstLine="353"/>
        <w:spacing w:after="0" w:line="260" w:lineRule="auto"/>
        <w:rPr>
          <w:sz w:val="20"/>
          <w:szCs w:val="20"/>
          <w:color w:val="auto"/>
        </w:rPr>
      </w:pPr>
      <w:r>
        <w:rPr>
          <w:rFonts w:ascii="Arial" w:cs="Arial" w:eastAsia="Arial" w:hAnsi="Arial"/>
          <w:sz w:val="20"/>
          <w:szCs w:val="20"/>
          <w:color w:val="auto"/>
        </w:rPr>
        <w:t>Immaterial interest income was recognized on non-accrual financing receivables for the years ended December 31, 2025 and 2024.</w:t>
      </w:r>
    </w:p>
    <w:p>
      <w:pPr>
        <w:spacing w:after="0" w:line="51" w:lineRule="exact"/>
        <w:rPr>
          <w:sz w:val="20"/>
          <w:szCs w:val="20"/>
          <w:color w:val="auto"/>
        </w:rPr>
      </w:pPr>
    </w:p>
    <w:p>
      <w:pPr>
        <w:jc w:val="both"/>
        <w:ind w:firstLine="353"/>
        <w:spacing w:after="0" w:line="236" w:lineRule="auto"/>
        <w:rPr>
          <w:sz w:val="20"/>
          <w:szCs w:val="20"/>
          <w:color w:val="auto"/>
        </w:rPr>
      </w:pPr>
      <w:r>
        <w:rPr>
          <w:rFonts w:ascii="Arial" w:cs="Arial" w:eastAsia="Arial" w:hAnsi="Arial"/>
          <w:sz w:val="20"/>
          <w:szCs w:val="20"/>
          <w:color w:val="auto"/>
        </w:rPr>
        <w:t>It is our policy to cease to accrue interest on loans that are delinquent for 90 days or more. For loans less than 90 days delinquent, interest is accrued unless it is determined that the accrued interest is not collectible. If a loan becomes 90 days or more delinquent, it is our general policy to initiate foreclosure proceedings unless a workout arrangement to bring the loan current is in place. As of December 31, 2025 and 2024, we had $79 million and $94 million, respectively, of mortgage loans that were over 90 days past due.</w:t>
      </w:r>
    </w:p>
    <w:p>
      <w:pPr>
        <w:spacing w:after="0" w:line="84" w:lineRule="exact"/>
        <w:rPr>
          <w:sz w:val="20"/>
          <w:szCs w:val="20"/>
          <w:color w:val="auto"/>
        </w:rPr>
      </w:pPr>
    </w:p>
    <w:p>
      <w:pPr>
        <w:jc w:val="both"/>
        <w:ind w:firstLine="353"/>
        <w:spacing w:after="0" w:line="254" w:lineRule="auto"/>
        <w:rPr>
          <w:sz w:val="20"/>
          <w:szCs w:val="20"/>
          <w:color w:val="auto"/>
        </w:rPr>
      </w:pPr>
      <w:r>
        <w:rPr>
          <w:rFonts w:ascii="Arial" w:cs="Arial" w:eastAsia="Arial" w:hAnsi="Arial"/>
          <w:sz w:val="20"/>
          <w:szCs w:val="20"/>
          <w:color w:val="auto"/>
        </w:rPr>
        <w:t>As of December 31, 2025 and 2024 we had $111 million and $81 million, respectively, of residential mortgage loans that were in the process of foreclosure.</w:t>
      </w:r>
    </w:p>
    <w:p>
      <w:pPr>
        <w:spacing w:after="0" w:line="68" w:lineRule="exact"/>
        <w:rPr>
          <w:sz w:val="20"/>
          <w:szCs w:val="20"/>
          <w:color w:val="auto"/>
        </w:rPr>
      </w:pPr>
    </w:p>
    <w:p>
      <w:pPr>
        <w:ind w:left="340"/>
        <w:spacing w:after="0"/>
        <w:rPr>
          <w:sz w:val="20"/>
          <w:szCs w:val="20"/>
          <w:color w:val="auto"/>
        </w:rPr>
      </w:pPr>
      <w:r>
        <w:rPr>
          <w:rFonts w:ascii="Arial" w:cs="Arial" w:eastAsia="Arial" w:hAnsi="Arial"/>
          <w:sz w:val="20"/>
          <w:szCs w:val="20"/>
          <w:b w:val="1"/>
          <w:bCs w:val="1"/>
          <w:i w:val="1"/>
          <w:iCs w:val="1"/>
          <w:color w:val="auto"/>
        </w:rPr>
        <w:t>Loan Modifications</w:t>
      </w:r>
    </w:p>
    <w:p>
      <w:pPr>
        <w:spacing w:after="0" w:line="105" w:lineRule="exact"/>
        <w:rPr>
          <w:sz w:val="20"/>
          <w:szCs w:val="20"/>
          <w:color w:val="auto"/>
        </w:rPr>
      </w:pPr>
    </w:p>
    <w:p>
      <w:pPr>
        <w:jc w:val="both"/>
        <w:ind w:firstLine="353"/>
        <w:spacing w:after="0" w:line="325" w:lineRule="auto"/>
        <w:rPr>
          <w:sz w:val="20"/>
          <w:szCs w:val="20"/>
          <w:color w:val="auto"/>
        </w:rPr>
      </w:pPr>
      <w:r>
        <w:rPr>
          <w:rFonts w:ascii="Arial" w:cs="Arial" w:eastAsia="Arial" w:hAnsi="Arial"/>
          <w:sz w:val="17"/>
          <w:szCs w:val="17"/>
          <w:color w:val="auto"/>
        </w:rPr>
        <w:t>Under certain circumstances, modifications are granted to mortgage loans. Generally, the types of concessions may include interest rate reduction, term extension, payment deferrals, principal forgiveness or a combination of these concessions. We had an immaterial amount of mortgage loans modified during the years ended December 31, 2025 and 2024.</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Allowance for Expected Credit Loss</w:t>
      </w:r>
    </w:p>
    <w:p>
      <w:pPr>
        <w:spacing w:after="0" w:line="130" w:lineRule="exact"/>
        <w:rPr>
          <w:sz w:val="20"/>
          <w:szCs w:val="20"/>
          <w:color w:val="auto"/>
        </w:rPr>
      </w:pPr>
    </w:p>
    <w:p>
      <w:pPr>
        <w:jc w:val="both"/>
        <w:ind w:firstLine="353"/>
        <w:spacing w:after="0" w:line="266" w:lineRule="auto"/>
        <w:rPr>
          <w:sz w:val="20"/>
          <w:szCs w:val="20"/>
          <w:color w:val="auto"/>
        </w:rPr>
      </w:pPr>
      <w:r>
        <w:rPr>
          <w:rFonts w:ascii="Arial" w:cs="Arial" w:eastAsia="Arial" w:hAnsi="Arial"/>
          <w:sz w:val="19"/>
          <w:szCs w:val="19"/>
          <w:color w:val="auto"/>
        </w:rPr>
        <w:t>We estimate expected credit losses for our commercial and residential mortgage loan portfolios using a probability of default/loss given default model. Significant inputs to this model include, where applicable, the loans' current performance, underlying collateral type, location, contractual life, LTV, DSC and Debt to Income or FICO. The model projects losses using a two year reasonable and supportable forecast and then reverts over a three year period to market-wide historical loss experience. Changes in our allowance for expected credit losses on mortgage loans are recognized in Recognized gains and losses, net in the Consolidated Statements of Earnings.</w:t>
      </w:r>
    </w:p>
    <w:p>
      <w:pPr>
        <w:spacing w:after="0" w:line="56" w:lineRule="exact"/>
        <w:rPr>
          <w:sz w:val="20"/>
          <w:szCs w:val="20"/>
          <w:color w:val="auto"/>
        </w:rPr>
      </w:pPr>
    </w:p>
    <w:p>
      <w:pPr>
        <w:ind w:left="340"/>
        <w:spacing w:after="0"/>
        <w:rPr>
          <w:sz w:val="20"/>
          <w:szCs w:val="20"/>
          <w:color w:val="auto"/>
        </w:rPr>
      </w:pPr>
      <w:r>
        <w:rPr>
          <w:rFonts w:ascii="Arial" w:cs="Arial" w:eastAsia="Arial" w:hAnsi="Arial"/>
          <w:sz w:val="20"/>
          <w:szCs w:val="20"/>
          <w:color w:val="auto"/>
        </w:rPr>
        <w:t>The allowances for our mortgage loan portfolio are summarized as follows:</w:t>
      </w:r>
    </w:p>
    <w:p>
      <w:pPr>
        <w:spacing w:after="0" w:line="230" w:lineRule="exact"/>
        <w:rPr>
          <w:sz w:val="20"/>
          <w:szCs w:val="20"/>
          <w:color w:val="auto"/>
        </w:rPr>
      </w:pPr>
    </w:p>
    <w:tbl>
      <w:tblPr>
        <w:tblLayout w:type="fixed"/>
        <w:tblInd w:w="480" w:type="dxa"/>
        <w:tblCellMar>
          <w:top w:w="0" w:type="dxa"/>
          <w:left w:w="0" w:type="dxa"/>
          <w:bottom w:w="0" w:type="dxa"/>
          <w:right w:w="0" w:type="dxa"/>
        </w:tblCellMar>
      </w:tblPr>
      <w:tr>
        <w:trPr>
          <w:trHeight w:val="213"/>
        </w:trPr>
        <w:tc>
          <w:tcPr>
            <w:tcW w:w="36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520" w:type="dxa"/>
            <w:vAlign w:val="bottom"/>
            <w:tcBorders>
              <w:bottom w:val="single" w:sz="8" w:color="auto"/>
            </w:tcBorders>
            <w:gridSpan w:val="6"/>
          </w:tcPr>
          <w:p>
            <w:pPr>
              <w:jc w:val="right"/>
              <w:ind w:right="82"/>
              <w:spacing w:after="0"/>
              <w:rPr>
                <w:sz w:val="20"/>
                <w:szCs w:val="20"/>
                <w:color w:val="auto"/>
              </w:rPr>
            </w:pPr>
            <w:r>
              <w:rPr>
                <w:rFonts w:ascii="Arial" w:cs="Arial" w:eastAsia="Arial" w:hAnsi="Arial"/>
                <w:sz w:val="16"/>
                <w:szCs w:val="16"/>
                <w:b w:val="1"/>
                <w:bCs w:val="1"/>
                <w:color w:val="auto"/>
                <w:w w:val="99"/>
              </w:rPr>
              <w:t>Year ended December 31, 2025</w:t>
            </w:r>
          </w:p>
        </w:tc>
        <w:tc>
          <w:tcPr>
            <w:tcW w:w="28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820" w:type="dxa"/>
            <w:vAlign w:val="bottom"/>
            <w:tcBorders>
              <w:bottom w:val="single" w:sz="8" w:color="auto"/>
            </w:tcBorders>
            <w:gridSpan w:val="7"/>
          </w:tcPr>
          <w:p>
            <w:pPr>
              <w:jc w:val="center"/>
              <w:ind w:right="42"/>
              <w:spacing w:after="0"/>
              <w:rPr>
                <w:sz w:val="20"/>
                <w:szCs w:val="20"/>
                <w:color w:val="auto"/>
              </w:rPr>
            </w:pPr>
            <w:r>
              <w:rPr>
                <w:rFonts w:ascii="Arial" w:cs="Arial" w:eastAsia="Arial" w:hAnsi="Arial"/>
                <w:sz w:val="16"/>
                <w:szCs w:val="16"/>
                <w:b w:val="1"/>
                <w:bCs w:val="1"/>
                <w:color w:val="auto"/>
                <w:w w:val="87"/>
              </w:rPr>
              <w:t>Year ended December 31, 2024</w:t>
            </w:r>
          </w:p>
        </w:tc>
        <w:tc>
          <w:tcPr>
            <w:tcW w:w="0" w:type="dxa"/>
            <w:vAlign w:val="bottom"/>
          </w:tcPr>
          <w:p>
            <w:pPr>
              <w:spacing w:after="0"/>
              <w:rPr>
                <w:sz w:val="1"/>
                <w:szCs w:val="1"/>
                <w:color w:val="auto"/>
              </w:rPr>
            </w:pPr>
          </w:p>
        </w:tc>
      </w:tr>
      <w:tr>
        <w:trPr>
          <w:trHeight w:val="215"/>
        </w:trPr>
        <w:tc>
          <w:tcPr>
            <w:tcW w:w="36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gridSpan w:val="2"/>
          </w:tcPr>
          <w:p>
            <w:pPr>
              <w:ind w:left="40"/>
              <w:spacing w:after="0"/>
              <w:rPr>
                <w:sz w:val="20"/>
                <w:szCs w:val="20"/>
                <w:color w:val="auto"/>
              </w:rPr>
            </w:pPr>
            <w:r>
              <w:rPr>
                <w:rFonts w:ascii="Arial" w:cs="Arial" w:eastAsia="Arial" w:hAnsi="Arial"/>
                <w:sz w:val="16"/>
                <w:szCs w:val="16"/>
                <w:b w:val="1"/>
                <w:bCs w:val="1"/>
                <w:color w:val="auto"/>
                <w:w w:val="93"/>
              </w:rPr>
              <w:t>( In millions)</w:t>
            </w:r>
          </w:p>
        </w:tc>
        <w:tc>
          <w:tcPr>
            <w:tcW w:w="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w w:val="91"/>
              </w:rPr>
              <w:t>( In millions)</w:t>
            </w:r>
          </w:p>
        </w:tc>
        <w:tc>
          <w:tcPr>
            <w:tcW w:w="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7"/>
        </w:trPr>
        <w:tc>
          <w:tcPr>
            <w:tcW w:w="3620" w:type="dxa"/>
            <w:vAlign w:val="bottom"/>
          </w:tcPr>
          <w:p>
            <w:pPr>
              <w:spacing w:after="0"/>
              <w:rPr>
                <w:sz w:val="14"/>
                <w:szCs w:val="14"/>
                <w:color w:val="auto"/>
              </w:rPr>
            </w:pPr>
          </w:p>
        </w:tc>
        <w:tc>
          <w:tcPr>
            <w:tcW w:w="940" w:type="dxa"/>
            <w:vAlign w:val="bottom"/>
            <w:gridSpan w:val="2"/>
          </w:tcPr>
          <w:p>
            <w:pPr>
              <w:jc w:val="right"/>
              <w:ind w:right="22"/>
              <w:spacing w:after="0" w:line="167" w:lineRule="exact"/>
              <w:rPr>
                <w:sz w:val="20"/>
                <w:szCs w:val="20"/>
                <w:color w:val="auto"/>
              </w:rPr>
            </w:pPr>
            <w:r>
              <w:rPr>
                <w:rFonts w:ascii="Arial" w:cs="Arial" w:eastAsia="Arial" w:hAnsi="Arial"/>
                <w:sz w:val="16"/>
                <w:szCs w:val="16"/>
                <w:b w:val="1"/>
                <w:bCs w:val="1"/>
                <w:color w:val="auto"/>
                <w:w w:val="96"/>
              </w:rPr>
              <w:t>Residential</w:t>
            </w:r>
          </w:p>
        </w:tc>
        <w:tc>
          <w:tcPr>
            <w:tcW w:w="60" w:type="dxa"/>
            <w:vAlign w:val="bottom"/>
          </w:tcPr>
          <w:p>
            <w:pPr>
              <w:spacing w:after="0"/>
              <w:rPr>
                <w:sz w:val="14"/>
                <w:szCs w:val="14"/>
                <w:color w:val="auto"/>
              </w:rPr>
            </w:pPr>
          </w:p>
        </w:tc>
        <w:tc>
          <w:tcPr>
            <w:tcW w:w="940" w:type="dxa"/>
            <w:vAlign w:val="bottom"/>
            <w:gridSpan w:val="2"/>
          </w:tcPr>
          <w:p>
            <w:pPr>
              <w:ind w:left="60"/>
              <w:spacing w:after="0" w:line="167" w:lineRule="exact"/>
              <w:rPr>
                <w:sz w:val="20"/>
                <w:szCs w:val="20"/>
                <w:color w:val="auto"/>
              </w:rPr>
            </w:pPr>
            <w:r>
              <w:rPr>
                <w:rFonts w:ascii="Arial" w:cs="Arial" w:eastAsia="Arial" w:hAnsi="Arial"/>
                <w:sz w:val="16"/>
                <w:szCs w:val="16"/>
                <w:b w:val="1"/>
                <w:bCs w:val="1"/>
                <w:color w:val="auto"/>
                <w:w w:val="93"/>
              </w:rPr>
              <w:t>Commercial</w:t>
            </w:r>
          </w:p>
        </w:tc>
        <w:tc>
          <w:tcPr>
            <w:tcW w:w="60" w:type="dxa"/>
            <w:vAlign w:val="bottom"/>
          </w:tcPr>
          <w:p>
            <w:pPr>
              <w:spacing w:after="0"/>
              <w:rPr>
                <w:sz w:val="14"/>
                <w:szCs w:val="14"/>
                <w:color w:val="auto"/>
              </w:rPr>
            </w:pPr>
          </w:p>
        </w:tc>
        <w:tc>
          <w:tcPr>
            <w:tcW w:w="66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Total</w:t>
            </w: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40" w:type="dxa"/>
            <w:vAlign w:val="bottom"/>
            <w:gridSpan w:val="2"/>
          </w:tcPr>
          <w:p>
            <w:pPr>
              <w:jc w:val="right"/>
              <w:ind w:right="22"/>
              <w:spacing w:after="0" w:line="167" w:lineRule="exact"/>
              <w:rPr>
                <w:sz w:val="20"/>
                <w:szCs w:val="20"/>
                <w:color w:val="auto"/>
              </w:rPr>
            </w:pPr>
            <w:r>
              <w:rPr>
                <w:rFonts w:ascii="Arial" w:cs="Arial" w:eastAsia="Arial" w:hAnsi="Arial"/>
                <w:sz w:val="16"/>
                <w:szCs w:val="16"/>
                <w:b w:val="1"/>
                <w:bCs w:val="1"/>
                <w:color w:val="auto"/>
                <w:w w:val="96"/>
              </w:rPr>
              <w:t>Residential</w:t>
            </w:r>
          </w:p>
        </w:tc>
        <w:tc>
          <w:tcPr>
            <w:tcW w:w="60" w:type="dxa"/>
            <w:vAlign w:val="bottom"/>
          </w:tcPr>
          <w:p>
            <w:pPr>
              <w:spacing w:after="0"/>
              <w:rPr>
                <w:sz w:val="14"/>
                <w:szCs w:val="14"/>
                <w:color w:val="auto"/>
              </w:rPr>
            </w:pPr>
          </w:p>
        </w:tc>
        <w:tc>
          <w:tcPr>
            <w:tcW w:w="940" w:type="dxa"/>
            <w:vAlign w:val="bottom"/>
            <w:gridSpan w:val="2"/>
          </w:tcPr>
          <w:p>
            <w:pPr>
              <w:jc w:val="center"/>
              <w:spacing w:after="0" w:line="167" w:lineRule="exact"/>
              <w:rPr>
                <w:sz w:val="20"/>
                <w:szCs w:val="20"/>
                <w:color w:val="auto"/>
              </w:rPr>
            </w:pPr>
            <w:r>
              <w:rPr>
                <w:rFonts w:ascii="Arial" w:cs="Arial" w:eastAsia="Arial" w:hAnsi="Arial"/>
                <w:sz w:val="16"/>
                <w:szCs w:val="16"/>
                <w:b w:val="1"/>
                <w:bCs w:val="1"/>
                <w:color w:val="auto"/>
                <w:w w:val="91"/>
              </w:rPr>
              <w:t>Commercial</w:t>
            </w: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vMerge w:val="restart"/>
          </w:tcPr>
          <w:p>
            <w:pPr>
              <w:jc w:val="right"/>
              <w:ind w:right="202"/>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0"/>
        </w:trPr>
        <w:tc>
          <w:tcPr>
            <w:tcW w:w="36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b w:val="1"/>
                <w:bCs w:val="1"/>
                <w:color w:val="auto"/>
                <w:w w:val="88"/>
              </w:rPr>
              <w:t>Mortgage</w:t>
            </w:r>
          </w:p>
        </w:tc>
        <w:tc>
          <w:tcPr>
            <w:tcW w:w="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b w:val="1"/>
                <w:bCs w:val="1"/>
                <w:color w:val="auto"/>
                <w:w w:val="88"/>
              </w:rPr>
              <w:t>Mortgage</w:t>
            </w:r>
          </w:p>
        </w:tc>
        <w:tc>
          <w:tcPr>
            <w:tcW w:w="60" w:type="dxa"/>
            <w:vAlign w:val="bottom"/>
          </w:tcPr>
          <w:p>
            <w:pPr>
              <w:spacing w:after="0"/>
              <w:rPr>
                <w:sz w:val="18"/>
                <w:szCs w:val="18"/>
                <w:color w:val="auto"/>
              </w:rPr>
            </w:pPr>
          </w:p>
        </w:tc>
        <w:tc>
          <w:tcPr>
            <w:tcW w:w="660" w:type="dxa"/>
            <w:vAlign w:val="bottom"/>
            <w:tcBorders>
              <w:bottom w:val="single" w:sz="8" w:color="auto"/>
            </w:tcBorders>
            <w:vMerge w:val="continue"/>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82"/>
              <w:spacing w:after="0"/>
              <w:rPr>
                <w:sz w:val="20"/>
                <w:szCs w:val="20"/>
                <w:color w:val="auto"/>
              </w:rPr>
            </w:pPr>
            <w:r>
              <w:rPr>
                <w:rFonts w:ascii="Arial" w:cs="Arial" w:eastAsia="Arial" w:hAnsi="Arial"/>
                <w:sz w:val="16"/>
                <w:szCs w:val="16"/>
                <w:b w:val="1"/>
                <w:bCs w:val="1"/>
                <w:color w:val="auto"/>
                <w:w w:val="88"/>
              </w:rPr>
              <w:t>Mortgage</w:t>
            </w:r>
          </w:p>
        </w:tc>
        <w:tc>
          <w:tcPr>
            <w:tcW w:w="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center"/>
              <w:ind w:right="42"/>
              <w:spacing w:after="0"/>
              <w:rPr>
                <w:sz w:val="20"/>
                <w:szCs w:val="20"/>
                <w:color w:val="auto"/>
              </w:rPr>
            </w:pPr>
            <w:r>
              <w:rPr>
                <w:rFonts w:ascii="Arial" w:cs="Arial" w:eastAsia="Arial" w:hAnsi="Arial"/>
                <w:sz w:val="16"/>
                <w:szCs w:val="16"/>
                <w:b w:val="1"/>
                <w:bCs w:val="1"/>
                <w:color w:val="auto"/>
                <w:w w:val="88"/>
              </w:rPr>
              <w:t>Mortgage</w:t>
            </w:r>
          </w:p>
        </w:tc>
        <w:tc>
          <w:tcPr>
            <w:tcW w:w="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11"/>
        </w:trPr>
        <w:tc>
          <w:tcPr>
            <w:tcW w:w="3620" w:type="dxa"/>
            <w:vAlign w:val="bottom"/>
          </w:tcPr>
          <w:p>
            <w:pPr>
              <w:spacing w:after="0"/>
              <w:rPr>
                <w:sz w:val="20"/>
                <w:szCs w:val="20"/>
                <w:color w:val="auto"/>
              </w:rPr>
            </w:pPr>
            <w:r>
              <w:rPr>
                <w:rFonts w:ascii="Arial" w:cs="Arial" w:eastAsia="Arial" w:hAnsi="Arial"/>
                <w:sz w:val="16"/>
                <w:szCs w:val="16"/>
                <w:b w:val="1"/>
                <w:bCs w:val="1"/>
                <w:color w:val="auto"/>
              </w:rPr>
              <w:t>Beginning Balance</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(53)</w:t>
            </w:r>
          </w:p>
        </w:tc>
        <w:tc>
          <w:tcPr>
            <w:tcW w:w="200" w:type="dxa"/>
            <w:vAlign w:val="bottom"/>
            <w:gridSpan w:val="2"/>
          </w:tcPr>
          <w:p>
            <w:pPr>
              <w:ind w:left="100"/>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(17)</w:t>
            </w:r>
          </w:p>
        </w:tc>
        <w:tc>
          <w:tcPr>
            <w:tcW w:w="720" w:type="dxa"/>
            <w:vAlign w:val="bottom"/>
            <w:gridSpan w:val="2"/>
          </w:tcPr>
          <w:p>
            <w:pPr>
              <w:jc w:val="right"/>
              <w:ind w:right="462"/>
              <w:spacing w:after="0"/>
              <w:rPr>
                <w:sz w:val="20"/>
                <w:szCs w:val="20"/>
                <w:color w:val="auto"/>
              </w:rPr>
            </w:pPr>
            <w:r>
              <w:rPr>
                <w:rFonts w:ascii="Arial" w:cs="Arial" w:eastAsia="Arial" w:hAnsi="Arial"/>
                <w:sz w:val="16"/>
                <w:szCs w:val="16"/>
                <w:color w:val="auto"/>
              </w:rPr>
              <w:t>$</w:t>
            </w:r>
          </w:p>
        </w:tc>
        <w:tc>
          <w:tcPr>
            <w:tcW w:w="280" w:type="dxa"/>
            <w:vAlign w:val="bottom"/>
          </w:tcPr>
          <w:p>
            <w:pPr>
              <w:jc w:val="right"/>
              <w:spacing w:after="0"/>
              <w:rPr>
                <w:sz w:val="20"/>
                <w:szCs w:val="20"/>
                <w:color w:val="auto"/>
              </w:rPr>
            </w:pPr>
            <w:r>
              <w:rPr>
                <w:rFonts w:ascii="Arial" w:cs="Arial" w:eastAsia="Arial" w:hAnsi="Arial"/>
                <w:sz w:val="16"/>
                <w:szCs w:val="16"/>
                <w:color w:val="auto"/>
                <w:w w:val="84"/>
              </w:rPr>
              <w:t>(70)</w:t>
            </w:r>
          </w:p>
        </w:tc>
        <w:tc>
          <w:tcPr>
            <w:tcW w:w="1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(54)</w:t>
            </w: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(12)</w:t>
            </w:r>
          </w:p>
        </w:tc>
        <w:tc>
          <w:tcPr>
            <w:tcW w:w="28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(66)</w:t>
            </w:r>
          </w:p>
        </w:tc>
        <w:tc>
          <w:tcPr>
            <w:tcW w:w="0" w:type="dxa"/>
            <w:vAlign w:val="bottom"/>
          </w:tcPr>
          <w:p>
            <w:pPr>
              <w:spacing w:after="0"/>
              <w:rPr>
                <w:sz w:val="1"/>
                <w:szCs w:val="1"/>
                <w:color w:val="auto"/>
              </w:rPr>
            </w:pPr>
          </w:p>
        </w:tc>
      </w:tr>
      <w:tr>
        <w:trPr>
          <w:trHeight w:val="257"/>
        </w:trPr>
        <w:tc>
          <w:tcPr>
            <w:tcW w:w="3620" w:type="dxa"/>
            <w:vAlign w:val="bottom"/>
          </w:tcPr>
          <w:p>
            <w:pPr>
              <w:spacing w:after="0"/>
              <w:rPr>
                <w:sz w:val="20"/>
                <w:szCs w:val="20"/>
                <w:color w:val="auto"/>
              </w:rPr>
            </w:pPr>
            <w:r>
              <w:rPr>
                <w:rFonts w:ascii="Arial" w:cs="Arial" w:eastAsia="Arial" w:hAnsi="Arial"/>
                <w:sz w:val="16"/>
                <w:szCs w:val="16"/>
                <w:color w:val="auto"/>
              </w:rPr>
              <w:t>Provision (expense) benefit for loan losses</w:t>
            </w:r>
          </w:p>
        </w:tc>
        <w:tc>
          <w:tcPr>
            <w:tcW w:w="1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w:t>
            </w:r>
          </w:p>
        </w:tc>
        <w:tc>
          <w:tcPr>
            <w:tcW w:w="6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60" w:type="dxa"/>
            <w:vAlign w:val="bottom"/>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4"/>
              </w:rPr>
              <w:t>(16)</w:t>
            </w:r>
          </w:p>
        </w:tc>
        <w:tc>
          <w:tcPr>
            <w:tcW w:w="6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w:t>
            </w:r>
          </w:p>
        </w:tc>
        <w:tc>
          <w:tcPr>
            <w:tcW w:w="6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c>
          <w:tcPr>
            <w:tcW w:w="6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10"/>
        </w:trPr>
        <w:tc>
          <w:tcPr>
            <w:tcW w:w="3620" w:type="dxa"/>
            <w:vAlign w:val="bottom"/>
          </w:tcPr>
          <w:p>
            <w:pPr>
              <w:spacing w:after="0"/>
              <w:rPr>
                <w:sz w:val="20"/>
                <w:szCs w:val="20"/>
                <w:color w:val="auto"/>
              </w:rPr>
            </w:pPr>
            <w:r>
              <w:rPr>
                <w:rFonts w:ascii="Arial" w:cs="Arial" w:eastAsia="Arial" w:hAnsi="Arial"/>
                <w:sz w:val="16"/>
                <w:szCs w:val="16"/>
                <w:b w:val="1"/>
                <w:bCs w:val="1"/>
                <w:color w:val="auto"/>
              </w:rPr>
              <w:t>Ending Balance</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(68)</w:t>
            </w:r>
          </w:p>
        </w:tc>
        <w:tc>
          <w:tcPr>
            <w:tcW w:w="200" w:type="dxa"/>
            <w:vAlign w:val="bottom"/>
            <w:gridSpan w:val="2"/>
          </w:tcPr>
          <w:p>
            <w:pPr>
              <w:ind w:left="100"/>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(18)</w:t>
            </w:r>
          </w:p>
        </w:tc>
        <w:tc>
          <w:tcPr>
            <w:tcW w:w="720" w:type="dxa"/>
            <w:vAlign w:val="bottom"/>
            <w:gridSpan w:val="2"/>
          </w:tcPr>
          <w:p>
            <w:pPr>
              <w:jc w:val="right"/>
              <w:ind w:right="462"/>
              <w:spacing w:after="0"/>
              <w:rPr>
                <w:sz w:val="20"/>
                <w:szCs w:val="20"/>
                <w:color w:val="auto"/>
              </w:rPr>
            </w:pPr>
            <w:r>
              <w:rPr>
                <w:rFonts w:ascii="Arial" w:cs="Arial" w:eastAsia="Arial" w:hAnsi="Arial"/>
                <w:sz w:val="16"/>
                <w:szCs w:val="16"/>
                <w:color w:val="auto"/>
              </w:rPr>
              <w:t>$</w:t>
            </w:r>
          </w:p>
        </w:tc>
        <w:tc>
          <w:tcPr>
            <w:tcW w:w="280" w:type="dxa"/>
            <w:vAlign w:val="bottom"/>
          </w:tcPr>
          <w:p>
            <w:pPr>
              <w:jc w:val="right"/>
              <w:spacing w:after="0"/>
              <w:rPr>
                <w:sz w:val="20"/>
                <w:szCs w:val="20"/>
                <w:color w:val="auto"/>
              </w:rPr>
            </w:pPr>
            <w:r>
              <w:rPr>
                <w:rFonts w:ascii="Arial" w:cs="Arial" w:eastAsia="Arial" w:hAnsi="Arial"/>
                <w:sz w:val="16"/>
                <w:szCs w:val="16"/>
                <w:color w:val="auto"/>
                <w:w w:val="84"/>
              </w:rPr>
              <w:t>(86)</w:t>
            </w:r>
          </w:p>
        </w:tc>
        <w:tc>
          <w:tcPr>
            <w:tcW w:w="1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(53)</w:t>
            </w: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(17)</w:t>
            </w:r>
          </w:p>
        </w:tc>
        <w:tc>
          <w:tcPr>
            <w:tcW w:w="28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(70)</w:t>
            </w:r>
          </w:p>
        </w:tc>
        <w:tc>
          <w:tcPr>
            <w:tcW w:w="0" w:type="dxa"/>
            <w:vAlign w:val="bottom"/>
          </w:tcPr>
          <w:p>
            <w:pPr>
              <w:spacing w:after="0"/>
              <w:rPr>
                <w:sz w:val="1"/>
                <w:szCs w:val="1"/>
                <w:color w:val="auto"/>
              </w:rPr>
            </w:pPr>
          </w:p>
        </w:tc>
      </w:tr>
      <w:tr>
        <w:trPr>
          <w:trHeight w:val="20"/>
        </w:trPr>
        <w:tc>
          <w:tcPr>
            <w:tcW w:w="36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262890</wp:posOffset>
            </wp:positionH>
            <wp:positionV relativeFrom="paragraph">
              <wp:posOffset>-563245</wp:posOffset>
            </wp:positionV>
            <wp:extent cx="6130290" cy="57023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06">
                      <a:extLst>
                        <a:ext uri="{28A0092B-C50C-407E-A947-70E740481C1C}"/>
                      </a:extLst>
                    </a:blip>
                    <a:srcRect/>
                    <a:stretch>
                      <a:fillRect/>
                    </a:stretch>
                  </pic:blipFill>
                  <pic:spPr bwMode="auto">
                    <a:xfrm>
                      <a:off x="0" y="0"/>
                      <a:ext cx="6130290" cy="570230"/>
                    </a:xfrm>
                    <a:prstGeom prst="rect">
                      <a:avLst/>
                    </a:prstGeom>
                    <a:noFill/>
                  </pic:spPr>
                </pic:pic>
              </a:graphicData>
            </a:graphic>
          </wp:anchor>
        </w:drawing>
      </w:r>
    </w:p>
    <w:p>
      <w:pPr>
        <w:spacing w:after="0" w:line="105" w:lineRule="exact"/>
        <w:rPr>
          <w:sz w:val="20"/>
          <w:szCs w:val="20"/>
          <w:color w:val="auto"/>
        </w:rPr>
      </w:pPr>
    </w:p>
    <w:p>
      <w:pPr>
        <w:jc w:val="both"/>
        <w:ind w:firstLine="353"/>
        <w:spacing w:after="0" w:line="254" w:lineRule="auto"/>
        <w:rPr>
          <w:sz w:val="20"/>
          <w:szCs w:val="20"/>
          <w:color w:val="auto"/>
        </w:rPr>
      </w:pPr>
      <w:r>
        <w:rPr>
          <w:rFonts w:ascii="Arial" w:cs="Arial" w:eastAsia="Arial" w:hAnsi="Arial"/>
          <w:sz w:val="20"/>
          <w:szCs w:val="20"/>
          <w:color w:val="auto"/>
        </w:rPr>
        <w:t>An allowance for expected credit loss is not measured on accrued interest income for commercial mortgage loans as we have a process to write-off interest on loans that enter into non-accrual status (90 days or more past due). Allowances for expected credit losses are measured on accrued interest income for residential mortgage loans and were immaterial as of December 31, 2025 and 2024.</w:t>
      </w:r>
    </w:p>
    <w:p>
      <w:pPr>
        <w:spacing w:after="0" w:line="85" w:lineRule="exact"/>
        <w:rPr>
          <w:sz w:val="20"/>
          <w:szCs w:val="20"/>
          <w:color w:val="auto"/>
        </w:rPr>
      </w:pPr>
    </w:p>
    <w:p>
      <w:pPr>
        <w:jc w:val="both"/>
        <w:ind w:firstLine="353"/>
        <w:spacing w:after="0" w:line="271" w:lineRule="auto"/>
        <w:rPr>
          <w:sz w:val="20"/>
          <w:szCs w:val="20"/>
          <w:color w:val="auto"/>
        </w:rPr>
      </w:pPr>
      <w:r>
        <w:rPr>
          <w:rFonts w:ascii="Arial" w:cs="Arial" w:eastAsia="Arial" w:hAnsi="Arial"/>
          <w:sz w:val="20"/>
          <w:szCs w:val="20"/>
          <w:color w:val="auto"/>
        </w:rPr>
        <w:t>There were no purchases of purchased credit deteriorated mortgage loans during the years ended December 31, 2025 and 2024.</w:t>
      </w:r>
    </w:p>
    <w:p>
      <w:pPr>
        <w:spacing w:after="0" w:line="69" w:lineRule="exact"/>
        <w:rPr>
          <w:sz w:val="20"/>
          <w:szCs w:val="20"/>
          <w:color w:val="auto"/>
        </w:rPr>
      </w:pPr>
    </w:p>
    <w:p>
      <w:pPr>
        <w:jc w:val="both"/>
        <w:ind w:firstLine="353"/>
        <w:spacing w:after="0" w:line="325" w:lineRule="auto"/>
        <w:rPr>
          <w:sz w:val="20"/>
          <w:szCs w:val="20"/>
          <w:color w:val="auto"/>
        </w:rPr>
      </w:pPr>
      <w:r>
        <w:rPr>
          <w:rFonts w:ascii="Arial" w:cs="Arial" w:eastAsia="Arial" w:hAnsi="Arial"/>
          <w:sz w:val="17"/>
          <w:szCs w:val="17"/>
          <w:color w:val="auto"/>
        </w:rPr>
        <w:t>As of December 31, 2025 and 2024, the accrued interest receivable balance on CMLs totaled $11 million and $8 million, respectively, and the accrued interest receivable on RMLs totaled $45 million and $28 million, respectively. Accrued interest receivable is classified within Prepaid expenses and other assets within the Consolidated Balance Sheets.</w:t>
      </w:r>
    </w:p>
    <w:p>
      <w:pPr>
        <w:sectPr>
          <w:pgSz w:w="11880" w:h="15480" w:orient="portrait"/>
          <w:cols w:equalWidth="0" w:num="1">
            <w:col w:w="10040"/>
          </w:cols>
          <w:pgMar w:left="920" w:top="772"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141</w:t>
      </w:r>
    </w:p>
    <w:p>
      <w:pPr>
        <w:sectPr>
          <w:pgSz w:w="11880" w:h="15480" w:orient="portrait"/>
          <w:cols w:equalWidth="0" w:num="1">
            <w:col w:w="10040"/>
          </w:cols>
          <w:pgMar w:left="920" w:top="772" w:right="920" w:bottom="0" w:gutter="0" w:footer="0" w:header="0"/>
          <w:type w:val="continuous"/>
        </w:sectPr>
      </w:pPr>
    </w:p>
    <w:bookmarkStart w:id="153" w:name="page154"/>
    <w:bookmarkEnd w:id="153"/>
    <w:p>
      <w:pPr>
        <w:ind w:left="7"/>
        <w:spacing w:after="0"/>
        <w:rPr>
          <w:sz w:val="20"/>
          <w:szCs w:val="20"/>
          <w:color w:val="auto"/>
        </w:rPr>
      </w:pPr>
      <w:r>
        <w:rPr>
          <w:rFonts w:ascii="Arial" w:cs="Arial" w:eastAsia="Arial" w:hAnsi="Arial"/>
          <w:sz w:val="20"/>
          <w:szCs w:val="20"/>
          <w:b w:val="1"/>
          <w:bCs w:val="1"/>
          <w:i w:val="1"/>
          <w:iCs w:val="1"/>
          <w:color w:val="auto"/>
        </w:rPr>
        <w:t>Interest and Investment Income</w:t>
      </w:r>
    </w:p>
    <w:p>
      <w:pPr>
        <w:spacing w:after="0" w:line="130" w:lineRule="exact"/>
        <w:rPr>
          <w:sz w:val="20"/>
          <w:szCs w:val="20"/>
          <w:color w:val="auto"/>
        </w:rPr>
      </w:pPr>
    </w:p>
    <w:p>
      <w:pPr>
        <w:ind w:left="347"/>
        <w:spacing w:after="0"/>
        <w:rPr>
          <w:sz w:val="20"/>
          <w:szCs w:val="20"/>
          <w:color w:val="auto"/>
        </w:rPr>
      </w:pPr>
      <w:r>
        <w:rPr>
          <w:rFonts w:ascii="Arial" w:cs="Arial" w:eastAsia="Arial" w:hAnsi="Arial"/>
          <w:sz w:val="17"/>
          <w:szCs w:val="17"/>
          <w:color w:val="auto"/>
        </w:rPr>
        <w:t>The major sources of Interest and investment income reported on the Consolidated Statements of Earnings were as follows:</w:t>
      </w:r>
    </w:p>
    <w:p>
      <w:pPr>
        <w:spacing w:after="0" w:line="245" w:lineRule="exact"/>
        <w:rPr>
          <w:sz w:val="20"/>
          <w:szCs w:val="20"/>
          <w:color w:val="auto"/>
        </w:rPr>
      </w:pPr>
    </w:p>
    <w:tbl>
      <w:tblPr>
        <w:tblLayout w:type="fixed"/>
        <w:tblInd w:w="47" w:type="dxa"/>
        <w:tblCellMar>
          <w:top w:w="0" w:type="dxa"/>
          <w:left w:w="0" w:type="dxa"/>
          <w:bottom w:w="0" w:type="dxa"/>
          <w:right w:w="0" w:type="dxa"/>
        </w:tblCellMar>
      </w:tblPr>
      <w:tr>
        <w:trPr>
          <w:trHeight w:val="213"/>
        </w:trPr>
        <w:tc>
          <w:tcPr>
            <w:tcW w:w="65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center"/>
              <w:ind w:right="62"/>
              <w:spacing w:after="0"/>
              <w:rPr>
                <w:sz w:val="20"/>
                <w:szCs w:val="20"/>
                <w:color w:val="auto"/>
              </w:rPr>
            </w:pPr>
            <w:r>
              <w:rPr>
                <w:rFonts w:ascii="Arial" w:cs="Arial" w:eastAsia="Arial" w:hAnsi="Arial"/>
                <w:sz w:val="16"/>
                <w:szCs w:val="16"/>
                <w:b w:val="1"/>
                <w:bCs w:val="1"/>
                <w:color w:val="auto"/>
                <w:w w:val="90"/>
              </w:rPr>
              <w:t>Year ended</w:t>
            </w:r>
          </w:p>
        </w:tc>
        <w:tc>
          <w:tcPr>
            <w:tcW w:w="6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r>
      <w:tr>
        <w:trPr>
          <w:trHeight w:val="182"/>
        </w:trPr>
        <w:tc>
          <w:tcPr>
            <w:tcW w:w="6560" w:type="dxa"/>
            <w:vAlign w:val="bottom"/>
          </w:tcPr>
          <w:p>
            <w:pPr>
              <w:spacing w:after="0"/>
              <w:rPr>
                <w:sz w:val="15"/>
                <w:szCs w:val="15"/>
                <w:color w:val="auto"/>
              </w:rPr>
            </w:pPr>
          </w:p>
        </w:tc>
        <w:tc>
          <w:tcPr>
            <w:tcW w:w="1120" w:type="dxa"/>
            <w:vAlign w:val="bottom"/>
            <w:gridSpan w:val="2"/>
          </w:tcPr>
          <w:p>
            <w:pPr>
              <w:jc w:val="right"/>
              <w:ind w:right="22"/>
              <w:spacing w:after="0" w:line="182" w:lineRule="exact"/>
              <w:rPr>
                <w:sz w:val="20"/>
                <w:szCs w:val="20"/>
                <w:color w:val="auto"/>
              </w:rPr>
            </w:pPr>
            <w:r>
              <w:rPr>
                <w:rFonts w:ascii="Arial" w:cs="Arial" w:eastAsia="Arial" w:hAnsi="Arial"/>
                <w:sz w:val="16"/>
                <w:szCs w:val="16"/>
                <w:b w:val="1"/>
                <w:bCs w:val="1"/>
                <w:color w:val="auto"/>
                <w:w w:val="96"/>
              </w:rPr>
              <w:t>December 31,</w:t>
            </w:r>
          </w:p>
        </w:tc>
        <w:tc>
          <w:tcPr>
            <w:tcW w:w="60" w:type="dxa"/>
            <w:vAlign w:val="bottom"/>
          </w:tcPr>
          <w:p>
            <w:pPr>
              <w:spacing w:after="0"/>
              <w:rPr>
                <w:sz w:val="15"/>
                <w:szCs w:val="15"/>
                <w:color w:val="auto"/>
              </w:rPr>
            </w:pPr>
          </w:p>
        </w:tc>
        <w:tc>
          <w:tcPr>
            <w:tcW w:w="1100" w:type="dxa"/>
            <w:vAlign w:val="bottom"/>
            <w:gridSpan w:val="2"/>
          </w:tcPr>
          <w:p>
            <w:pPr>
              <w:jc w:val="center"/>
              <w:spacing w:after="0" w:line="182" w:lineRule="exact"/>
              <w:rPr>
                <w:sz w:val="20"/>
                <w:szCs w:val="20"/>
                <w:color w:val="auto"/>
              </w:rPr>
            </w:pPr>
            <w:r>
              <w:rPr>
                <w:rFonts w:ascii="Arial" w:cs="Arial" w:eastAsia="Arial" w:hAnsi="Arial"/>
                <w:sz w:val="16"/>
                <w:szCs w:val="16"/>
                <w:b w:val="1"/>
                <w:bCs w:val="1"/>
                <w:color w:val="auto"/>
                <w:w w:val="88"/>
              </w:rPr>
              <w:t>December 31,</w:t>
            </w:r>
          </w:p>
        </w:tc>
        <w:tc>
          <w:tcPr>
            <w:tcW w:w="60" w:type="dxa"/>
            <w:vAlign w:val="bottom"/>
          </w:tcPr>
          <w:p>
            <w:pPr>
              <w:spacing w:after="0"/>
              <w:rPr>
                <w:sz w:val="15"/>
                <w:szCs w:val="15"/>
                <w:color w:val="auto"/>
              </w:rPr>
            </w:pPr>
          </w:p>
        </w:tc>
        <w:tc>
          <w:tcPr>
            <w:tcW w:w="1100" w:type="dxa"/>
            <w:vAlign w:val="bottom"/>
            <w:gridSpan w:val="2"/>
          </w:tcPr>
          <w:p>
            <w:pPr>
              <w:jc w:val="right"/>
              <w:ind w:right="2"/>
              <w:spacing w:after="0" w:line="182" w:lineRule="exact"/>
              <w:rPr>
                <w:sz w:val="20"/>
                <w:szCs w:val="20"/>
                <w:color w:val="auto"/>
              </w:rPr>
            </w:pPr>
            <w:r>
              <w:rPr>
                <w:rFonts w:ascii="Arial" w:cs="Arial" w:eastAsia="Arial" w:hAnsi="Arial"/>
                <w:sz w:val="16"/>
                <w:szCs w:val="16"/>
                <w:b w:val="1"/>
                <w:bCs w:val="1"/>
                <w:color w:val="auto"/>
                <w:w w:val="96"/>
              </w:rPr>
              <w:t>December 31,</w:t>
            </w:r>
          </w:p>
        </w:tc>
      </w:tr>
      <w:tr>
        <w:trPr>
          <w:trHeight w:val="210"/>
        </w:trPr>
        <w:tc>
          <w:tcPr>
            <w:tcW w:w="65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22"/>
              <w:spacing w:after="0"/>
              <w:rPr>
                <w:sz w:val="20"/>
                <w:szCs w:val="20"/>
                <w:color w:val="auto"/>
              </w:rPr>
            </w:pPr>
            <w:r>
              <w:rPr>
                <w:rFonts w:ascii="Arial" w:cs="Arial" w:eastAsia="Arial" w:hAnsi="Arial"/>
                <w:sz w:val="16"/>
                <w:szCs w:val="16"/>
                <w:b w:val="1"/>
                <w:bCs w:val="1"/>
                <w:color w:val="auto"/>
              </w:rPr>
              <w:t>2025</w:t>
            </w:r>
          </w:p>
        </w:tc>
        <w:tc>
          <w:tcPr>
            <w:tcW w:w="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center"/>
              <w:ind w:right="42"/>
              <w:spacing w:after="0"/>
              <w:rPr>
                <w:sz w:val="20"/>
                <w:szCs w:val="20"/>
                <w:color w:val="auto"/>
              </w:rPr>
            </w:pPr>
            <w:r>
              <w:rPr>
                <w:rFonts w:ascii="Arial" w:cs="Arial" w:eastAsia="Arial" w:hAnsi="Arial"/>
                <w:sz w:val="16"/>
                <w:szCs w:val="16"/>
                <w:b w:val="1"/>
                <w:bCs w:val="1"/>
                <w:color w:val="auto"/>
                <w:w w:val="89"/>
              </w:rPr>
              <w:t>2024</w:t>
            </w:r>
          </w:p>
        </w:tc>
        <w:tc>
          <w:tcPr>
            <w:tcW w:w="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02"/>
              <w:spacing w:after="0"/>
              <w:rPr>
                <w:sz w:val="20"/>
                <w:szCs w:val="20"/>
                <w:color w:val="auto"/>
              </w:rPr>
            </w:pPr>
            <w:r>
              <w:rPr>
                <w:rFonts w:ascii="Arial" w:cs="Arial" w:eastAsia="Arial" w:hAnsi="Arial"/>
                <w:sz w:val="16"/>
                <w:szCs w:val="16"/>
                <w:b w:val="1"/>
                <w:bCs w:val="1"/>
                <w:color w:val="auto"/>
              </w:rPr>
              <w:t>2023</w:t>
            </w:r>
          </w:p>
        </w:tc>
      </w:tr>
      <w:tr>
        <w:trPr>
          <w:trHeight w:val="223"/>
        </w:trPr>
        <w:tc>
          <w:tcPr>
            <w:tcW w:w="65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center"/>
              <w:ind w:right="22"/>
              <w:spacing w:after="0"/>
              <w:rPr>
                <w:sz w:val="20"/>
                <w:szCs w:val="20"/>
                <w:color w:val="auto"/>
              </w:rPr>
            </w:pPr>
            <w:r>
              <w:rPr>
                <w:rFonts w:ascii="Arial" w:cs="Arial" w:eastAsia="Arial" w:hAnsi="Arial"/>
                <w:sz w:val="16"/>
                <w:szCs w:val="16"/>
                <w:b w:val="1"/>
                <w:bCs w:val="1"/>
                <w:color w:val="auto"/>
                <w:w w:val="91"/>
              </w:rPr>
              <w:t>(In millions)</w:t>
            </w: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35"/>
        </w:trPr>
        <w:tc>
          <w:tcPr>
            <w:tcW w:w="6560" w:type="dxa"/>
            <w:vAlign w:val="bottom"/>
          </w:tcPr>
          <w:p>
            <w:pPr>
              <w:spacing w:after="0"/>
              <w:rPr>
                <w:sz w:val="20"/>
                <w:szCs w:val="20"/>
                <w:color w:val="auto"/>
              </w:rPr>
            </w:pPr>
            <w:r>
              <w:rPr>
                <w:rFonts w:ascii="Arial" w:cs="Arial" w:eastAsia="Arial" w:hAnsi="Arial"/>
                <w:sz w:val="16"/>
                <w:szCs w:val="16"/>
                <w:color w:val="auto"/>
              </w:rPr>
              <w:t>Fixed maturity securities, available-for-sale</w:t>
            </w:r>
          </w:p>
        </w:tc>
        <w:tc>
          <w:tcPr>
            <w:tcW w:w="26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2"/>
              <w:spacing w:after="0"/>
              <w:rPr>
                <w:sz w:val="20"/>
                <w:szCs w:val="20"/>
                <w:color w:val="auto"/>
              </w:rPr>
            </w:pPr>
            <w:r>
              <w:rPr>
                <w:rFonts w:ascii="Arial" w:cs="Arial" w:eastAsia="Arial" w:hAnsi="Arial"/>
                <w:sz w:val="16"/>
                <w:szCs w:val="16"/>
                <w:color w:val="auto"/>
              </w:rPr>
              <w:t>2,329</w:t>
            </w: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2,261</w:t>
            </w:r>
          </w:p>
        </w:tc>
        <w:tc>
          <w:tcPr>
            <w:tcW w:w="320" w:type="dxa"/>
            <w:vAlign w:val="bottom"/>
            <w:gridSpan w:val="2"/>
          </w:tcPr>
          <w:p>
            <w:pPr>
              <w:jc w:val="right"/>
              <w:ind w:right="42"/>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1,911</w:t>
            </w:r>
          </w:p>
        </w:tc>
      </w:tr>
      <w:tr>
        <w:trPr>
          <w:trHeight w:val="235"/>
        </w:trPr>
        <w:tc>
          <w:tcPr>
            <w:tcW w:w="6560" w:type="dxa"/>
            <w:vAlign w:val="bottom"/>
          </w:tcPr>
          <w:p>
            <w:pPr>
              <w:spacing w:after="0"/>
              <w:rPr>
                <w:sz w:val="20"/>
                <w:szCs w:val="20"/>
                <w:color w:val="auto"/>
              </w:rPr>
            </w:pPr>
            <w:r>
              <w:rPr>
                <w:rFonts w:ascii="Arial" w:cs="Arial" w:eastAsia="Arial" w:hAnsi="Arial"/>
                <w:sz w:val="16"/>
                <w:szCs w:val="16"/>
                <w:color w:val="auto"/>
              </w:rPr>
              <w:t>Preferred equity securities</w:t>
            </w:r>
          </w:p>
        </w:tc>
        <w:tc>
          <w:tcPr>
            <w:tcW w:w="260" w:type="dxa"/>
            <w:vAlign w:val="bottom"/>
          </w:tcPr>
          <w:p>
            <w:pPr>
              <w:spacing w:after="0"/>
              <w:rPr>
                <w:sz w:val="20"/>
                <w:szCs w:val="20"/>
                <w:color w:val="auto"/>
              </w:rPr>
            </w:pPr>
          </w:p>
        </w:tc>
        <w:tc>
          <w:tcPr>
            <w:tcW w:w="860" w:type="dxa"/>
            <w:vAlign w:val="bottom"/>
          </w:tcPr>
          <w:p>
            <w:pPr>
              <w:jc w:val="right"/>
              <w:ind w:right="2"/>
              <w:spacing w:after="0"/>
              <w:rPr>
                <w:sz w:val="20"/>
                <w:szCs w:val="20"/>
                <w:color w:val="auto"/>
              </w:rPr>
            </w:pPr>
            <w:r>
              <w:rPr>
                <w:rFonts w:ascii="Arial" w:cs="Arial" w:eastAsia="Arial" w:hAnsi="Arial"/>
                <w:sz w:val="16"/>
                <w:szCs w:val="16"/>
                <w:color w:val="auto"/>
              </w:rPr>
              <w:t>26</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34</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52</w:t>
            </w:r>
          </w:p>
        </w:tc>
      </w:tr>
      <w:tr>
        <w:trPr>
          <w:trHeight w:val="235"/>
        </w:trPr>
        <w:tc>
          <w:tcPr>
            <w:tcW w:w="6560" w:type="dxa"/>
            <w:vAlign w:val="bottom"/>
          </w:tcPr>
          <w:p>
            <w:pPr>
              <w:spacing w:after="0"/>
              <w:rPr>
                <w:sz w:val="20"/>
                <w:szCs w:val="20"/>
                <w:color w:val="auto"/>
              </w:rPr>
            </w:pPr>
            <w:r>
              <w:rPr>
                <w:rFonts w:ascii="Arial" w:cs="Arial" w:eastAsia="Arial" w:hAnsi="Arial"/>
                <w:sz w:val="16"/>
                <w:szCs w:val="16"/>
                <w:color w:val="auto"/>
              </w:rPr>
              <w:t>Common equity securities</w:t>
            </w:r>
          </w:p>
        </w:tc>
        <w:tc>
          <w:tcPr>
            <w:tcW w:w="260" w:type="dxa"/>
            <w:vAlign w:val="bottom"/>
          </w:tcPr>
          <w:p>
            <w:pPr>
              <w:spacing w:after="0"/>
              <w:rPr>
                <w:sz w:val="20"/>
                <w:szCs w:val="20"/>
                <w:color w:val="auto"/>
              </w:rPr>
            </w:pPr>
          </w:p>
        </w:tc>
        <w:tc>
          <w:tcPr>
            <w:tcW w:w="860" w:type="dxa"/>
            <w:vAlign w:val="bottom"/>
          </w:tcPr>
          <w:p>
            <w:pPr>
              <w:jc w:val="right"/>
              <w:ind w:right="2"/>
              <w:spacing w:after="0"/>
              <w:rPr>
                <w:sz w:val="20"/>
                <w:szCs w:val="20"/>
                <w:color w:val="auto"/>
              </w:rPr>
            </w:pPr>
            <w:r>
              <w:rPr>
                <w:rFonts w:ascii="Arial" w:cs="Arial" w:eastAsia="Arial" w:hAnsi="Arial"/>
                <w:sz w:val="16"/>
                <w:szCs w:val="16"/>
                <w:color w:val="auto"/>
              </w:rPr>
              <w:t>36</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33</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33</w:t>
            </w:r>
          </w:p>
        </w:tc>
      </w:tr>
      <w:tr>
        <w:trPr>
          <w:trHeight w:val="235"/>
        </w:trPr>
        <w:tc>
          <w:tcPr>
            <w:tcW w:w="6560" w:type="dxa"/>
            <w:vAlign w:val="bottom"/>
          </w:tcPr>
          <w:p>
            <w:pPr>
              <w:spacing w:after="0"/>
              <w:rPr>
                <w:sz w:val="20"/>
                <w:szCs w:val="20"/>
                <w:color w:val="auto"/>
              </w:rPr>
            </w:pPr>
            <w:r>
              <w:rPr>
                <w:rFonts w:ascii="Arial" w:cs="Arial" w:eastAsia="Arial" w:hAnsi="Arial"/>
                <w:sz w:val="16"/>
                <w:szCs w:val="16"/>
                <w:color w:val="auto"/>
              </w:rPr>
              <w:t>Mortgage loans</w:t>
            </w:r>
          </w:p>
        </w:tc>
        <w:tc>
          <w:tcPr>
            <w:tcW w:w="260" w:type="dxa"/>
            <w:vAlign w:val="bottom"/>
          </w:tcPr>
          <w:p>
            <w:pPr>
              <w:spacing w:after="0"/>
              <w:rPr>
                <w:sz w:val="20"/>
                <w:szCs w:val="20"/>
                <w:color w:val="auto"/>
              </w:rPr>
            </w:pPr>
          </w:p>
        </w:tc>
        <w:tc>
          <w:tcPr>
            <w:tcW w:w="860" w:type="dxa"/>
            <w:vAlign w:val="bottom"/>
          </w:tcPr>
          <w:p>
            <w:pPr>
              <w:jc w:val="right"/>
              <w:ind w:right="2"/>
              <w:spacing w:after="0"/>
              <w:rPr>
                <w:sz w:val="20"/>
                <w:szCs w:val="20"/>
                <w:color w:val="auto"/>
              </w:rPr>
            </w:pPr>
            <w:r>
              <w:rPr>
                <w:rFonts w:ascii="Arial" w:cs="Arial" w:eastAsia="Arial" w:hAnsi="Arial"/>
                <w:sz w:val="16"/>
                <w:szCs w:val="16"/>
                <w:color w:val="auto"/>
              </w:rPr>
              <w:t>374</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273</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229</w:t>
            </w:r>
          </w:p>
        </w:tc>
      </w:tr>
      <w:tr>
        <w:trPr>
          <w:trHeight w:val="235"/>
        </w:trPr>
        <w:tc>
          <w:tcPr>
            <w:tcW w:w="6560" w:type="dxa"/>
            <w:vAlign w:val="bottom"/>
          </w:tcPr>
          <w:p>
            <w:pPr>
              <w:spacing w:after="0"/>
              <w:rPr>
                <w:sz w:val="20"/>
                <w:szCs w:val="20"/>
                <w:color w:val="auto"/>
              </w:rPr>
            </w:pPr>
            <w:r>
              <w:rPr>
                <w:rFonts w:ascii="Arial" w:cs="Arial" w:eastAsia="Arial" w:hAnsi="Arial"/>
                <w:sz w:val="16"/>
                <w:szCs w:val="16"/>
                <w:color w:val="auto"/>
              </w:rPr>
              <w:t>Invested cash and short-term investments</w:t>
            </w:r>
          </w:p>
        </w:tc>
        <w:tc>
          <w:tcPr>
            <w:tcW w:w="260" w:type="dxa"/>
            <w:vAlign w:val="bottom"/>
          </w:tcPr>
          <w:p>
            <w:pPr>
              <w:spacing w:after="0"/>
              <w:rPr>
                <w:sz w:val="20"/>
                <w:szCs w:val="20"/>
                <w:color w:val="auto"/>
              </w:rPr>
            </w:pPr>
          </w:p>
        </w:tc>
        <w:tc>
          <w:tcPr>
            <w:tcW w:w="860" w:type="dxa"/>
            <w:vAlign w:val="bottom"/>
          </w:tcPr>
          <w:p>
            <w:pPr>
              <w:jc w:val="right"/>
              <w:ind w:right="2"/>
              <w:spacing w:after="0"/>
              <w:rPr>
                <w:sz w:val="20"/>
                <w:szCs w:val="20"/>
                <w:color w:val="auto"/>
              </w:rPr>
            </w:pPr>
            <w:r>
              <w:rPr>
                <w:rFonts w:ascii="Arial" w:cs="Arial" w:eastAsia="Arial" w:hAnsi="Arial"/>
                <w:sz w:val="16"/>
                <w:szCs w:val="16"/>
                <w:color w:val="auto"/>
              </w:rPr>
              <w:t>180</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238</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151</w:t>
            </w:r>
          </w:p>
        </w:tc>
      </w:tr>
      <w:tr>
        <w:trPr>
          <w:trHeight w:val="235"/>
        </w:trPr>
        <w:tc>
          <w:tcPr>
            <w:tcW w:w="6560" w:type="dxa"/>
            <w:vAlign w:val="bottom"/>
          </w:tcPr>
          <w:p>
            <w:pPr>
              <w:spacing w:after="0"/>
              <w:rPr>
                <w:sz w:val="20"/>
                <w:szCs w:val="20"/>
                <w:color w:val="auto"/>
              </w:rPr>
            </w:pPr>
            <w:r>
              <w:rPr>
                <w:rFonts w:ascii="Arial" w:cs="Arial" w:eastAsia="Arial" w:hAnsi="Arial"/>
                <w:sz w:val="16"/>
                <w:szCs w:val="16"/>
                <w:color w:val="auto"/>
              </w:rPr>
              <w:t>Limited partnerships</w:t>
            </w:r>
          </w:p>
        </w:tc>
        <w:tc>
          <w:tcPr>
            <w:tcW w:w="260" w:type="dxa"/>
            <w:vAlign w:val="bottom"/>
          </w:tcPr>
          <w:p>
            <w:pPr>
              <w:spacing w:after="0"/>
              <w:rPr>
                <w:sz w:val="20"/>
                <w:szCs w:val="20"/>
                <w:color w:val="auto"/>
              </w:rPr>
            </w:pPr>
          </w:p>
        </w:tc>
        <w:tc>
          <w:tcPr>
            <w:tcW w:w="860" w:type="dxa"/>
            <w:vAlign w:val="bottom"/>
          </w:tcPr>
          <w:p>
            <w:pPr>
              <w:jc w:val="right"/>
              <w:ind w:right="2"/>
              <w:spacing w:after="0"/>
              <w:rPr>
                <w:sz w:val="20"/>
                <w:szCs w:val="20"/>
                <w:color w:val="auto"/>
              </w:rPr>
            </w:pPr>
            <w:r>
              <w:rPr>
                <w:rFonts w:ascii="Arial" w:cs="Arial" w:eastAsia="Arial" w:hAnsi="Arial"/>
                <w:sz w:val="16"/>
                <w:szCs w:val="16"/>
                <w:color w:val="auto"/>
              </w:rPr>
              <w:t>305</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326</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231</w:t>
            </w:r>
          </w:p>
        </w:tc>
      </w:tr>
      <w:tr>
        <w:trPr>
          <w:trHeight w:val="235"/>
        </w:trPr>
        <w:tc>
          <w:tcPr>
            <w:tcW w:w="6560" w:type="dxa"/>
            <w:vAlign w:val="bottom"/>
          </w:tcPr>
          <w:p>
            <w:pPr>
              <w:spacing w:after="0"/>
              <w:rPr>
                <w:sz w:val="20"/>
                <w:szCs w:val="20"/>
                <w:color w:val="auto"/>
              </w:rPr>
            </w:pPr>
            <w:r>
              <w:rPr>
                <w:rFonts w:ascii="Arial" w:cs="Arial" w:eastAsia="Arial" w:hAnsi="Arial"/>
                <w:sz w:val="16"/>
                <w:szCs w:val="16"/>
                <w:color w:val="auto"/>
              </w:rPr>
              <w:t>Tax deferred property exchange income</w:t>
            </w:r>
          </w:p>
        </w:tc>
        <w:tc>
          <w:tcPr>
            <w:tcW w:w="260" w:type="dxa"/>
            <w:vAlign w:val="bottom"/>
          </w:tcPr>
          <w:p>
            <w:pPr>
              <w:spacing w:after="0"/>
              <w:rPr>
                <w:sz w:val="20"/>
                <w:szCs w:val="20"/>
                <w:color w:val="auto"/>
              </w:rPr>
            </w:pPr>
          </w:p>
        </w:tc>
        <w:tc>
          <w:tcPr>
            <w:tcW w:w="860" w:type="dxa"/>
            <w:vAlign w:val="bottom"/>
          </w:tcPr>
          <w:p>
            <w:pPr>
              <w:jc w:val="right"/>
              <w:ind w:right="2"/>
              <w:spacing w:after="0"/>
              <w:rPr>
                <w:sz w:val="20"/>
                <w:szCs w:val="20"/>
                <w:color w:val="auto"/>
              </w:rPr>
            </w:pPr>
            <w:r>
              <w:rPr>
                <w:rFonts w:ascii="Arial" w:cs="Arial" w:eastAsia="Arial" w:hAnsi="Arial"/>
                <w:sz w:val="16"/>
                <w:szCs w:val="16"/>
                <w:color w:val="auto"/>
              </w:rPr>
              <w:t>122</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133</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166</w:t>
            </w:r>
          </w:p>
        </w:tc>
      </w:tr>
      <w:tr>
        <w:trPr>
          <w:trHeight w:val="242"/>
        </w:trPr>
        <w:tc>
          <w:tcPr>
            <w:tcW w:w="6560" w:type="dxa"/>
            <w:vAlign w:val="bottom"/>
          </w:tcPr>
          <w:p>
            <w:pPr>
              <w:spacing w:after="0"/>
              <w:rPr>
                <w:sz w:val="20"/>
                <w:szCs w:val="20"/>
                <w:color w:val="auto"/>
              </w:rPr>
            </w:pPr>
            <w:r>
              <w:rPr>
                <w:rFonts w:ascii="Arial" w:cs="Arial" w:eastAsia="Arial" w:hAnsi="Arial"/>
                <w:sz w:val="16"/>
                <w:szCs w:val="16"/>
                <w:color w:val="auto"/>
              </w:rPr>
              <w:t>Other investments</w:t>
            </w:r>
          </w:p>
        </w:tc>
        <w:tc>
          <w:tcPr>
            <w:tcW w:w="2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136</w:t>
            </w:r>
          </w:p>
        </w:tc>
        <w:tc>
          <w:tcPr>
            <w:tcW w:w="6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125</w:t>
            </w:r>
          </w:p>
        </w:tc>
        <w:tc>
          <w:tcPr>
            <w:tcW w:w="6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w:t>
            </w:r>
          </w:p>
        </w:tc>
      </w:tr>
      <w:tr>
        <w:trPr>
          <w:trHeight w:val="208"/>
        </w:trPr>
        <w:tc>
          <w:tcPr>
            <w:tcW w:w="6560" w:type="dxa"/>
            <w:vAlign w:val="bottom"/>
          </w:tcPr>
          <w:p>
            <w:pPr>
              <w:ind w:left="220"/>
              <w:spacing w:after="0"/>
              <w:rPr>
                <w:sz w:val="20"/>
                <w:szCs w:val="20"/>
                <w:color w:val="auto"/>
              </w:rPr>
            </w:pPr>
            <w:r>
              <w:rPr>
                <w:rFonts w:ascii="Arial" w:cs="Arial" w:eastAsia="Arial" w:hAnsi="Arial"/>
                <w:sz w:val="16"/>
                <w:szCs w:val="16"/>
                <w:color w:val="auto"/>
              </w:rPr>
              <w:t>Gross investment income</w:t>
            </w:r>
          </w:p>
        </w:tc>
        <w:tc>
          <w:tcPr>
            <w:tcW w:w="260" w:type="dxa"/>
            <w:vAlign w:val="bottom"/>
          </w:tcPr>
          <w:p>
            <w:pPr>
              <w:spacing w:after="0"/>
              <w:rPr>
                <w:sz w:val="18"/>
                <w:szCs w:val="18"/>
                <w:color w:val="auto"/>
              </w:rPr>
            </w:pPr>
          </w:p>
        </w:tc>
        <w:tc>
          <w:tcPr>
            <w:tcW w:w="860" w:type="dxa"/>
            <w:vAlign w:val="bottom"/>
          </w:tcPr>
          <w:p>
            <w:pPr>
              <w:jc w:val="right"/>
              <w:ind w:right="2"/>
              <w:spacing w:after="0"/>
              <w:rPr>
                <w:sz w:val="20"/>
                <w:szCs w:val="20"/>
                <w:color w:val="auto"/>
              </w:rPr>
            </w:pPr>
            <w:r>
              <w:rPr>
                <w:rFonts w:ascii="Arial" w:cs="Arial" w:eastAsia="Arial" w:hAnsi="Arial"/>
                <w:sz w:val="16"/>
                <w:szCs w:val="16"/>
                <w:color w:val="auto"/>
              </w:rPr>
              <w:t>3,508</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3,423</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2,864</w:t>
            </w:r>
          </w:p>
        </w:tc>
      </w:tr>
      <w:tr>
        <w:trPr>
          <w:trHeight w:val="242"/>
        </w:trPr>
        <w:tc>
          <w:tcPr>
            <w:tcW w:w="6560" w:type="dxa"/>
            <w:vAlign w:val="bottom"/>
          </w:tcPr>
          <w:p>
            <w:pPr>
              <w:spacing w:after="0"/>
              <w:rPr>
                <w:sz w:val="20"/>
                <w:szCs w:val="20"/>
                <w:color w:val="auto"/>
              </w:rPr>
            </w:pPr>
            <w:r>
              <w:rPr>
                <w:rFonts w:ascii="Arial" w:cs="Arial" w:eastAsia="Arial" w:hAnsi="Arial"/>
                <w:sz w:val="16"/>
                <w:szCs w:val="16"/>
                <w:color w:val="auto"/>
              </w:rPr>
              <w:t>Investment expense</w:t>
            </w:r>
          </w:p>
        </w:tc>
        <w:tc>
          <w:tcPr>
            <w:tcW w:w="2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(271)</w:t>
            </w:r>
          </w:p>
        </w:tc>
        <w:tc>
          <w:tcPr>
            <w:tcW w:w="6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(299)</w:t>
            </w:r>
          </w:p>
        </w:tc>
        <w:tc>
          <w:tcPr>
            <w:tcW w:w="6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(257)</w:t>
            </w:r>
          </w:p>
        </w:tc>
      </w:tr>
      <w:tr>
        <w:trPr>
          <w:trHeight w:val="196"/>
        </w:trPr>
        <w:tc>
          <w:tcPr>
            <w:tcW w:w="6560" w:type="dxa"/>
            <w:vAlign w:val="bottom"/>
          </w:tcPr>
          <w:p>
            <w:pPr>
              <w:spacing w:after="0"/>
              <w:rPr>
                <w:sz w:val="20"/>
                <w:szCs w:val="20"/>
                <w:color w:val="auto"/>
              </w:rPr>
            </w:pPr>
            <w:r>
              <w:rPr>
                <w:rFonts w:ascii="Arial" w:cs="Arial" w:eastAsia="Arial" w:hAnsi="Arial"/>
                <w:sz w:val="16"/>
                <w:szCs w:val="16"/>
                <w:b w:val="1"/>
                <w:bCs w:val="1"/>
                <w:color w:val="auto"/>
              </w:rPr>
              <w:t>Interest and investment income</w:t>
            </w:r>
          </w:p>
        </w:tc>
        <w:tc>
          <w:tcPr>
            <w:tcW w:w="26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2"/>
              <w:spacing w:after="0"/>
              <w:rPr>
                <w:sz w:val="20"/>
                <w:szCs w:val="20"/>
                <w:color w:val="auto"/>
              </w:rPr>
            </w:pPr>
            <w:r>
              <w:rPr>
                <w:rFonts w:ascii="Arial" w:cs="Arial" w:eastAsia="Arial" w:hAnsi="Arial"/>
                <w:sz w:val="16"/>
                <w:szCs w:val="16"/>
                <w:color w:val="auto"/>
              </w:rPr>
              <w:t>3,237</w:t>
            </w: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3,124</w:t>
            </w:r>
          </w:p>
        </w:tc>
        <w:tc>
          <w:tcPr>
            <w:tcW w:w="320" w:type="dxa"/>
            <w:vAlign w:val="bottom"/>
            <w:gridSpan w:val="2"/>
          </w:tcPr>
          <w:p>
            <w:pPr>
              <w:jc w:val="right"/>
              <w:ind w:right="42"/>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2,607</w:t>
            </w:r>
          </w:p>
        </w:tc>
      </w:tr>
      <w:tr>
        <w:trPr>
          <w:trHeight w:val="20"/>
        </w:trPr>
        <w:tc>
          <w:tcPr>
            <w:tcW w:w="65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-1832610</wp:posOffset>
            </wp:positionV>
            <wp:extent cx="6410325" cy="183959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07">
                      <a:extLst>
                        <a:ext uri="{28A0092B-C50C-407E-A947-70E740481C1C}"/>
                      </a:extLst>
                    </a:blip>
                    <a:srcRect/>
                    <a:stretch>
                      <a:fillRect/>
                    </a:stretch>
                  </pic:blipFill>
                  <pic:spPr bwMode="auto">
                    <a:xfrm>
                      <a:off x="0" y="0"/>
                      <a:ext cx="6410325" cy="1839595"/>
                    </a:xfrm>
                    <a:prstGeom prst="rect">
                      <a:avLst/>
                    </a:prstGeom>
                    <a:noFill/>
                  </pic:spPr>
                </pic:pic>
              </a:graphicData>
            </a:graphic>
          </wp:anchor>
        </w:drawing>
      </w:r>
    </w:p>
    <w:p>
      <w:pPr>
        <w:spacing w:after="0" w:line="223" w:lineRule="exact"/>
        <w:rPr>
          <w:sz w:val="20"/>
          <w:szCs w:val="20"/>
          <w:color w:val="auto"/>
        </w:rPr>
      </w:pPr>
    </w:p>
    <w:p>
      <w:pPr>
        <w:jc w:val="both"/>
        <w:ind w:left="7" w:firstLine="353"/>
        <w:spacing w:after="0" w:line="254" w:lineRule="auto"/>
        <w:rPr>
          <w:sz w:val="20"/>
          <w:szCs w:val="20"/>
          <w:color w:val="auto"/>
        </w:rPr>
      </w:pPr>
      <w:r>
        <w:rPr>
          <w:rFonts w:ascii="Arial" w:cs="Arial" w:eastAsia="Arial" w:hAnsi="Arial"/>
          <w:sz w:val="19"/>
          <w:szCs w:val="19"/>
          <w:color w:val="auto"/>
        </w:rPr>
        <w:t>Interest and investment income is shown net of amounts attributable to certain funds withheld reinsurance agreements, which is passed along to the reinsurer in accordance with the terms of these agreements. Interest and investment income attributable to these agreements, and thus excluded from the totals in the table above, was $816 million, $636 million, and $339 million for the years ended December 31, 2025, 2024, and 2023, respectively.</w:t>
      </w:r>
    </w:p>
    <w:p>
      <w:pPr>
        <w:spacing w:after="0" w:line="44" w:lineRule="exact"/>
        <w:rPr>
          <w:sz w:val="20"/>
          <w:szCs w:val="20"/>
          <w:color w:val="auto"/>
        </w:rPr>
      </w:pPr>
    </w:p>
    <w:p>
      <w:pPr>
        <w:ind w:left="7"/>
        <w:spacing w:after="0"/>
        <w:rPr>
          <w:sz w:val="20"/>
          <w:szCs w:val="20"/>
          <w:color w:val="auto"/>
        </w:rPr>
      </w:pPr>
      <w:r>
        <w:rPr>
          <w:rFonts w:ascii="Arial" w:cs="Arial" w:eastAsia="Arial" w:hAnsi="Arial"/>
          <w:sz w:val="20"/>
          <w:szCs w:val="20"/>
          <w:b w:val="1"/>
          <w:bCs w:val="1"/>
          <w:i w:val="1"/>
          <w:iCs w:val="1"/>
          <w:color w:val="auto"/>
        </w:rPr>
        <w:t>Recognized Gains and Losses, Net</w:t>
      </w:r>
    </w:p>
    <w:p>
      <w:pPr>
        <w:spacing w:after="0" w:line="150" w:lineRule="exact"/>
        <w:rPr>
          <w:sz w:val="20"/>
          <w:szCs w:val="20"/>
          <w:color w:val="auto"/>
        </w:rPr>
      </w:pPr>
    </w:p>
    <w:p>
      <w:pPr>
        <w:ind w:left="347"/>
        <w:spacing w:after="0"/>
        <w:rPr>
          <w:sz w:val="20"/>
          <w:szCs w:val="20"/>
          <w:color w:val="auto"/>
        </w:rPr>
      </w:pPr>
      <w:r>
        <w:rPr>
          <w:rFonts w:ascii="Arial" w:cs="Arial" w:eastAsia="Arial" w:hAnsi="Arial"/>
          <w:sz w:val="17"/>
          <w:szCs w:val="17"/>
          <w:color w:val="auto"/>
        </w:rPr>
        <w:t>Details underlying Recognized gains and losses, net reported on the Consolidated Statements of Earnings were as follows:</w:t>
      </w:r>
    </w:p>
    <w:p>
      <w:pPr>
        <w:spacing w:after="0" w:line="226" w:lineRule="exact"/>
        <w:rPr>
          <w:sz w:val="20"/>
          <w:szCs w:val="20"/>
          <w:color w:val="auto"/>
        </w:rPr>
      </w:pPr>
    </w:p>
    <w:tbl>
      <w:tblPr>
        <w:tblLayout w:type="fixed"/>
        <w:tblInd w:w="47" w:type="dxa"/>
        <w:tblCellMar>
          <w:top w:w="0" w:type="dxa"/>
          <w:left w:w="0" w:type="dxa"/>
          <w:bottom w:w="0" w:type="dxa"/>
          <w:right w:w="0" w:type="dxa"/>
        </w:tblCellMar>
      </w:tblPr>
      <w:tr>
        <w:trPr>
          <w:trHeight w:val="213"/>
        </w:trPr>
        <w:tc>
          <w:tcPr>
            <w:tcW w:w="65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center"/>
              <w:ind w:right="62"/>
              <w:spacing w:after="0"/>
              <w:rPr>
                <w:sz w:val="20"/>
                <w:szCs w:val="20"/>
                <w:color w:val="auto"/>
              </w:rPr>
            </w:pPr>
            <w:r>
              <w:rPr>
                <w:rFonts w:ascii="Arial" w:cs="Arial" w:eastAsia="Arial" w:hAnsi="Arial"/>
                <w:sz w:val="16"/>
                <w:szCs w:val="16"/>
                <w:b w:val="1"/>
                <w:bCs w:val="1"/>
                <w:color w:val="auto"/>
                <w:w w:val="90"/>
              </w:rPr>
              <w:t>Year ended</w:t>
            </w:r>
          </w:p>
        </w:tc>
        <w:tc>
          <w:tcPr>
            <w:tcW w:w="6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r>
      <w:tr>
        <w:trPr>
          <w:trHeight w:val="182"/>
        </w:trPr>
        <w:tc>
          <w:tcPr>
            <w:tcW w:w="6560" w:type="dxa"/>
            <w:vAlign w:val="bottom"/>
          </w:tcPr>
          <w:p>
            <w:pPr>
              <w:spacing w:after="0"/>
              <w:rPr>
                <w:sz w:val="15"/>
                <w:szCs w:val="15"/>
                <w:color w:val="auto"/>
              </w:rPr>
            </w:pPr>
          </w:p>
        </w:tc>
        <w:tc>
          <w:tcPr>
            <w:tcW w:w="1120" w:type="dxa"/>
            <w:vAlign w:val="bottom"/>
            <w:gridSpan w:val="2"/>
          </w:tcPr>
          <w:p>
            <w:pPr>
              <w:jc w:val="right"/>
              <w:ind w:right="22"/>
              <w:spacing w:after="0" w:line="182" w:lineRule="exact"/>
              <w:rPr>
                <w:sz w:val="20"/>
                <w:szCs w:val="20"/>
                <w:color w:val="auto"/>
              </w:rPr>
            </w:pPr>
            <w:r>
              <w:rPr>
                <w:rFonts w:ascii="Arial" w:cs="Arial" w:eastAsia="Arial" w:hAnsi="Arial"/>
                <w:sz w:val="16"/>
                <w:szCs w:val="16"/>
                <w:b w:val="1"/>
                <w:bCs w:val="1"/>
                <w:color w:val="auto"/>
                <w:w w:val="96"/>
              </w:rPr>
              <w:t>December 31,</w:t>
            </w:r>
          </w:p>
        </w:tc>
        <w:tc>
          <w:tcPr>
            <w:tcW w:w="60" w:type="dxa"/>
            <w:vAlign w:val="bottom"/>
          </w:tcPr>
          <w:p>
            <w:pPr>
              <w:spacing w:after="0"/>
              <w:rPr>
                <w:sz w:val="15"/>
                <w:szCs w:val="15"/>
                <w:color w:val="auto"/>
              </w:rPr>
            </w:pPr>
          </w:p>
        </w:tc>
        <w:tc>
          <w:tcPr>
            <w:tcW w:w="1100" w:type="dxa"/>
            <w:vAlign w:val="bottom"/>
            <w:gridSpan w:val="2"/>
          </w:tcPr>
          <w:p>
            <w:pPr>
              <w:jc w:val="center"/>
              <w:spacing w:after="0" w:line="182" w:lineRule="exact"/>
              <w:rPr>
                <w:sz w:val="20"/>
                <w:szCs w:val="20"/>
                <w:color w:val="auto"/>
              </w:rPr>
            </w:pPr>
            <w:r>
              <w:rPr>
                <w:rFonts w:ascii="Arial" w:cs="Arial" w:eastAsia="Arial" w:hAnsi="Arial"/>
                <w:sz w:val="16"/>
                <w:szCs w:val="16"/>
                <w:b w:val="1"/>
                <w:bCs w:val="1"/>
                <w:color w:val="auto"/>
                <w:w w:val="88"/>
              </w:rPr>
              <w:t>December 31,</w:t>
            </w:r>
          </w:p>
        </w:tc>
        <w:tc>
          <w:tcPr>
            <w:tcW w:w="60" w:type="dxa"/>
            <w:vAlign w:val="bottom"/>
          </w:tcPr>
          <w:p>
            <w:pPr>
              <w:spacing w:after="0"/>
              <w:rPr>
                <w:sz w:val="15"/>
                <w:szCs w:val="15"/>
                <w:color w:val="auto"/>
              </w:rPr>
            </w:pPr>
          </w:p>
        </w:tc>
        <w:tc>
          <w:tcPr>
            <w:tcW w:w="1100" w:type="dxa"/>
            <w:vAlign w:val="bottom"/>
            <w:gridSpan w:val="2"/>
          </w:tcPr>
          <w:p>
            <w:pPr>
              <w:jc w:val="right"/>
              <w:ind w:right="2"/>
              <w:spacing w:after="0" w:line="182" w:lineRule="exact"/>
              <w:rPr>
                <w:sz w:val="20"/>
                <w:szCs w:val="20"/>
                <w:color w:val="auto"/>
              </w:rPr>
            </w:pPr>
            <w:r>
              <w:rPr>
                <w:rFonts w:ascii="Arial" w:cs="Arial" w:eastAsia="Arial" w:hAnsi="Arial"/>
                <w:sz w:val="16"/>
                <w:szCs w:val="16"/>
                <w:b w:val="1"/>
                <w:bCs w:val="1"/>
                <w:color w:val="auto"/>
                <w:w w:val="96"/>
              </w:rPr>
              <w:t>December 31,</w:t>
            </w:r>
          </w:p>
        </w:tc>
      </w:tr>
      <w:tr>
        <w:trPr>
          <w:trHeight w:val="210"/>
        </w:trPr>
        <w:tc>
          <w:tcPr>
            <w:tcW w:w="65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22"/>
              <w:spacing w:after="0"/>
              <w:rPr>
                <w:sz w:val="20"/>
                <w:szCs w:val="20"/>
                <w:color w:val="auto"/>
              </w:rPr>
            </w:pPr>
            <w:r>
              <w:rPr>
                <w:rFonts w:ascii="Arial" w:cs="Arial" w:eastAsia="Arial" w:hAnsi="Arial"/>
                <w:sz w:val="16"/>
                <w:szCs w:val="16"/>
                <w:b w:val="1"/>
                <w:bCs w:val="1"/>
                <w:color w:val="auto"/>
              </w:rPr>
              <w:t>2025</w:t>
            </w:r>
          </w:p>
        </w:tc>
        <w:tc>
          <w:tcPr>
            <w:tcW w:w="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center"/>
              <w:ind w:right="42"/>
              <w:spacing w:after="0"/>
              <w:rPr>
                <w:sz w:val="20"/>
                <w:szCs w:val="20"/>
                <w:color w:val="auto"/>
              </w:rPr>
            </w:pPr>
            <w:r>
              <w:rPr>
                <w:rFonts w:ascii="Arial" w:cs="Arial" w:eastAsia="Arial" w:hAnsi="Arial"/>
                <w:sz w:val="16"/>
                <w:szCs w:val="16"/>
                <w:b w:val="1"/>
                <w:bCs w:val="1"/>
                <w:color w:val="auto"/>
                <w:w w:val="89"/>
              </w:rPr>
              <w:t>2024</w:t>
            </w:r>
          </w:p>
        </w:tc>
        <w:tc>
          <w:tcPr>
            <w:tcW w:w="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02"/>
              <w:spacing w:after="0"/>
              <w:rPr>
                <w:sz w:val="20"/>
                <w:szCs w:val="20"/>
                <w:color w:val="auto"/>
              </w:rPr>
            </w:pPr>
            <w:r>
              <w:rPr>
                <w:rFonts w:ascii="Arial" w:cs="Arial" w:eastAsia="Arial" w:hAnsi="Arial"/>
                <w:sz w:val="16"/>
                <w:szCs w:val="16"/>
                <w:b w:val="1"/>
                <w:bCs w:val="1"/>
                <w:color w:val="auto"/>
              </w:rPr>
              <w:t>2023</w:t>
            </w:r>
          </w:p>
        </w:tc>
      </w:tr>
      <w:tr>
        <w:trPr>
          <w:trHeight w:val="208"/>
        </w:trPr>
        <w:tc>
          <w:tcPr>
            <w:tcW w:w="6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center"/>
              <w:ind w:right="22"/>
              <w:spacing w:after="0"/>
              <w:rPr>
                <w:sz w:val="20"/>
                <w:szCs w:val="20"/>
                <w:color w:val="auto"/>
              </w:rPr>
            </w:pPr>
            <w:r>
              <w:rPr>
                <w:rFonts w:ascii="Arial" w:cs="Arial" w:eastAsia="Arial" w:hAnsi="Arial"/>
                <w:sz w:val="16"/>
                <w:szCs w:val="16"/>
                <w:b w:val="1"/>
                <w:bCs w:val="1"/>
                <w:color w:val="auto"/>
                <w:w w:val="91"/>
              </w:rPr>
              <w:t>(In millions)</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35"/>
        </w:trPr>
        <w:tc>
          <w:tcPr>
            <w:tcW w:w="6560" w:type="dxa"/>
            <w:vAlign w:val="bottom"/>
          </w:tcPr>
          <w:p>
            <w:pPr>
              <w:spacing w:after="0"/>
              <w:rPr>
                <w:sz w:val="20"/>
                <w:szCs w:val="20"/>
                <w:color w:val="auto"/>
              </w:rPr>
            </w:pPr>
            <w:r>
              <w:rPr>
                <w:rFonts w:ascii="Arial" w:cs="Arial" w:eastAsia="Arial" w:hAnsi="Arial"/>
                <w:sz w:val="16"/>
                <w:szCs w:val="16"/>
                <w:color w:val="auto"/>
              </w:rPr>
              <w:t>Net realized (losses) on fixed maturity available-for-sale securities</w:t>
            </w:r>
          </w:p>
        </w:tc>
        <w:tc>
          <w:tcPr>
            <w:tcW w:w="26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(10)</w:t>
            </w: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(9)</w:t>
            </w:r>
          </w:p>
        </w:tc>
        <w:tc>
          <w:tcPr>
            <w:tcW w:w="320" w:type="dxa"/>
            <w:vAlign w:val="bottom"/>
            <w:gridSpan w:val="2"/>
          </w:tcPr>
          <w:p>
            <w:pPr>
              <w:jc w:val="right"/>
              <w:ind w:right="42"/>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(155)</w:t>
            </w:r>
          </w:p>
        </w:tc>
      </w:tr>
      <w:tr>
        <w:trPr>
          <w:trHeight w:val="235"/>
        </w:trPr>
        <w:tc>
          <w:tcPr>
            <w:tcW w:w="6560" w:type="dxa"/>
            <w:vAlign w:val="bottom"/>
          </w:tcPr>
          <w:p>
            <w:pPr>
              <w:spacing w:after="0"/>
              <w:rPr>
                <w:sz w:val="20"/>
                <w:szCs w:val="20"/>
                <w:color w:val="auto"/>
              </w:rPr>
            </w:pPr>
            <w:r>
              <w:rPr>
                <w:rFonts w:ascii="Arial" w:cs="Arial" w:eastAsia="Arial" w:hAnsi="Arial"/>
                <w:sz w:val="16"/>
                <w:szCs w:val="16"/>
                <w:color w:val="auto"/>
              </w:rPr>
              <w:t>Net realized/unrealized (losses) gains on preferred equity securities (a)</w:t>
            </w: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(167)</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23</w:t>
            </w:r>
          </w:p>
        </w:tc>
      </w:tr>
      <w:tr>
        <w:trPr>
          <w:trHeight w:val="235"/>
        </w:trPr>
        <w:tc>
          <w:tcPr>
            <w:tcW w:w="6560" w:type="dxa"/>
            <w:vAlign w:val="bottom"/>
          </w:tcPr>
          <w:p>
            <w:pPr>
              <w:spacing w:after="0"/>
              <w:rPr>
                <w:sz w:val="20"/>
                <w:szCs w:val="20"/>
                <w:color w:val="auto"/>
              </w:rPr>
            </w:pPr>
            <w:r>
              <w:rPr>
                <w:rFonts w:ascii="Arial" w:cs="Arial" w:eastAsia="Arial" w:hAnsi="Arial"/>
                <w:sz w:val="16"/>
                <w:szCs w:val="16"/>
                <w:color w:val="auto"/>
              </w:rPr>
              <w:t>Net realized/unrealized (losses) gains on common equity securities (b)</w:t>
            </w: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12</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235"/>
        </w:trPr>
        <w:tc>
          <w:tcPr>
            <w:tcW w:w="6560" w:type="dxa"/>
            <w:vAlign w:val="bottom"/>
          </w:tcPr>
          <w:p>
            <w:pPr>
              <w:spacing w:after="0"/>
              <w:rPr>
                <w:sz w:val="20"/>
                <w:szCs w:val="20"/>
                <w:color w:val="auto"/>
              </w:rPr>
            </w:pPr>
            <w:r>
              <w:rPr>
                <w:rFonts w:ascii="Arial" w:cs="Arial" w:eastAsia="Arial" w:hAnsi="Arial"/>
                <w:sz w:val="16"/>
                <w:szCs w:val="16"/>
                <w:color w:val="auto"/>
              </w:rPr>
              <w:t>Net realized gains (losses) on other invested assets</w:t>
            </w:r>
          </w:p>
        </w:tc>
        <w:tc>
          <w:tcPr>
            <w:tcW w:w="260" w:type="dxa"/>
            <w:vAlign w:val="bottom"/>
          </w:tcPr>
          <w:p>
            <w:pPr>
              <w:spacing w:after="0"/>
              <w:rPr>
                <w:sz w:val="20"/>
                <w:szCs w:val="20"/>
                <w:color w:val="auto"/>
              </w:rPr>
            </w:pPr>
          </w:p>
        </w:tc>
        <w:tc>
          <w:tcPr>
            <w:tcW w:w="860" w:type="dxa"/>
            <w:vAlign w:val="bottom"/>
          </w:tcPr>
          <w:p>
            <w:pPr>
              <w:jc w:val="right"/>
              <w:ind w:right="2"/>
              <w:spacing w:after="0"/>
              <w:rPr>
                <w:sz w:val="20"/>
                <w:szCs w:val="20"/>
                <w:color w:val="auto"/>
              </w:rPr>
            </w:pPr>
            <w:r>
              <w:rPr>
                <w:rFonts w:ascii="Arial" w:cs="Arial" w:eastAsia="Arial" w:hAnsi="Arial"/>
                <w:sz w:val="16"/>
                <w:szCs w:val="16"/>
                <w:color w:val="auto"/>
              </w:rPr>
              <w:t>70</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61</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(25)</w:t>
            </w:r>
          </w:p>
        </w:tc>
      </w:tr>
      <w:tr>
        <w:trPr>
          <w:trHeight w:val="235"/>
        </w:trPr>
        <w:tc>
          <w:tcPr>
            <w:tcW w:w="6560" w:type="dxa"/>
            <w:vAlign w:val="bottom"/>
          </w:tcPr>
          <w:p>
            <w:pPr>
              <w:spacing w:after="0"/>
              <w:rPr>
                <w:sz w:val="20"/>
                <w:szCs w:val="20"/>
                <w:color w:val="auto"/>
              </w:rPr>
            </w:pPr>
            <w:r>
              <w:rPr>
                <w:rFonts w:ascii="Arial" w:cs="Arial" w:eastAsia="Arial" w:hAnsi="Arial"/>
                <w:sz w:val="16"/>
                <w:szCs w:val="16"/>
                <w:color w:val="auto"/>
              </w:rPr>
              <w:t>Change in allowance for expected credit losses</w:t>
            </w: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(60)</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(33)</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(36)</w:t>
            </w:r>
          </w:p>
        </w:tc>
      </w:tr>
      <w:tr>
        <w:trPr>
          <w:trHeight w:val="235"/>
        </w:trPr>
        <w:tc>
          <w:tcPr>
            <w:tcW w:w="6560" w:type="dxa"/>
            <w:vAlign w:val="bottom"/>
          </w:tcPr>
          <w:p>
            <w:pPr>
              <w:spacing w:after="0"/>
              <w:rPr>
                <w:sz w:val="20"/>
                <w:szCs w:val="20"/>
                <w:color w:val="auto"/>
              </w:rPr>
            </w:pPr>
            <w:r>
              <w:rPr>
                <w:rFonts w:ascii="Arial" w:cs="Arial" w:eastAsia="Arial" w:hAnsi="Arial"/>
                <w:sz w:val="16"/>
                <w:szCs w:val="16"/>
                <w:color w:val="auto"/>
              </w:rPr>
              <w:t>Derivatives and embedded derivatives:</w:t>
            </w: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235"/>
        </w:trPr>
        <w:tc>
          <w:tcPr>
            <w:tcW w:w="6560" w:type="dxa"/>
            <w:vAlign w:val="bottom"/>
          </w:tcPr>
          <w:p>
            <w:pPr>
              <w:ind w:left="140"/>
              <w:spacing w:after="0"/>
              <w:rPr>
                <w:sz w:val="20"/>
                <w:szCs w:val="20"/>
                <w:color w:val="auto"/>
              </w:rPr>
            </w:pPr>
            <w:r>
              <w:rPr>
                <w:rFonts w:ascii="Arial" w:cs="Arial" w:eastAsia="Arial" w:hAnsi="Arial"/>
                <w:sz w:val="16"/>
                <w:szCs w:val="16"/>
                <w:color w:val="auto"/>
              </w:rPr>
              <w:t>Realized (losses) gains on certain derivative instruments</w:t>
            </w: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(62)</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254</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(211)</w:t>
            </w:r>
          </w:p>
        </w:tc>
      </w:tr>
      <w:tr>
        <w:trPr>
          <w:trHeight w:val="235"/>
        </w:trPr>
        <w:tc>
          <w:tcPr>
            <w:tcW w:w="6560" w:type="dxa"/>
            <w:vAlign w:val="bottom"/>
          </w:tcPr>
          <w:p>
            <w:pPr>
              <w:ind w:left="140"/>
              <w:spacing w:after="0"/>
              <w:rPr>
                <w:sz w:val="20"/>
                <w:szCs w:val="20"/>
                <w:color w:val="auto"/>
              </w:rPr>
            </w:pPr>
            <w:r>
              <w:rPr>
                <w:rFonts w:ascii="Arial" w:cs="Arial" w:eastAsia="Arial" w:hAnsi="Arial"/>
                <w:sz w:val="16"/>
                <w:szCs w:val="16"/>
                <w:color w:val="auto"/>
              </w:rPr>
              <w:t>Unrealized gains (losses) on certain derivative instruments</w:t>
            </w:r>
          </w:p>
        </w:tc>
        <w:tc>
          <w:tcPr>
            <w:tcW w:w="260" w:type="dxa"/>
            <w:vAlign w:val="bottom"/>
          </w:tcPr>
          <w:p>
            <w:pPr>
              <w:spacing w:after="0"/>
              <w:rPr>
                <w:sz w:val="20"/>
                <w:szCs w:val="20"/>
                <w:color w:val="auto"/>
              </w:rPr>
            </w:pPr>
          </w:p>
        </w:tc>
        <w:tc>
          <w:tcPr>
            <w:tcW w:w="860" w:type="dxa"/>
            <w:vAlign w:val="bottom"/>
          </w:tcPr>
          <w:p>
            <w:pPr>
              <w:jc w:val="right"/>
              <w:ind w:right="2"/>
              <w:spacing w:after="0"/>
              <w:rPr>
                <w:sz w:val="20"/>
                <w:szCs w:val="20"/>
                <w:color w:val="auto"/>
              </w:rPr>
            </w:pPr>
            <w:r>
              <w:rPr>
                <w:rFonts w:ascii="Arial" w:cs="Arial" w:eastAsia="Arial" w:hAnsi="Arial"/>
                <w:sz w:val="16"/>
                <w:szCs w:val="16"/>
                <w:color w:val="auto"/>
              </w:rPr>
              <w:t>312</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(184)</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358</w:t>
            </w:r>
          </w:p>
        </w:tc>
      </w:tr>
      <w:tr>
        <w:trPr>
          <w:trHeight w:val="235"/>
        </w:trPr>
        <w:tc>
          <w:tcPr>
            <w:tcW w:w="6560" w:type="dxa"/>
            <w:vAlign w:val="bottom"/>
          </w:tcPr>
          <w:p>
            <w:pPr>
              <w:ind w:left="140"/>
              <w:spacing w:after="0"/>
              <w:rPr>
                <w:sz w:val="20"/>
                <w:szCs w:val="20"/>
                <w:color w:val="auto"/>
              </w:rPr>
            </w:pPr>
            <w:r>
              <w:rPr>
                <w:rFonts w:ascii="Arial" w:cs="Arial" w:eastAsia="Arial" w:hAnsi="Arial"/>
                <w:sz w:val="16"/>
                <w:szCs w:val="16"/>
                <w:color w:val="auto"/>
              </w:rPr>
              <w:t>Change in fair value of reinsurance related embedded derivatives (c)</w:t>
            </w: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(148)</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(32)</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(128)</w:t>
            </w:r>
          </w:p>
        </w:tc>
      </w:tr>
      <w:tr>
        <w:trPr>
          <w:trHeight w:val="242"/>
        </w:trPr>
        <w:tc>
          <w:tcPr>
            <w:tcW w:w="6560" w:type="dxa"/>
            <w:vAlign w:val="bottom"/>
          </w:tcPr>
          <w:p>
            <w:pPr>
              <w:ind w:left="140"/>
              <w:spacing w:after="0"/>
              <w:rPr>
                <w:sz w:val="20"/>
                <w:szCs w:val="20"/>
                <w:color w:val="auto"/>
              </w:rPr>
            </w:pPr>
            <w:r>
              <w:rPr>
                <w:rFonts w:ascii="Arial" w:cs="Arial" w:eastAsia="Arial" w:hAnsi="Arial"/>
                <w:sz w:val="16"/>
                <w:szCs w:val="16"/>
                <w:color w:val="auto"/>
              </w:rPr>
              <w:t>Change in fair value of other derivatives and embedded derivatives</w:t>
            </w:r>
          </w:p>
        </w:tc>
        <w:tc>
          <w:tcPr>
            <w:tcW w:w="2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9</w:t>
            </w:r>
          </w:p>
        </w:tc>
        <w:tc>
          <w:tcPr>
            <w:tcW w:w="6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w:t>
            </w:r>
          </w:p>
        </w:tc>
        <w:tc>
          <w:tcPr>
            <w:tcW w:w="6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w:t>
            </w:r>
          </w:p>
        </w:tc>
      </w:tr>
      <w:tr>
        <w:trPr>
          <w:trHeight w:val="215"/>
        </w:trPr>
        <w:tc>
          <w:tcPr>
            <w:tcW w:w="6560" w:type="dxa"/>
            <w:vAlign w:val="bottom"/>
          </w:tcPr>
          <w:p>
            <w:pPr>
              <w:spacing w:after="0"/>
              <w:rPr>
                <w:sz w:val="20"/>
                <w:szCs w:val="20"/>
                <w:color w:val="auto"/>
              </w:rPr>
            </w:pPr>
            <w:r>
              <w:rPr>
                <w:rFonts w:ascii="Arial" w:cs="Arial" w:eastAsia="Arial" w:hAnsi="Arial"/>
                <w:sz w:val="16"/>
                <w:szCs w:val="16"/>
                <w:color w:val="auto"/>
              </w:rPr>
              <w:t>Net realized/unrealized gains on derivatives and embedded derivatives</w:t>
            </w: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111</w:t>
            </w:r>
          </w:p>
        </w:tc>
        <w:tc>
          <w:tcPr>
            <w:tcW w:w="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w:t>
            </w:r>
          </w:p>
        </w:tc>
        <w:tc>
          <w:tcPr>
            <w:tcW w:w="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w:t>
            </w:r>
          </w:p>
        </w:tc>
      </w:tr>
      <w:tr>
        <w:trPr>
          <w:trHeight w:val="196"/>
        </w:trPr>
        <w:tc>
          <w:tcPr>
            <w:tcW w:w="6560" w:type="dxa"/>
            <w:vAlign w:val="bottom"/>
          </w:tcPr>
          <w:p>
            <w:pPr>
              <w:spacing w:after="0"/>
              <w:rPr>
                <w:sz w:val="20"/>
                <w:szCs w:val="20"/>
                <w:color w:val="auto"/>
              </w:rPr>
            </w:pPr>
            <w:r>
              <w:rPr>
                <w:rFonts w:ascii="Arial" w:cs="Arial" w:eastAsia="Arial" w:hAnsi="Arial"/>
                <w:sz w:val="16"/>
                <w:szCs w:val="16"/>
                <w:b w:val="1"/>
                <w:bCs w:val="1"/>
                <w:color w:val="auto"/>
              </w:rPr>
              <w:t>Recognized gains and losses, net</w:t>
            </w:r>
          </w:p>
        </w:tc>
        <w:tc>
          <w:tcPr>
            <w:tcW w:w="26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(60)</w:t>
            </w: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83</w:t>
            </w:r>
          </w:p>
        </w:tc>
        <w:tc>
          <w:tcPr>
            <w:tcW w:w="320" w:type="dxa"/>
            <w:vAlign w:val="bottom"/>
            <w:gridSpan w:val="2"/>
          </w:tcPr>
          <w:p>
            <w:pPr>
              <w:jc w:val="right"/>
              <w:ind w:right="42"/>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(164)</w:t>
            </w:r>
          </w:p>
        </w:tc>
      </w:tr>
      <w:tr>
        <w:trPr>
          <w:trHeight w:val="20"/>
        </w:trPr>
        <w:tc>
          <w:tcPr>
            <w:tcW w:w="65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-1972310</wp:posOffset>
            </wp:positionV>
            <wp:extent cx="6410325" cy="197929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08">
                      <a:extLst>
                        <a:ext uri="{28A0092B-C50C-407E-A947-70E740481C1C}"/>
                      </a:extLst>
                    </a:blip>
                    <a:srcRect/>
                    <a:stretch>
                      <a:fillRect/>
                    </a:stretch>
                  </pic:blipFill>
                  <pic:spPr bwMode="auto">
                    <a:xfrm>
                      <a:off x="0" y="0"/>
                      <a:ext cx="6410325" cy="1979295"/>
                    </a:xfrm>
                    <a:prstGeom prst="rect">
                      <a:avLst/>
                    </a:prstGeom>
                    <a:noFill/>
                  </pic:spPr>
                </pic:pic>
              </a:graphicData>
            </a:graphic>
          </wp:anchor>
        </w:drawing>
      </w:r>
    </w:p>
    <w:p>
      <w:pPr>
        <w:spacing w:after="0" w:line="19" w:lineRule="exact"/>
        <w:rPr>
          <w:sz w:val="20"/>
          <w:szCs w:val="20"/>
          <w:color w:val="auto"/>
        </w:rPr>
      </w:pPr>
    </w:p>
    <w:p>
      <w:pPr>
        <w:ind w:left="207" w:hanging="207"/>
        <w:spacing w:after="0"/>
        <w:tabs>
          <w:tab w:leader="none" w:pos="207" w:val="left"/>
        </w:tabs>
        <w:numPr>
          <w:ilvl w:val="0"/>
          <w:numId w:val="54"/>
        </w:numPr>
        <w:rPr>
          <w:rFonts w:ascii="Arial" w:cs="Arial" w:eastAsia="Arial" w:hAnsi="Arial"/>
          <w:sz w:val="13"/>
          <w:szCs w:val="13"/>
          <w:color w:val="auto"/>
        </w:rPr>
      </w:pPr>
      <w:r>
        <w:rPr>
          <w:rFonts w:ascii="Arial" w:cs="Arial" w:eastAsia="Arial" w:hAnsi="Arial"/>
          <w:sz w:val="13"/>
          <w:szCs w:val="13"/>
          <w:color w:val="auto"/>
        </w:rPr>
        <w:t>Includes net valuation (losses) gains of $(8) million, $(131) million, and $47 million for the years ended December 31, 2025, 2024, and 2023, respectively.</w:t>
      </w:r>
    </w:p>
    <w:p>
      <w:pPr>
        <w:spacing w:after="0" w:line="54" w:lineRule="exact"/>
        <w:rPr>
          <w:rFonts w:ascii="Arial" w:cs="Arial" w:eastAsia="Arial" w:hAnsi="Arial"/>
          <w:sz w:val="13"/>
          <w:szCs w:val="13"/>
          <w:color w:val="auto"/>
        </w:rPr>
      </w:pPr>
    </w:p>
    <w:p>
      <w:pPr>
        <w:ind w:left="227" w:hanging="227"/>
        <w:spacing w:after="0"/>
        <w:tabs>
          <w:tab w:leader="none" w:pos="227" w:val="left"/>
        </w:tabs>
        <w:numPr>
          <w:ilvl w:val="0"/>
          <w:numId w:val="54"/>
        </w:numPr>
        <w:rPr>
          <w:rFonts w:ascii="Arial" w:cs="Arial" w:eastAsia="Arial" w:hAnsi="Arial"/>
          <w:sz w:val="13"/>
          <w:szCs w:val="13"/>
          <w:color w:val="auto"/>
        </w:rPr>
      </w:pPr>
      <w:r>
        <w:rPr>
          <w:rFonts w:ascii="Arial" w:cs="Arial" w:eastAsia="Arial" w:hAnsi="Arial"/>
          <w:sz w:val="13"/>
          <w:szCs w:val="13"/>
          <w:color w:val="auto"/>
        </w:rPr>
        <w:t>Includes net valuation gains (losses) of $(1) million, $13 million, and $80 million for the years ended December 31, 2025, 2024, and 2023, respectively</w:t>
      </w:r>
    </w:p>
    <w:p>
      <w:pPr>
        <w:spacing w:after="0" w:line="38" w:lineRule="exact"/>
        <w:rPr>
          <w:rFonts w:ascii="Arial" w:cs="Arial" w:eastAsia="Arial" w:hAnsi="Arial"/>
          <w:sz w:val="13"/>
          <w:szCs w:val="13"/>
          <w:color w:val="auto"/>
        </w:rPr>
      </w:pPr>
    </w:p>
    <w:p>
      <w:pPr>
        <w:ind w:left="207" w:hanging="207"/>
        <w:spacing w:after="0"/>
        <w:tabs>
          <w:tab w:leader="none" w:pos="207" w:val="left"/>
        </w:tabs>
        <w:numPr>
          <w:ilvl w:val="0"/>
          <w:numId w:val="54"/>
        </w:numPr>
        <w:rPr>
          <w:rFonts w:ascii="Arial" w:cs="Arial" w:eastAsia="Arial" w:hAnsi="Arial"/>
          <w:sz w:val="16"/>
          <w:szCs w:val="16"/>
          <w:color w:val="auto"/>
        </w:rPr>
      </w:pPr>
      <w:r>
        <w:rPr>
          <w:rFonts w:ascii="Arial" w:cs="Arial" w:eastAsia="Arial" w:hAnsi="Arial"/>
          <w:sz w:val="16"/>
          <w:szCs w:val="16"/>
          <w:color w:val="auto"/>
        </w:rPr>
        <w:t>Change in fair value of reinsurance related embedded derivatives is due to activity related to the reinsurance treaties.</w:t>
      </w:r>
    </w:p>
    <w:p>
      <w:pPr>
        <w:spacing w:after="0" w:line="114" w:lineRule="exact"/>
        <w:rPr>
          <w:sz w:val="20"/>
          <w:szCs w:val="20"/>
          <w:color w:val="auto"/>
        </w:rPr>
      </w:pPr>
    </w:p>
    <w:p>
      <w:pPr>
        <w:jc w:val="both"/>
        <w:ind w:left="7" w:firstLine="353"/>
        <w:spacing w:after="0" w:line="271" w:lineRule="auto"/>
        <w:rPr>
          <w:sz w:val="20"/>
          <w:szCs w:val="20"/>
          <w:color w:val="auto"/>
        </w:rPr>
      </w:pPr>
      <w:r>
        <w:rPr>
          <w:rFonts w:ascii="Arial" w:cs="Arial" w:eastAsia="Arial" w:hAnsi="Arial"/>
          <w:sz w:val="19"/>
          <w:szCs w:val="19"/>
          <w:color w:val="auto"/>
        </w:rPr>
        <w:t>Recognized gains and losses is shown net of amounts attributable to certain funds withheld reinsurance agreements which are passed along to the reinsurer in accordance with the terms of these agreements. Recognized (losses) gains attributable to these agreements, and thus excluded from the totals in the table above, was $(154) million, $(30) million and $(123) million for the years ended December 31, 2025, 2024, and 2023, respectively.</w:t>
      </w:r>
    </w:p>
    <w:p>
      <w:pPr>
        <w:sectPr>
          <w:pgSz w:w="11880" w:h="15480" w:orient="portrait"/>
          <w:cols w:equalWidth="0" w:num="1">
            <w:col w:w="10047"/>
          </w:cols>
          <w:pgMar w:left="913" w:top="765"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6"/>
        <w:spacing w:after="0"/>
        <w:rPr>
          <w:sz w:val="20"/>
          <w:szCs w:val="20"/>
          <w:color w:val="auto"/>
        </w:rPr>
      </w:pPr>
      <w:r>
        <w:rPr>
          <w:rFonts w:ascii="Arial" w:cs="Arial" w:eastAsia="Arial" w:hAnsi="Arial"/>
          <w:sz w:val="16"/>
          <w:szCs w:val="16"/>
          <w:color w:val="auto"/>
        </w:rPr>
        <w:t>142</w:t>
      </w:r>
    </w:p>
    <w:p>
      <w:pPr>
        <w:sectPr>
          <w:pgSz w:w="11880" w:h="15480" w:orient="portrait"/>
          <w:cols w:equalWidth="0" w:num="1">
            <w:col w:w="10047"/>
          </w:cols>
          <w:pgMar w:left="913" w:top="765" w:right="920" w:bottom="0" w:gutter="0" w:footer="0" w:header="0"/>
          <w:type w:val="continuous"/>
        </w:sectPr>
      </w:pPr>
    </w:p>
    <w:bookmarkStart w:id="154" w:name="page155"/>
    <w:bookmarkEnd w:id="154"/>
    <w:p>
      <w:pPr>
        <w:jc w:val="both"/>
        <w:ind w:firstLine="353"/>
        <w:spacing w:after="0" w:line="271" w:lineRule="auto"/>
        <w:rPr>
          <w:sz w:val="20"/>
          <w:szCs w:val="20"/>
          <w:color w:val="auto"/>
        </w:rPr>
      </w:pPr>
      <w:r>
        <w:rPr>
          <w:rFonts w:ascii="Arial" w:cs="Arial" w:eastAsia="Arial" w:hAnsi="Arial"/>
          <w:sz w:val="20"/>
          <w:szCs w:val="20"/>
          <w:color w:val="auto"/>
        </w:rPr>
        <w:t>The proceeds from the sale of fixed-maturity securities and the gross gains and losses associated with those transactions were as follows:</w:t>
      </w:r>
    </w:p>
    <w:p>
      <w:pPr>
        <w:spacing w:after="0" w:line="147" w:lineRule="exact"/>
        <w:rPr>
          <w:sz w:val="20"/>
          <w:szCs w:val="20"/>
          <w:color w:val="auto"/>
        </w:rPr>
      </w:pPr>
    </w:p>
    <w:tbl>
      <w:tblPr>
        <w:tblLayout w:type="fixed"/>
        <w:tblInd w:w="40" w:type="dxa"/>
        <w:tblCellMar>
          <w:top w:w="0" w:type="dxa"/>
          <w:left w:w="0" w:type="dxa"/>
          <w:bottom w:w="0" w:type="dxa"/>
          <w:right w:w="0" w:type="dxa"/>
        </w:tblCellMar>
      </w:tblPr>
      <w:tr>
        <w:trPr>
          <w:trHeight w:val="213"/>
        </w:trPr>
        <w:tc>
          <w:tcPr>
            <w:tcW w:w="63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Year ended</w:t>
            </w:r>
          </w:p>
        </w:tc>
        <w:tc>
          <w:tcPr>
            <w:tcW w:w="6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r>
      <w:tr>
        <w:trPr>
          <w:trHeight w:val="182"/>
        </w:trPr>
        <w:tc>
          <w:tcPr>
            <w:tcW w:w="6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jc w:val="right"/>
              <w:ind w:right="82"/>
              <w:spacing w:after="0" w:line="182" w:lineRule="exact"/>
              <w:rPr>
                <w:sz w:val="20"/>
                <w:szCs w:val="20"/>
                <w:color w:val="auto"/>
              </w:rPr>
            </w:pPr>
            <w:r>
              <w:rPr>
                <w:rFonts w:ascii="Arial" w:cs="Arial" w:eastAsia="Arial" w:hAnsi="Arial"/>
                <w:sz w:val="16"/>
                <w:szCs w:val="16"/>
                <w:b w:val="1"/>
                <w:bCs w:val="1"/>
                <w:color w:val="auto"/>
                <w:w w:val="86"/>
              </w:rPr>
              <w:t>December 31,</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ind w:left="20"/>
              <w:spacing w:after="0" w:line="182" w:lineRule="exact"/>
              <w:rPr>
                <w:sz w:val="20"/>
                <w:szCs w:val="20"/>
                <w:color w:val="auto"/>
              </w:rPr>
            </w:pPr>
            <w:r>
              <w:rPr>
                <w:rFonts w:ascii="Arial" w:cs="Arial" w:eastAsia="Arial" w:hAnsi="Arial"/>
                <w:sz w:val="16"/>
                <w:szCs w:val="16"/>
                <w:b w:val="1"/>
                <w:bCs w:val="1"/>
                <w:color w:val="auto"/>
                <w:w w:val="99"/>
              </w:rPr>
              <w:t>December 31,</w:t>
            </w:r>
          </w:p>
        </w:tc>
        <w:tc>
          <w:tcPr>
            <w:tcW w:w="60" w:type="dxa"/>
            <w:vAlign w:val="bottom"/>
          </w:tcPr>
          <w:p>
            <w:pPr>
              <w:spacing w:after="0"/>
              <w:rPr>
                <w:sz w:val="15"/>
                <w:szCs w:val="15"/>
                <w:color w:val="auto"/>
              </w:rPr>
            </w:pPr>
          </w:p>
        </w:tc>
        <w:tc>
          <w:tcPr>
            <w:tcW w:w="1100" w:type="dxa"/>
            <w:vAlign w:val="bottom"/>
            <w:gridSpan w:val="2"/>
          </w:tcPr>
          <w:p>
            <w:pPr>
              <w:jc w:val="right"/>
              <w:ind w:right="2"/>
              <w:spacing w:after="0" w:line="182" w:lineRule="exact"/>
              <w:rPr>
                <w:sz w:val="20"/>
                <w:szCs w:val="20"/>
                <w:color w:val="auto"/>
              </w:rPr>
            </w:pPr>
            <w:r>
              <w:rPr>
                <w:rFonts w:ascii="Arial" w:cs="Arial" w:eastAsia="Arial" w:hAnsi="Arial"/>
                <w:sz w:val="16"/>
                <w:szCs w:val="16"/>
                <w:b w:val="1"/>
                <w:bCs w:val="1"/>
                <w:color w:val="auto"/>
                <w:w w:val="96"/>
              </w:rPr>
              <w:t>December 31,</w:t>
            </w:r>
          </w:p>
        </w:tc>
      </w:tr>
      <w:tr>
        <w:trPr>
          <w:trHeight w:val="210"/>
        </w:trPr>
        <w:tc>
          <w:tcPr>
            <w:tcW w:w="63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82"/>
              <w:spacing w:after="0"/>
              <w:rPr>
                <w:sz w:val="20"/>
                <w:szCs w:val="20"/>
                <w:color w:val="auto"/>
              </w:rPr>
            </w:pPr>
            <w:r>
              <w:rPr>
                <w:rFonts w:ascii="Arial" w:cs="Arial" w:eastAsia="Arial" w:hAnsi="Arial"/>
                <w:sz w:val="16"/>
                <w:szCs w:val="16"/>
                <w:b w:val="1"/>
                <w:bCs w:val="1"/>
                <w:color w:val="auto"/>
              </w:rPr>
              <w:t>2025</w:t>
            </w:r>
          </w:p>
        </w:tc>
        <w:tc>
          <w:tcPr>
            <w:tcW w:w="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62"/>
              <w:spacing w:after="0"/>
              <w:rPr>
                <w:sz w:val="20"/>
                <w:szCs w:val="20"/>
                <w:color w:val="auto"/>
              </w:rPr>
            </w:pPr>
            <w:r>
              <w:rPr>
                <w:rFonts w:ascii="Arial" w:cs="Arial" w:eastAsia="Arial" w:hAnsi="Arial"/>
                <w:sz w:val="16"/>
                <w:szCs w:val="16"/>
                <w:b w:val="1"/>
                <w:bCs w:val="1"/>
                <w:color w:val="auto"/>
              </w:rPr>
              <w:t>2024</w:t>
            </w:r>
          </w:p>
        </w:tc>
        <w:tc>
          <w:tcPr>
            <w:tcW w:w="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02"/>
              <w:spacing w:after="0"/>
              <w:rPr>
                <w:sz w:val="20"/>
                <w:szCs w:val="20"/>
                <w:color w:val="auto"/>
              </w:rPr>
            </w:pPr>
            <w:r>
              <w:rPr>
                <w:rFonts w:ascii="Arial" w:cs="Arial" w:eastAsia="Arial" w:hAnsi="Arial"/>
                <w:sz w:val="16"/>
                <w:szCs w:val="16"/>
                <w:b w:val="1"/>
                <w:bCs w:val="1"/>
                <w:color w:val="auto"/>
              </w:rPr>
              <w:t>2023</w:t>
            </w:r>
          </w:p>
        </w:tc>
      </w:tr>
      <w:tr>
        <w:trPr>
          <w:trHeight w:val="223"/>
        </w:trPr>
        <w:tc>
          <w:tcPr>
            <w:tcW w:w="6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ind w:left="20"/>
              <w:spacing w:after="0"/>
              <w:rPr>
                <w:sz w:val="20"/>
                <w:szCs w:val="20"/>
                <w:color w:val="auto"/>
              </w:rPr>
            </w:pPr>
            <w:r>
              <w:rPr>
                <w:rFonts w:ascii="Arial" w:cs="Arial" w:eastAsia="Arial" w:hAnsi="Arial"/>
                <w:sz w:val="16"/>
                <w:szCs w:val="16"/>
                <w:b w:val="1"/>
                <w:bCs w:val="1"/>
                <w:color w:val="auto"/>
              </w:rPr>
              <w:t>(In millions)</w:t>
            </w: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50"/>
        </w:trPr>
        <w:tc>
          <w:tcPr>
            <w:tcW w:w="6340" w:type="dxa"/>
            <w:vAlign w:val="bottom"/>
          </w:tcPr>
          <w:p>
            <w:pPr>
              <w:spacing w:after="0"/>
              <w:rPr>
                <w:sz w:val="20"/>
                <w:szCs w:val="20"/>
                <w:color w:val="auto"/>
              </w:rPr>
            </w:pPr>
            <w:r>
              <w:rPr>
                <w:rFonts w:ascii="Arial" w:cs="Arial" w:eastAsia="Arial" w:hAnsi="Arial"/>
                <w:sz w:val="16"/>
                <w:szCs w:val="16"/>
                <w:color w:val="auto"/>
              </w:rPr>
              <w:t>Proceeds</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2"/>
              <w:spacing w:after="0"/>
              <w:rPr>
                <w:sz w:val="20"/>
                <w:szCs w:val="20"/>
                <w:color w:val="auto"/>
              </w:rPr>
            </w:pPr>
            <w:r>
              <w:rPr>
                <w:rFonts w:ascii="Arial" w:cs="Arial" w:eastAsia="Arial" w:hAnsi="Arial"/>
                <w:sz w:val="16"/>
                <w:szCs w:val="16"/>
                <w:color w:val="auto"/>
              </w:rPr>
              <w:t>5,720</w:t>
            </w: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4,414</w:t>
            </w:r>
          </w:p>
        </w:tc>
        <w:tc>
          <w:tcPr>
            <w:tcW w:w="320" w:type="dxa"/>
            <w:vAlign w:val="bottom"/>
            <w:gridSpan w:val="2"/>
          </w:tcPr>
          <w:p>
            <w:pPr>
              <w:jc w:val="right"/>
              <w:ind w:right="42"/>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2,698</w:t>
            </w:r>
          </w:p>
        </w:tc>
      </w:tr>
      <w:tr>
        <w:trPr>
          <w:trHeight w:val="250"/>
        </w:trPr>
        <w:tc>
          <w:tcPr>
            <w:tcW w:w="6340" w:type="dxa"/>
            <w:vAlign w:val="bottom"/>
          </w:tcPr>
          <w:p>
            <w:pPr>
              <w:spacing w:after="0"/>
              <w:rPr>
                <w:sz w:val="20"/>
                <w:szCs w:val="20"/>
                <w:color w:val="auto"/>
              </w:rPr>
            </w:pPr>
            <w:r>
              <w:rPr>
                <w:rFonts w:ascii="Arial" w:cs="Arial" w:eastAsia="Arial" w:hAnsi="Arial"/>
                <w:sz w:val="16"/>
                <w:szCs w:val="16"/>
                <w:color w:val="auto"/>
              </w:rPr>
              <w:t>Gross gains</w:t>
            </w:r>
          </w:p>
        </w:tc>
        <w:tc>
          <w:tcPr>
            <w:tcW w:w="140" w:type="dxa"/>
            <w:vAlign w:val="bottom"/>
          </w:tcPr>
          <w:p>
            <w:pPr>
              <w:spacing w:after="0"/>
              <w:rPr>
                <w:sz w:val="21"/>
                <w:szCs w:val="21"/>
                <w:color w:val="auto"/>
              </w:rPr>
            </w:pPr>
          </w:p>
        </w:tc>
        <w:tc>
          <w:tcPr>
            <w:tcW w:w="1080" w:type="dxa"/>
            <w:vAlign w:val="bottom"/>
          </w:tcPr>
          <w:p>
            <w:pPr>
              <w:jc w:val="right"/>
              <w:ind w:right="2"/>
              <w:spacing w:after="0"/>
              <w:rPr>
                <w:sz w:val="20"/>
                <w:szCs w:val="20"/>
                <w:color w:val="auto"/>
              </w:rPr>
            </w:pPr>
            <w:r>
              <w:rPr>
                <w:rFonts w:ascii="Arial" w:cs="Arial" w:eastAsia="Arial" w:hAnsi="Arial"/>
                <w:sz w:val="16"/>
                <w:szCs w:val="16"/>
                <w:color w:val="auto"/>
              </w:rPr>
              <w:t>30</w:t>
            </w: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45</w:t>
            </w: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18</w:t>
            </w:r>
          </w:p>
        </w:tc>
      </w:tr>
      <w:tr>
        <w:trPr>
          <w:trHeight w:val="250"/>
        </w:trPr>
        <w:tc>
          <w:tcPr>
            <w:tcW w:w="6340" w:type="dxa"/>
            <w:vAlign w:val="bottom"/>
          </w:tcPr>
          <w:p>
            <w:pPr>
              <w:spacing w:after="0"/>
              <w:rPr>
                <w:sz w:val="20"/>
                <w:szCs w:val="20"/>
                <w:color w:val="auto"/>
              </w:rPr>
            </w:pPr>
            <w:r>
              <w:rPr>
                <w:rFonts w:ascii="Arial" w:cs="Arial" w:eastAsia="Arial" w:hAnsi="Arial"/>
                <w:sz w:val="16"/>
                <w:szCs w:val="16"/>
                <w:color w:val="auto"/>
              </w:rPr>
              <w:t>Gross losses</w:t>
            </w:r>
          </w:p>
        </w:tc>
        <w:tc>
          <w:tcPr>
            <w:tcW w:w="1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(27)</w:t>
            </w: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(80)</w:t>
            </w: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(145)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-477520</wp:posOffset>
            </wp:positionV>
            <wp:extent cx="6410325" cy="50165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09">
                      <a:extLst>
                        <a:ext uri="{28A0092B-C50C-407E-A947-70E740481C1C}"/>
                      </a:extLst>
                    </a:blip>
                    <a:srcRect/>
                    <a:stretch>
                      <a:fillRect/>
                    </a:stretch>
                  </pic:blipFill>
                  <pic:spPr bwMode="auto">
                    <a:xfrm>
                      <a:off x="0" y="0"/>
                      <a:ext cx="6410325" cy="501650"/>
                    </a:xfrm>
                    <a:prstGeom prst="rect">
                      <a:avLst/>
                    </a:prstGeom>
                    <a:noFill/>
                  </pic:spPr>
                </pic:pic>
              </a:graphicData>
            </a:graphic>
          </wp:anchor>
        </w:drawing>
      </w:r>
    </w:p>
    <w:p>
      <w:pPr>
        <w:spacing w:after="0" w:line="14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Variable Interest Entities</w:t>
      </w:r>
    </w:p>
    <w:p>
      <w:pPr>
        <w:spacing w:after="0" w:line="130" w:lineRule="exact"/>
        <w:rPr>
          <w:sz w:val="20"/>
          <w:szCs w:val="20"/>
          <w:color w:val="auto"/>
        </w:rPr>
      </w:pPr>
    </w:p>
    <w:p>
      <w:pPr>
        <w:jc w:val="both"/>
        <w:ind w:firstLine="353"/>
        <w:spacing w:after="0" w:line="299" w:lineRule="auto"/>
        <w:rPr>
          <w:sz w:val="20"/>
          <w:szCs w:val="20"/>
          <w:color w:val="auto"/>
        </w:rPr>
      </w:pPr>
      <w:r>
        <w:rPr>
          <w:rFonts w:ascii="Arial" w:cs="Arial" w:eastAsia="Arial" w:hAnsi="Arial"/>
          <w:sz w:val="17"/>
          <w:szCs w:val="17"/>
          <w:color w:val="auto"/>
        </w:rPr>
        <w:t>Our involvement with VIEs is primarily through investments in entities that provide exposure to a diversified portfolio of investment asset classes. A VIE is an entity that does not have sufficient equity to finance its own activities without additional financial support, where investors lack certain characteristics of a controlling financial interest, or where the entity is structured with non-substantive voting rights. VIEs are consolidated by their ‘primary beneficiary,’ a designation given to an entity that receives both the benefits from the VIE as well as the substantive power to make its key economic decisions. We perform ongoing qualitative assessments of our variable interests in VIEs to determine whether we have a controlling financial interest and are therefore the primary beneficiary of the VIE. We consolidate the assets and liabilities (if applicable) of VIEs for which we are determined to be the primary beneficiary in our consolidated financial statements.</w:t>
      </w:r>
    </w:p>
    <w:p>
      <w:pPr>
        <w:spacing w:after="0" w:line="49" w:lineRule="exact"/>
        <w:rPr>
          <w:sz w:val="20"/>
          <w:szCs w:val="20"/>
          <w:color w:val="auto"/>
        </w:rPr>
      </w:pPr>
    </w:p>
    <w:p>
      <w:pPr>
        <w:ind w:left="340"/>
        <w:spacing w:after="0"/>
        <w:rPr>
          <w:sz w:val="20"/>
          <w:szCs w:val="20"/>
          <w:color w:val="auto"/>
        </w:rPr>
      </w:pPr>
      <w:r>
        <w:rPr>
          <w:rFonts w:ascii="Arial" w:cs="Arial" w:eastAsia="Arial" w:hAnsi="Arial"/>
          <w:sz w:val="20"/>
          <w:szCs w:val="20"/>
          <w:b w:val="1"/>
          <w:bCs w:val="1"/>
          <w:i w:val="1"/>
          <w:iCs w:val="1"/>
          <w:color w:val="auto"/>
        </w:rPr>
        <w:t>Consolidated variable interest entities</w:t>
      </w:r>
    </w:p>
    <w:p>
      <w:pPr>
        <w:spacing w:after="0" w:line="125" w:lineRule="exact"/>
        <w:rPr>
          <w:sz w:val="20"/>
          <w:szCs w:val="20"/>
          <w:color w:val="auto"/>
        </w:rPr>
      </w:pPr>
    </w:p>
    <w:p>
      <w:pPr>
        <w:jc w:val="both"/>
        <w:ind w:firstLine="353"/>
        <w:spacing w:after="0" w:line="258" w:lineRule="auto"/>
        <w:rPr>
          <w:sz w:val="20"/>
          <w:szCs w:val="20"/>
          <w:color w:val="auto"/>
        </w:rPr>
      </w:pPr>
      <w:r>
        <w:rPr>
          <w:rFonts w:ascii="Arial" w:cs="Arial" w:eastAsia="Arial" w:hAnsi="Arial"/>
          <w:sz w:val="20"/>
          <w:szCs w:val="20"/>
          <w:color w:val="auto"/>
        </w:rPr>
        <w:t>We have concluded that we are the primary beneficiary for certain VIEs where we have both the power to direct the most significant activities of the VIE and the obligation to absorb losses or the right to receive benefits that could potentially be significant to the VIE.</w:t>
      </w:r>
    </w:p>
    <w:p>
      <w:pPr>
        <w:spacing w:after="0" w:line="82" w:lineRule="exact"/>
        <w:rPr>
          <w:sz w:val="20"/>
          <w:szCs w:val="20"/>
          <w:color w:val="auto"/>
        </w:rPr>
      </w:pPr>
    </w:p>
    <w:p>
      <w:pPr>
        <w:jc w:val="both"/>
        <w:ind w:firstLine="353"/>
        <w:spacing w:after="0" w:line="251" w:lineRule="auto"/>
        <w:rPr>
          <w:sz w:val="20"/>
          <w:szCs w:val="20"/>
          <w:color w:val="auto"/>
        </w:rPr>
      </w:pPr>
      <w:r>
        <w:rPr>
          <w:rFonts w:ascii="Arial" w:cs="Arial" w:eastAsia="Arial" w:hAnsi="Arial"/>
          <w:sz w:val="20"/>
          <w:szCs w:val="20"/>
          <w:color w:val="auto"/>
        </w:rPr>
        <w:t>Consolidated VIEs at December 31, 2025 are structured investments that are managed by third parties. These structured investments are established as special purpose vehicles (“SPVs”) designed to hold specific assets which include limited partnerships, middle market loans, short-term investments, and cash and cash equivalents. The assets of each VIE can be used only to settle obligations of the VIE. Asset and liability information held by consolidated VIEs included on the Consolidated Balance Sheets are as follows:</w:t>
      </w:r>
    </w:p>
    <w:p>
      <w:pPr>
        <w:spacing w:after="0" w:line="164" w:lineRule="exact"/>
        <w:rPr>
          <w:sz w:val="20"/>
          <w:szCs w:val="20"/>
          <w:color w:val="auto"/>
        </w:rPr>
      </w:pPr>
    </w:p>
    <w:tbl>
      <w:tblPr>
        <w:tblLayout w:type="fixed"/>
        <w:tblInd w:w="40" w:type="dxa"/>
        <w:tblCellMar>
          <w:top w:w="0" w:type="dxa"/>
          <w:left w:w="0" w:type="dxa"/>
          <w:bottom w:w="0" w:type="dxa"/>
          <w:right w:w="0" w:type="dxa"/>
        </w:tblCellMar>
      </w:tblPr>
      <w:tr>
        <w:trPr>
          <w:trHeight w:val="213"/>
        </w:trPr>
        <w:tc>
          <w:tcPr>
            <w:tcW w:w="7400" w:type="dxa"/>
            <w:vAlign w:val="bottom"/>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w w:val="88"/>
              </w:rPr>
              <w:t>December 31,</w:t>
            </w:r>
          </w:p>
        </w:tc>
        <w:tc>
          <w:tcPr>
            <w:tcW w:w="8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400" w:type="dxa"/>
            <w:vAlign w:val="bottom"/>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2025</w:t>
            </w:r>
          </w:p>
        </w:tc>
        <w:tc>
          <w:tcPr>
            <w:tcW w:w="44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2024</w:t>
            </w:r>
          </w:p>
        </w:tc>
        <w:tc>
          <w:tcPr>
            <w:tcW w:w="0" w:type="dxa"/>
            <w:vAlign w:val="bottom"/>
          </w:tcPr>
          <w:p>
            <w:pPr>
              <w:spacing w:after="0"/>
              <w:rPr>
                <w:sz w:val="1"/>
                <w:szCs w:val="1"/>
                <w:color w:val="auto"/>
              </w:rPr>
            </w:pPr>
          </w:p>
        </w:tc>
      </w:tr>
      <w:tr>
        <w:trPr>
          <w:trHeight w:val="208"/>
        </w:trPr>
        <w:tc>
          <w:tcPr>
            <w:tcW w:w="7400" w:type="dxa"/>
            <w:vAlign w:val="bottom"/>
          </w:tcPr>
          <w:p>
            <w:pPr>
              <w:spacing w:after="0"/>
              <w:rPr>
                <w:sz w:val="20"/>
                <w:szCs w:val="20"/>
                <w:color w:val="auto"/>
              </w:rPr>
            </w:pPr>
            <w:r>
              <w:rPr>
                <w:rFonts w:ascii="Arial" w:cs="Arial" w:eastAsia="Arial" w:hAnsi="Arial"/>
                <w:sz w:val="16"/>
                <w:szCs w:val="16"/>
                <w:b w:val="1"/>
                <w:bCs w:val="1"/>
                <w:color w:val="auto"/>
              </w:rPr>
              <w:t>Assets</w:t>
            </w:r>
          </w:p>
        </w:tc>
        <w:tc>
          <w:tcPr>
            <w:tcW w:w="820" w:type="dxa"/>
            <w:vAlign w:val="bottom"/>
          </w:tcPr>
          <w:p>
            <w:pPr>
              <w:spacing w:after="0"/>
              <w:rPr>
                <w:sz w:val="18"/>
                <w:szCs w:val="18"/>
                <w:color w:val="auto"/>
              </w:rPr>
            </w:pPr>
          </w:p>
        </w:tc>
        <w:tc>
          <w:tcPr>
            <w:tcW w:w="960" w:type="dxa"/>
            <w:vAlign w:val="bottom"/>
            <w:gridSpan w:val="3"/>
          </w:tcPr>
          <w:p>
            <w:pPr>
              <w:jc w:val="right"/>
              <w:spacing w:after="0"/>
              <w:rPr>
                <w:sz w:val="20"/>
                <w:szCs w:val="20"/>
                <w:color w:val="auto"/>
              </w:rPr>
            </w:pPr>
            <w:r>
              <w:rPr>
                <w:rFonts w:ascii="Arial" w:cs="Arial" w:eastAsia="Arial" w:hAnsi="Arial"/>
                <w:sz w:val="16"/>
                <w:szCs w:val="16"/>
                <w:b w:val="1"/>
                <w:bCs w:val="1"/>
                <w:color w:val="auto"/>
                <w:w w:val="97"/>
              </w:rPr>
              <w:t>(In millions)</w:t>
            </w: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7400" w:type="dxa"/>
            <w:vAlign w:val="bottom"/>
          </w:tcPr>
          <w:p>
            <w:pPr>
              <w:spacing w:after="0"/>
              <w:rPr>
                <w:sz w:val="20"/>
                <w:szCs w:val="20"/>
                <w:color w:val="auto"/>
              </w:rPr>
            </w:pPr>
            <w:r>
              <w:rPr>
                <w:rFonts w:ascii="Arial" w:cs="Arial" w:eastAsia="Arial" w:hAnsi="Arial"/>
                <w:sz w:val="16"/>
                <w:szCs w:val="16"/>
                <w:color w:val="auto"/>
              </w:rPr>
              <w:t>Investments in unconsolidated affiliates</w:t>
            </w:r>
          </w:p>
        </w:tc>
        <w:tc>
          <w:tcPr>
            <w:tcW w:w="820" w:type="dxa"/>
            <w:vAlign w:val="bottom"/>
          </w:tcPr>
          <w:p>
            <w:pPr>
              <w:jc w:val="right"/>
              <w:ind w:right="622"/>
              <w:spacing w:after="0"/>
              <w:rPr>
                <w:sz w:val="20"/>
                <w:szCs w:val="20"/>
                <w:color w:val="auto"/>
              </w:rPr>
            </w:pPr>
            <w:r>
              <w:rPr>
                <w:rFonts w:ascii="Arial" w:cs="Arial" w:eastAsia="Arial" w:hAnsi="Arial"/>
                <w:sz w:val="16"/>
                <w:szCs w:val="16"/>
                <w:color w:val="auto"/>
              </w:rPr>
              <w:t>$</w:t>
            </w:r>
          </w:p>
        </w:tc>
        <w:tc>
          <w:tcPr>
            <w:tcW w:w="440" w:type="dxa"/>
            <w:vAlign w:val="bottom"/>
          </w:tcPr>
          <w:p>
            <w:pPr>
              <w:jc w:val="right"/>
              <w:spacing w:after="0"/>
              <w:rPr>
                <w:sz w:val="20"/>
                <w:szCs w:val="20"/>
                <w:color w:val="auto"/>
              </w:rPr>
            </w:pPr>
            <w:r>
              <w:rPr>
                <w:rFonts w:ascii="Arial" w:cs="Arial" w:eastAsia="Arial" w:hAnsi="Arial"/>
                <w:sz w:val="16"/>
                <w:szCs w:val="16"/>
                <w:color w:val="auto"/>
              </w:rPr>
              <w:t>262</w:t>
            </w:r>
          </w:p>
        </w:tc>
        <w:tc>
          <w:tcPr>
            <w:tcW w:w="520" w:type="dxa"/>
            <w:vAlign w:val="bottom"/>
            <w:gridSpan w:val="2"/>
          </w:tcPr>
          <w:p>
            <w:pPr>
              <w:jc w:val="right"/>
              <w:ind w:right="242"/>
              <w:spacing w:after="0"/>
              <w:rPr>
                <w:sz w:val="20"/>
                <w:szCs w:val="20"/>
                <w:color w:val="auto"/>
              </w:rPr>
            </w:pPr>
            <w:r>
              <w:rPr>
                <w:rFonts w:ascii="Arial" w:cs="Arial" w:eastAsia="Arial" w:hAnsi="Arial"/>
                <w:sz w:val="16"/>
                <w:szCs w:val="16"/>
                <w:color w:val="auto"/>
              </w:rPr>
              <w:t>$</w:t>
            </w:r>
          </w:p>
        </w:tc>
        <w:tc>
          <w:tcPr>
            <w:tcW w:w="820" w:type="dxa"/>
            <w:vAlign w:val="bottom"/>
          </w:tcPr>
          <w:p>
            <w:pPr>
              <w:ind w:left="6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5"/>
        </w:trPr>
        <w:tc>
          <w:tcPr>
            <w:tcW w:w="7400" w:type="dxa"/>
            <w:vAlign w:val="bottom"/>
          </w:tcPr>
          <w:p>
            <w:pPr>
              <w:spacing w:after="0"/>
              <w:rPr>
                <w:sz w:val="20"/>
                <w:szCs w:val="20"/>
                <w:color w:val="auto"/>
              </w:rPr>
            </w:pPr>
            <w:r>
              <w:rPr>
                <w:rFonts w:ascii="Arial" w:cs="Arial" w:eastAsia="Arial" w:hAnsi="Arial"/>
                <w:sz w:val="16"/>
                <w:szCs w:val="16"/>
                <w:color w:val="auto"/>
              </w:rPr>
              <w:t>Other long-term investments</w:t>
            </w:r>
          </w:p>
        </w:tc>
        <w:tc>
          <w:tcPr>
            <w:tcW w:w="82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248</w:t>
            </w:r>
          </w:p>
        </w:tc>
        <w:tc>
          <w:tcPr>
            <w:tcW w:w="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20" w:type="dxa"/>
            <w:vAlign w:val="bottom"/>
          </w:tcPr>
          <w:p>
            <w:pPr>
              <w:ind w:left="6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5"/>
        </w:trPr>
        <w:tc>
          <w:tcPr>
            <w:tcW w:w="7400" w:type="dxa"/>
            <w:vAlign w:val="bottom"/>
          </w:tcPr>
          <w:p>
            <w:pPr>
              <w:spacing w:after="0"/>
              <w:rPr>
                <w:sz w:val="20"/>
                <w:szCs w:val="20"/>
                <w:color w:val="auto"/>
              </w:rPr>
            </w:pPr>
            <w:r>
              <w:rPr>
                <w:rFonts w:ascii="Arial" w:cs="Arial" w:eastAsia="Arial" w:hAnsi="Arial"/>
                <w:sz w:val="16"/>
                <w:szCs w:val="16"/>
                <w:color w:val="auto"/>
              </w:rPr>
              <w:t>Short-term investments</w:t>
            </w:r>
          </w:p>
        </w:tc>
        <w:tc>
          <w:tcPr>
            <w:tcW w:w="82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116</w:t>
            </w:r>
          </w:p>
        </w:tc>
        <w:tc>
          <w:tcPr>
            <w:tcW w:w="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20" w:type="dxa"/>
            <w:vAlign w:val="bottom"/>
          </w:tcPr>
          <w:p>
            <w:pPr>
              <w:ind w:left="6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2"/>
        </w:trPr>
        <w:tc>
          <w:tcPr>
            <w:tcW w:w="7400" w:type="dxa"/>
            <w:vAlign w:val="bottom"/>
          </w:tcPr>
          <w:p>
            <w:pPr>
              <w:spacing w:after="0"/>
              <w:rPr>
                <w:sz w:val="20"/>
                <w:szCs w:val="20"/>
                <w:color w:val="auto"/>
              </w:rPr>
            </w:pPr>
            <w:r>
              <w:rPr>
                <w:rFonts w:ascii="Arial" w:cs="Arial" w:eastAsia="Arial" w:hAnsi="Arial"/>
                <w:sz w:val="16"/>
                <w:szCs w:val="16"/>
                <w:color w:val="auto"/>
              </w:rPr>
              <w:t>Cash and cash equivalents</w:t>
            </w:r>
          </w:p>
        </w:tc>
        <w:tc>
          <w:tcPr>
            <w:tcW w:w="82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60" w:type="dxa"/>
            <w:vAlign w:val="bottom"/>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ind w:left="6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7400" w:type="dxa"/>
            <w:vAlign w:val="bottom"/>
          </w:tcPr>
          <w:p>
            <w:pPr>
              <w:ind w:left="240"/>
              <w:spacing w:after="0"/>
              <w:rPr>
                <w:sz w:val="20"/>
                <w:szCs w:val="20"/>
                <w:color w:val="auto"/>
              </w:rPr>
            </w:pPr>
            <w:r>
              <w:rPr>
                <w:rFonts w:ascii="Arial" w:cs="Arial" w:eastAsia="Arial" w:hAnsi="Arial"/>
                <w:sz w:val="16"/>
                <w:szCs w:val="16"/>
                <w:color w:val="auto"/>
              </w:rPr>
              <w:t>Total assets</w:t>
            </w:r>
          </w:p>
        </w:tc>
        <w:tc>
          <w:tcPr>
            <w:tcW w:w="820" w:type="dxa"/>
            <w:vAlign w:val="bottom"/>
            <w:tcBorders>
              <w:bottom w:val="single" w:sz="8" w:color="auto"/>
            </w:tcBorders>
          </w:tcPr>
          <w:p>
            <w:pPr>
              <w:jc w:val="right"/>
              <w:ind w:right="622"/>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628</w:t>
            </w:r>
          </w:p>
        </w:tc>
        <w:tc>
          <w:tcPr>
            <w:tcW w:w="60" w:type="dxa"/>
            <w:vAlign w:val="bottom"/>
          </w:tcPr>
          <w:p>
            <w:pPr>
              <w:spacing w:after="0"/>
              <w:rPr>
                <w:sz w:val="18"/>
                <w:szCs w:val="18"/>
                <w:color w:val="auto"/>
              </w:rPr>
            </w:pPr>
          </w:p>
        </w:tc>
        <w:tc>
          <w:tcPr>
            <w:tcW w:w="460" w:type="dxa"/>
            <w:vAlign w:val="bottom"/>
            <w:tcBorders>
              <w:bottom w:val="single" w:sz="8" w:color="auto"/>
            </w:tcBorders>
          </w:tcPr>
          <w:p>
            <w:pPr>
              <w:jc w:val="right"/>
              <w:ind w:right="242"/>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ind w:left="6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7400" w:type="dxa"/>
            <w:vAlign w:val="bottom"/>
            <w:vMerge w:val="restart"/>
          </w:tcPr>
          <w:p>
            <w:pPr>
              <w:ind w:left="240"/>
              <w:spacing w:after="0"/>
              <w:rPr>
                <w:sz w:val="20"/>
                <w:szCs w:val="20"/>
                <w:color w:val="auto"/>
              </w:rPr>
            </w:pPr>
            <w:r>
              <w:rPr>
                <w:rFonts w:ascii="Arial" w:cs="Arial" w:eastAsia="Arial" w:hAnsi="Arial"/>
                <w:sz w:val="16"/>
                <w:szCs w:val="16"/>
                <w:b w:val="1"/>
                <w:bCs w:val="1"/>
                <w:color w:val="auto"/>
              </w:rPr>
              <w:t>Total consolidated VIE investments</w:t>
            </w:r>
          </w:p>
        </w:tc>
        <w:tc>
          <w:tcPr>
            <w:tcW w:w="8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7400" w:type="dxa"/>
            <w:vAlign w:val="bottom"/>
            <w:vMerge w:val="continue"/>
          </w:tcPr>
          <w:p>
            <w:pPr>
              <w:spacing w:after="0"/>
              <w:rPr>
                <w:sz w:val="17"/>
                <w:szCs w:val="17"/>
                <w:color w:val="auto"/>
              </w:rPr>
            </w:pPr>
          </w:p>
        </w:tc>
        <w:tc>
          <w:tcPr>
            <w:tcW w:w="820" w:type="dxa"/>
            <w:vAlign w:val="bottom"/>
          </w:tcPr>
          <w:p>
            <w:pPr>
              <w:jc w:val="right"/>
              <w:ind w:right="622"/>
              <w:spacing w:after="0"/>
              <w:rPr>
                <w:sz w:val="20"/>
                <w:szCs w:val="20"/>
                <w:color w:val="auto"/>
              </w:rPr>
            </w:pPr>
            <w:r>
              <w:rPr>
                <w:rFonts w:ascii="Arial" w:cs="Arial" w:eastAsia="Arial" w:hAnsi="Arial"/>
                <w:sz w:val="16"/>
                <w:szCs w:val="16"/>
                <w:color w:val="auto"/>
              </w:rPr>
              <w:t>$</w:t>
            </w:r>
          </w:p>
        </w:tc>
        <w:tc>
          <w:tcPr>
            <w:tcW w:w="440" w:type="dxa"/>
            <w:vAlign w:val="bottom"/>
          </w:tcPr>
          <w:p>
            <w:pPr>
              <w:jc w:val="right"/>
              <w:spacing w:after="0"/>
              <w:rPr>
                <w:sz w:val="20"/>
                <w:szCs w:val="20"/>
                <w:color w:val="auto"/>
              </w:rPr>
            </w:pPr>
            <w:r>
              <w:rPr>
                <w:rFonts w:ascii="Arial" w:cs="Arial" w:eastAsia="Arial" w:hAnsi="Arial"/>
                <w:sz w:val="16"/>
                <w:szCs w:val="16"/>
                <w:color w:val="auto"/>
              </w:rPr>
              <w:t>628</w:t>
            </w:r>
          </w:p>
        </w:tc>
        <w:tc>
          <w:tcPr>
            <w:tcW w:w="520" w:type="dxa"/>
            <w:vAlign w:val="bottom"/>
            <w:gridSpan w:val="2"/>
          </w:tcPr>
          <w:p>
            <w:pPr>
              <w:jc w:val="right"/>
              <w:ind w:right="242"/>
              <w:spacing w:after="0"/>
              <w:rPr>
                <w:sz w:val="20"/>
                <w:szCs w:val="20"/>
                <w:color w:val="auto"/>
              </w:rPr>
            </w:pPr>
            <w:r>
              <w:rPr>
                <w:rFonts w:ascii="Arial" w:cs="Arial" w:eastAsia="Arial" w:hAnsi="Arial"/>
                <w:sz w:val="16"/>
                <w:szCs w:val="16"/>
                <w:color w:val="auto"/>
              </w:rPr>
              <w:t>$</w:t>
            </w:r>
          </w:p>
        </w:tc>
        <w:tc>
          <w:tcPr>
            <w:tcW w:w="820" w:type="dxa"/>
            <w:vAlign w:val="bottom"/>
          </w:tcPr>
          <w:p>
            <w:pPr>
              <w:ind w:left="6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74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-1225550</wp:posOffset>
            </wp:positionV>
            <wp:extent cx="6410325" cy="123253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10">
                      <a:extLst>
                        <a:ext uri="{28A0092B-C50C-407E-A947-70E740481C1C}"/>
                      </a:extLst>
                    </a:blip>
                    <a:srcRect/>
                    <a:stretch>
                      <a:fillRect/>
                    </a:stretch>
                  </pic:blipFill>
                  <pic:spPr bwMode="auto">
                    <a:xfrm>
                      <a:off x="0" y="0"/>
                      <a:ext cx="6410325" cy="1232535"/>
                    </a:xfrm>
                    <a:prstGeom prst="rect">
                      <a:avLst/>
                    </a:prstGeom>
                    <a:noFill/>
                  </pic:spPr>
                </pic:pic>
              </a:graphicData>
            </a:graphic>
          </wp:anchor>
        </w:drawing>
      </w:r>
    </w:p>
    <w:p>
      <w:pPr>
        <w:spacing w:after="0" w:line="105" w:lineRule="exact"/>
        <w:rPr>
          <w:sz w:val="20"/>
          <w:szCs w:val="20"/>
          <w:color w:val="auto"/>
        </w:rPr>
      </w:pPr>
    </w:p>
    <w:p>
      <w:pPr>
        <w:jc w:val="both"/>
        <w:ind w:firstLine="353"/>
        <w:spacing w:after="0" w:line="254" w:lineRule="auto"/>
        <w:rPr>
          <w:sz w:val="20"/>
          <w:szCs w:val="20"/>
          <w:color w:val="auto"/>
        </w:rPr>
      </w:pPr>
      <w:r>
        <w:rPr>
          <w:rFonts w:ascii="Arial" w:cs="Arial" w:eastAsia="Arial" w:hAnsi="Arial"/>
          <w:sz w:val="20"/>
          <w:szCs w:val="20"/>
          <w:color w:val="auto"/>
        </w:rPr>
        <w:t xml:space="preserve">We are not required to provide financial support to these VIEs beyond our contractual obligations. Our maximum exposure to loss related to these consolidated VIEs is limited to our capital invested plus any unfunded capital commitments (refer to unfunded commitments in Note G </w:t>
      </w:r>
      <w:r>
        <w:rPr>
          <w:rFonts w:ascii="Arial" w:cs="Arial" w:eastAsia="Arial" w:hAnsi="Arial"/>
          <w:sz w:val="20"/>
          <w:szCs w:val="20"/>
          <w:b w:val="1"/>
          <w:bCs w:val="1"/>
          <w:i w:val="1"/>
          <w:iCs w:val="1"/>
          <w:color w:val="auto"/>
        </w:rPr>
        <w:t>Commitments and Contingencies</w:t>
      </w:r>
      <w:r>
        <w:rPr>
          <w:rFonts w:ascii="Arial" w:cs="Arial" w:eastAsia="Arial" w:hAnsi="Arial"/>
          <w:sz w:val="20"/>
          <w:szCs w:val="20"/>
          <w:color w:val="auto"/>
        </w:rPr>
        <w:t>). The maximum loss exposure of our consolidated VIEs as of December 31, 2025 was $878 million.</w:t>
      </w:r>
    </w:p>
    <w:p>
      <w:pPr>
        <w:spacing w:after="0" w:line="83" w:lineRule="exact"/>
        <w:rPr>
          <w:sz w:val="20"/>
          <w:szCs w:val="20"/>
          <w:color w:val="auto"/>
        </w:rPr>
      </w:pPr>
    </w:p>
    <w:p>
      <w:pPr>
        <w:ind w:left="340"/>
        <w:spacing w:after="0"/>
        <w:rPr>
          <w:sz w:val="20"/>
          <w:szCs w:val="20"/>
          <w:color w:val="auto"/>
        </w:rPr>
      </w:pPr>
      <w:r>
        <w:rPr>
          <w:rFonts w:ascii="Arial" w:cs="Arial" w:eastAsia="Arial" w:hAnsi="Arial"/>
          <w:sz w:val="20"/>
          <w:szCs w:val="20"/>
          <w:b w:val="1"/>
          <w:bCs w:val="1"/>
          <w:i w:val="1"/>
          <w:iCs w:val="1"/>
          <w:color w:val="auto"/>
        </w:rPr>
        <w:t>Unconsolidated Variable Interest Entities</w:t>
      </w:r>
    </w:p>
    <w:p>
      <w:pPr>
        <w:spacing w:after="0" w:line="125" w:lineRule="exact"/>
        <w:rPr>
          <w:sz w:val="20"/>
          <w:szCs w:val="20"/>
          <w:color w:val="auto"/>
        </w:rPr>
      </w:pPr>
    </w:p>
    <w:p>
      <w:pPr>
        <w:jc w:val="both"/>
        <w:ind w:firstLine="353"/>
        <w:spacing w:after="0" w:line="312" w:lineRule="auto"/>
        <w:rPr>
          <w:sz w:val="20"/>
          <w:szCs w:val="20"/>
          <w:color w:val="auto"/>
        </w:rPr>
      </w:pPr>
      <w:r>
        <w:rPr>
          <w:rFonts w:ascii="Arial" w:cs="Arial" w:eastAsia="Arial" w:hAnsi="Arial"/>
          <w:sz w:val="17"/>
          <w:szCs w:val="17"/>
          <w:color w:val="auto"/>
        </w:rPr>
        <w:t>The Company owns investments in VIEs that are not consolidated within our financial statements. While the Company participates in the benefits from these VIEs in which the Company invests, but do not consolidate, the substantive power to make the key economic decisions for each respective VIE resides with entities not under the Company's common control. It is for this reason that the Company is not considered the primary beneficiary for the VIE investments that are not consolidated.</w:t>
      </w:r>
    </w:p>
    <w:p>
      <w:pPr>
        <w:spacing w:after="0" w:line="42" w:lineRule="exact"/>
        <w:rPr>
          <w:sz w:val="20"/>
          <w:szCs w:val="20"/>
          <w:color w:val="auto"/>
        </w:rPr>
      </w:pPr>
    </w:p>
    <w:p>
      <w:pPr>
        <w:jc w:val="both"/>
        <w:ind w:firstLine="353"/>
        <w:spacing w:after="0" w:line="306" w:lineRule="auto"/>
        <w:rPr>
          <w:sz w:val="20"/>
          <w:szCs w:val="20"/>
          <w:color w:val="auto"/>
        </w:rPr>
      </w:pPr>
      <w:r>
        <w:rPr>
          <w:rFonts w:ascii="Arial" w:cs="Arial" w:eastAsia="Arial" w:hAnsi="Arial"/>
          <w:sz w:val="17"/>
          <w:szCs w:val="17"/>
          <w:color w:val="auto"/>
        </w:rPr>
        <w:t>We invest in various limited partnerships and limited liability companies primarily as a passive investor. These investments are primarily in credit funds with a bias towards current income, real assets, or private equity. Limited partnership and limited liability company interests are accounted for under the equity method and are included in Investments in unconsolidated affiliates on our Consolidated Balance Sheets. In addition, we invest in structured investments, which may be VIEs, but for which we are not the primary beneficiary. These structured investments typically invest in fixed income investments and are</w:t>
      </w:r>
    </w:p>
    <w:p>
      <w:pPr>
        <w:sectPr>
          <w:pgSz w:w="11880" w:h="15480" w:orient="portrait"/>
          <w:cols w:equalWidth="0" w:num="1">
            <w:col w:w="10040"/>
          </w:cols>
          <w:pgMar w:left="920" w:top="772" w:right="920" w:bottom="0" w:gutter="0" w:footer="0" w:header="0"/>
        </w:sect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143</w:t>
      </w:r>
    </w:p>
    <w:p>
      <w:pPr>
        <w:sectPr>
          <w:pgSz w:w="11880" w:h="15480" w:orient="portrait"/>
          <w:cols w:equalWidth="0" w:num="1">
            <w:col w:w="10040"/>
          </w:cols>
          <w:pgMar w:left="920" w:top="772" w:right="920" w:bottom="0" w:gutter="0" w:footer="0" w:header="0"/>
          <w:type w:val="continuous"/>
        </w:sectPr>
      </w:pPr>
    </w:p>
    <w:bookmarkStart w:id="155" w:name="page156"/>
    <w:bookmarkEnd w:id="155"/>
    <w:p>
      <w:pPr>
        <w:jc w:val="both"/>
        <w:spacing w:after="0" w:line="298" w:lineRule="auto"/>
        <w:rPr>
          <w:sz w:val="20"/>
          <w:szCs w:val="20"/>
          <w:color w:val="auto"/>
        </w:rPr>
      </w:pPr>
      <w:r>
        <w:rPr>
          <w:rFonts w:ascii="Arial" w:cs="Arial" w:eastAsia="Arial" w:hAnsi="Arial"/>
          <w:sz w:val="19"/>
          <w:szCs w:val="19"/>
          <w:color w:val="auto"/>
        </w:rPr>
        <w:t>managed by third parties and include asset-backed securities, commercial mortgage-backed securities and residential mortgage-backed securities included in fixed maturity securities available for sale on our Consolidated Balance Sheets.</w:t>
      </w:r>
    </w:p>
    <w:p>
      <w:pPr>
        <w:spacing w:after="0" w:line="26" w:lineRule="exact"/>
        <w:rPr>
          <w:sz w:val="20"/>
          <w:szCs w:val="20"/>
          <w:color w:val="auto"/>
        </w:rPr>
      </w:pPr>
    </w:p>
    <w:p>
      <w:pPr>
        <w:jc w:val="both"/>
        <w:ind w:firstLine="353"/>
        <w:spacing w:after="0" w:line="278" w:lineRule="auto"/>
        <w:rPr>
          <w:sz w:val="20"/>
          <w:szCs w:val="20"/>
          <w:color w:val="auto"/>
        </w:rPr>
      </w:pPr>
      <w:r>
        <w:rPr>
          <w:rFonts w:ascii="Arial" w:cs="Arial" w:eastAsia="Arial" w:hAnsi="Arial"/>
          <w:sz w:val="19"/>
          <w:szCs w:val="19"/>
          <w:color w:val="auto"/>
        </w:rPr>
        <w:t xml:space="preserve">Our maximum loss exposure with respect to these VIEs is limited to the investment carrying amounts reported in our Consolidated Balance Sheets for limited partnerships and the amortized costs of certain of our fixed maturity securities, in addition to any required unfunded commitments (refer to Note G </w:t>
      </w:r>
      <w:r>
        <w:rPr>
          <w:rFonts w:ascii="Arial" w:cs="Arial" w:eastAsia="Arial" w:hAnsi="Arial"/>
          <w:sz w:val="19"/>
          <w:szCs w:val="19"/>
          <w:b w:val="1"/>
          <w:bCs w:val="1"/>
          <w:i w:val="1"/>
          <w:iCs w:val="1"/>
          <w:color w:val="auto"/>
        </w:rPr>
        <w:t>Commitments and Contingencies</w:t>
      </w:r>
      <w:r>
        <w:rPr>
          <w:rFonts w:ascii="Arial" w:cs="Arial" w:eastAsia="Arial" w:hAnsi="Arial"/>
          <w:sz w:val="19"/>
          <w:szCs w:val="19"/>
          <w:color w:val="auto"/>
        </w:rPr>
        <w:t>).</w:t>
      </w:r>
    </w:p>
    <w:p>
      <w:pPr>
        <w:spacing w:after="0" w:line="44" w:lineRule="exact"/>
        <w:rPr>
          <w:sz w:val="20"/>
          <w:szCs w:val="20"/>
          <w:color w:val="auto"/>
        </w:rPr>
      </w:pPr>
    </w:p>
    <w:p>
      <w:pPr>
        <w:ind w:left="340"/>
        <w:spacing w:after="0"/>
        <w:rPr>
          <w:sz w:val="20"/>
          <w:szCs w:val="20"/>
          <w:color w:val="auto"/>
        </w:rPr>
      </w:pPr>
      <w:r>
        <w:rPr>
          <w:rFonts w:ascii="Arial" w:cs="Arial" w:eastAsia="Arial" w:hAnsi="Arial"/>
          <w:sz w:val="19"/>
          <w:szCs w:val="19"/>
          <w:color w:val="auto"/>
        </w:rPr>
        <w:t>The following table summarizes the carrying value and the maximum loss exposure of our unconsolidated VIEs:</w:t>
      </w:r>
    </w:p>
    <w:p>
      <w:pPr>
        <w:spacing w:after="0" w:line="203" w:lineRule="exact"/>
        <w:rPr>
          <w:sz w:val="20"/>
          <w:szCs w:val="20"/>
          <w:color w:val="auto"/>
        </w:rPr>
      </w:pPr>
    </w:p>
    <w:tbl>
      <w:tblPr>
        <w:tblLayout w:type="fixed"/>
        <w:tblInd w:w="40" w:type="dxa"/>
        <w:tblCellMar>
          <w:top w:w="0" w:type="dxa"/>
          <w:left w:w="0" w:type="dxa"/>
          <w:bottom w:w="0" w:type="dxa"/>
          <w:right w:w="0" w:type="dxa"/>
        </w:tblCellMar>
      </w:tblPr>
      <w:tr>
        <w:trPr>
          <w:trHeight w:val="213"/>
        </w:trPr>
        <w:tc>
          <w:tcPr>
            <w:tcW w:w="53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100" w:type="dxa"/>
            <w:vAlign w:val="bottom"/>
            <w:tcBorders>
              <w:bottom w:val="single" w:sz="8" w:color="auto"/>
            </w:tcBorders>
            <w:gridSpan w:val="4"/>
          </w:tcPr>
          <w:p>
            <w:pPr>
              <w:jc w:val="right"/>
              <w:ind w:right="442"/>
              <w:spacing w:after="0"/>
              <w:rPr>
                <w:sz w:val="20"/>
                <w:szCs w:val="20"/>
                <w:color w:val="auto"/>
              </w:rPr>
            </w:pPr>
            <w:r>
              <w:rPr>
                <w:rFonts w:ascii="Arial" w:cs="Arial" w:eastAsia="Arial" w:hAnsi="Arial"/>
                <w:sz w:val="16"/>
                <w:szCs w:val="16"/>
                <w:b w:val="1"/>
                <w:bCs w:val="1"/>
                <w:color w:val="auto"/>
              </w:rPr>
              <w:t>December 31, 2025</w:t>
            </w:r>
          </w:p>
        </w:tc>
        <w:tc>
          <w:tcPr>
            <w:tcW w:w="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080" w:type="dxa"/>
            <w:vAlign w:val="bottom"/>
            <w:tcBorders>
              <w:bottom w:val="single" w:sz="8" w:color="auto"/>
            </w:tcBorders>
            <w:gridSpan w:val="4"/>
          </w:tcPr>
          <w:p>
            <w:pPr>
              <w:jc w:val="right"/>
              <w:ind w:right="422"/>
              <w:spacing w:after="0"/>
              <w:rPr>
                <w:sz w:val="20"/>
                <w:szCs w:val="20"/>
                <w:color w:val="auto"/>
              </w:rPr>
            </w:pPr>
            <w:r>
              <w:rPr>
                <w:rFonts w:ascii="Arial" w:cs="Arial" w:eastAsia="Arial" w:hAnsi="Arial"/>
                <w:sz w:val="16"/>
                <w:szCs w:val="16"/>
                <w:b w:val="1"/>
                <w:bCs w:val="1"/>
                <w:color w:val="auto"/>
              </w:rPr>
              <w:t>December 31, 2024</w:t>
            </w:r>
          </w:p>
        </w:tc>
      </w:tr>
      <w:tr>
        <w:trPr>
          <w:trHeight w:val="182"/>
        </w:trPr>
        <w:tc>
          <w:tcPr>
            <w:tcW w:w="53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jc w:val="right"/>
              <w:ind w:right="162"/>
              <w:spacing w:after="0" w:line="182" w:lineRule="exact"/>
              <w:rPr>
                <w:sz w:val="20"/>
                <w:szCs w:val="20"/>
                <w:color w:val="auto"/>
              </w:rPr>
            </w:pPr>
            <w:r>
              <w:rPr>
                <w:rFonts w:ascii="Arial" w:cs="Arial" w:eastAsia="Arial" w:hAnsi="Arial"/>
                <w:sz w:val="16"/>
                <w:szCs w:val="16"/>
                <w:b w:val="1"/>
                <w:bCs w:val="1"/>
                <w:color w:val="auto"/>
              </w:rPr>
              <w:t>Carrying</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jc w:val="right"/>
              <w:ind w:right="122"/>
              <w:spacing w:after="0" w:line="182" w:lineRule="exact"/>
              <w:rPr>
                <w:sz w:val="20"/>
                <w:szCs w:val="20"/>
                <w:color w:val="auto"/>
              </w:rPr>
            </w:pPr>
            <w:r>
              <w:rPr>
                <w:rFonts w:ascii="Arial" w:cs="Arial" w:eastAsia="Arial" w:hAnsi="Arial"/>
                <w:sz w:val="16"/>
                <w:szCs w:val="16"/>
                <w:b w:val="1"/>
                <w:bCs w:val="1"/>
                <w:color w:val="auto"/>
                <w:w w:val="97"/>
              </w:rPr>
              <w:t>Maximum</w:t>
            </w: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jc w:val="right"/>
              <w:ind w:right="182"/>
              <w:spacing w:after="0" w:line="182" w:lineRule="exact"/>
              <w:rPr>
                <w:sz w:val="20"/>
                <w:szCs w:val="20"/>
                <w:color w:val="auto"/>
              </w:rPr>
            </w:pPr>
            <w:r>
              <w:rPr>
                <w:rFonts w:ascii="Arial" w:cs="Arial" w:eastAsia="Arial" w:hAnsi="Arial"/>
                <w:sz w:val="16"/>
                <w:szCs w:val="16"/>
                <w:b w:val="1"/>
                <w:bCs w:val="1"/>
                <w:color w:val="auto"/>
                <w:w w:val="97"/>
              </w:rPr>
              <w:t>Carrying</w:t>
            </w: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jc w:val="right"/>
              <w:ind w:right="122"/>
              <w:spacing w:after="0" w:line="182" w:lineRule="exact"/>
              <w:rPr>
                <w:sz w:val="20"/>
                <w:szCs w:val="20"/>
                <w:color w:val="auto"/>
              </w:rPr>
            </w:pPr>
            <w:r>
              <w:rPr>
                <w:rFonts w:ascii="Arial" w:cs="Arial" w:eastAsia="Arial" w:hAnsi="Arial"/>
                <w:sz w:val="16"/>
                <w:szCs w:val="16"/>
                <w:b w:val="1"/>
                <w:bCs w:val="1"/>
                <w:color w:val="auto"/>
                <w:w w:val="94"/>
              </w:rPr>
              <w:t>Maximum</w:t>
            </w:r>
          </w:p>
        </w:tc>
      </w:tr>
      <w:tr>
        <w:trPr>
          <w:trHeight w:val="210"/>
        </w:trPr>
        <w:tc>
          <w:tcPr>
            <w:tcW w:w="53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282"/>
              <w:spacing w:after="0"/>
              <w:rPr>
                <w:sz w:val="20"/>
                <w:szCs w:val="20"/>
                <w:color w:val="auto"/>
              </w:rPr>
            </w:pPr>
            <w:r>
              <w:rPr>
                <w:rFonts w:ascii="Arial" w:cs="Arial" w:eastAsia="Arial" w:hAnsi="Arial"/>
                <w:sz w:val="16"/>
                <w:szCs w:val="16"/>
                <w:b w:val="1"/>
                <w:bCs w:val="1"/>
                <w:color w:val="auto"/>
              </w:rPr>
              <w:t>Value</w:t>
            </w:r>
          </w:p>
        </w:tc>
        <w:tc>
          <w:tcPr>
            <w:tcW w:w="80" w:type="dxa"/>
            <w:vAlign w:val="bottom"/>
          </w:tcPr>
          <w:p>
            <w:pPr>
              <w:spacing w:after="0"/>
              <w:rPr>
                <w:sz w:val="18"/>
                <w:szCs w:val="18"/>
                <w:color w:val="auto"/>
              </w:rPr>
            </w:pPr>
          </w:p>
        </w:tc>
        <w:tc>
          <w:tcPr>
            <w:tcW w:w="1100" w:type="dxa"/>
            <w:vAlign w:val="bottom"/>
            <w:tcBorders>
              <w:bottom w:val="single" w:sz="8" w:color="auto"/>
            </w:tcBorders>
            <w:gridSpan w:val="2"/>
          </w:tcPr>
          <w:p>
            <w:pPr>
              <w:ind w:left="60"/>
              <w:spacing w:after="0"/>
              <w:rPr>
                <w:sz w:val="20"/>
                <w:szCs w:val="20"/>
                <w:color w:val="auto"/>
              </w:rPr>
            </w:pPr>
            <w:r>
              <w:rPr>
                <w:rFonts w:ascii="Arial" w:cs="Arial" w:eastAsia="Arial" w:hAnsi="Arial"/>
                <w:sz w:val="16"/>
                <w:szCs w:val="16"/>
                <w:b w:val="1"/>
                <w:bCs w:val="1"/>
                <w:color w:val="auto"/>
                <w:w w:val="88"/>
              </w:rPr>
              <w:t>Loss Exposure</w:t>
            </w:r>
          </w:p>
        </w:tc>
        <w:tc>
          <w:tcPr>
            <w:tcW w:w="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282"/>
              <w:spacing w:after="0"/>
              <w:rPr>
                <w:sz w:val="20"/>
                <w:szCs w:val="20"/>
                <w:color w:val="auto"/>
              </w:rPr>
            </w:pPr>
            <w:r>
              <w:rPr>
                <w:rFonts w:ascii="Arial" w:cs="Arial" w:eastAsia="Arial" w:hAnsi="Arial"/>
                <w:sz w:val="16"/>
                <w:szCs w:val="16"/>
                <w:b w:val="1"/>
                <w:bCs w:val="1"/>
                <w:color w:val="auto"/>
              </w:rPr>
              <w:t>Value</w:t>
            </w:r>
          </w:p>
        </w:tc>
        <w:tc>
          <w:tcPr>
            <w:tcW w:w="60" w:type="dxa"/>
            <w:vAlign w:val="bottom"/>
          </w:tcPr>
          <w:p>
            <w:pPr>
              <w:spacing w:after="0"/>
              <w:rPr>
                <w:sz w:val="18"/>
                <w:szCs w:val="18"/>
                <w:color w:val="auto"/>
              </w:rPr>
            </w:pPr>
          </w:p>
        </w:tc>
        <w:tc>
          <w:tcPr>
            <w:tcW w:w="1100" w:type="dxa"/>
            <w:vAlign w:val="bottom"/>
            <w:tcBorders>
              <w:bottom w:val="single" w:sz="8" w:color="auto"/>
            </w:tcBorders>
            <w:gridSpan w:val="2"/>
          </w:tcPr>
          <w:p>
            <w:pPr>
              <w:ind w:left="60"/>
              <w:spacing w:after="0"/>
              <w:rPr>
                <w:sz w:val="20"/>
                <w:szCs w:val="20"/>
                <w:color w:val="auto"/>
              </w:rPr>
            </w:pPr>
            <w:r>
              <w:rPr>
                <w:rFonts w:ascii="Arial" w:cs="Arial" w:eastAsia="Arial" w:hAnsi="Arial"/>
                <w:sz w:val="16"/>
                <w:szCs w:val="16"/>
                <w:b w:val="1"/>
                <w:bCs w:val="1"/>
                <w:color w:val="auto"/>
                <w:w w:val="88"/>
              </w:rPr>
              <w:t>Loss Exposure</w:t>
            </w:r>
          </w:p>
        </w:tc>
      </w:tr>
      <w:tr>
        <w:trPr>
          <w:trHeight w:val="223"/>
        </w:trPr>
        <w:tc>
          <w:tcPr>
            <w:tcW w:w="5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120" w:type="dxa"/>
            <w:vAlign w:val="bottom"/>
            <w:gridSpan w:val="4"/>
          </w:tcPr>
          <w:p>
            <w:pPr>
              <w:jc w:val="right"/>
              <w:ind w:right="642"/>
              <w:spacing w:after="0"/>
              <w:rPr>
                <w:sz w:val="20"/>
                <w:szCs w:val="20"/>
                <w:color w:val="auto"/>
              </w:rPr>
            </w:pPr>
            <w:r>
              <w:rPr>
                <w:rFonts w:ascii="Arial" w:cs="Arial" w:eastAsia="Arial" w:hAnsi="Arial"/>
                <w:sz w:val="16"/>
                <w:szCs w:val="16"/>
                <w:b w:val="1"/>
                <w:bCs w:val="1"/>
                <w:color w:val="auto"/>
              </w:rPr>
              <w:t>(In millions)</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50"/>
        </w:trPr>
        <w:tc>
          <w:tcPr>
            <w:tcW w:w="5380" w:type="dxa"/>
            <w:vAlign w:val="bottom"/>
          </w:tcPr>
          <w:p>
            <w:pPr>
              <w:spacing w:after="0"/>
              <w:rPr>
                <w:sz w:val="20"/>
                <w:szCs w:val="20"/>
                <w:color w:val="auto"/>
              </w:rPr>
            </w:pPr>
            <w:r>
              <w:rPr>
                <w:rFonts w:ascii="Arial" w:cs="Arial" w:eastAsia="Arial" w:hAnsi="Arial"/>
                <w:sz w:val="16"/>
                <w:szCs w:val="16"/>
                <w:color w:val="auto"/>
              </w:rPr>
              <w:t>Investment in unconsolidated affiliates</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5,145</w:t>
            </w:r>
          </w:p>
        </w:tc>
        <w:tc>
          <w:tcPr>
            <w:tcW w:w="240" w:type="dxa"/>
            <w:vAlign w:val="bottom"/>
            <w:gridSpan w:val="2"/>
          </w:tcPr>
          <w:p>
            <w:pPr>
              <w:ind w:left="120"/>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2"/>
              <w:spacing w:after="0"/>
              <w:rPr>
                <w:sz w:val="20"/>
                <w:szCs w:val="20"/>
                <w:color w:val="auto"/>
              </w:rPr>
            </w:pPr>
            <w:r>
              <w:rPr>
                <w:rFonts w:ascii="Arial" w:cs="Arial" w:eastAsia="Arial" w:hAnsi="Arial"/>
                <w:sz w:val="16"/>
                <w:szCs w:val="16"/>
                <w:color w:val="auto"/>
              </w:rPr>
              <w:t>6,389</w:t>
            </w:r>
          </w:p>
        </w:tc>
        <w:tc>
          <w:tcPr>
            <w:tcW w:w="26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2"/>
              <w:spacing w:after="0"/>
              <w:rPr>
                <w:sz w:val="20"/>
                <w:szCs w:val="20"/>
                <w:color w:val="auto"/>
              </w:rPr>
            </w:pPr>
            <w:r>
              <w:rPr>
                <w:rFonts w:ascii="Arial" w:cs="Arial" w:eastAsia="Arial" w:hAnsi="Arial"/>
                <w:sz w:val="16"/>
                <w:szCs w:val="16"/>
                <w:color w:val="auto"/>
              </w:rPr>
              <w:t>3,565</w:t>
            </w:r>
          </w:p>
        </w:tc>
        <w:tc>
          <w:tcPr>
            <w:tcW w:w="240" w:type="dxa"/>
            <w:vAlign w:val="bottom"/>
            <w:gridSpan w:val="2"/>
          </w:tcPr>
          <w:p>
            <w:pPr>
              <w:ind w:left="120"/>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4,703</w:t>
            </w:r>
          </w:p>
        </w:tc>
      </w:tr>
      <w:tr>
        <w:trPr>
          <w:trHeight w:val="257"/>
        </w:trPr>
        <w:tc>
          <w:tcPr>
            <w:tcW w:w="5380" w:type="dxa"/>
            <w:vAlign w:val="bottom"/>
          </w:tcPr>
          <w:p>
            <w:pPr>
              <w:spacing w:after="0"/>
              <w:rPr>
                <w:sz w:val="20"/>
                <w:szCs w:val="20"/>
                <w:color w:val="auto"/>
              </w:rPr>
            </w:pPr>
            <w:r>
              <w:rPr>
                <w:rFonts w:ascii="Arial" w:cs="Arial" w:eastAsia="Arial" w:hAnsi="Arial"/>
                <w:sz w:val="16"/>
                <w:szCs w:val="16"/>
                <w:color w:val="auto"/>
              </w:rPr>
              <w:t>Fixed maturity securities</w:t>
            </w:r>
          </w:p>
        </w:tc>
        <w:tc>
          <w:tcPr>
            <w:tcW w:w="1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26,419</w:t>
            </w:r>
          </w:p>
        </w:tc>
        <w:tc>
          <w:tcPr>
            <w:tcW w:w="8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28,803</w:t>
            </w:r>
          </w:p>
        </w:tc>
        <w:tc>
          <w:tcPr>
            <w:tcW w:w="6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23,242</w:t>
            </w:r>
          </w:p>
        </w:tc>
        <w:tc>
          <w:tcPr>
            <w:tcW w:w="6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24,242</w:t>
            </w:r>
          </w:p>
        </w:tc>
      </w:tr>
      <w:tr>
        <w:trPr>
          <w:trHeight w:val="210"/>
        </w:trPr>
        <w:tc>
          <w:tcPr>
            <w:tcW w:w="5380" w:type="dxa"/>
            <w:vAlign w:val="bottom"/>
          </w:tcPr>
          <w:p>
            <w:pPr>
              <w:spacing w:after="0"/>
              <w:rPr>
                <w:sz w:val="20"/>
                <w:szCs w:val="20"/>
                <w:color w:val="auto"/>
              </w:rPr>
            </w:pPr>
            <w:r>
              <w:rPr>
                <w:rFonts w:ascii="Arial" w:cs="Arial" w:eastAsia="Arial" w:hAnsi="Arial"/>
                <w:sz w:val="16"/>
                <w:szCs w:val="16"/>
                <w:b w:val="1"/>
                <w:bCs w:val="1"/>
                <w:color w:val="auto"/>
              </w:rPr>
              <w:t>Total unconsolidated VIE investments</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31,564</w:t>
            </w:r>
          </w:p>
        </w:tc>
        <w:tc>
          <w:tcPr>
            <w:tcW w:w="240" w:type="dxa"/>
            <w:vAlign w:val="bottom"/>
            <w:gridSpan w:val="2"/>
          </w:tcPr>
          <w:p>
            <w:pPr>
              <w:ind w:left="120"/>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2"/>
              <w:spacing w:after="0"/>
              <w:rPr>
                <w:sz w:val="20"/>
                <w:szCs w:val="20"/>
                <w:color w:val="auto"/>
              </w:rPr>
            </w:pPr>
            <w:r>
              <w:rPr>
                <w:rFonts w:ascii="Arial" w:cs="Arial" w:eastAsia="Arial" w:hAnsi="Arial"/>
                <w:sz w:val="16"/>
                <w:szCs w:val="16"/>
                <w:color w:val="auto"/>
              </w:rPr>
              <w:t>35,192</w:t>
            </w:r>
          </w:p>
        </w:tc>
        <w:tc>
          <w:tcPr>
            <w:tcW w:w="26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2"/>
              <w:spacing w:after="0"/>
              <w:rPr>
                <w:sz w:val="20"/>
                <w:szCs w:val="20"/>
                <w:color w:val="auto"/>
              </w:rPr>
            </w:pPr>
            <w:r>
              <w:rPr>
                <w:rFonts w:ascii="Arial" w:cs="Arial" w:eastAsia="Arial" w:hAnsi="Arial"/>
                <w:sz w:val="16"/>
                <w:szCs w:val="16"/>
                <w:color w:val="auto"/>
              </w:rPr>
              <w:t>26,807</w:t>
            </w:r>
          </w:p>
        </w:tc>
        <w:tc>
          <w:tcPr>
            <w:tcW w:w="240" w:type="dxa"/>
            <w:vAlign w:val="bottom"/>
            <w:gridSpan w:val="2"/>
          </w:tcPr>
          <w:p>
            <w:pPr>
              <w:ind w:left="120"/>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28,945</w:t>
            </w:r>
          </w:p>
        </w:tc>
      </w:tr>
      <w:tr>
        <w:trPr>
          <w:trHeight w:val="20"/>
        </w:trPr>
        <w:tc>
          <w:tcPr>
            <w:tcW w:w="53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-506730</wp:posOffset>
            </wp:positionV>
            <wp:extent cx="6410325" cy="51371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11">
                      <a:extLst>
                        <a:ext uri="{28A0092B-C50C-407E-A947-70E740481C1C}"/>
                      </a:extLst>
                    </a:blip>
                    <a:srcRect/>
                    <a:stretch>
                      <a:fillRect/>
                    </a:stretch>
                  </pic:blipFill>
                  <pic:spPr bwMode="auto">
                    <a:xfrm>
                      <a:off x="0" y="0"/>
                      <a:ext cx="6410325" cy="513715"/>
                    </a:xfrm>
                    <a:prstGeom prst="rect">
                      <a:avLst/>
                    </a:prstGeom>
                    <a:noFill/>
                  </pic:spPr>
                </pic:pic>
              </a:graphicData>
            </a:graphic>
          </wp:anchor>
        </w:drawing>
      </w:r>
    </w:p>
    <w:p>
      <w:pPr>
        <w:sectPr>
          <w:pgSz w:w="11880" w:h="15480" w:orient="portrait"/>
          <w:cols w:equalWidth="0" w:num="1">
            <w:col w:w="10040"/>
          </w:cols>
          <w:pgMar w:left="920" w:top="772"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144</w:t>
      </w:r>
    </w:p>
    <w:p>
      <w:pPr>
        <w:sectPr>
          <w:pgSz w:w="11880" w:h="15480" w:orient="portrait"/>
          <w:cols w:equalWidth="0" w:num="1">
            <w:col w:w="10040"/>
          </w:cols>
          <w:pgMar w:left="920" w:top="772" w:right="920" w:bottom="0" w:gutter="0" w:footer="0" w:header="0"/>
          <w:type w:val="continuous"/>
        </w:sectPr>
      </w:pPr>
    </w:p>
    <w:bookmarkStart w:id="156" w:name="page157"/>
    <w:bookmarkEnd w:id="156"/>
    <w:p>
      <w:pPr>
        <w:ind w:left="7"/>
        <w:spacing w:after="0"/>
        <w:rPr>
          <w:sz w:val="20"/>
          <w:szCs w:val="20"/>
          <w:color w:val="auto"/>
        </w:rPr>
      </w:pPr>
      <w:r>
        <w:rPr>
          <w:rFonts w:ascii="Arial" w:cs="Arial" w:eastAsia="Arial" w:hAnsi="Arial"/>
          <w:sz w:val="20"/>
          <w:szCs w:val="20"/>
          <w:b w:val="1"/>
          <w:bCs w:val="1"/>
          <w:color w:val="auto"/>
        </w:rPr>
        <w:t>Note E — Derivative Financial Instruments</w:t>
      </w:r>
    </w:p>
    <w:p>
      <w:pPr>
        <w:spacing w:after="0" w:line="234" w:lineRule="exact"/>
        <w:rPr>
          <w:sz w:val="20"/>
          <w:szCs w:val="20"/>
          <w:color w:val="auto"/>
        </w:rPr>
      </w:pPr>
    </w:p>
    <w:p>
      <w:pPr>
        <w:jc w:val="both"/>
        <w:ind w:left="7" w:right="20" w:firstLine="353"/>
        <w:spacing w:after="0" w:line="259" w:lineRule="auto"/>
        <w:rPr>
          <w:sz w:val="20"/>
          <w:szCs w:val="20"/>
          <w:color w:val="auto"/>
        </w:rPr>
      </w:pPr>
      <w:r>
        <w:rPr>
          <w:rFonts w:ascii="Arial" w:cs="Arial" w:eastAsia="Arial" w:hAnsi="Arial"/>
          <w:sz w:val="20"/>
          <w:szCs w:val="20"/>
          <w:color w:val="auto"/>
        </w:rPr>
        <w:t xml:space="preserve">Refer to Note A </w:t>
      </w:r>
      <w:r>
        <w:rPr>
          <w:rFonts w:ascii="Arial" w:cs="Arial" w:eastAsia="Arial" w:hAnsi="Arial"/>
          <w:sz w:val="20"/>
          <w:szCs w:val="20"/>
          <w:b w:val="1"/>
          <w:bCs w:val="1"/>
          <w:i w:val="1"/>
          <w:iCs w:val="1"/>
          <w:color w:val="auto"/>
        </w:rPr>
        <w:t>Business and Summary of Significant Accounting Policies</w:t>
      </w:r>
      <w:r>
        <w:rPr>
          <w:rFonts w:ascii="Arial" w:cs="Arial" w:eastAsia="Arial" w:hAnsi="Arial"/>
          <w:sz w:val="20"/>
          <w:szCs w:val="20"/>
          <w:color w:val="auto"/>
        </w:rPr>
        <w:t xml:space="preserve">, for a description of the Company's accounting policies for derivative financial instruments and Note C </w:t>
      </w:r>
      <w:r>
        <w:rPr>
          <w:rFonts w:ascii="Arial" w:cs="Arial" w:eastAsia="Arial" w:hAnsi="Arial"/>
          <w:sz w:val="20"/>
          <w:szCs w:val="20"/>
          <w:b w:val="1"/>
          <w:bCs w:val="1"/>
          <w:i w:val="1"/>
          <w:iCs w:val="1"/>
          <w:color w:val="auto"/>
        </w:rPr>
        <w:t>Fair Value of Financial Instruments</w:t>
      </w:r>
      <w:r>
        <w:rPr>
          <w:rFonts w:ascii="Arial" w:cs="Arial" w:eastAsia="Arial" w:hAnsi="Arial"/>
          <w:sz w:val="20"/>
          <w:szCs w:val="20"/>
          <w:color w:val="auto"/>
        </w:rPr>
        <w:t xml:space="preserve"> for descriptions of the fair value methodologies used for derivative financial instruments.</w:t>
      </w:r>
    </w:p>
    <w:p>
      <w:pPr>
        <w:spacing w:after="0" w:line="80" w:lineRule="exact"/>
        <w:rPr>
          <w:sz w:val="20"/>
          <w:szCs w:val="20"/>
          <w:color w:val="auto"/>
        </w:rPr>
      </w:pPr>
    </w:p>
    <w:p>
      <w:pPr>
        <w:jc w:val="both"/>
        <w:ind w:left="7" w:right="20" w:firstLine="353"/>
        <w:spacing w:after="0" w:line="271" w:lineRule="auto"/>
        <w:rPr>
          <w:sz w:val="20"/>
          <w:szCs w:val="20"/>
          <w:color w:val="auto"/>
        </w:rPr>
      </w:pPr>
      <w:r>
        <w:rPr>
          <w:rFonts w:ascii="Arial" w:cs="Arial" w:eastAsia="Arial" w:hAnsi="Arial"/>
          <w:sz w:val="20"/>
          <w:szCs w:val="20"/>
          <w:color w:val="auto"/>
        </w:rPr>
        <w:t>The notional and carrying amounts of derivative financial instruments, including derivative instruments embedded in indexed annuities and IUL contracts, and reinsurance are as follows:</w:t>
      </w:r>
    </w:p>
    <w:p>
      <w:pPr>
        <w:spacing w:after="0" w:line="372" w:lineRule="exact"/>
        <w:rPr>
          <w:sz w:val="20"/>
          <w:szCs w:val="20"/>
          <w:color w:val="auto"/>
        </w:rPr>
      </w:pPr>
    </w:p>
    <w:tbl>
      <w:tblPr>
        <w:tblLayout w:type="fixed"/>
        <w:tblInd w:w="147" w:type="dxa"/>
        <w:tblCellMar>
          <w:top w:w="0" w:type="dxa"/>
          <w:left w:w="0" w:type="dxa"/>
          <w:bottom w:w="0" w:type="dxa"/>
          <w:right w:w="0" w:type="dxa"/>
        </w:tblCellMar>
      </w:tblPr>
      <w:tr>
        <w:trPr>
          <w:trHeight w:val="213"/>
        </w:trPr>
        <w:tc>
          <w:tcPr>
            <w:tcW w:w="43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000" w:type="dxa"/>
            <w:vAlign w:val="bottom"/>
            <w:tcBorders>
              <w:bottom w:val="single" w:sz="8" w:color="auto"/>
            </w:tcBorders>
            <w:gridSpan w:val="4"/>
          </w:tcPr>
          <w:p>
            <w:pPr>
              <w:jc w:val="right"/>
              <w:ind w:right="82"/>
              <w:spacing w:after="0"/>
              <w:rPr>
                <w:sz w:val="20"/>
                <w:szCs w:val="20"/>
                <w:color w:val="auto"/>
              </w:rPr>
            </w:pPr>
            <w:r>
              <w:rPr>
                <w:rFonts w:ascii="Arial" w:cs="Arial" w:eastAsia="Arial" w:hAnsi="Arial"/>
                <w:sz w:val="16"/>
                <w:szCs w:val="16"/>
                <w:b w:val="1"/>
                <w:bCs w:val="1"/>
                <w:color w:val="auto"/>
              </w:rPr>
              <w:t>December 31, 2025</w:t>
            </w:r>
          </w:p>
        </w:tc>
        <w:tc>
          <w:tcPr>
            <w:tcW w:w="58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000" w:type="dxa"/>
            <w:vAlign w:val="bottom"/>
            <w:tcBorders>
              <w:bottom w:val="single" w:sz="8" w:color="auto"/>
            </w:tcBorders>
            <w:gridSpan w:val="4"/>
          </w:tcPr>
          <w:p>
            <w:pPr>
              <w:jc w:val="right"/>
              <w:ind w:right="82"/>
              <w:spacing w:after="0"/>
              <w:rPr>
                <w:sz w:val="20"/>
                <w:szCs w:val="20"/>
                <w:color w:val="auto"/>
              </w:rPr>
            </w:pPr>
            <w:r>
              <w:rPr>
                <w:rFonts w:ascii="Arial" w:cs="Arial" w:eastAsia="Arial" w:hAnsi="Arial"/>
                <w:sz w:val="16"/>
                <w:szCs w:val="16"/>
                <w:b w:val="1"/>
                <w:bCs w:val="1"/>
                <w:color w:val="auto"/>
              </w:rPr>
              <w:t>December 31, 2024</w:t>
            </w:r>
          </w:p>
        </w:tc>
        <w:tc>
          <w:tcPr>
            <w:tcW w:w="5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7"/>
        </w:trPr>
        <w:tc>
          <w:tcPr>
            <w:tcW w:w="4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right"/>
              <w:ind w:right="202"/>
              <w:spacing w:after="0" w:line="167" w:lineRule="exact"/>
              <w:rPr>
                <w:sz w:val="20"/>
                <w:szCs w:val="20"/>
                <w:color w:val="auto"/>
              </w:rPr>
            </w:pPr>
            <w:r>
              <w:rPr>
                <w:rFonts w:ascii="Arial" w:cs="Arial" w:eastAsia="Arial" w:hAnsi="Arial"/>
                <w:sz w:val="16"/>
                <w:szCs w:val="16"/>
                <w:b w:val="1"/>
                <w:bCs w:val="1"/>
                <w:color w:val="auto"/>
                <w:w w:val="99"/>
              </w:rPr>
              <w:t>Gross</w:t>
            </w:r>
          </w:p>
        </w:tc>
        <w:tc>
          <w:tcPr>
            <w:tcW w:w="200" w:type="dxa"/>
            <w:vAlign w:val="bottom"/>
          </w:tcPr>
          <w:p>
            <w:pPr>
              <w:spacing w:after="0"/>
              <w:rPr>
                <w:sz w:val="14"/>
                <w:szCs w:val="14"/>
                <w:color w:val="auto"/>
              </w:rPr>
            </w:pPr>
          </w:p>
        </w:tc>
        <w:tc>
          <w:tcPr>
            <w:tcW w:w="720" w:type="dxa"/>
            <w:vAlign w:val="bottom"/>
            <w:vMerge w:val="restart"/>
          </w:tcPr>
          <w:p>
            <w:pPr>
              <w:jc w:val="right"/>
              <w:ind w:right="182"/>
              <w:spacing w:after="0"/>
              <w:rPr>
                <w:sz w:val="20"/>
                <w:szCs w:val="20"/>
                <w:color w:val="auto"/>
              </w:rPr>
            </w:pPr>
            <w:r>
              <w:rPr>
                <w:rFonts w:ascii="Arial" w:cs="Arial" w:eastAsia="Arial" w:hAnsi="Arial"/>
                <w:sz w:val="16"/>
                <w:szCs w:val="16"/>
                <w:b w:val="1"/>
                <w:bCs w:val="1"/>
                <w:color w:val="auto"/>
                <w:w w:val="83"/>
              </w:rPr>
              <w:t>Assets</w:t>
            </w:r>
          </w:p>
        </w:tc>
        <w:tc>
          <w:tcPr>
            <w:tcW w:w="900" w:type="dxa"/>
            <w:vAlign w:val="bottom"/>
            <w:gridSpan w:val="2"/>
            <w:vMerge w:val="restart"/>
          </w:tcPr>
          <w:p>
            <w:pPr>
              <w:jc w:val="right"/>
              <w:ind w:right="22"/>
              <w:spacing w:after="0"/>
              <w:rPr>
                <w:sz w:val="20"/>
                <w:szCs w:val="20"/>
                <w:color w:val="auto"/>
              </w:rPr>
            </w:pPr>
            <w:r>
              <w:rPr>
                <w:rFonts w:ascii="Arial" w:cs="Arial" w:eastAsia="Arial" w:hAnsi="Arial"/>
                <w:sz w:val="16"/>
                <w:szCs w:val="16"/>
                <w:b w:val="1"/>
                <w:bCs w:val="1"/>
                <w:color w:val="auto"/>
              </w:rPr>
              <w:t>Liabilities</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ind w:right="182"/>
              <w:spacing w:after="0" w:line="167" w:lineRule="exact"/>
              <w:rPr>
                <w:sz w:val="20"/>
                <w:szCs w:val="20"/>
                <w:color w:val="auto"/>
              </w:rPr>
            </w:pPr>
            <w:r>
              <w:rPr>
                <w:rFonts w:ascii="Arial" w:cs="Arial" w:eastAsia="Arial" w:hAnsi="Arial"/>
                <w:sz w:val="16"/>
                <w:szCs w:val="16"/>
                <w:b w:val="1"/>
                <w:bCs w:val="1"/>
                <w:color w:val="auto"/>
                <w:w w:val="99"/>
              </w:rPr>
              <w:t>Gross</w:t>
            </w:r>
          </w:p>
        </w:tc>
        <w:tc>
          <w:tcPr>
            <w:tcW w:w="220" w:type="dxa"/>
            <w:vAlign w:val="bottom"/>
          </w:tcPr>
          <w:p>
            <w:pPr>
              <w:spacing w:after="0"/>
              <w:rPr>
                <w:sz w:val="14"/>
                <w:szCs w:val="14"/>
                <w:color w:val="auto"/>
              </w:rPr>
            </w:pPr>
          </w:p>
        </w:tc>
        <w:tc>
          <w:tcPr>
            <w:tcW w:w="720" w:type="dxa"/>
            <w:vAlign w:val="bottom"/>
            <w:vMerge w:val="restart"/>
          </w:tcPr>
          <w:p>
            <w:pPr>
              <w:jc w:val="right"/>
              <w:ind w:right="182"/>
              <w:spacing w:after="0"/>
              <w:rPr>
                <w:sz w:val="20"/>
                <w:szCs w:val="20"/>
                <w:color w:val="auto"/>
              </w:rPr>
            </w:pPr>
            <w:r>
              <w:rPr>
                <w:rFonts w:ascii="Arial" w:cs="Arial" w:eastAsia="Arial" w:hAnsi="Arial"/>
                <w:sz w:val="16"/>
                <w:szCs w:val="16"/>
                <w:b w:val="1"/>
                <w:bCs w:val="1"/>
                <w:color w:val="auto"/>
                <w:w w:val="83"/>
              </w:rPr>
              <w:t>Assets</w:t>
            </w:r>
          </w:p>
        </w:tc>
        <w:tc>
          <w:tcPr>
            <w:tcW w:w="900" w:type="dxa"/>
            <w:vAlign w:val="bottom"/>
            <w:gridSpan w:val="2"/>
            <w:vMerge w:val="restart"/>
          </w:tcPr>
          <w:p>
            <w:pPr>
              <w:jc w:val="right"/>
              <w:ind w:right="22"/>
              <w:spacing w:after="0"/>
              <w:rPr>
                <w:sz w:val="20"/>
                <w:szCs w:val="20"/>
                <w:color w:val="auto"/>
              </w:rPr>
            </w:pPr>
            <w:r>
              <w:rPr>
                <w:rFonts w:ascii="Arial" w:cs="Arial" w:eastAsia="Arial" w:hAnsi="Arial"/>
                <w:sz w:val="16"/>
                <w:szCs w:val="16"/>
                <w:b w:val="1"/>
                <w:bCs w:val="1"/>
                <w:color w:val="auto"/>
              </w:rPr>
              <w:t>Liabilities</w:t>
            </w:r>
          </w:p>
        </w:tc>
        <w:tc>
          <w:tcPr>
            <w:tcW w:w="0" w:type="dxa"/>
            <w:vAlign w:val="bottom"/>
          </w:tcPr>
          <w:p>
            <w:pPr>
              <w:spacing w:after="0"/>
              <w:rPr>
                <w:sz w:val="1"/>
                <w:szCs w:val="1"/>
                <w:color w:val="auto"/>
              </w:rPr>
            </w:pPr>
          </w:p>
        </w:tc>
      </w:tr>
      <w:tr>
        <w:trPr>
          <w:trHeight w:val="206"/>
        </w:trPr>
        <w:tc>
          <w:tcPr>
            <w:tcW w:w="4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ind w:right="102"/>
              <w:spacing w:after="0"/>
              <w:rPr>
                <w:sz w:val="20"/>
                <w:szCs w:val="20"/>
                <w:color w:val="auto"/>
              </w:rPr>
            </w:pPr>
            <w:r>
              <w:rPr>
                <w:rFonts w:ascii="Arial" w:cs="Arial" w:eastAsia="Arial" w:hAnsi="Arial"/>
                <w:sz w:val="16"/>
                <w:szCs w:val="16"/>
                <w:b w:val="1"/>
                <w:bCs w:val="1"/>
                <w:color w:val="auto"/>
                <w:w w:val="87"/>
              </w:rPr>
              <w:t>Notional</w:t>
            </w:r>
          </w:p>
        </w:tc>
        <w:tc>
          <w:tcPr>
            <w:tcW w:w="200" w:type="dxa"/>
            <w:vAlign w:val="bottom"/>
          </w:tcPr>
          <w:p>
            <w:pPr>
              <w:spacing w:after="0"/>
              <w:rPr>
                <w:sz w:val="17"/>
                <w:szCs w:val="17"/>
                <w:color w:val="auto"/>
              </w:rPr>
            </w:pPr>
          </w:p>
        </w:tc>
        <w:tc>
          <w:tcPr>
            <w:tcW w:w="720" w:type="dxa"/>
            <w:vAlign w:val="bottom"/>
            <w:vMerge w:val="continue"/>
          </w:tcPr>
          <w:p>
            <w:pPr>
              <w:spacing w:after="0"/>
              <w:rPr>
                <w:sz w:val="17"/>
                <w:szCs w:val="17"/>
                <w:color w:val="auto"/>
              </w:rPr>
            </w:pPr>
          </w:p>
        </w:tc>
        <w:tc>
          <w:tcPr>
            <w:tcW w:w="900" w:type="dxa"/>
            <w:vAlign w:val="bottom"/>
            <w:gridSpan w:val="2"/>
            <w:vMerge w:val="continue"/>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jc w:val="right"/>
              <w:ind w:right="82"/>
              <w:spacing w:after="0"/>
              <w:rPr>
                <w:sz w:val="20"/>
                <w:szCs w:val="20"/>
                <w:color w:val="auto"/>
              </w:rPr>
            </w:pPr>
            <w:r>
              <w:rPr>
                <w:rFonts w:ascii="Arial" w:cs="Arial" w:eastAsia="Arial" w:hAnsi="Arial"/>
                <w:sz w:val="16"/>
                <w:szCs w:val="16"/>
                <w:b w:val="1"/>
                <w:bCs w:val="1"/>
                <w:color w:val="auto"/>
                <w:w w:val="87"/>
              </w:rPr>
              <w:t>Notional</w:t>
            </w:r>
          </w:p>
        </w:tc>
        <w:tc>
          <w:tcPr>
            <w:tcW w:w="220" w:type="dxa"/>
            <w:vAlign w:val="bottom"/>
          </w:tcPr>
          <w:p>
            <w:pPr>
              <w:spacing w:after="0"/>
              <w:rPr>
                <w:sz w:val="17"/>
                <w:szCs w:val="17"/>
                <w:color w:val="auto"/>
              </w:rPr>
            </w:pPr>
          </w:p>
        </w:tc>
        <w:tc>
          <w:tcPr>
            <w:tcW w:w="720" w:type="dxa"/>
            <w:vAlign w:val="bottom"/>
            <w:vMerge w:val="continue"/>
          </w:tcPr>
          <w:p>
            <w:pPr>
              <w:spacing w:after="0"/>
              <w:rPr>
                <w:sz w:val="17"/>
                <w:szCs w:val="17"/>
                <w:color w:val="auto"/>
              </w:rPr>
            </w:pPr>
          </w:p>
        </w:tc>
        <w:tc>
          <w:tcPr>
            <w:tcW w:w="90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47"/>
        </w:trPr>
        <w:tc>
          <w:tcPr>
            <w:tcW w:w="43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20" w:type="dxa"/>
            <w:vAlign w:val="bottom"/>
            <w:gridSpan w:val="4"/>
          </w:tcPr>
          <w:p>
            <w:pPr>
              <w:jc w:val="right"/>
              <w:ind w:right="422"/>
              <w:spacing w:after="0"/>
              <w:rPr>
                <w:sz w:val="20"/>
                <w:szCs w:val="20"/>
                <w:color w:val="auto"/>
              </w:rPr>
            </w:pPr>
            <w:r>
              <w:rPr>
                <w:rFonts w:ascii="Arial" w:cs="Arial" w:eastAsia="Arial" w:hAnsi="Arial"/>
                <w:sz w:val="16"/>
                <w:szCs w:val="16"/>
                <w:b w:val="1"/>
                <w:bCs w:val="1"/>
                <w:color w:val="auto"/>
              </w:rPr>
              <w:t>(In millions)</w:t>
            </w:r>
          </w:p>
        </w:tc>
        <w:tc>
          <w:tcPr>
            <w:tcW w:w="2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4320" w:type="dxa"/>
            <w:vAlign w:val="bottom"/>
          </w:tcPr>
          <w:p>
            <w:pPr>
              <w:spacing w:after="0"/>
              <w:rPr>
                <w:sz w:val="20"/>
                <w:szCs w:val="20"/>
                <w:color w:val="auto"/>
              </w:rPr>
            </w:pPr>
            <w:r>
              <w:rPr>
                <w:rFonts w:ascii="Arial" w:cs="Arial" w:eastAsia="Arial" w:hAnsi="Arial"/>
                <w:sz w:val="16"/>
                <w:szCs w:val="16"/>
                <w:b w:val="1"/>
                <w:bCs w:val="1"/>
                <w:color w:val="auto"/>
              </w:rPr>
              <w:t>Derivatives designated as hedging instruments</w:t>
            </w: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4320" w:type="dxa"/>
            <w:vAlign w:val="bottom"/>
          </w:tcPr>
          <w:p>
            <w:pPr>
              <w:spacing w:after="0"/>
              <w:rPr>
                <w:sz w:val="20"/>
                <w:szCs w:val="20"/>
                <w:color w:val="auto"/>
              </w:rPr>
            </w:pPr>
            <w:r>
              <w:rPr>
                <w:rFonts w:ascii="Arial" w:cs="Arial" w:eastAsia="Arial" w:hAnsi="Arial"/>
                <w:sz w:val="16"/>
                <w:szCs w:val="16"/>
                <w:color w:val="auto"/>
              </w:rPr>
              <w:t>Interest rate swaps (a)</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22"/>
              <w:spacing w:after="0"/>
              <w:rPr>
                <w:sz w:val="20"/>
                <w:szCs w:val="20"/>
                <w:color w:val="auto"/>
              </w:rPr>
            </w:pPr>
            <w:r>
              <w:rPr>
                <w:rFonts w:ascii="Arial" w:cs="Arial" w:eastAsia="Arial" w:hAnsi="Arial"/>
                <w:sz w:val="16"/>
                <w:szCs w:val="16"/>
                <w:color w:val="auto"/>
              </w:rPr>
              <w:t>850</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22"/>
              <w:spacing w:after="0"/>
              <w:rPr>
                <w:sz w:val="20"/>
                <w:szCs w:val="20"/>
                <w:color w:val="auto"/>
              </w:rPr>
            </w:pPr>
            <w:r>
              <w:rPr>
                <w:rFonts w:ascii="Arial" w:cs="Arial" w:eastAsia="Arial" w:hAnsi="Arial"/>
                <w:sz w:val="16"/>
                <w:szCs w:val="16"/>
                <w:color w:val="auto"/>
              </w:rPr>
              <w:t>11</w:t>
            </w:r>
          </w:p>
        </w:tc>
        <w:tc>
          <w:tcPr>
            <w:tcW w:w="320" w:type="dxa"/>
            <w:vAlign w:val="bottom"/>
          </w:tcPr>
          <w:p>
            <w:pPr>
              <w:jc w:val="right"/>
              <w:ind w:right="82"/>
              <w:spacing w:after="0"/>
              <w:rPr>
                <w:sz w:val="20"/>
                <w:szCs w:val="20"/>
                <w:color w:val="auto"/>
              </w:rPr>
            </w:pPr>
            <w:r>
              <w:rPr>
                <w:rFonts w:ascii="Arial" w:cs="Arial" w:eastAsia="Arial" w:hAnsi="Arial"/>
                <w:sz w:val="16"/>
                <w:szCs w:val="16"/>
                <w:color w:val="auto"/>
              </w:rPr>
              <w:t>$</w:t>
            </w:r>
          </w:p>
        </w:tc>
        <w:tc>
          <w:tcPr>
            <w:tcW w:w="580" w:type="dxa"/>
            <w:vAlign w:val="bottom"/>
          </w:tcPr>
          <w:p>
            <w:pPr>
              <w:jc w:val="right"/>
              <w:ind w:right="2"/>
              <w:spacing w:after="0"/>
              <w:rPr>
                <w:sz w:val="20"/>
                <w:szCs w:val="20"/>
                <w:color w:val="auto"/>
              </w:rPr>
            </w:pPr>
            <w:r>
              <w:rPr>
                <w:rFonts w:ascii="Arial" w:cs="Arial" w:eastAsia="Arial" w:hAnsi="Arial"/>
                <w:sz w:val="16"/>
                <w:szCs w:val="16"/>
                <w:color w:val="auto"/>
              </w:rPr>
              <w:t>1</w:t>
            </w:r>
          </w:p>
        </w:tc>
        <w:tc>
          <w:tcPr>
            <w:tcW w:w="20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320" w:type="dxa"/>
            <w:vAlign w:val="bottom"/>
          </w:tcPr>
          <w:p>
            <w:pPr>
              <w:jc w:val="right"/>
              <w:ind w:right="82"/>
              <w:spacing w:after="0"/>
              <w:rPr>
                <w:sz w:val="20"/>
                <w:szCs w:val="20"/>
                <w:color w:val="auto"/>
              </w:rPr>
            </w:pPr>
            <w:r>
              <w:rPr>
                <w:rFonts w:ascii="Arial" w:cs="Arial" w:eastAsia="Arial" w:hAnsi="Arial"/>
                <w:sz w:val="16"/>
                <w:szCs w:val="16"/>
                <w:color w:val="auto"/>
              </w:rPr>
              <w:t>$</w:t>
            </w:r>
          </w:p>
        </w:tc>
        <w:tc>
          <w:tcPr>
            <w:tcW w:w="58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2"/>
        </w:trPr>
        <w:tc>
          <w:tcPr>
            <w:tcW w:w="4320" w:type="dxa"/>
            <w:vAlign w:val="bottom"/>
          </w:tcPr>
          <w:p>
            <w:pPr>
              <w:spacing w:after="0"/>
              <w:rPr>
                <w:sz w:val="20"/>
                <w:szCs w:val="20"/>
                <w:color w:val="auto"/>
              </w:rPr>
            </w:pPr>
            <w:r>
              <w:rPr>
                <w:rFonts w:ascii="Arial" w:cs="Arial" w:eastAsia="Arial" w:hAnsi="Arial"/>
                <w:sz w:val="16"/>
                <w:szCs w:val="16"/>
                <w:color w:val="auto"/>
              </w:rPr>
              <w:t>Foreign currency swaps (a)</w:t>
            </w:r>
          </w:p>
        </w:tc>
        <w:tc>
          <w:tcPr>
            <w:tcW w:w="14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21</w:t>
            </w:r>
          </w:p>
        </w:tc>
        <w:tc>
          <w:tcPr>
            <w:tcW w:w="20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6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39</w:t>
            </w:r>
          </w:p>
        </w:tc>
        <w:tc>
          <w:tcPr>
            <w:tcW w:w="22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2</w:t>
            </w:r>
          </w:p>
        </w:tc>
        <w:tc>
          <w:tcPr>
            <w:tcW w:w="32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3"/>
        </w:trPr>
        <w:tc>
          <w:tcPr>
            <w:tcW w:w="4320" w:type="dxa"/>
            <w:vAlign w:val="bottom"/>
          </w:tcPr>
          <w:p>
            <w:pPr>
              <w:spacing w:after="0"/>
              <w:rPr>
                <w:sz w:val="20"/>
                <w:szCs w:val="20"/>
                <w:color w:val="auto"/>
              </w:rPr>
            </w:pPr>
            <w:r>
              <w:rPr>
                <w:rFonts w:ascii="Arial" w:cs="Arial" w:eastAsia="Arial" w:hAnsi="Arial"/>
                <w:sz w:val="16"/>
                <w:szCs w:val="16"/>
                <w:b w:val="1"/>
                <w:bCs w:val="1"/>
                <w:color w:val="auto"/>
              </w:rPr>
              <w:t>Total derivatives designated as hedging instruments</w:t>
            </w:r>
          </w:p>
        </w:tc>
        <w:tc>
          <w:tcPr>
            <w:tcW w:w="1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871</w:t>
            </w:r>
          </w:p>
        </w:tc>
        <w:tc>
          <w:tcPr>
            <w:tcW w:w="2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11</w:t>
            </w:r>
          </w:p>
        </w:tc>
        <w:tc>
          <w:tcPr>
            <w:tcW w:w="3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39</w:t>
            </w:r>
          </w:p>
        </w:tc>
        <w:tc>
          <w:tcPr>
            <w:tcW w:w="2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2</w:t>
            </w:r>
          </w:p>
        </w:tc>
        <w:tc>
          <w:tcPr>
            <w:tcW w:w="3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473"/>
        </w:trPr>
        <w:tc>
          <w:tcPr>
            <w:tcW w:w="4320" w:type="dxa"/>
            <w:vAlign w:val="bottom"/>
          </w:tcPr>
          <w:p>
            <w:pPr>
              <w:spacing w:after="0"/>
              <w:rPr>
                <w:sz w:val="20"/>
                <w:szCs w:val="20"/>
                <w:color w:val="auto"/>
              </w:rPr>
            </w:pPr>
            <w:r>
              <w:rPr>
                <w:rFonts w:ascii="Arial" w:cs="Arial" w:eastAsia="Arial" w:hAnsi="Arial"/>
                <w:sz w:val="16"/>
                <w:szCs w:val="16"/>
                <w:b w:val="1"/>
                <w:bCs w:val="1"/>
                <w:color w:val="auto"/>
              </w:rPr>
              <w:t>Derivatives not designated as hedging instruments</w:t>
            </w: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5"/>
        </w:trPr>
        <w:tc>
          <w:tcPr>
            <w:tcW w:w="4320" w:type="dxa"/>
            <w:vAlign w:val="bottom"/>
          </w:tcPr>
          <w:p>
            <w:pPr>
              <w:spacing w:after="0"/>
              <w:rPr>
                <w:sz w:val="20"/>
                <w:szCs w:val="20"/>
                <w:color w:val="auto"/>
              </w:rPr>
            </w:pPr>
            <w:r>
              <w:rPr>
                <w:rFonts w:ascii="Arial" w:cs="Arial" w:eastAsia="Arial" w:hAnsi="Arial"/>
                <w:sz w:val="16"/>
                <w:szCs w:val="16"/>
                <w:color w:val="auto"/>
              </w:rPr>
              <w:t>Equity options (a)</w:t>
            </w:r>
          </w:p>
        </w:tc>
        <w:tc>
          <w:tcPr>
            <w:tcW w:w="140" w:type="dxa"/>
            <w:vAlign w:val="bottom"/>
          </w:tcPr>
          <w:p>
            <w:pPr>
              <w:spacing w:after="0"/>
              <w:rPr>
                <w:sz w:val="20"/>
                <w:szCs w:val="20"/>
                <w:color w:val="auto"/>
              </w:rPr>
            </w:pPr>
          </w:p>
        </w:tc>
        <w:tc>
          <w:tcPr>
            <w:tcW w:w="760" w:type="dxa"/>
            <w:vAlign w:val="bottom"/>
          </w:tcPr>
          <w:p>
            <w:pPr>
              <w:jc w:val="right"/>
              <w:ind w:right="22"/>
              <w:spacing w:after="0"/>
              <w:rPr>
                <w:sz w:val="20"/>
                <w:szCs w:val="20"/>
                <w:color w:val="auto"/>
              </w:rPr>
            </w:pPr>
            <w:r>
              <w:rPr>
                <w:rFonts w:ascii="Arial" w:cs="Arial" w:eastAsia="Arial" w:hAnsi="Arial"/>
                <w:sz w:val="16"/>
                <w:szCs w:val="16"/>
                <w:color w:val="auto"/>
              </w:rPr>
              <w:t>29,651</w:t>
            </w:r>
          </w:p>
        </w:tc>
        <w:tc>
          <w:tcPr>
            <w:tcW w:w="200" w:type="dxa"/>
            <w:vAlign w:val="bottom"/>
          </w:tcPr>
          <w:p>
            <w:pPr>
              <w:spacing w:after="0"/>
              <w:rPr>
                <w:sz w:val="20"/>
                <w:szCs w:val="20"/>
                <w:color w:val="auto"/>
              </w:rPr>
            </w:pPr>
          </w:p>
        </w:tc>
        <w:tc>
          <w:tcPr>
            <w:tcW w:w="720" w:type="dxa"/>
            <w:vAlign w:val="bottom"/>
          </w:tcPr>
          <w:p>
            <w:pPr>
              <w:jc w:val="right"/>
              <w:ind w:right="2"/>
              <w:spacing w:after="0"/>
              <w:rPr>
                <w:sz w:val="20"/>
                <w:szCs w:val="20"/>
                <w:color w:val="auto"/>
              </w:rPr>
            </w:pPr>
            <w:r>
              <w:rPr>
                <w:rFonts w:ascii="Arial" w:cs="Arial" w:eastAsia="Arial" w:hAnsi="Arial"/>
                <w:sz w:val="16"/>
                <w:szCs w:val="16"/>
                <w:color w:val="auto"/>
              </w:rPr>
              <w:t>1,062</w:t>
            </w:r>
          </w:p>
        </w:tc>
        <w:tc>
          <w:tcPr>
            <w:tcW w:w="320" w:type="dxa"/>
            <w:vAlign w:val="bottom"/>
          </w:tcPr>
          <w:p>
            <w:pPr>
              <w:spacing w:after="0"/>
              <w:rPr>
                <w:sz w:val="20"/>
                <w:szCs w:val="20"/>
                <w:color w:val="auto"/>
              </w:rPr>
            </w:pPr>
          </w:p>
        </w:tc>
        <w:tc>
          <w:tcPr>
            <w:tcW w:w="58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jc w:val="right"/>
              <w:ind w:right="2"/>
              <w:spacing w:after="0"/>
              <w:rPr>
                <w:sz w:val="20"/>
                <w:szCs w:val="20"/>
                <w:color w:val="auto"/>
              </w:rPr>
            </w:pPr>
            <w:r>
              <w:rPr>
                <w:rFonts w:ascii="Arial" w:cs="Arial" w:eastAsia="Arial" w:hAnsi="Arial"/>
                <w:sz w:val="16"/>
                <w:szCs w:val="16"/>
                <w:color w:val="auto"/>
              </w:rPr>
              <w:t>29,594</w:t>
            </w:r>
          </w:p>
        </w:tc>
        <w:tc>
          <w:tcPr>
            <w:tcW w:w="220" w:type="dxa"/>
            <w:vAlign w:val="bottom"/>
          </w:tcPr>
          <w:p>
            <w:pPr>
              <w:spacing w:after="0"/>
              <w:rPr>
                <w:sz w:val="20"/>
                <w:szCs w:val="20"/>
                <w:color w:val="auto"/>
              </w:rPr>
            </w:pPr>
          </w:p>
        </w:tc>
        <w:tc>
          <w:tcPr>
            <w:tcW w:w="720" w:type="dxa"/>
            <w:vAlign w:val="bottom"/>
          </w:tcPr>
          <w:p>
            <w:pPr>
              <w:jc w:val="right"/>
              <w:ind w:right="2"/>
              <w:spacing w:after="0"/>
              <w:rPr>
                <w:sz w:val="20"/>
                <w:szCs w:val="20"/>
                <w:color w:val="auto"/>
              </w:rPr>
            </w:pPr>
            <w:r>
              <w:rPr>
                <w:rFonts w:ascii="Arial" w:cs="Arial" w:eastAsia="Arial" w:hAnsi="Arial"/>
                <w:sz w:val="16"/>
                <w:szCs w:val="16"/>
                <w:color w:val="auto"/>
              </w:rPr>
              <w:t>773</w:t>
            </w:r>
          </w:p>
        </w:tc>
        <w:tc>
          <w:tcPr>
            <w:tcW w:w="320" w:type="dxa"/>
            <w:vAlign w:val="bottom"/>
          </w:tcPr>
          <w:p>
            <w:pPr>
              <w:spacing w:after="0"/>
              <w:rPr>
                <w:sz w:val="20"/>
                <w:szCs w:val="20"/>
                <w:color w:val="auto"/>
              </w:rPr>
            </w:pPr>
          </w:p>
        </w:tc>
        <w:tc>
          <w:tcPr>
            <w:tcW w:w="58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5"/>
        </w:trPr>
        <w:tc>
          <w:tcPr>
            <w:tcW w:w="4320" w:type="dxa"/>
            <w:vAlign w:val="bottom"/>
          </w:tcPr>
          <w:p>
            <w:pPr>
              <w:spacing w:after="0"/>
              <w:rPr>
                <w:sz w:val="20"/>
                <w:szCs w:val="20"/>
                <w:color w:val="auto"/>
              </w:rPr>
            </w:pPr>
            <w:r>
              <w:rPr>
                <w:rFonts w:ascii="Arial" w:cs="Arial" w:eastAsia="Arial" w:hAnsi="Arial"/>
                <w:sz w:val="16"/>
                <w:szCs w:val="16"/>
                <w:color w:val="auto"/>
              </w:rPr>
              <w:t>Interest rate swaps (a)</w:t>
            </w:r>
          </w:p>
        </w:tc>
        <w:tc>
          <w:tcPr>
            <w:tcW w:w="140" w:type="dxa"/>
            <w:vAlign w:val="bottom"/>
          </w:tcPr>
          <w:p>
            <w:pPr>
              <w:spacing w:after="0"/>
              <w:rPr>
                <w:sz w:val="20"/>
                <w:szCs w:val="20"/>
                <w:color w:val="auto"/>
              </w:rPr>
            </w:pPr>
          </w:p>
        </w:tc>
        <w:tc>
          <w:tcPr>
            <w:tcW w:w="760" w:type="dxa"/>
            <w:vAlign w:val="bottom"/>
          </w:tcPr>
          <w:p>
            <w:pPr>
              <w:jc w:val="right"/>
              <w:ind w:right="22"/>
              <w:spacing w:after="0"/>
              <w:rPr>
                <w:sz w:val="20"/>
                <w:szCs w:val="20"/>
                <w:color w:val="auto"/>
              </w:rPr>
            </w:pPr>
            <w:r>
              <w:rPr>
                <w:rFonts w:ascii="Arial" w:cs="Arial" w:eastAsia="Arial" w:hAnsi="Arial"/>
                <w:sz w:val="16"/>
                <w:szCs w:val="16"/>
                <w:color w:val="auto"/>
              </w:rPr>
              <w:t>6,453</w:t>
            </w:r>
          </w:p>
        </w:tc>
        <w:tc>
          <w:tcPr>
            <w:tcW w:w="200" w:type="dxa"/>
            <w:vAlign w:val="bottom"/>
          </w:tcPr>
          <w:p>
            <w:pPr>
              <w:spacing w:after="0"/>
              <w:rPr>
                <w:sz w:val="20"/>
                <w:szCs w:val="20"/>
                <w:color w:val="auto"/>
              </w:rPr>
            </w:pPr>
          </w:p>
        </w:tc>
        <w:tc>
          <w:tcPr>
            <w:tcW w:w="720" w:type="dxa"/>
            <w:vAlign w:val="bottom"/>
          </w:tcPr>
          <w:p>
            <w:pPr>
              <w:jc w:val="right"/>
              <w:ind w:right="2"/>
              <w:spacing w:after="0"/>
              <w:rPr>
                <w:sz w:val="20"/>
                <w:szCs w:val="20"/>
                <w:color w:val="auto"/>
              </w:rPr>
            </w:pPr>
            <w:r>
              <w:rPr>
                <w:rFonts w:ascii="Arial" w:cs="Arial" w:eastAsia="Arial" w:hAnsi="Arial"/>
                <w:sz w:val="16"/>
                <w:szCs w:val="16"/>
                <w:color w:val="auto"/>
              </w:rPr>
              <w:t>83</w:t>
            </w:r>
          </w:p>
        </w:tc>
        <w:tc>
          <w:tcPr>
            <w:tcW w:w="3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3</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jc w:val="right"/>
              <w:ind w:right="2"/>
              <w:spacing w:after="0"/>
              <w:rPr>
                <w:sz w:val="20"/>
                <w:szCs w:val="20"/>
                <w:color w:val="auto"/>
              </w:rPr>
            </w:pPr>
            <w:r>
              <w:rPr>
                <w:rFonts w:ascii="Arial" w:cs="Arial" w:eastAsia="Arial" w:hAnsi="Arial"/>
                <w:sz w:val="16"/>
                <w:szCs w:val="16"/>
                <w:color w:val="auto"/>
              </w:rPr>
              <w:t>5,145</w:t>
            </w:r>
          </w:p>
        </w:tc>
        <w:tc>
          <w:tcPr>
            <w:tcW w:w="220" w:type="dxa"/>
            <w:vAlign w:val="bottom"/>
          </w:tcPr>
          <w:p>
            <w:pPr>
              <w:spacing w:after="0"/>
              <w:rPr>
                <w:sz w:val="20"/>
                <w:szCs w:val="20"/>
                <w:color w:val="auto"/>
              </w:rPr>
            </w:pPr>
          </w:p>
        </w:tc>
        <w:tc>
          <w:tcPr>
            <w:tcW w:w="720" w:type="dxa"/>
            <w:vAlign w:val="bottom"/>
          </w:tcPr>
          <w:p>
            <w:pPr>
              <w:jc w:val="right"/>
              <w:ind w:right="2"/>
              <w:spacing w:after="0"/>
              <w:rPr>
                <w:sz w:val="20"/>
                <w:szCs w:val="20"/>
                <w:color w:val="auto"/>
              </w:rPr>
            </w:pPr>
            <w:r>
              <w:rPr>
                <w:rFonts w:ascii="Arial" w:cs="Arial" w:eastAsia="Arial" w:hAnsi="Arial"/>
                <w:sz w:val="16"/>
                <w:szCs w:val="16"/>
                <w:color w:val="auto"/>
              </w:rPr>
              <w:t>19</w:t>
            </w:r>
          </w:p>
        </w:tc>
        <w:tc>
          <w:tcPr>
            <w:tcW w:w="3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35"/>
        </w:trPr>
        <w:tc>
          <w:tcPr>
            <w:tcW w:w="4320" w:type="dxa"/>
            <w:vAlign w:val="bottom"/>
          </w:tcPr>
          <w:p>
            <w:pPr>
              <w:spacing w:after="0"/>
              <w:rPr>
                <w:sz w:val="20"/>
                <w:szCs w:val="20"/>
                <w:color w:val="auto"/>
              </w:rPr>
            </w:pPr>
            <w:r>
              <w:rPr>
                <w:rFonts w:ascii="Arial" w:cs="Arial" w:eastAsia="Arial" w:hAnsi="Arial"/>
                <w:sz w:val="16"/>
                <w:szCs w:val="16"/>
                <w:color w:val="auto"/>
              </w:rPr>
              <w:t>Foreign currency swaps (a)</w:t>
            </w:r>
          </w:p>
        </w:tc>
        <w:tc>
          <w:tcPr>
            <w:tcW w:w="140" w:type="dxa"/>
            <w:vAlign w:val="bottom"/>
          </w:tcPr>
          <w:p>
            <w:pPr>
              <w:spacing w:after="0"/>
              <w:rPr>
                <w:sz w:val="20"/>
                <w:szCs w:val="20"/>
                <w:color w:val="auto"/>
              </w:rPr>
            </w:pPr>
          </w:p>
        </w:tc>
        <w:tc>
          <w:tcPr>
            <w:tcW w:w="760" w:type="dxa"/>
            <w:vAlign w:val="bottom"/>
          </w:tcPr>
          <w:p>
            <w:pPr>
              <w:jc w:val="right"/>
              <w:ind w:right="22"/>
              <w:spacing w:after="0"/>
              <w:rPr>
                <w:sz w:val="20"/>
                <w:szCs w:val="20"/>
                <w:color w:val="auto"/>
              </w:rPr>
            </w:pPr>
            <w:r>
              <w:rPr>
                <w:rFonts w:ascii="Arial" w:cs="Arial" w:eastAsia="Arial" w:hAnsi="Arial"/>
                <w:sz w:val="16"/>
                <w:szCs w:val="16"/>
                <w:color w:val="auto"/>
              </w:rPr>
              <w:t>503</w:t>
            </w:r>
          </w:p>
        </w:tc>
        <w:tc>
          <w:tcPr>
            <w:tcW w:w="200" w:type="dxa"/>
            <w:vAlign w:val="bottom"/>
          </w:tcPr>
          <w:p>
            <w:pPr>
              <w:spacing w:after="0"/>
              <w:rPr>
                <w:sz w:val="20"/>
                <w:szCs w:val="20"/>
                <w:color w:val="auto"/>
              </w:rPr>
            </w:pPr>
          </w:p>
        </w:tc>
        <w:tc>
          <w:tcPr>
            <w:tcW w:w="72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6</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72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58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5"/>
        </w:trPr>
        <w:tc>
          <w:tcPr>
            <w:tcW w:w="4320" w:type="dxa"/>
            <w:vAlign w:val="bottom"/>
          </w:tcPr>
          <w:p>
            <w:pPr>
              <w:spacing w:after="0"/>
              <w:rPr>
                <w:sz w:val="20"/>
                <w:szCs w:val="20"/>
                <w:color w:val="auto"/>
              </w:rPr>
            </w:pPr>
            <w:r>
              <w:rPr>
                <w:rFonts w:ascii="Arial" w:cs="Arial" w:eastAsia="Arial" w:hAnsi="Arial"/>
                <w:sz w:val="16"/>
                <w:szCs w:val="16"/>
                <w:color w:val="auto"/>
              </w:rPr>
              <w:t>Futures contracts (a)</w:t>
            </w:r>
          </w:p>
        </w:tc>
        <w:tc>
          <w:tcPr>
            <w:tcW w:w="140" w:type="dxa"/>
            <w:vAlign w:val="bottom"/>
          </w:tcPr>
          <w:p>
            <w:pPr>
              <w:spacing w:after="0"/>
              <w:rPr>
                <w:sz w:val="20"/>
                <w:szCs w:val="20"/>
                <w:color w:val="auto"/>
              </w:rPr>
            </w:pPr>
          </w:p>
        </w:tc>
        <w:tc>
          <w:tcPr>
            <w:tcW w:w="760" w:type="dxa"/>
            <w:vAlign w:val="bottom"/>
          </w:tcPr>
          <w:p>
            <w:pPr>
              <w:jc w:val="right"/>
              <w:ind w:right="22"/>
              <w:spacing w:after="0"/>
              <w:rPr>
                <w:sz w:val="20"/>
                <w:szCs w:val="20"/>
                <w:color w:val="auto"/>
              </w:rPr>
            </w:pPr>
            <w:r>
              <w:rPr>
                <w:rFonts w:ascii="Arial" w:cs="Arial" w:eastAsia="Arial" w:hAnsi="Arial"/>
                <w:sz w:val="16"/>
                <w:szCs w:val="16"/>
                <w:color w:val="auto"/>
              </w:rPr>
              <w:t>68</w:t>
            </w:r>
          </w:p>
        </w:tc>
        <w:tc>
          <w:tcPr>
            <w:tcW w:w="200" w:type="dxa"/>
            <w:vAlign w:val="bottom"/>
          </w:tcPr>
          <w:p>
            <w:pPr>
              <w:spacing w:after="0"/>
              <w:rPr>
                <w:sz w:val="20"/>
                <w:szCs w:val="20"/>
                <w:color w:val="auto"/>
              </w:rPr>
            </w:pPr>
          </w:p>
        </w:tc>
        <w:tc>
          <w:tcPr>
            <w:tcW w:w="72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jc w:val="right"/>
              <w:ind w:right="2"/>
              <w:spacing w:after="0"/>
              <w:rPr>
                <w:sz w:val="20"/>
                <w:szCs w:val="20"/>
                <w:color w:val="auto"/>
              </w:rPr>
            </w:pPr>
            <w:r>
              <w:rPr>
                <w:rFonts w:ascii="Arial" w:cs="Arial" w:eastAsia="Arial" w:hAnsi="Arial"/>
                <w:sz w:val="16"/>
                <w:szCs w:val="16"/>
                <w:color w:val="auto"/>
              </w:rPr>
              <w:t>152</w:t>
            </w:r>
          </w:p>
        </w:tc>
        <w:tc>
          <w:tcPr>
            <w:tcW w:w="220" w:type="dxa"/>
            <w:vAlign w:val="bottom"/>
          </w:tcPr>
          <w:p>
            <w:pPr>
              <w:spacing w:after="0"/>
              <w:rPr>
                <w:sz w:val="20"/>
                <w:szCs w:val="20"/>
                <w:color w:val="auto"/>
              </w:rPr>
            </w:pPr>
          </w:p>
        </w:tc>
        <w:tc>
          <w:tcPr>
            <w:tcW w:w="72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58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5"/>
        </w:trPr>
        <w:tc>
          <w:tcPr>
            <w:tcW w:w="4320" w:type="dxa"/>
            <w:vAlign w:val="bottom"/>
          </w:tcPr>
          <w:p>
            <w:pPr>
              <w:spacing w:after="0"/>
              <w:rPr>
                <w:sz w:val="20"/>
                <w:szCs w:val="20"/>
                <w:color w:val="auto"/>
              </w:rPr>
            </w:pPr>
            <w:r>
              <w:rPr>
                <w:rFonts w:ascii="Arial" w:cs="Arial" w:eastAsia="Arial" w:hAnsi="Arial"/>
                <w:sz w:val="16"/>
                <w:szCs w:val="16"/>
                <w:color w:val="auto"/>
              </w:rPr>
              <w:t>Other derivative investments (a)</w:t>
            </w:r>
          </w:p>
        </w:tc>
        <w:tc>
          <w:tcPr>
            <w:tcW w:w="140" w:type="dxa"/>
            <w:vAlign w:val="bottom"/>
          </w:tcPr>
          <w:p>
            <w:pPr>
              <w:spacing w:after="0"/>
              <w:rPr>
                <w:sz w:val="20"/>
                <w:szCs w:val="20"/>
                <w:color w:val="auto"/>
              </w:rPr>
            </w:pPr>
          </w:p>
        </w:tc>
        <w:tc>
          <w:tcPr>
            <w:tcW w:w="760" w:type="dxa"/>
            <w:vAlign w:val="bottom"/>
          </w:tcPr>
          <w:p>
            <w:pPr>
              <w:jc w:val="right"/>
              <w:ind w:right="22"/>
              <w:spacing w:after="0"/>
              <w:rPr>
                <w:sz w:val="20"/>
                <w:szCs w:val="20"/>
                <w:color w:val="auto"/>
              </w:rPr>
            </w:pPr>
            <w:r>
              <w:rPr>
                <w:rFonts w:ascii="Arial" w:cs="Arial" w:eastAsia="Arial" w:hAnsi="Arial"/>
                <w:sz w:val="16"/>
                <w:szCs w:val="16"/>
                <w:color w:val="auto"/>
              </w:rPr>
              <w:t>93</w:t>
            </w:r>
          </w:p>
        </w:tc>
        <w:tc>
          <w:tcPr>
            <w:tcW w:w="200" w:type="dxa"/>
            <w:vAlign w:val="bottom"/>
          </w:tcPr>
          <w:p>
            <w:pPr>
              <w:spacing w:after="0"/>
              <w:rPr>
                <w:sz w:val="20"/>
                <w:szCs w:val="20"/>
                <w:color w:val="auto"/>
              </w:rPr>
            </w:pPr>
          </w:p>
        </w:tc>
        <w:tc>
          <w:tcPr>
            <w:tcW w:w="72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58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jc w:val="right"/>
              <w:ind w:right="2"/>
              <w:spacing w:after="0"/>
              <w:rPr>
                <w:sz w:val="20"/>
                <w:szCs w:val="20"/>
                <w:color w:val="auto"/>
              </w:rPr>
            </w:pPr>
            <w:r>
              <w:rPr>
                <w:rFonts w:ascii="Arial" w:cs="Arial" w:eastAsia="Arial" w:hAnsi="Arial"/>
                <w:sz w:val="16"/>
                <w:szCs w:val="16"/>
                <w:color w:val="auto"/>
              </w:rPr>
              <w:t>118</w:t>
            </w:r>
          </w:p>
        </w:tc>
        <w:tc>
          <w:tcPr>
            <w:tcW w:w="220" w:type="dxa"/>
            <w:vAlign w:val="bottom"/>
          </w:tcPr>
          <w:p>
            <w:pPr>
              <w:spacing w:after="0"/>
              <w:rPr>
                <w:sz w:val="20"/>
                <w:szCs w:val="20"/>
                <w:color w:val="auto"/>
              </w:rPr>
            </w:pPr>
          </w:p>
        </w:tc>
        <w:tc>
          <w:tcPr>
            <w:tcW w:w="720" w:type="dxa"/>
            <w:vAlign w:val="bottom"/>
          </w:tcPr>
          <w:p>
            <w:pPr>
              <w:jc w:val="right"/>
              <w:ind w:right="2"/>
              <w:spacing w:after="0"/>
              <w:rPr>
                <w:sz w:val="20"/>
                <w:szCs w:val="20"/>
                <w:color w:val="auto"/>
              </w:rPr>
            </w:pPr>
            <w:r>
              <w:rPr>
                <w:rFonts w:ascii="Arial" w:cs="Arial" w:eastAsia="Arial" w:hAnsi="Arial"/>
                <w:sz w:val="16"/>
                <w:szCs w:val="16"/>
                <w:color w:val="auto"/>
              </w:rPr>
              <w:t>1</w:t>
            </w:r>
          </w:p>
        </w:tc>
        <w:tc>
          <w:tcPr>
            <w:tcW w:w="320" w:type="dxa"/>
            <w:vAlign w:val="bottom"/>
          </w:tcPr>
          <w:p>
            <w:pPr>
              <w:spacing w:after="0"/>
              <w:rPr>
                <w:sz w:val="20"/>
                <w:szCs w:val="20"/>
                <w:color w:val="auto"/>
              </w:rPr>
            </w:pPr>
          </w:p>
        </w:tc>
        <w:tc>
          <w:tcPr>
            <w:tcW w:w="58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5"/>
        </w:trPr>
        <w:tc>
          <w:tcPr>
            <w:tcW w:w="4320" w:type="dxa"/>
            <w:vAlign w:val="bottom"/>
          </w:tcPr>
          <w:p>
            <w:pPr>
              <w:spacing w:after="0"/>
              <w:rPr>
                <w:sz w:val="20"/>
                <w:szCs w:val="20"/>
                <w:color w:val="auto"/>
              </w:rPr>
            </w:pPr>
            <w:r>
              <w:rPr>
                <w:rFonts w:ascii="Arial" w:cs="Arial" w:eastAsia="Arial" w:hAnsi="Arial"/>
                <w:sz w:val="16"/>
                <w:szCs w:val="16"/>
                <w:color w:val="auto"/>
              </w:rPr>
              <w:t>Other embedded derivatives (b)</w:t>
            </w:r>
          </w:p>
        </w:tc>
        <w:tc>
          <w:tcPr>
            <w:tcW w:w="140" w:type="dxa"/>
            <w:vAlign w:val="bottom"/>
          </w:tcPr>
          <w:p>
            <w:pPr>
              <w:spacing w:after="0"/>
              <w:rPr>
                <w:sz w:val="20"/>
                <w:szCs w:val="20"/>
                <w:color w:val="auto"/>
              </w:rPr>
            </w:pPr>
          </w:p>
        </w:tc>
        <w:tc>
          <w:tcPr>
            <w:tcW w:w="76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720" w:type="dxa"/>
            <w:vAlign w:val="bottom"/>
          </w:tcPr>
          <w:p>
            <w:pPr>
              <w:jc w:val="right"/>
              <w:ind w:right="2"/>
              <w:spacing w:after="0"/>
              <w:rPr>
                <w:sz w:val="20"/>
                <w:szCs w:val="20"/>
                <w:color w:val="auto"/>
              </w:rPr>
            </w:pPr>
            <w:r>
              <w:rPr>
                <w:rFonts w:ascii="Arial" w:cs="Arial" w:eastAsia="Arial" w:hAnsi="Arial"/>
                <w:sz w:val="16"/>
                <w:szCs w:val="16"/>
                <w:color w:val="auto"/>
              </w:rPr>
              <w:t>41</w:t>
            </w:r>
          </w:p>
        </w:tc>
        <w:tc>
          <w:tcPr>
            <w:tcW w:w="320" w:type="dxa"/>
            <w:vAlign w:val="bottom"/>
          </w:tcPr>
          <w:p>
            <w:pPr>
              <w:spacing w:after="0"/>
              <w:rPr>
                <w:sz w:val="20"/>
                <w:szCs w:val="20"/>
                <w:color w:val="auto"/>
              </w:rPr>
            </w:pPr>
          </w:p>
        </w:tc>
        <w:tc>
          <w:tcPr>
            <w:tcW w:w="58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720" w:type="dxa"/>
            <w:vAlign w:val="bottom"/>
          </w:tcPr>
          <w:p>
            <w:pPr>
              <w:jc w:val="right"/>
              <w:ind w:right="2"/>
              <w:spacing w:after="0"/>
              <w:rPr>
                <w:sz w:val="20"/>
                <w:szCs w:val="20"/>
                <w:color w:val="auto"/>
              </w:rPr>
            </w:pPr>
            <w:r>
              <w:rPr>
                <w:rFonts w:ascii="Arial" w:cs="Arial" w:eastAsia="Arial" w:hAnsi="Arial"/>
                <w:sz w:val="16"/>
                <w:szCs w:val="16"/>
                <w:color w:val="auto"/>
              </w:rPr>
              <w:t>32</w:t>
            </w:r>
          </w:p>
        </w:tc>
        <w:tc>
          <w:tcPr>
            <w:tcW w:w="320" w:type="dxa"/>
            <w:vAlign w:val="bottom"/>
          </w:tcPr>
          <w:p>
            <w:pPr>
              <w:spacing w:after="0"/>
              <w:rPr>
                <w:sz w:val="20"/>
                <w:szCs w:val="20"/>
                <w:color w:val="auto"/>
              </w:rPr>
            </w:pPr>
          </w:p>
        </w:tc>
        <w:tc>
          <w:tcPr>
            <w:tcW w:w="58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5"/>
        </w:trPr>
        <w:tc>
          <w:tcPr>
            <w:tcW w:w="4320" w:type="dxa"/>
            <w:vAlign w:val="bottom"/>
          </w:tcPr>
          <w:p>
            <w:pPr>
              <w:spacing w:after="0"/>
              <w:rPr>
                <w:sz w:val="20"/>
                <w:szCs w:val="20"/>
                <w:color w:val="auto"/>
              </w:rPr>
            </w:pPr>
            <w:r>
              <w:rPr>
                <w:rFonts w:ascii="Arial" w:cs="Arial" w:eastAsia="Arial" w:hAnsi="Arial"/>
                <w:sz w:val="16"/>
                <w:szCs w:val="16"/>
                <w:color w:val="auto"/>
              </w:rPr>
              <w:t>Indexed annuities/IUL embedded derivatives (c)</w:t>
            </w:r>
          </w:p>
        </w:tc>
        <w:tc>
          <w:tcPr>
            <w:tcW w:w="140" w:type="dxa"/>
            <w:vAlign w:val="bottom"/>
          </w:tcPr>
          <w:p>
            <w:pPr>
              <w:spacing w:after="0"/>
              <w:rPr>
                <w:sz w:val="20"/>
                <w:szCs w:val="20"/>
                <w:color w:val="auto"/>
              </w:rPr>
            </w:pPr>
          </w:p>
        </w:tc>
        <w:tc>
          <w:tcPr>
            <w:tcW w:w="76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720" w:type="dxa"/>
            <w:vAlign w:val="bottom"/>
          </w:tcPr>
          <w:p>
            <w:pPr>
              <w:jc w:val="right"/>
              <w:ind w:right="2"/>
              <w:spacing w:after="0"/>
              <w:rPr>
                <w:sz w:val="20"/>
                <w:szCs w:val="20"/>
                <w:color w:val="auto"/>
              </w:rPr>
            </w:pPr>
            <w:r>
              <w:rPr>
                <w:rFonts w:ascii="Arial" w:cs="Arial" w:eastAsia="Arial" w:hAnsi="Arial"/>
                <w:sz w:val="16"/>
                <w:szCs w:val="16"/>
                <w:color w:val="auto"/>
              </w:rPr>
              <w:t>399</w:t>
            </w:r>
          </w:p>
        </w:tc>
        <w:tc>
          <w:tcPr>
            <w:tcW w:w="3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6,542</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720" w:type="dxa"/>
            <w:vAlign w:val="bottom"/>
          </w:tcPr>
          <w:p>
            <w:pPr>
              <w:jc w:val="right"/>
              <w:ind w:right="2"/>
              <w:spacing w:after="0"/>
              <w:rPr>
                <w:sz w:val="20"/>
                <w:szCs w:val="20"/>
                <w:color w:val="auto"/>
              </w:rPr>
            </w:pPr>
            <w:r>
              <w:rPr>
                <w:rFonts w:ascii="Arial" w:cs="Arial" w:eastAsia="Arial" w:hAnsi="Arial"/>
                <w:sz w:val="16"/>
                <w:szCs w:val="16"/>
                <w:color w:val="auto"/>
              </w:rPr>
              <w:t>98</w:t>
            </w:r>
          </w:p>
        </w:tc>
        <w:tc>
          <w:tcPr>
            <w:tcW w:w="3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5,220</w:t>
            </w:r>
          </w:p>
        </w:tc>
        <w:tc>
          <w:tcPr>
            <w:tcW w:w="0" w:type="dxa"/>
            <w:vAlign w:val="bottom"/>
          </w:tcPr>
          <w:p>
            <w:pPr>
              <w:spacing w:after="0"/>
              <w:rPr>
                <w:sz w:val="1"/>
                <w:szCs w:val="1"/>
                <w:color w:val="auto"/>
              </w:rPr>
            </w:pPr>
          </w:p>
        </w:tc>
      </w:tr>
      <w:tr>
        <w:trPr>
          <w:trHeight w:val="242"/>
        </w:trPr>
        <w:tc>
          <w:tcPr>
            <w:tcW w:w="4320" w:type="dxa"/>
            <w:vAlign w:val="bottom"/>
          </w:tcPr>
          <w:p>
            <w:pPr>
              <w:spacing w:after="0"/>
              <w:rPr>
                <w:sz w:val="20"/>
                <w:szCs w:val="20"/>
                <w:color w:val="auto"/>
              </w:rPr>
            </w:pPr>
            <w:r>
              <w:rPr>
                <w:rFonts w:ascii="Arial" w:cs="Arial" w:eastAsia="Arial" w:hAnsi="Arial"/>
                <w:sz w:val="16"/>
                <w:szCs w:val="16"/>
                <w:color w:val="auto"/>
              </w:rPr>
              <w:t>Reinsurance related embedded derivatives (d)</w:t>
            </w:r>
          </w:p>
        </w:tc>
        <w:tc>
          <w:tcPr>
            <w:tcW w:w="14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w:t>
            </w:r>
          </w:p>
        </w:tc>
        <w:tc>
          <w:tcPr>
            <w:tcW w:w="6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(109)</w:t>
            </w:r>
          </w:p>
        </w:tc>
        <w:tc>
          <w:tcPr>
            <w:tcW w:w="0" w:type="dxa"/>
            <w:vAlign w:val="bottom"/>
          </w:tcPr>
          <w:p>
            <w:pPr>
              <w:spacing w:after="0"/>
              <w:rPr>
                <w:sz w:val="1"/>
                <w:szCs w:val="1"/>
                <w:color w:val="auto"/>
              </w:rPr>
            </w:pPr>
          </w:p>
        </w:tc>
      </w:tr>
      <w:tr>
        <w:trPr>
          <w:trHeight w:val="333"/>
        </w:trPr>
        <w:tc>
          <w:tcPr>
            <w:tcW w:w="4320" w:type="dxa"/>
            <w:vAlign w:val="bottom"/>
          </w:tcPr>
          <w:p>
            <w:pPr>
              <w:spacing w:after="0"/>
              <w:rPr>
                <w:sz w:val="20"/>
                <w:szCs w:val="20"/>
                <w:color w:val="auto"/>
              </w:rPr>
            </w:pPr>
            <w:r>
              <w:rPr>
                <w:rFonts w:ascii="Arial" w:cs="Arial" w:eastAsia="Arial" w:hAnsi="Arial"/>
                <w:sz w:val="16"/>
                <w:szCs w:val="16"/>
                <w:b w:val="1"/>
                <w:bCs w:val="1"/>
                <w:color w:val="auto"/>
              </w:rPr>
              <w:t>Total derivatives not designated as hedging instruments</w:t>
            </w:r>
          </w:p>
        </w:tc>
        <w:tc>
          <w:tcPr>
            <w:tcW w:w="1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36,768</w:t>
            </w:r>
          </w:p>
        </w:tc>
        <w:tc>
          <w:tcPr>
            <w:tcW w:w="2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1,585</w:t>
            </w:r>
          </w:p>
        </w:tc>
        <w:tc>
          <w:tcPr>
            <w:tcW w:w="3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6,627</w:t>
            </w:r>
          </w:p>
        </w:tc>
        <w:tc>
          <w:tcPr>
            <w:tcW w:w="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35,009</w:t>
            </w:r>
          </w:p>
        </w:tc>
        <w:tc>
          <w:tcPr>
            <w:tcW w:w="2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923</w:t>
            </w:r>
          </w:p>
        </w:tc>
        <w:tc>
          <w:tcPr>
            <w:tcW w:w="3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5,121</w:t>
            </w:r>
          </w:p>
        </w:tc>
        <w:tc>
          <w:tcPr>
            <w:tcW w:w="0" w:type="dxa"/>
            <w:vAlign w:val="bottom"/>
          </w:tcPr>
          <w:p>
            <w:pPr>
              <w:spacing w:after="0"/>
              <w:rPr>
                <w:sz w:val="1"/>
                <w:szCs w:val="1"/>
                <w:color w:val="auto"/>
              </w:rPr>
            </w:pPr>
          </w:p>
        </w:tc>
      </w:tr>
      <w:tr>
        <w:trPr>
          <w:trHeight w:val="181"/>
        </w:trPr>
        <w:tc>
          <w:tcPr>
            <w:tcW w:w="4320" w:type="dxa"/>
            <w:vAlign w:val="bottom"/>
          </w:tcPr>
          <w:p>
            <w:pPr>
              <w:spacing w:after="0" w:line="181" w:lineRule="exact"/>
              <w:rPr>
                <w:sz w:val="20"/>
                <w:szCs w:val="20"/>
                <w:color w:val="auto"/>
              </w:rPr>
            </w:pPr>
            <w:r>
              <w:rPr>
                <w:rFonts w:ascii="Arial" w:cs="Arial" w:eastAsia="Arial" w:hAnsi="Arial"/>
                <w:sz w:val="16"/>
                <w:szCs w:val="16"/>
                <w:b w:val="1"/>
                <w:bCs w:val="1"/>
                <w:color w:val="auto"/>
              </w:rPr>
              <w:t>Total derivatives</w:t>
            </w:r>
          </w:p>
        </w:tc>
        <w:tc>
          <w:tcPr>
            <w:tcW w:w="140" w:type="dxa"/>
            <w:vAlign w:val="bottom"/>
            <w:tcBorders>
              <w:bottom w:val="single" w:sz="8" w:color="auto"/>
            </w:tcBorders>
          </w:tcPr>
          <w:p>
            <w:pPr>
              <w:jc w:val="right"/>
              <w:spacing w:after="0" w:line="181" w:lineRule="exact"/>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tcPr>
          <w:p>
            <w:pPr>
              <w:jc w:val="right"/>
              <w:ind w:right="22"/>
              <w:spacing w:after="0" w:line="181" w:lineRule="exact"/>
              <w:rPr>
                <w:sz w:val="20"/>
                <w:szCs w:val="20"/>
                <w:color w:val="auto"/>
              </w:rPr>
            </w:pPr>
            <w:r>
              <w:rPr>
                <w:rFonts w:ascii="Arial" w:cs="Arial" w:eastAsia="Arial" w:hAnsi="Arial"/>
                <w:sz w:val="16"/>
                <w:szCs w:val="16"/>
                <w:color w:val="auto"/>
              </w:rPr>
              <w:t>37,639</w:t>
            </w:r>
          </w:p>
        </w:tc>
        <w:tc>
          <w:tcPr>
            <w:tcW w:w="200" w:type="dxa"/>
            <w:vAlign w:val="bottom"/>
            <w:tcBorders>
              <w:bottom w:val="single" w:sz="8" w:color="auto"/>
            </w:tcBorders>
          </w:tcPr>
          <w:p>
            <w:pPr>
              <w:jc w:val="right"/>
              <w:spacing w:after="0" w:line="181" w:lineRule="exact"/>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tcPr>
          <w:p>
            <w:pPr>
              <w:jc w:val="right"/>
              <w:ind w:right="22"/>
              <w:spacing w:after="0" w:line="181" w:lineRule="exact"/>
              <w:rPr>
                <w:sz w:val="20"/>
                <w:szCs w:val="20"/>
                <w:color w:val="auto"/>
              </w:rPr>
            </w:pPr>
            <w:r>
              <w:rPr>
                <w:rFonts w:ascii="Arial" w:cs="Arial" w:eastAsia="Arial" w:hAnsi="Arial"/>
                <w:sz w:val="16"/>
                <w:szCs w:val="16"/>
                <w:color w:val="auto"/>
              </w:rPr>
              <w:t>1,596</w:t>
            </w:r>
          </w:p>
        </w:tc>
        <w:tc>
          <w:tcPr>
            <w:tcW w:w="320" w:type="dxa"/>
            <w:vAlign w:val="bottom"/>
            <w:tcBorders>
              <w:bottom w:val="single" w:sz="8" w:color="auto"/>
            </w:tcBorders>
          </w:tcPr>
          <w:p>
            <w:pPr>
              <w:jc w:val="right"/>
              <w:ind w:right="82"/>
              <w:spacing w:after="0" w:line="181" w:lineRule="exact"/>
              <w:rPr>
                <w:sz w:val="20"/>
                <w:szCs w:val="20"/>
                <w:color w:val="auto"/>
              </w:rPr>
            </w:pPr>
            <w:r>
              <w:rPr>
                <w:rFonts w:ascii="Arial" w:cs="Arial" w:eastAsia="Arial" w:hAnsi="Arial"/>
                <w:sz w:val="16"/>
                <w:szCs w:val="16"/>
                <w:color w:val="auto"/>
              </w:rPr>
              <w:t>$</w:t>
            </w:r>
          </w:p>
        </w:tc>
        <w:tc>
          <w:tcPr>
            <w:tcW w:w="580" w:type="dxa"/>
            <w:vAlign w:val="bottom"/>
            <w:tcBorders>
              <w:bottom w:val="single" w:sz="8" w:color="auto"/>
            </w:tcBorders>
          </w:tcPr>
          <w:p>
            <w:pPr>
              <w:jc w:val="right"/>
              <w:ind w:right="2"/>
              <w:spacing w:after="0" w:line="181" w:lineRule="exact"/>
              <w:rPr>
                <w:sz w:val="20"/>
                <w:szCs w:val="20"/>
                <w:color w:val="auto"/>
              </w:rPr>
            </w:pPr>
            <w:r>
              <w:rPr>
                <w:rFonts w:ascii="Arial" w:cs="Arial" w:eastAsia="Arial" w:hAnsi="Arial"/>
                <w:sz w:val="16"/>
                <w:szCs w:val="16"/>
                <w:color w:val="auto"/>
              </w:rPr>
              <w:t>6,631</w:t>
            </w:r>
          </w:p>
        </w:tc>
        <w:tc>
          <w:tcPr>
            <w:tcW w:w="200" w:type="dxa"/>
            <w:vAlign w:val="bottom"/>
            <w:tcBorders>
              <w:bottom w:val="single" w:sz="8" w:color="auto"/>
            </w:tcBorders>
            <w:gridSpan w:val="2"/>
          </w:tcPr>
          <w:p>
            <w:pPr>
              <w:jc w:val="right"/>
              <w:ind w:right="20"/>
              <w:spacing w:after="0" w:line="181" w:lineRule="exact"/>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tcPr>
          <w:p>
            <w:pPr>
              <w:jc w:val="right"/>
              <w:ind w:right="2"/>
              <w:spacing w:after="0" w:line="181" w:lineRule="exact"/>
              <w:rPr>
                <w:sz w:val="20"/>
                <w:szCs w:val="20"/>
                <w:color w:val="auto"/>
              </w:rPr>
            </w:pPr>
            <w:r>
              <w:rPr>
                <w:rFonts w:ascii="Arial" w:cs="Arial" w:eastAsia="Arial" w:hAnsi="Arial"/>
                <w:sz w:val="16"/>
                <w:szCs w:val="16"/>
                <w:color w:val="auto"/>
              </w:rPr>
              <w:t>35,048</w:t>
            </w:r>
          </w:p>
        </w:tc>
        <w:tc>
          <w:tcPr>
            <w:tcW w:w="220" w:type="dxa"/>
            <w:vAlign w:val="bottom"/>
            <w:tcBorders>
              <w:bottom w:val="single" w:sz="8" w:color="auto"/>
            </w:tcBorders>
          </w:tcPr>
          <w:p>
            <w:pPr>
              <w:jc w:val="right"/>
              <w:spacing w:after="0" w:line="181" w:lineRule="exact"/>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tcPr>
          <w:p>
            <w:pPr>
              <w:jc w:val="right"/>
              <w:ind w:right="22"/>
              <w:spacing w:after="0" w:line="181" w:lineRule="exact"/>
              <w:rPr>
                <w:sz w:val="20"/>
                <w:szCs w:val="20"/>
                <w:color w:val="auto"/>
              </w:rPr>
            </w:pPr>
            <w:r>
              <w:rPr>
                <w:rFonts w:ascii="Arial" w:cs="Arial" w:eastAsia="Arial" w:hAnsi="Arial"/>
                <w:sz w:val="16"/>
                <w:szCs w:val="16"/>
                <w:color w:val="auto"/>
              </w:rPr>
              <w:t>925</w:t>
            </w:r>
          </w:p>
        </w:tc>
        <w:tc>
          <w:tcPr>
            <w:tcW w:w="320" w:type="dxa"/>
            <w:vAlign w:val="bottom"/>
            <w:tcBorders>
              <w:bottom w:val="single" w:sz="8" w:color="auto"/>
            </w:tcBorders>
          </w:tcPr>
          <w:p>
            <w:pPr>
              <w:jc w:val="right"/>
              <w:ind w:right="82"/>
              <w:spacing w:after="0" w:line="181" w:lineRule="exact"/>
              <w:rPr>
                <w:sz w:val="20"/>
                <w:szCs w:val="20"/>
                <w:color w:val="auto"/>
              </w:rPr>
            </w:pPr>
            <w:r>
              <w:rPr>
                <w:rFonts w:ascii="Arial" w:cs="Arial" w:eastAsia="Arial" w:hAnsi="Arial"/>
                <w:sz w:val="16"/>
                <w:szCs w:val="16"/>
                <w:color w:val="auto"/>
              </w:rPr>
              <w:t>$</w:t>
            </w:r>
          </w:p>
        </w:tc>
        <w:tc>
          <w:tcPr>
            <w:tcW w:w="580" w:type="dxa"/>
            <w:vAlign w:val="bottom"/>
            <w:tcBorders>
              <w:bottom w:val="single" w:sz="8" w:color="auto"/>
            </w:tcBorders>
          </w:tcPr>
          <w:p>
            <w:pPr>
              <w:jc w:val="right"/>
              <w:ind w:right="2"/>
              <w:spacing w:after="0" w:line="181" w:lineRule="exact"/>
              <w:rPr>
                <w:sz w:val="20"/>
                <w:szCs w:val="20"/>
                <w:color w:val="auto"/>
              </w:rPr>
            </w:pPr>
            <w:r>
              <w:rPr>
                <w:rFonts w:ascii="Arial" w:cs="Arial" w:eastAsia="Arial" w:hAnsi="Arial"/>
                <w:sz w:val="16"/>
                <w:szCs w:val="16"/>
                <w:color w:val="auto"/>
              </w:rPr>
              <w:t>5,121</w:t>
            </w: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-2429510</wp:posOffset>
            </wp:positionV>
            <wp:extent cx="6289040" cy="243649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12">
                      <a:extLst>
                        <a:ext uri="{28A0092B-C50C-407E-A947-70E740481C1C}"/>
                      </a:extLst>
                    </a:blip>
                    <a:srcRect/>
                    <a:stretch>
                      <a:fillRect/>
                    </a:stretch>
                  </pic:blipFill>
                  <pic:spPr bwMode="auto">
                    <a:xfrm>
                      <a:off x="0" y="0"/>
                      <a:ext cx="6289040" cy="2436495"/>
                    </a:xfrm>
                    <a:prstGeom prst="rect">
                      <a:avLst/>
                    </a:prstGeom>
                    <a:noFill/>
                  </pic:spPr>
                </pic:pic>
              </a:graphicData>
            </a:graphic>
          </wp:anchor>
        </w:drawing>
      </w:r>
    </w:p>
    <w:p>
      <w:pPr>
        <w:spacing w:after="0" w:line="185" w:lineRule="exact"/>
        <w:rPr>
          <w:sz w:val="20"/>
          <w:szCs w:val="20"/>
          <w:color w:val="auto"/>
        </w:rPr>
      </w:pPr>
    </w:p>
    <w:p>
      <w:pPr>
        <w:ind w:left="347" w:right="20" w:hanging="347"/>
        <w:spacing w:after="0" w:line="255" w:lineRule="auto"/>
        <w:tabs>
          <w:tab w:leader="none" w:pos="347" w:val="left"/>
        </w:tabs>
        <w:numPr>
          <w:ilvl w:val="0"/>
          <w:numId w:val="55"/>
        </w:numPr>
        <w:rPr>
          <w:rFonts w:ascii="Arial" w:cs="Arial" w:eastAsia="Arial" w:hAnsi="Arial"/>
          <w:sz w:val="16"/>
          <w:szCs w:val="16"/>
          <w:color w:val="auto"/>
        </w:rPr>
      </w:pPr>
      <w:r>
        <w:rPr>
          <w:rFonts w:ascii="Arial" w:cs="Arial" w:eastAsia="Arial" w:hAnsi="Arial"/>
          <w:sz w:val="16"/>
          <w:szCs w:val="16"/>
          <w:color w:val="auto"/>
        </w:rPr>
        <w:t>The fair value of derivative assets is reported in Derivative investments, and the fair value of derivative liabilities is reported in Accounts payable and accrued liabilities on the Consolidated Balance Sheets.</w:t>
      </w:r>
    </w:p>
    <w:p>
      <w:pPr>
        <w:ind w:left="347" w:hanging="347"/>
        <w:spacing w:after="0"/>
        <w:tabs>
          <w:tab w:leader="none" w:pos="347" w:val="left"/>
        </w:tabs>
        <w:numPr>
          <w:ilvl w:val="0"/>
          <w:numId w:val="55"/>
        </w:numPr>
        <w:rPr>
          <w:rFonts w:ascii="Arial" w:cs="Arial" w:eastAsia="Arial" w:hAnsi="Arial"/>
          <w:sz w:val="16"/>
          <w:szCs w:val="16"/>
          <w:color w:val="auto"/>
        </w:rPr>
      </w:pPr>
      <w:r>
        <w:rPr>
          <w:rFonts w:ascii="Arial" w:cs="Arial" w:eastAsia="Arial" w:hAnsi="Arial"/>
          <w:sz w:val="16"/>
          <w:szCs w:val="16"/>
          <w:color w:val="auto"/>
        </w:rPr>
        <w:t>The fair value is included in Other long term investments on the Consolidated Balance Sheets.</w:t>
      </w:r>
    </w:p>
    <w:p>
      <w:pPr>
        <w:spacing w:after="0" w:line="4" w:lineRule="exact"/>
        <w:rPr>
          <w:rFonts w:ascii="Arial" w:cs="Arial" w:eastAsia="Arial" w:hAnsi="Arial"/>
          <w:sz w:val="16"/>
          <w:szCs w:val="16"/>
          <w:color w:val="auto"/>
        </w:rPr>
      </w:pPr>
    </w:p>
    <w:p>
      <w:pPr>
        <w:ind w:left="347" w:hanging="347"/>
        <w:spacing w:after="0" w:line="245" w:lineRule="auto"/>
        <w:tabs>
          <w:tab w:leader="none" w:pos="347" w:val="left"/>
        </w:tabs>
        <w:numPr>
          <w:ilvl w:val="0"/>
          <w:numId w:val="55"/>
        </w:numPr>
        <w:rPr>
          <w:rFonts w:ascii="Arial" w:cs="Arial" w:eastAsia="Arial" w:hAnsi="Arial"/>
          <w:sz w:val="16"/>
          <w:szCs w:val="16"/>
          <w:color w:val="auto"/>
        </w:rPr>
      </w:pPr>
      <w:r>
        <w:rPr>
          <w:rFonts w:ascii="Arial" w:cs="Arial" w:eastAsia="Arial" w:hAnsi="Arial"/>
          <w:sz w:val="16"/>
          <w:szCs w:val="16"/>
          <w:color w:val="auto"/>
        </w:rPr>
        <w:t>The fair value of the liability is included in Contractholder funds and the ceded portion is included in Reinsurance recoverable on the Consolidated Balance Sheets.</w:t>
      </w:r>
    </w:p>
    <w:p>
      <w:pPr>
        <w:ind w:left="347" w:hanging="347"/>
        <w:spacing w:after="0" w:line="250" w:lineRule="auto"/>
        <w:tabs>
          <w:tab w:leader="none" w:pos="347" w:val="left"/>
        </w:tabs>
        <w:numPr>
          <w:ilvl w:val="0"/>
          <w:numId w:val="55"/>
        </w:numPr>
        <w:rPr>
          <w:rFonts w:ascii="Arial" w:cs="Arial" w:eastAsia="Arial" w:hAnsi="Arial"/>
          <w:sz w:val="16"/>
          <w:szCs w:val="16"/>
          <w:color w:val="auto"/>
        </w:rPr>
      </w:pPr>
      <w:r>
        <w:rPr>
          <w:rFonts w:ascii="Arial" w:cs="Arial" w:eastAsia="Arial" w:hAnsi="Arial"/>
          <w:sz w:val="16"/>
          <w:szCs w:val="16"/>
          <w:color w:val="auto"/>
        </w:rPr>
        <w:t>The fair value of the embedded derivative asset is included in Funds withheld for reinsurance liabilities as a contra-liability on the Consolidated Balance Sheet as of December 31, 2024.</w:t>
      </w:r>
    </w:p>
    <w:p>
      <w:pPr>
        <w:sectPr>
          <w:pgSz w:w="11880" w:h="15480" w:orient="portrait"/>
          <w:cols w:equalWidth="0" w:num="1">
            <w:col w:w="10067"/>
          </w:cols>
          <w:pgMar w:left="913" w:top="765"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13"/>
        <w:spacing w:after="0"/>
        <w:rPr>
          <w:sz w:val="20"/>
          <w:szCs w:val="20"/>
          <w:color w:val="auto"/>
        </w:rPr>
      </w:pPr>
      <w:r>
        <w:rPr>
          <w:rFonts w:ascii="Arial" w:cs="Arial" w:eastAsia="Arial" w:hAnsi="Arial"/>
          <w:sz w:val="16"/>
          <w:szCs w:val="16"/>
          <w:color w:val="auto"/>
        </w:rPr>
        <w:t>145</w:t>
      </w:r>
    </w:p>
    <w:p>
      <w:pPr>
        <w:sectPr>
          <w:pgSz w:w="11880" w:h="15480" w:orient="portrait"/>
          <w:cols w:equalWidth="0" w:num="1">
            <w:col w:w="10067"/>
          </w:cols>
          <w:pgMar w:left="913" w:top="765" w:right="900" w:bottom="0" w:gutter="0" w:footer="0" w:header="0"/>
          <w:type w:val="continuous"/>
        </w:sectPr>
      </w:pPr>
    </w:p>
    <w:bookmarkStart w:id="157" w:name="page158"/>
    <w:bookmarkEnd w:id="157"/>
    <w:p>
      <w:pPr>
        <w:ind w:left="340"/>
        <w:spacing w:after="0"/>
        <w:rPr>
          <w:sz w:val="20"/>
          <w:szCs w:val="20"/>
          <w:color w:val="auto"/>
        </w:rPr>
      </w:pPr>
      <w:r>
        <w:rPr>
          <w:rFonts w:ascii="Arial" w:cs="Arial" w:eastAsia="Arial" w:hAnsi="Arial"/>
          <w:sz w:val="17"/>
          <w:szCs w:val="17"/>
          <w:color w:val="auto"/>
        </w:rPr>
        <w:t>The amounts and locations of gains losses, net recognized for derivatives items included in the Consolidated Statements of</w:t>
      </w:r>
    </w:p>
    <w:p>
      <w:pPr>
        <w:spacing w:after="0" w:line="59" w:lineRule="exact"/>
        <w:rPr>
          <w:sz w:val="20"/>
          <w:szCs w:val="20"/>
          <w:color w:val="auto"/>
        </w:rPr>
      </w:pPr>
    </w:p>
    <w:p>
      <w:pPr>
        <w:spacing w:after="0"/>
        <w:rPr>
          <w:sz w:val="20"/>
          <w:szCs w:val="20"/>
          <w:color w:val="auto"/>
        </w:rPr>
      </w:pPr>
      <w:r>
        <w:rPr>
          <w:rFonts w:ascii="Arial" w:cs="Arial" w:eastAsia="Arial" w:hAnsi="Arial"/>
          <w:sz w:val="20"/>
          <w:szCs w:val="20"/>
          <w:color w:val="auto"/>
        </w:rPr>
        <w:t>Earnings are as follows:</w:t>
      </w:r>
    </w:p>
    <w:p>
      <w:pPr>
        <w:spacing w:after="0" w:line="172" w:lineRule="exact"/>
        <w:rPr>
          <w:sz w:val="20"/>
          <w:szCs w:val="20"/>
          <w:color w:val="auto"/>
        </w:rPr>
      </w:pPr>
    </w:p>
    <w:tbl>
      <w:tblPr>
        <w:tblLayout w:type="fixed"/>
        <w:tblInd w:w="20" w:type="dxa"/>
        <w:tblCellMar>
          <w:top w:w="0" w:type="dxa"/>
          <w:left w:w="0" w:type="dxa"/>
          <w:bottom w:w="0" w:type="dxa"/>
          <w:right w:w="0" w:type="dxa"/>
        </w:tblCellMar>
      </w:tblPr>
      <w:tr>
        <w:trPr>
          <w:trHeight w:val="213"/>
        </w:trPr>
        <w:tc>
          <w:tcPr>
            <w:tcW w:w="33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080" w:type="dxa"/>
            <w:vAlign w:val="bottom"/>
            <w:tcBorders>
              <w:bottom w:val="single" w:sz="8" w:color="auto"/>
            </w:tcBorders>
            <w:gridSpan w:val="3"/>
          </w:tcPr>
          <w:p>
            <w:pPr>
              <w:jc w:val="right"/>
              <w:ind w:right="162"/>
              <w:spacing w:after="0"/>
              <w:rPr>
                <w:sz w:val="20"/>
                <w:szCs w:val="20"/>
                <w:color w:val="auto"/>
              </w:rPr>
            </w:pPr>
            <w:r>
              <w:rPr>
                <w:rFonts w:ascii="Arial" w:cs="Arial" w:eastAsia="Arial" w:hAnsi="Arial"/>
                <w:sz w:val="16"/>
                <w:szCs w:val="16"/>
                <w:b w:val="1"/>
                <w:bCs w:val="1"/>
                <w:color w:val="auto"/>
                <w:w w:val="92"/>
              </w:rPr>
              <w:t>Year Ended December 31,</w:t>
            </w: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3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2025</w:t>
            </w:r>
          </w:p>
        </w:tc>
        <w:tc>
          <w:tcPr>
            <w:tcW w:w="9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2024</w:t>
            </w:r>
          </w:p>
        </w:tc>
        <w:tc>
          <w:tcPr>
            <w:tcW w:w="96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2023</w:t>
            </w:r>
          </w:p>
        </w:tc>
        <w:tc>
          <w:tcPr>
            <w:tcW w:w="9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7"/>
        </w:trPr>
        <w:tc>
          <w:tcPr>
            <w:tcW w:w="3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vMerge w:val="restart"/>
          </w:tcPr>
          <w:p>
            <w:pPr>
              <w:jc w:val="center"/>
              <w:ind w:right="102"/>
              <w:spacing w:after="0"/>
              <w:rPr>
                <w:sz w:val="20"/>
                <w:szCs w:val="20"/>
                <w:color w:val="auto"/>
              </w:rPr>
            </w:pPr>
            <w:r>
              <w:rPr>
                <w:rFonts w:ascii="Arial" w:cs="Arial" w:eastAsia="Arial" w:hAnsi="Arial"/>
                <w:sz w:val="16"/>
                <w:szCs w:val="16"/>
                <w:b w:val="1"/>
                <w:bCs w:val="1"/>
                <w:color w:val="auto"/>
                <w:w w:val="86"/>
              </w:rPr>
              <w:t>Recognized</w:t>
            </w:r>
          </w:p>
        </w:tc>
        <w:tc>
          <w:tcPr>
            <w:tcW w:w="1100" w:type="dxa"/>
            <w:vAlign w:val="bottom"/>
            <w:gridSpan w:val="2"/>
          </w:tcPr>
          <w:p>
            <w:pPr>
              <w:jc w:val="center"/>
              <w:spacing w:after="0" w:line="167" w:lineRule="exact"/>
              <w:rPr>
                <w:sz w:val="20"/>
                <w:szCs w:val="20"/>
                <w:color w:val="auto"/>
              </w:rPr>
            </w:pPr>
            <w:r>
              <w:rPr>
                <w:rFonts w:ascii="Arial" w:cs="Arial" w:eastAsia="Arial" w:hAnsi="Arial"/>
                <w:sz w:val="16"/>
                <w:szCs w:val="16"/>
                <w:b w:val="1"/>
                <w:bCs w:val="1"/>
                <w:color w:val="auto"/>
                <w:w w:val="85"/>
              </w:rPr>
              <w:t>Benefits and</w:t>
            </w:r>
          </w:p>
        </w:tc>
        <w:tc>
          <w:tcPr>
            <w:tcW w:w="160" w:type="dxa"/>
            <w:vAlign w:val="bottom"/>
          </w:tcPr>
          <w:p>
            <w:pPr>
              <w:spacing w:after="0"/>
              <w:rPr>
                <w:sz w:val="14"/>
                <w:szCs w:val="14"/>
                <w:color w:val="auto"/>
              </w:rPr>
            </w:pPr>
          </w:p>
        </w:tc>
        <w:tc>
          <w:tcPr>
            <w:tcW w:w="980" w:type="dxa"/>
            <w:vAlign w:val="bottom"/>
            <w:vMerge w:val="restart"/>
          </w:tcPr>
          <w:p>
            <w:pPr>
              <w:jc w:val="center"/>
              <w:ind w:right="102"/>
              <w:spacing w:after="0"/>
              <w:rPr>
                <w:sz w:val="20"/>
                <w:szCs w:val="20"/>
                <w:color w:val="auto"/>
              </w:rPr>
            </w:pPr>
            <w:r>
              <w:rPr>
                <w:rFonts w:ascii="Arial" w:cs="Arial" w:eastAsia="Arial" w:hAnsi="Arial"/>
                <w:sz w:val="16"/>
                <w:szCs w:val="16"/>
                <w:b w:val="1"/>
                <w:bCs w:val="1"/>
                <w:color w:val="auto"/>
                <w:w w:val="84"/>
              </w:rPr>
              <w:t>Recognized</w:t>
            </w:r>
          </w:p>
        </w:tc>
        <w:tc>
          <w:tcPr>
            <w:tcW w:w="1100" w:type="dxa"/>
            <w:vAlign w:val="bottom"/>
            <w:gridSpan w:val="2"/>
          </w:tcPr>
          <w:p>
            <w:pPr>
              <w:jc w:val="center"/>
              <w:spacing w:after="0" w:line="167" w:lineRule="exact"/>
              <w:rPr>
                <w:sz w:val="20"/>
                <w:szCs w:val="20"/>
                <w:color w:val="auto"/>
              </w:rPr>
            </w:pPr>
            <w:r>
              <w:rPr>
                <w:rFonts w:ascii="Arial" w:cs="Arial" w:eastAsia="Arial" w:hAnsi="Arial"/>
                <w:sz w:val="16"/>
                <w:szCs w:val="16"/>
                <w:b w:val="1"/>
                <w:bCs w:val="1"/>
                <w:color w:val="auto"/>
                <w:w w:val="87"/>
              </w:rPr>
              <w:t>Benefits and</w:t>
            </w:r>
          </w:p>
        </w:tc>
        <w:tc>
          <w:tcPr>
            <w:tcW w:w="160" w:type="dxa"/>
            <w:vAlign w:val="bottom"/>
          </w:tcPr>
          <w:p>
            <w:pPr>
              <w:spacing w:after="0"/>
              <w:rPr>
                <w:sz w:val="14"/>
                <w:szCs w:val="14"/>
                <w:color w:val="auto"/>
              </w:rPr>
            </w:pPr>
          </w:p>
        </w:tc>
        <w:tc>
          <w:tcPr>
            <w:tcW w:w="980" w:type="dxa"/>
            <w:vAlign w:val="bottom"/>
            <w:vMerge w:val="restart"/>
          </w:tcPr>
          <w:p>
            <w:pPr>
              <w:jc w:val="center"/>
              <w:ind w:right="102"/>
              <w:spacing w:after="0"/>
              <w:rPr>
                <w:sz w:val="20"/>
                <w:szCs w:val="20"/>
                <w:color w:val="auto"/>
              </w:rPr>
            </w:pPr>
            <w:r>
              <w:rPr>
                <w:rFonts w:ascii="Arial" w:cs="Arial" w:eastAsia="Arial" w:hAnsi="Arial"/>
                <w:sz w:val="16"/>
                <w:szCs w:val="16"/>
                <w:b w:val="1"/>
                <w:bCs w:val="1"/>
                <w:color w:val="auto"/>
                <w:w w:val="84"/>
              </w:rPr>
              <w:t>Recognized</w:t>
            </w:r>
          </w:p>
        </w:tc>
        <w:tc>
          <w:tcPr>
            <w:tcW w:w="1060" w:type="dxa"/>
            <w:vAlign w:val="bottom"/>
            <w:gridSpan w:val="2"/>
          </w:tcPr>
          <w:p>
            <w:pPr>
              <w:jc w:val="center"/>
              <w:spacing w:after="0" w:line="167" w:lineRule="exact"/>
              <w:rPr>
                <w:sz w:val="20"/>
                <w:szCs w:val="20"/>
                <w:color w:val="auto"/>
              </w:rPr>
            </w:pPr>
            <w:r>
              <w:rPr>
                <w:rFonts w:ascii="Arial" w:cs="Arial" w:eastAsia="Arial" w:hAnsi="Arial"/>
                <w:sz w:val="16"/>
                <w:szCs w:val="16"/>
                <w:b w:val="1"/>
                <w:bCs w:val="1"/>
                <w:color w:val="auto"/>
                <w:w w:val="87"/>
              </w:rPr>
              <w:t>Benefits and</w:t>
            </w:r>
          </w:p>
        </w:tc>
        <w:tc>
          <w:tcPr>
            <w:tcW w:w="0" w:type="dxa"/>
            <w:vAlign w:val="bottom"/>
          </w:tcPr>
          <w:p>
            <w:pPr>
              <w:spacing w:after="0"/>
              <w:rPr>
                <w:sz w:val="1"/>
                <w:szCs w:val="1"/>
                <w:color w:val="auto"/>
              </w:rPr>
            </w:pPr>
          </w:p>
        </w:tc>
      </w:tr>
      <w:tr>
        <w:trPr>
          <w:trHeight w:val="157"/>
        </w:trPr>
        <w:tc>
          <w:tcPr>
            <w:tcW w:w="3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vMerge w:val="continue"/>
          </w:tcPr>
          <w:p>
            <w:pPr>
              <w:spacing w:after="0"/>
              <w:rPr>
                <w:sz w:val="13"/>
                <w:szCs w:val="13"/>
                <w:color w:val="auto"/>
              </w:rPr>
            </w:pPr>
          </w:p>
        </w:tc>
        <w:tc>
          <w:tcPr>
            <w:tcW w:w="1100" w:type="dxa"/>
            <w:vAlign w:val="bottom"/>
            <w:gridSpan w:val="2"/>
          </w:tcPr>
          <w:p>
            <w:pPr>
              <w:jc w:val="center"/>
              <w:spacing w:after="0" w:line="157" w:lineRule="exact"/>
              <w:rPr>
                <w:sz w:val="20"/>
                <w:szCs w:val="20"/>
                <w:color w:val="auto"/>
              </w:rPr>
            </w:pPr>
            <w:r>
              <w:rPr>
                <w:rFonts w:ascii="Arial" w:cs="Arial" w:eastAsia="Arial" w:hAnsi="Arial"/>
                <w:sz w:val="16"/>
                <w:szCs w:val="16"/>
                <w:b w:val="1"/>
                <w:bCs w:val="1"/>
                <w:color w:val="auto"/>
                <w:w w:val="85"/>
              </w:rPr>
              <w:t>other changes</w:t>
            </w:r>
          </w:p>
        </w:tc>
        <w:tc>
          <w:tcPr>
            <w:tcW w:w="160" w:type="dxa"/>
            <w:vAlign w:val="bottom"/>
          </w:tcPr>
          <w:p>
            <w:pPr>
              <w:spacing w:after="0"/>
              <w:rPr>
                <w:sz w:val="13"/>
                <w:szCs w:val="13"/>
                <w:color w:val="auto"/>
              </w:rPr>
            </w:pPr>
          </w:p>
        </w:tc>
        <w:tc>
          <w:tcPr>
            <w:tcW w:w="980" w:type="dxa"/>
            <w:vAlign w:val="bottom"/>
            <w:vMerge w:val="continue"/>
          </w:tcPr>
          <w:p>
            <w:pPr>
              <w:spacing w:after="0"/>
              <w:rPr>
                <w:sz w:val="13"/>
                <w:szCs w:val="13"/>
                <w:color w:val="auto"/>
              </w:rPr>
            </w:pPr>
          </w:p>
        </w:tc>
        <w:tc>
          <w:tcPr>
            <w:tcW w:w="1100" w:type="dxa"/>
            <w:vAlign w:val="bottom"/>
            <w:gridSpan w:val="2"/>
          </w:tcPr>
          <w:p>
            <w:pPr>
              <w:jc w:val="right"/>
              <w:ind w:right="22"/>
              <w:spacing w:after="0" w:line="157" w:lineRule="exact"/>
              <w:rPr>
                <w:sz w:val="20"/>
                <w:szCs w:val="20"/>
                <w:color w:val="auto"/>
              </w:rPr>
            </w:pPr>
            <w:r>
              <w:rPr>
                <w:rFonts w:ascii="Arial" w:cs="Arial" w:eastAsia="Arial" w:hAnsi="Arial"/>
                <w:sz w:val="16"/>
                <w:szCs w:val="16"/>
                <w:b w:val="1"/>
                <w:bCs w:val="1"/>
                <w:color w:val="auto"/>
                <w:w w:val="89"/>
              </w:rPr>
              <w:t>other changes</w:t>
            </w:r>
          </w:p>
        </w:tc>
        <w:tc>
          <w:tcPr>
            <w:tcW w:w="160" w:type="dxa"/>
            <w:vAlign w:val="bottom"/>
          </w:tcPr>
          <w:p>
            <w:pPr>
              <w:spacing w:after="0"/>
              <w:rPr>
                <w:sz w:val="13"/>
                <w:szCs w:val="13"/>
                <w:color w:val="auto"/>
              </w:rPr>
            </w:pPr>
          </w:p>
        </w:tc>
        <w:tc>
          <w:tcPr>
            <w:tcW w:w="980" w:type="dxa"/>
            <w:vAlign w:val="bottom"/>
            <w:vMerge w:val="continue"/>
          </w:tcPr>
          <w:p>
            <w:pPr>
              <w:spacing w:after="0"/>
              <w:rPr>
                <w:sz w:val="13"/>
                <w:szCs w:val="13"/>
                <w:color w:val="auto"/>
              </w:rPr>
            </w:pPr>
          </w:p>
        </w:tc>
        <w:tc>
          <w:tcPr>
            <w:tcW w:w="1060" w:type="dxa"/>
            <w:vAlign w:val="bottom"/>
            <w:gridSpan w:val="2"/>
          </w:tcPr>
          <w:p>
            <w:pPr>
              <w:jc w:val="center"/>
              <w:spacing w:after="0" w:line="157" w:lineRule="exact"/>
              <w:rPr>
                <w:sz w:val="20"/>
                <w:szCs w:val="20"/>
                <w:color w:val="auto"/>
              </w:rPr>
            </w:pPr>
            <w:r>
              <w:rPr>
                <w:rFonts w:ascii="Arial" w:cs="Arial" w:eastAsia="Arial" w:hAnsi="Arial"/>
                <w:sz w:val="16"/>
                <w:szCs w:val="16"/>
                <w:b w:val="1"/>
                <w:bCs w:val="1"/>
                <w:color w:val="auto"/>
                <w:w w:val="84"/>
              </w:rPr>
              <w:t>other changes</w:t>
            </w:r>
          </w:p>
        </w:tc>
        <w:tc>
          <w:tcPr>
            <w:tcW w:w="0" w:type="dxa"/>
            <w:vAlign w:val="bottom"/>
          </w:tcPr>
          <w:p>
            <w:pPr>
              <w:spacing w:after="0"/>
              <w:rPr>
                <w:sz w:val="1"/>
                <w:szCs w:val="1"/>
                <w:color w:val="auto"/>
              </w:rPr>
            </w:pPr>
          </w:p>
        </w:tc>
      </w:tr>
      <w:tr>
        <w:trPr>
          <w:trHeight w:val="157"/>
        </w:trPr>
        <w:tc>
          <w:tcPr>
            <w:tcW w:w="3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tcPr>
          <w:p>
            <w:pPr>
              <w:jc w:val="center"/>
              <w:ind w:right="82"/>
              <w:spacing w:after="0" w:line="157" w:lineRule="exact"/>
              <w:rPr>
                <w:sz w:val="20"/>
                <w:szCs w:val="20"/>
                <w:color w:val="auto"/>
              </w:rPr>
            </w:pPr>
            <w:r>
              <w:rPr>
                <w:rFonts w:ascii="Arial" w:cs="Arial" w:eastAsia="Arial" w:hAnsi="Arial"/>
                <w:sz w:val="16"/>
                <w:szCs w:val="16"/>
                <w:b w:val="1"/>
                <w:bCs w:val="1"/>
                <w:color w:val="auto"/>
                <w:w w:val="79"/>
              </w:rPr>
              <w:t>gains losses,</w:t>
            </w:r>
          </w:p>
        </w:tc>
        <w:tc>
          <w:tcPr>
            <w:tcW w:w="160" w:type="dxa"/>
            <w:vAlign w:val="bottom"/>
          </w:tcPr>
          <w:p>
            <w:pPr>
              <w:spacing w:after="0"/>
              <w:rPr>
                <w:sz w:val="13"/>
                <w:szCs w:val="13"/>
                <w:color w:val="auto"/>
              </w:rPr>
            </w:pPr>
          </w:p>
        </w:tc>
        <w:tc>
          <w:tcPr>
            <w:tcW w:w="940" w:type="dxa"/>
            <w:vAlign w:val="bottom"/>
          </w:tcPr>
          <w:p>
            <w:pPr>
              <w:jc w:val="center"/>
              <w:ind w:right="82"/>
              <w:spacing w:after="0" w:line="157" w:lineRule="exact"/>
              <w:rPr>
                <w:sz w:val="20"/>
                <w:szCs w:val="20"/>
                <w:color w:val="auto"/>
              </w:rPr>
            </w:pPr>
            <w:r>
              <w:rPr>
                <w:rFonts w:ascii="Arial" w:cs="Arial" w:eastAsia="Arial" w:hAnsi="Arial"/>
                <w:sz w:val="16"/>
                <w:szCs w:val="16"/>
                <w:b w:val="1"/>
                <w:bCs w:val="1"/>
                <w:color w:val="auto"/>
                <w:w w:val="89"/>
              </w:rPr>
              <w:t>in policy</w:t>
            </w:r>
          </w:p>
        </w:tc>
        <w:tc>
          <w:tcPr>
            <w:tcW w:w="160" w:type="dxa"/>
            <w:vAlign w:val="bottom"/>
          </w:tcPr>
          <w:p>
            <w:pPr>
              <w:spacing w:after="0"/>
              <w:rPr>
                <w:sz w:val="13"/>
                <w:szCs w:val="13"/>
                <w:color w:val="auto"/>
              </w:rPr>
            </w:pPr>
          </w:p>
        </w:tc>
        <w:tc>
          <w:tcPr>
            <w:tcW w:w="980" w:type="dxa"/>
            <w:vAlign w:val="bottom"/>
          </w:tcPr>
          <w:p>
            <w:pPr>
              <w:jc w:val="center"/>
              <w:ind w:right="102"/>
              <w:spacing w:after="0" w:line="157" w:lineRule="exact"/>
              <w:rPr>
                <w:sz w:val="20"/>
                <w:szCs w:val="20"/>
                <w:color w:val="auto"/>
              </w:rPr>
            </w:pPr>
            <w:r>
              <w:rPr>
                <w:rFonts w:ascii="Arial" w:cs="Arial" w:eastAsia="Arial" w:hAnsi="Arial"/>
                <w:sz w:val="16"/>
                <w:szCs w:val="16"/>
                <w:b w:val="1"/>
                <w:bCs w:val="1"/>
                <w:color w:val="auto"/>
                <w:w w:val="79"/>
              </w:rPr>
              <w:t>gains losses,</w:t>
            </w:r>
          </w:p>
        </w:tc>
        <w:tc>
          <w:tcPr>
            <w:tcW w:w="140" w:type="dxa"/>
            <w:vAlign w:val="bottom"/>
          </w:tcPr>
          <w:p>
            <w:pPr>
              <w:spacing w:after="0"/>
              <w:rPr>
                <w:sz w:val="13"/>
                <w:szCs w:val="13"/>
                <w:color w:val="auto"/>
              </w:rPr>
            </w:pPr>
          </w:p>
        </w:tc>
        <w:tc>
          <w:tcPr>
            <w:tcW w:w="960" w:type="dxa"/>
            <w:vAlign w:val="bottom"/>
          </w:tcPr>
          <w:p>
            <w:pPr>
              <w:jc w:val="center"/>
              <w:ind w:right="82"/>
              <w:spacing w:after="0" w:line="157" w:lineRule="exact"/>
              <w:rPr>
                <w:sz w:val="20"/>
                <w:szCs w:val="20"/>
                <w:color w:val="auto"/>
              </w:rPr>
            </w:pPr>
            <w:r>
              <w:rPr>
                <w:rFonts w:ascii="Arial" w:cs="Arial" w:eastAsia="Arial" w:hAnsi="Arial"/>
                <w:sz w:val="16"/>
                <w:szCs w:val="16"/>
                <w:b w:val="1"/>
                <w:bCs w:val="1"/>
                <w:color w:val="auto"/>
                <w:w w:val="86"/>
              </w:rPr>
              <w:t>in policy</w:t>
            </w:r>
          </w:p>
        </w:tc>
        <w:tc>
          <w:tcPr>
            <w:tcW w:w="160" w:type="dxa"/>
            <w:vAlign w:val="bottom"/>
          </w:tcPr>
          <w:p>
            <w:pPr>
              <w:spacing w:after="0"/>
              <w:rPr>
                <w:sz w:val="13"/>
                <w:szCs w:val="13"/>
                <w:color w:val="auto"/>
              </w:rPr>
            </w:pPr>
          </w:p>
        </w:tc>
        <w:tc>
          <w:tcPr>
            <w:tcW w:w="980" w:type="dxa"/>
            <w:vAlign w:val="bottom"/>
          </w:tcPr>
          <w:p>
            <w:pPr>
              <w:jc w:val="center"/>
              <w:ind w:right="102"/>
              <w:spacing w:after="0" w:line="157" w:lineRule="exact"/>
              <w:rPr>
                <w:sz w:val="20"/>
                <w:szCs w:val="20"/>
                <w:color w:val="auto"/>
              </w:rPr>
            </w:pPr>
            <w:r>
              <w:rPr>
                <w:rFonts w:ascii="Arial" w:cs="Arial" w:eastAsia="Arial" w:hAnsi="Arial"/>
                <w:sz w:val="16"/>
                <w:szCs w:val="16"/>
                <w:b w:val="1"/>
                <w:bCs w:val="1"/>
                <w:color w:val="auto"/>
                <w:w w:val="79"/>
              </w:rPr>
              <w:t>gains losses,</w:t>
            </w:r>
          </w:p>
        </w:tc>
        <w:tc>
          <w:tcPr>
            <w:tcW w:w="140" w:type="dxa"/>
            <w:vAlign w:val="bottom"/>
          </w:tcPr>
          <w:p>
            <w:pPr>
              <w:spacing w:after="0"/>
              <w:rPr>
                <w:sz w:val="13"/>
                <w:szCs w:val="13"/>
                <w:color w:val="auto"/>
              </w:rPr>
            </w:pPr>
          </w:p>
        </w:tc>
        <w:tc>
          <w:tcPr>
            <w:tcW w:w="920" w:type="dxa"/>
            <w:vAlign w:val="bottom"/>
          </w:tcPr>
          <w:p>
            <w:pPr>
              <w:jc w:val="center"/>
              <w:ind w:right="42"/>
              <w:spacing w:after="0" w:line="157" w:lineRule="exact"/>
              <w:rPr>
                <w:sz w:val="20"/>
                <w:szCs w:val="20"/>
                <w:color w:val="auto"/>
              </w:rPr>
            </w:pPr>
            <w:r>
              <w:rPr>
                <w:rFonts w:ascii="Arial" w:cs="Arial" w:eastAsia="Arial" w:hAnsi="Arial"/>
                <w:sz w:val="16"/>
                <w:szCs w:val="16"/>
                <w:b w:val="1"/>
                <w:bCs w:val="1"/>
                <w:color w:val="auto"/>
                <w:w w:val="86"/>
              </w:rPr>
              <w:t>in policy</w:t>
            </w:r>
          </w:p>
        </w:tc>
        <w:tc>
          <w:tcPr>
            <w:tcW w:w="0" w:type="dxa"/>
            <w:vAlign w:val="bottom"/>
          </w:tcPr>
          <w:p>
            <w:pPr>
              <w:spacing w:after="0"/>
              <w:rPr>
                <w:sz w:val="1"/>
                <w:szCs w:val="1"/>
                <w:color w:val="auto"/>
              </w:rPr>
            </w:pPr>
          </w:p>
        </w:tc>
      </w:tr>
      <w:tr>
        <w:trPr>
          <w:trHeight w:val="157"/>
        </w:trPr>
        <w:tc>
          <w:tcPr>
            <w:tcW w:w="3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tcPr>
          <w:p>
            <w:pPr>
              <w:jc w:val="center"/>
              <w:ind w:right="102"/>
              <w:spacing w:after="0" w:line="157" w:lineRule="exact"/>
              <w:rPr>
                <w:sz w:val="20"/>
                <w:szCs w:val="20"/>
                <w:color w:val="auto"/>
              </w:rPr>
            </w:pPr>
            <w:r>
              <w:rPr>
                <w:rFonts w:ascii="Arial" w:cs="Arial" w:eastAsia="Arial" w:hAnsi="Arial"/>
                <w:sz w:val="16"/>
                <w:szCs w:val="16"/>
                <w:b w:val="1"/>
                <w:bCs w:val="1"/>
                <w:color w:val="auto"/>
                <w:w w:val="92"/>
              </w:rPr>
              <w:t>net for</w:t>
            </w:r>
          </w:p>
        </w:tc>
        <w:tc>
          <w:tcPr>
            <w:tcW w:w="160" w:type="dxa"/>
            <w:vAlign w:val="bottom"/>
          </w:tcPr>
          <w:p>
            <w:pPr>
              <w:spacing w:after="0"/>
              <w:rPr>
                <w:sz w:val="13"/>
                <w:szCs w:val="13"/>
                <w:color w:val="auto"/>
              </w:rPr>
            </w:pPr>
          </w:p>
        </w:tc>
        <w:tc>
          <w:tcPr>
            <w:tcW w:w="940" w:type="dxa"/>
            <w:vAlign w:val="bottom"/>
          </w:tcPr>
          <w:p>
            <w:pPr>
              <w:jc w:val="center"/>
              <w:ind w:right="82"/>
              <w:spacing w:after="0" w:line="157" w:lineRule="exact"/>
              <w:rPr>
                <w:sz w:val="20"/>
                <w:szCs w:val="20"/>
                <w:color w:val="auto"/>
              </w:rPr>
            </w:pPr>
            <w:r>
              <w:rPr>
                <w:rFonts w:ascii="Arial" w:cs="Arial" w:eastAsia="Arial" w:hAnsi="Arial"/>
                <w:sz w:val="16"/>
                <w:szCs w:val="16"/>
                <w:b w:val="1"/>
                <w:bCs w:val="1"/>
                <w:color w:val="auto"/>
                <w:w w:val="85"/>
              </w:rPr>
              <w:t>reserves for</w:t>
            </w:r>
          </w:p>
        </w:tc>
        <w:tc>
          <w:tcPr>
            <w:tcW w:w="160" w:type="dxa"/>
            <w:vAlign w:val="bottom"/>
          </w:tcPr>
          <w:p>
            <w:pPr>
              <w:spacing w:after="0"/>
              <w:rPr>
                <w:sz w:val="13"/>
                <w:szCs w:val="13"/>
                <w:color w:val="auto"/>
              </w:rPr>
            </w:pPr>
          </w:p>
        </w:tc>
        <w:tc>
          <w:tcPr>
            <w:tcW w:w="980" w:type="dxa"/>
            <w:vAlign w:val="bottom"/>
          </w:tcPr>
          <w:p>
            <w:pPr>
              <w:jc w:val="center"/>
              <w:ind w:right="82"/>
              <w:spacing w:after="0" w:line="157" w:lineRule="exact"/>
              <w:rPr>
                <w:sz w:val="20"/>
                <w:szCs w:val="20"/>
                <w:color w:val="auto"/>
              </w:rPr>
            </w:pPr>
            <w:r>
              <w:rPr>
                <w:rFonts w:ascii="Arial" w:cs="Arial" w:eastAsia="Arial" w:hAnsi="Arial"/>
                <w:sz w:val="16"/>
                <w:szCs w:val="16"/>
                <w:b w:val="1"/>
                <w:bCs w:val="1"/>
                <w:color w:val="auto"/>
                <w:w w:val="92"/>
              </w:rPr>
              <w:t>net for</w:t>
            </w:r>
          </w:p>
        </w:tc>
        <w:tc>
          <w:tcPr>
            <w:tcW w:w="140" w:type="dxa"/>
            <w:vAlign w:val="bottom"/>
          </w:tcPr>
          <w:p>
            <w:pPr>
              <w:spacing w:after="0"/>
              <w:rPr>
                <w:sz w:val="13"/>
                <w:szCs w:val="13"/>
                <w:color w:val="auto"/>
              </w:rPr>
            </w:pPr>
          </w:p>
        </w:tc>
        <w:tc>
          <w:tcPr>
            <w:tcW w:w="960" w:type="dxa"/>
            <w:vAlign w:val="bottom"/>
          </w:tcPr>
          <w:p>
            <w:pPr>
              <w:jc w:val="center"/>
              <w:ind w:right="62"/>
              <w:spacing w:after="0" w:line="157" w:lineRule="exact"/>
              <w:rPr>
                <w:sz w:val="20"/>
                <w:szCs w:val="20"/>
                <w:color w:val="auto"/>
              </w:rPr>
            </w:pPr>
            <w:r>
              <w:rPr>
                <w:rFonts w:ascii="Arial" w:cs="Arial" w:eastAsia="Arial" w:hAnsi="Arial"/>
                <w:sz w:val="16"/>
                <w:szCs w:val="16"/>
                <w:b w:val="1"/>
                <w:bCs w:val="1"/>
                <w:color w:val="auto"/>
                <w:w w:val="85"/>
              </w:rPr>
              <w:t>reserves for</w:t>
            </w:r>
          </w:p>
        </w:tc>
        <w:tc>
          <w:tcPr>
            <w:tcW w:w="160" w:type="dxa"/>
            <w:vAlign w:val="bottom"/>
          </w:tcPr>
          <w:p>
            <w:pPr>
              <w:spacing w:after="0"/>
              <w:rPr>
                <w:sz w:val="13"/>
                <w:szCs w:val="13"/>
                <w:color w:val="auto"/>
              </w:rPr>
            </w:pPr>
          </w:p>
        </w:tc>
        <w:tc>
          <w:tcPr>
            <w:tcW w:w="980" w:type="dxa"/>
            <w:vAlign w:val="bottom"/>
          </w:tcPr>
          <w:p>
            <w:pPr>
              <w:jc w:val="center"/>
              <w:ind w:right="102"/>
              <w:spacing w:after="0" w:line="157" w:lineRule="exact"/>
              <w:rPr>
                <w:sz w:val="20"/>
                <w:szCs w:val="20"/>
                <w:color w:val="auto"/>
              </w:rPr>
            </w:pPr>
            <w:r>
              <w:rPr>
                <w:rFonts w:ascii="Arial" w:cs="Arial" w:eastAsia="Arial" w:hAnsi="Arial"/>
                <w:sz w:val="16"/>
                <w:szCs w:val="16"/>
                <w:b w:val="1"/>
                <w:bCs w:val="1"/>
                <w:color w:val="auto"/>
                <w:w w:val="88"/>
              </w:rPr>
              <w:t>net for</w:t>
            </w:r>
          </w:p>
        </w:tc>
        <w:tc>
          <w:tcPr>
            <w:tcW w:w="140" w:type="dxa"/>
            <w:vAlign w:val="bottom"/>
          </w:tcPr>
          <w:p>
            <w:pPr>
              <w:spacing w:after="0"/>
              <w:rPr>
                <w:sz w:val="13"/>
                <w:szCs w:val="13"/>
                <w:color w:val="auto"/>
              </w:rPr>
            </w:pPr>
          </w:p>
        </w:tc>
        <w:tc>
          <w:tcPr>
            <w:tcW w:w="920" w:type="dxa"/>
            <w:vAlign w:val="bottom"/>
          </w:tcPr>
          <w:p>
            <w:pPr>
              <w:jc w:val="center"/>
              <w:ind w:right="42"/>
              <w:spacing w:after="0" w:line="157" w:lineRule="exact"/>
              <w:rPr>
                <w:sz w:val="20"/>
                <w:szCs w:val="20"/>
                <w:color w:val="auto"/>
              </w:rPr>
            </w:pPr>
            <w:r>
              <w:rPr>
                <w:rFonts w:ascii="Arial" w:cs="Arial" w:eastAsia="Arial" w:hAnsi="Arial"/>
                <w:sz w:val="16"/>
                <w:szCs w:val="16"/>
                <w:b w:val="1"/>
                <w:bCs w:val="1"/>
                <w:color w:val="auto"/>
                <w:w w:val="87"/>
              </w:rPr>
              <w:t>reserves for</w:t>
            </w:r>
          </w:p>
        </w:tc>
        <w:tc>
          <w:tcPr>
            <w:tcW w:w="0" w:type="dxa"/>
            <w:vAlign w:val="bottom"/>
          </w:tcPr>
          <w:p>
            <w:pPr>
              <w:spacing w:after="0"/>
              <w:rPr>
                <w:sz w:val="1"/>
                <w:szCs w:val="1"/>
                <w:color w:val="auto"/>
              </w:rPr>
            </w:pPr>
          </w:p>
        </w:tc>
      </w:tr>
      <w:tr>
        <w:trPr>
          <w:trHeight w:val="210"/>
        </w:trPr>
        <w:tc>
          <w:tcPr>
            <w:tcW w:w="33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center"/>
              <w:ind w:right="102"/>
              <w:spacing w:after="0"/>
              <w:rPr>
                <w:sz w:val="20"/>
                <w:szCs w:val="20"/>
                <w:color w:val="auto"/>
              </w:rPr>
            </w:pPr>
            <w:r>
              <w:rPr>
                <w:rFonts w:ascii="Arial" w:cs="Arial" w:eastAsia="Arial" w:hAnsi="Arial"/>
                <w:sz w:val="16"/>
                <w:szCs w:val="16"/>
                <w:b w:val="1"/>
                <w:bCs w:val="1"/>
                <w:color w:val="auto"/>
                <w:w w:val="88"/>
              </w:rPr>
              <w:t>derivatives</w:t>
            </w: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center"/>
              <w:ind w:right="82"/>
              <w:spacing w:after="0"/>
              <w:rPr>
                <w:sz w:val="20"/>
                <w:szCs w:val="20"/>
                <w:color w:val="auto"/>
              </w:rPr>
            </w:pPr>
            <w:r>
              <w:rPr>
                <w:rFonts w:ascii="Arial" w:cs="Arial" w:eastAsia="Arial" w:hAnsi="Arial"/>
                <w:sz w:val="16"/>
                <w:szCs w:val="16"/>
                <w:b w:val="1"/>
                <w:bCs w:val="1"/>
                <w:color w:val="auto"/>
                <w:w w:val="88"/>
              </w:rPr>
              <w:t>derivatives</w:t>
            </w: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center"/>
              <w:ind w:right="82"/>
              <w:spacing w:after="0"/>
              <w:rPr>
                <w:sz w:val="20"/>
                <w:szCs w:val="20"/>
                <w:color w:val="auto"/>
              </w:rPr>
            </w:pPr>
            <w:r>
              <w:rPr>
                <w:rFonts w:ascii="Arial" w:cs="Arial" w:eastAsia="Arial" w:hAnsi="Arial"/>
                <w:sz w:val="16"/>
                <w:szCs w:val="16"/>
                <w:b w:val="1"/>
                <w:bCs w:val="1"/>
                <w:color w:val="auto"/>
                <w:w w:val="88"/>
              </w:rPr>
              <w:t>derivatives</w:t>
            </w: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center"/>
              <w:ind w:right="82"/>
              <w:spacing w:after="0"/>
              <w:rPr>
                <w:sz w:val="20"/>
                <w:szCs w:val="20"/>
                <w:color w:val="auto"/>
              </w:rPr>
            </w:pPr>
            <w:r>
              <w:rPr>
                <w:rFonts w:ascii="Arial" w:cs="Arial" w:eastAsia="Arial" w:hAnsi="Arial"/>
                <w:sz w:val="16"/>
                <w:szCs w:val="16"/>
                <w:b w:val="1"/>
                <w:bCs w:val="1"/>
                <w:color w:val="auto"/>
                <w:w w:val="86"/>
              </w:rPr>
              <w:t>derivatives</w:t>
            </w: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center"/>
              <w:ind w:right="102"/>
              <w:spacing w:after="0"/>
              <w:rPr>
                <w:sz w:val="20"/>
                <w:szCs w:val="20"/>
                <w:color w:val="auto"/>
              </w:rPr>
            </w:pPr>
            <w:r>
              <w:rPr>
                <w:rFonts w:ascii="Arial" w:cs="Arial" w:eastAsia="Arial" w:hAnsi="Arial"/>
                <w:sz w:val="16"/>
                <w:szCs w:val="16"/>
                <w:b w:val="1"/>
                <w:bCs w:val="1"/>
                <w:color w:val="auto"/>
                <w:w w:val="86"/>
              </w:rPr>
              <w:t>derivatives</w:t>
            </w: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center"/>
              <w:ind w:right="42"/>
              <w:spacing w:after="0"/>
              <w:rPr>
                <w:sz w:val="20"/>
                <w:szCs w:val="20"/>
                <w:color w:val="auto"/>
              </w:rPr>
            </w:pPr>
            <w:r>
              <w:rPr>
                <w:rFonts w:ascii="Arial" w:cs="Arial" w:eastAsia="Arial" w:hAnsi="Arial"/>
                <w:sz w:val="16"/>
                <w:szCs w:val="16"/>
                <w:b w:val="1"/>
                <w:bCs w:val="1"/>
                <w:color w:val="auto"/>
                <w:w w:val="86"/>
              </w:rPr>
              <w:t>derivatives</w:t>
            </w:r>
          </w:p>
        </w:tc>
        <w:tc>
          <w:tcPr>
            <w:tcW w:w="0" w:type="dxa"/>
            <w:vAlign w:val="bottom"/>
          </w:tcPr>
          <w:p>
            <w:pPr>
              <w:spacing w:after="0"/>
              <w:rPr>
                <w:sz w:val="1"/>
                <w:szCs w:val="1"/>
                <w:color w:val="auto"/>
              </w:rPr>
            </w:pPr>
          </w:p>
        </w:tc>
      </w:tr>
      <w:tr>
        <w:trPr>
          <w:trHeight w:val="223"/>
        </w:trPr>
        <w:tc>
          <w:tcPr>
            <w:tcW w:w="3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80" w:type="dxa"/>
            <w:vAlign w:val="bottom"/>
            <w:gridSpan w:val="3"/>
          </w:tcPr>
          <w:p>
            <w:pPr>
              <w:jc w:val="right"/>
              <w:ind w:right="622"/>
              <w:spacing w:after="0"/>
              <w:rPr>
                <w:sz w:val="20"/>
                <w:szCs w:val="20"/>
                <w:color w:val="auto"/>
              </w:rPr>
            </w:pPr>
            <w:r>
              <w:rPr>
                <w:rFonts w:ascii="Arial" w:cs="Arial" w:eastAsia="Arial" w:hAnsi="Arial"/>
                <w:sz w:val="16"/>
                <w:szCs w:val="16"/>
                <w:b w:val="1"/>
                <w:bCs w:val="1"/>
                <w:color w:val="auto"/>
              </w:rPr>
              <w:t>(In millions)</w:t>
            </w: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7"/>
        </w:trPr>
        <w:tc>
          <w:tcPr>
            <w:tcW w:w="3380" w:type="dxa"/>
            <w:vAlign w:val="bottom"/>
          </w:tcPr>
          <w:p>
            <w:pPr>
              <w:ind w:left="20"/>
              <w:spacing w:after="0"/>
              <w:rPr>
                <w:sz w:val="20"/>
                <w:szCs w:val="20"/>
                <w:color w:val="auto"/>
              </w:rPr>
            </w:pPr>
            <w:r>
              <w:rPr>
                <w:rFonts w:ascii="Arial" w:cs="Arial" w:eastAsia="Arial" w:hAnsi="Arial"/>
                <w:sz w:val="16"/>
                <w:szCs w:val="16"/>
                <w:b w:val="1"/>
                <w:bCs w:val="1"/>
                <w:color w:val="auto"/>
                <w:w w:val="92"/>
              </w:rPr>
              <w:t>Derivatives designated as hedging instruments</w:t>
            </w: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5"/>
        </w:trPr>
        <w:tc>
          <w:tcPr>
            <w:tcW w:w="3380" w:type="dxa"/>
            <w:vAlign w:val="bottom"/>
          </w:tcPr>
          <w:p>
            <w:pPr>
              <w:ind w:left="20"/>
              <w:spacing w:after="0"/>
              <w:rPr>
                <w:sz w:val="20"/>
                <w:szCs w:val="20"/>
                <w:color w:val="auto"/>
              </w:rPr>
            </w:pPr>
            <w:r>
              <w:rPr>
                <w:rFonts w:ascii="Arial" w:cs="Arial" w:eastAsia="Arial" w:hAnsi="Arial"/>
                <w:sz w:val="16"/>
                <w:szCs w:val="16"/>
                <w:color w:val="auto"/>
              </w:rPr>
              <w:t>Interest rate swaps</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2"/>
              <w:spacing w:after="0"/>
              <w:rPr>
                <w:sz w:val="20"/>
                <w:szCs w:val="20"/>
                <w:color w:val="auto"/>
              </w:rPr>
            </w:pPr>
            <w:r>
              <w:rPr>
                <w:rFonts w:ascii="Arial" w:cs="Arial" w:eastAsia="Arial" w:hAnsi="Arial"/>
                <w:sz w:val="16"/>
                <w:szCs w:val="16"/>
                <w:color w:val="auto"/>
              </w:rPr>
              <w:t>11</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2"/>
        </w:trPr>
        <w:tc>
          <w:tcPr>
            <w:tcW w:w="3380" w:type="dxa"/>
            <w:vAlign w:val="bottom"/>
          </w:tcPr>
          <w:p>
            <w:pPr>
              <w:ind w:left="20"/>
              <w:spacing w:after="0"/>
              <w:rPr>
                <w:sz w:val="20"/>
                <w:szCs w:val="20"/>
                <w:color w:val="auto"/>
              </w:rPr>
            </w:pPr>
            <w:r>
              <w:rPr>
                <w:rFonts w:ascii="Arial" w:cs="Arial" w:eastAsia="Arial" w:hAnsi="Arial"/>
                <w:sz w:val="16"/>
                <w:szCs w:val="16"/>
                <w:color w:val="auto"/>
              </w:rPr>
              <w:t>Foreign currency swaps</w:t>
            </w:r>
          </w:p>
        </w:tc>
        <w:tc>
          <w:tcPr>
            <w:tcW w:w="1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1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7"/>
        </w:trPr>
        <w:tc>
          <w:tcPr>
            <w:tcW w:w="3380" w:type="dxa"/>
            <w:vAlign w:val="bottom"/>
          </w:tcPr>
          <w:p>
            <w:pPr>
              <w:ind w:left="20"/>
              <w:spacing w:after="0" w:line="167" w:lineRule="exact"/>
              <w:rPr>
                <w:sz w:val="20"/>
                <w:szCs w:val="20"/>
                <w:color w:val="auto"/>
              </w:rPr>
            </w:pPr>
            <w:r>
              <w:rPr>
                <w:rFonts w:ascii="Arial" w:cs="Arial" w:eastAsia="Arial" w:hAnsi="Arial"/>
                <w:sz w:val="16"/>
                <w:szCs w:val="16"/>
                <w:b w:val="1"/>
                <w:bCs w:val="1"/>
                <w:color w:val="auto"/>
              </w:rPr>
              <w:t>Total derivatives designated as hedging</w:t>
            </w:r>
          </w:p>
        </w:tc>
        <w:tc>
          <w:tcPr>
            <w:tcW w:w="140" w:type="dxa"/>
            <w:vAlign w:val="bottom"/>
          </w:tcPr>
          <w:p>
            <w:pPr>
              <w:spacing w:after="0"/>
              <w:rPr>
                <w:sz w:val="14"/>
                <w:szCs w:val="14"/>
                <w:color w:val="auto"/>
              </w:rPr>
            </w:pPr>
          </w:p>
        </w:tc>
        <w:tc>
          <w:tcPr>
            <w:tcW w:w="960" w:type="dxa"/>
            <w:vAlign w:val="bottom"/>
            <w:vMerge w:val="restart"/>
          </w:tcPr>
          <w:p>
            <w:pPr>
              <w:jc w:val="right"/>
              <w:spacing w:after="0"/>
              <w:rPr>
                <w:sz w:val="20"/>
                <w:szCs w:val="20"/>
                <w:color w:val="auto"/>
              </w:rPr>
            </w:pPr>
            <w:r>
              <w:rPr>
                <w:rFonts w:ascii="Arial" w:cs="Arial" w:eastAsia="Arial" w:hAnsi="Arial"/>
                <w:sz w:val="16"/>
                <w:szCs w:val="16"/>
                <w:color w:val="auto"/>
              </w:rPr>
              <w:t>(3)</w:t>
            </w:r>
          </w:p>
        </w:tc>
        <w:tc>
          <w:tcPr>
            <w:tcW w:w="160" w:type="dxa"/>
            <w:vAlign w:val="bottom"/>
          </w:tcPr>
          <w:p>
            <w:pPr>
              <w:spacing w:after="0"/>
              <w:rPr>
                <w:sz w:val="14"/>
                <w:szCs w:val="14"/>
                <w:color w:val="auto"/>
              </w:rPr>
            </w:pPr>
          </w:p>
        </w:tc>
        <w:tc>
          <w:tcPr>
            <w:tcW w:w="940" w:type="dxa"/>
            <w:vAlign w:val="bottom"/>
            <w:vMerge w:val="restart"/>
          </w:tcPr>
          <w:p>
            <w:pPr>
              <w:jc w:val="right"/>
              <w:ind w:right="2"/>
              <w:spacing w:after="0"/>
              <w:rPr>
                <w:sz w:val="20"/>
                <w:szCs w:val="20"/>
                <w:color w:val="auto"/>
              </w:rPr>
            </w:pPr>
            <w:r>
              <w:rPr>
                <w:rFonts w:ascii="Arial" w:cs="Arial" w:eastAsia="Arial" w:hAnsi="Arial"/>
                <w:sz w:val="16"/>
                <w:szCs w:val="16"/>
                <w:color w:val="auto"/>
              </w:rPr>
              <w:t>11</w:t>
            </w:r>
          </w:p>
        </w:tc>
        <w:tc>
          <w:tcPr>
            <w:tcW w:w="160" w:type="dxa"/>
            <w:vAlign w:val="bottom"/>
          </w:tcPr>
          <w:p>
            <w:pPr>
              <w:spacing w:after="0"/>
              <w:rPr>
                <w:sz w:val="14"/>
                <w:szCs w:val="14"/>
                <w:color w:val="auto"/>
              </w:rPr>
            </w:pPr>
          </w:p>
        </w:tc>
        <w:tc>
          <w:tcPr>
            <w:tcW w:w="980" w:type="dxa"/>
            <w:vAlign w:val="bottom"/>
            <w:vMerge w:val="restart"/>
          </w:tcPr>
          <w:p>
            <w:pPr>
              <w:jc w:val="right"/>
              <w:ind w:right="42"/>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960" w:type="dxa"/>
            <w:vAlign w:val="bottom"/>
            <w:vMerge w:val="restart"/>
          </w:tcPr>
          <w:p>
            <w:pPr>
              <w:jc w:val="right"/>
              <w:ind w:right="22"/>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980" w:type="dxa"/>
            <w:vAlign w:val="bottom"/>
            <w:vMerge w:val="restart"/>
          </w:tcPr>
          <w:p>
            <w:pPr>
              <w:jc w:val="right"/>
              <w:ind w:right="42"/>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3380" w:type="dxa"/>
            <w:vAlign w:val="bottom"/>
          </w:tcPr>
          <w:p>
            <w:pPr>
              <w:ind w:left="20"/>
              <w:spacing w:after="0"/>
              <w:rPr>
                <w:sz w:val="20"/>
                <w:szCs w:val="20"/>
                <w:color w:val="auto"/>
              </w:rPr>
            </w:pPr>
            <w:r>
              <w:rPr>
                <w:rFonts w:ascii="Arial" w:cs="Arial" w:eastAsia="Arial" w:hAnsi="Arial"/>
                <w:sz w:val="16"/>
                <w:szCs w:val="16"/>
                <w:b w:val="1"/>
                <w:bCs w:val="1"/>
                <w:color w:val="auto"/>
              </w:rPr>
              <w:t>instruments</w:t>
            </w: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vMerge w:val="continue"/>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vMerge w:val="continue"/>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vMerge w:val="continue"/>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vMerge w:val="continue"/>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vMerge w:val="continue"/>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17"/>
        </w:trPr>
        <w:tc>
          <w:tcPr>
            <w:tcW w:w="3380" w:type="dxa"/>
            <w:vAlign w:val="bottom"/>
          </w:tcPr>
          <w:p>
            <w:pPr>
              <w:ind w:left="20"/>
              <w:spacing w:after="0"/>
              <w:rPr>
                <w:sz w:val="20"/>
                <w:szCs w:val="20"/>
                <w:color w:val="auto"/>
              </w:rPr>
            </w:pPr>
            <w:r>
              <w:rPr>
                <w:rFonts w:ascii="Arial" w:cs="Arial" w:eastAsia="Arial" w:hAnsi="Arial"/>
                <w:sz w:val="16"/>
                <w:szCs w:val="16"/>
                <w:b w:val="1"/>
                <w:bCs w:val="1"/>
                <w:color w:val="auto"/>
              </w:rPr>
              <w:t>Derivatives not designated as hedging</w:t>
            </w: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3380" w:type="dxa"/>
            <w:vAlign w:val="bottom"/>
          </w:tcPr>
          <w:p>
            <w:pPr>
              <w:ind w:left="20"/>
              <w:spacing w:after="0"/>
              <w:rPr>
                <w:sz w:val="20"/>
                <w:szCs w:val="20"/>
                <w:color w:val="auto"/>
              </w:rPr>
            </w:pPr>
            <w:r>
              <w:rPr>
                <w:rFonts w:ascii="Arial" w:cs="Arial" w:eastAsia="Arial" w:hAnsi="Arial"/>
                <w:sz w:val="16"/>
                <w:szCs w:val="16"/>
                <w:b w:val="1"/>
                <w:bCs w:val="1"/>
                <w:color w:val="auto"/>
              </w:rPr>
              <w:t>instruments</w:t>
            </w: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3380" w:type="dxa"/>
            <w:vAlign w:val="bottom"/>
          </w:tcPr>
          <w:p>
            <w:pPr>
              <w:ind w:left="20"/>
              <w:spacing w:after="0"/>
              <w:rPr>
                <w:sz w:val="20"/>
                <w:szCs w:val="20"/>
                <w:color w:val="auto"/>
              </w:rPr>
            </w:pPr>
            <w:r>
              <w:rPr>
                <w:rFonts w:ascii="Arial" w:cs="Arial" w:eastAsia="Arial" w:hAnsi="Arial"/>
                <w:sz w:val="16"/>
                <w:szCs w:val="16"/>
                <w:color w:val="auto"/>
              </w:rPr>
              <w:t>Equity options</w:t>
            </w:r>
          </w:p>
        </w:tc>
        <w:tc>
          <w:tcPr>
            <w:tcW w:w="140" w:type="dxa"/>
            <w:vAlign w:val="bottom"/>
          </w:tcPr>
          <w:p>
            <w:pPr>
              <w:spacing w:after="0"/>
              <w:rPr>
                <w:sz w:val="20"/>
                <w:szCs w:val="20"/>
                <w:color w:val="auto"/>
              </w:rPr>
            </w:pPr>
          </w:p>
        </w:tc>
        <w:tc>
          <w:tcPr>
            <w:tcW w:w="960" w:type="dxa"/>
            <w:vAlign w:val="bottom"/>
          </w:tcPr>
          <w:p>
            <w:pPr>
              <w:jc w:val="right"/>
              <w:ind w:right="22"/>
              <w:spacing w:after="0"/>
              <w:rPr>
                <w:sz w:val="20"/>
                <w:szCs w:val="20"/>
                <w:color w:val="auto"/>
              </w:rPr>
            </w:pPr>
            <w:r>
              <w:rPr>
                <w:rFonts w:ascii="Arial" w:cs="Arial" w:eastAsia="Arial" w:hAnsi="Arial"/>
                <w:sz w:val="16"/>
                <w:szCs w:val="16"/>
                <w:color w:val="auto"/>
              </w:rPr>
              <w:t>177</w:t>
            </w:r>
          </w:p>
        </w:tc>
        <w:tc>
          <w:tcPr>
            <w:tcW w:w="160" w:type="dxa"/>
            <w:vAlign w:val="bottom"/>
          </w:tcPr>
          <w:p>
            <w:pPr>
              <w:spacing w:after="0"/>
              <w:rPr>
                <w:sz w:val="20"/>
                <w:szCs w:val="20"/>
                <w:color w:val="auto"/>
              </w:rPr>
            </w:pPr>
          </w:p>
        </w:tc>
        <w:tc>
          <w:tcPr>
            <w:tcW w:w="94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980" w:type="dxa"/>
            <w:vAlign w:val="bottom"/>
          </w:tcPr>
          <w:p>
            <w:pPr>
              <w:jc w:val="right"/>
              <w:ind w:right="42"/>
              <w:spacing w:after="0"/>
              <w:rPr>
                <w:sz w:val="20"/>
                <w:szCs w:val="20"/>
                <w:color w:val="auto"/>
              </w:rPr>
            </w:pPr>
            <w:r>
              <w:rPr>
                <w:rFonts w:ascii="Arial" w:cs="Arial" w:eastAsia="Arial" w:hAnsi="Arial"/>
                <w:sz w:val="16"/>
                <w:szCs w:val="16"/>
                <w:color w:val="auto"/>
              </w:rPr>
              <w:t>145</w:t>
            </w:r>
          </w:p>
        </w:tc>
        <w:tc>
          <w:tcPr>
            <w:tcW w:w="140" w:type="dxa"/>
            <w:vAlign w:val="bottom"/>
          </w:tcPr>
          <w:p>
            <w:pPr>
              <w:spacing w:after="0"/>
              <w:rPr>
                <w:sz w:val="20"/>
                <w:szCs w:val="20"/>
                <w:color w:val="auto"/>
              </w:rPr>
            </w:pPr>
          </w:p>
        </w:tc>
        <w:tc>
          <w:tcPr>
            <w:tcW w:w="96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980" w:type="dxa"/>
            <w:vAlign w:val="bottom"/>
          </w:tcPr>
          <w:p>
            <w:pPr>
              <w:jc w:val="right"/>
              <w:ind w:right="42"/>
              <w:spacing w:after="0"/>
              <w:rPr>
                <w:sz w:val="20"/>
                <w:szCs w:val="20"/>
                <w:color w:val="auto"/>
              </w:rPr>
            </w:pPr>
            <w:r>
              <w:rPr>
                <w:rFonts w:ascii="Arial" w:cs="Arial" w:eastAsia="Arial" w:hAnsi="Arial"/>
                <w:sz w:val="16"/>
                <w:szCs w:val="16"/>
                <w:color w:val="auto"/>
              </w:rPr>
              <w:t>92</w:t>
            </w:r>
          </w:p>
        </w:tc>
        <w:tc>
          <w:tcPr>
            <w:tcW w:w="1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5"/>
        </w:trPr>
        <w:tc>
          <w:tcPr>
            <w:tcW w:w="3380" w:type="dxa"/>
            <w:vAlign w:val="bottom"/>
          </w:tcPr>
          <w:p>
            <w:pPr>
              <w:ind w:left="20"/>
              <w:spacing w:after="0"/>
              <w:rPr>
                <w:sz w:val="20"/>
                <w:szCs w:val="20"/>
                <w:color w:val="auto"/>
              </w:rPr>
            </w:pPr>
            <w:r>
              <w:rPr>
                <w:rFonts w:ascii="Arial" w:cs="Arial" w:eastAsia="Arial" w:hAnsi="Arial"/>
                <w:sz w:val="16"/>
                <w:szCs w:val="16"/>
                <w:color w:val="auto"/>
              </w:rPr>
              <w:t>Interest rate swaps</w:t>
            </w:r>
          </w:p>
        </w:tc>
        <w:tc>
          <w:tcPr>
            <w:tcW w:w="140" w:type="dxa"/>
            <w:vAlign w:val="bottom"/>
          </w:tcPr>
          <w:p>
            <w:pPr>
              <w:spacing w:after="0"/>
              <w:rPr>
                <w:sz w:val="20"/>
                <w:szCs w:val="20"/>
                <w:color w:val="auto"/>
              </w:rPr>
            </w:pPr>
          </w:p>
        </w:tc>
        <w:tc>
          <w:tcPr>
            <w:tcW w:w="960" w:type="dxa"/>
            <w:vAlign w:val="bottom"/>
          </w:tcPr>
          <w:p>
            <w:pPr>
              <w:jc w:val="right"/>
              <w:ind w:right="22"/>
              <w:spacing w:after="0"/>
              <w:rPr>
                <w:sz w:val="20"/>
                <w:szCs w:val="20"/>
                <w:color w:val="auto"/>
              </w:rPr>
            </w:pPr>
            <w:r>
              <w:rPr>
                <w:rFonts w:ascii="Arial" w:cs="Arial" w:eastAsia="Arial" w:hAnsi="Arial"/>
                <w:sz w:val="16"/>
                <w:szCs w:val="16"/>
                <w:color w:val="auto"/>
              </w:rPr>
              <w:t>60</w:t>
            </w:r>
          </w:p>
        </w:tc>
        <w:tc>
          <w:tcPr>
            <w:tcW w:w="160" w:type="dxa"/>
            <w:vAlign w:val="bottom"/>
          </w:tcPr>
          <w:p>
            <w:pPr>
              <w:spacing w:after="0"/>
              <w:rPr>
                <w:sz w:val="20"/>
                <w:szCs w:val="20"/>
                <w:color w:val="auto"/>
              </w:rPr>
            </w:pPr>
          </w:p>
        </w:tc>
        <w:tc>
          <w:tcPr>
            <w:tcW w:w="94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(103)</w:t>
            </w:r>
          </w:p>
        </w:tc>
        <w:tc>
          <w:tcPr>
            <w:tcW w:w="140" w:type="dxa"/>
            <w:vAlign w:val="bottom"/>
          </w:tcPr>
          <w:p>
            <w:pPr>
              <w:spacing w:after="0"/>
              <w:rPr>
                <w:sz w:val="20"/>
                <w:szCs w:val="20"/>
                <w:color w:val="auto"/>
              </w:rPr>
            </w:pPr>
          </w:p>
        </w:tc>
        <w:tc>
          <w:tcPr>
            <w:tcW w:w="96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980" w:type="dxa"/>
            <w:vAlign w:val="bottom"/>
          </w:tcPr>
          <w:p>
            <w:pPr>
              <w:jc w:val="right"/>
              <w:ind w:right="42"/>
              <w:spacing w:after="0"/>
              <w:rPr>
                <w:sz w:val="20"/>
                <w:szCs w:val="20"/>
                <w:color w:val="auto"/>
              </w:rPr>
            </w:pPr>
            <w:r>
              <w:rPr>
                <w:rFonts w:ascii="Arial" w:cs="Arial" w:eastAsia="Arial" w:hAnsi="Arial"/>
                <w:sz w:val="16"/>
                <w:szCs w:val="16"/>
                <w:color w:val="auto"/>
              </w:rPr>
              <w:t>48</w:t>
            </w:r>
          </w:p>
        </w:tc>
        <w:tc>
          <w:tcPr>
            <w:tcW w:w="1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5"/>
        </w:trPr>
        <w:tc>
          <w:tcPr>
            <w:tcW w:w="3380" w:type="dxa"/>
            <w:vAlign w:val="bottom"/>
          </w:tcPr>
          <w:p>
            <w:pPr>
              <w:spacing w:after="0"/>
              <w:rPr>
                <w:sz w:val="20"/>
                <w:szCs w:val="20"/>
                <w:color w:val="auto"/>
              </w:rPr>
            </w:pPr>
            <w:r>
              <w:rPr>
                <w:rFonts w:ascii="Arial" w:cs="Arial" w:eastAsia="Arial" w:hAnsi="Arial"/>
                <w:sz w:val="16"/>
                <w:szCs w:val="16"/>
                <w:color w:val="auto"/>
              </w:rPr>
              <w:t>Foreign currency swaps</w:t>
            </w:r>
          </w:p>
        </w:tc>
        <w:tc>
          <w:tcPr>
            <w:tcW w:w="1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(6)</w:t>
            </w:r>
          </w:p>
        </w:tc>
        <w:tc>
          <w:tcPr>
            <w:tcW w:w="160" w:type="dxa"/>
            <w:vAlign w:val="bottom"/>
          </w:tcPr>
          <w:p>
            <w:pPr>
              <w:spacing w:after="0"/>
              <w:rPr>
                <w:sz w:val="20"/>
                <w:szCs w:val="20"/>
                <w:color w:val="auto"/>
              </w:rPr>
            </w:pPr>
          </w:p>
        </w:tc>
        <w:tc>
          <w:tcPr>
            <w:tcW w:w="94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98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6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98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5"/>
        </w:trPr>
        <w:tc>
          <w:tcPr>
            <w:tcW w:w="3380" w:type="dxa"/>
            <w:vAlign w:val="bottom"/>
          </w:tcPr>
          <w:p>
            <w:pPr>
              <w:ind w:left="20"/>
              <w:spacing w:after="0"/>
              <w:rPr>
                <w:sz w:val="20"/>
                <w:szCs w:val="20"/>
                <w:color w:val="auto"/>
              </w:rPr>
            </w:pPr>
            <w:r>
              <w:rPr>
                <w:rFonts w:ascii="Arial" w:cs="Arial" w:eastAsia="Arial" w:hAnsi="Arial"/>
                <w:sz w:val="16"/>
                <w:szCs w:val="16"/>
                <w:color w:val="auto"/>
              </w:rPr>
              <w:t>Futures contracts</w:t>
            </w:r>
          </w:p>
        </w:tc>
        <w:tc>
          <w:tcPr>
            <w:tcW w:w="140" w:type="dxa"/>
            <w:vAlign w:val="bottom"/>
          </w:tcPr>
          <w:p>
            <w:pPr>
              <w:spacing w:after="0"/>
              <w:rPr>
                <w:sz w:val="20"/>
                <w:szCs w:val="20"/>
                <w:color w:val="auto"/>
              </w:rPr>
            </w:pPr>
          </w:p>
        </w:tc>
        <w:tc>
          <w:tcPr>
            <w:tcW w:w="960" w:type="dxa"/>
            <w:vAlign w:val="bottom"/>
          </w:tcPr>
          <w:p>
            <w:pPr>
              <w:jc w:val="right"/>
              <w:ind w:right="22"/>
              <w:spacing w:after="0"/>
              <w:rPr>
                <w:sz w:val="20"/>
                <w:szCs w:val="20"/>
                <w:color w:val="auto"/>
              </w:rPr>
            </w:pPr>
            <w:r>
              <w:rPr>
                <w:rFonts w:ascii="Arial" w:cs="Arial" w:eastAsia="Arial" w:hAnsi="Arial"/>
                <w:sz w:val="16"/>
                <w:szCs w:val="16"/>
                <w:color w:val="auto"/>
              </w:rPr>
              <w:t>32</w:t>
            </w:r>
          </w:p>
        </w:tc>
        <w:tc>
          <w:tcPr>
            <w:tcW w:w="160" w:type="dxa"/>
            <w:vAlign w:val="bottom"/>
          </w:tcPr>
          <w:p>
            <w:pPr>
              <w:spacing w:after="0"/>
              <w:rPr>
                <w:sz w:val="20"/>
                <w:szCs w:val="20"/>
                <w:color w:val="auto"/>
              </w:rPr>
            </w:pPr>
          </w:p>
        </w:tc>
        <w:tc>
          <w:tcPr>
            <w:tcW w:w="94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980" w:type="dxa"/>
            <w:vAlign w:val="bottom"/>
          </w:tcPr>
          <w:p>
            <w:pPr>
              <w:jc w:val="right"/>
              <w:ind w:right="42"/>
              <w:spacing w:after="0"/>
              <w:rPr>
                <w:sz w:val="20"/>
                <w:szCs w:val="20"/>
                <w:color w:val="auto"/>
              </w:rPr>
            </w:pPr>
            <w:r>
              <w:rPr>
                <w:rFonts w:ascii="Arial" w:cs="Arial" w:eastAsia="Arial" w:hAnsi="Arial"/>
                <w:sz w:val="16"/>
                <w:szCs w:val="16"/>
                <w:color w:val="auto"/>
              </w:rPr>
              <w:t>18</w:t>
            </w:r>
          </w:p>
        </w:tc>
        <w:tc>
          <w:tcPr>
            <w:tcW w:w="140" w:type="dxa"/>
            <w:vAlign w:val="bottom"/>
          </w:tcPr>
          <w:p>
            <w:pPr>
              <w:spacing w:after="0"/>
              <w:rPr>
                <w:sz w:val="20"/>
                <w:szCs w:val="20"/>
                <w:color w:val="auto"/>
              </w:rPr>
            </w:pPr>
          </w:p>
        </w:tc>
        <w:tc>
          <w:tcPr>
            <w:tcW w:w="96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980" w:type="dxa"/>
            <w:vAlign w:val="bottom"/>
          </w:tcPr>
          <w:p>
            <w:pPr>
              <w:jc w:val="right"/>
              <w:ind w:right="42"/>
              <w:spacing w:after="0"/>
              <w:rPr>
                <w:sz w:val="20"/>
                <w:szCs w:val="20"/>
                <w:color w:val="auto"/>
              </w:rPr>
            </w:pPr>
            <w:r>
              <w:rPr>
                <w:rFonts w:ascii="Arial" w:cs="Arial" w:eastAsia="Arial" w:hAnsi="Arial"/>
                <w:sz w:val="16"/>
                <w:szCs w:val="16"/>
                <w:color w:val="auto"/>
              </w:rPr>
              <w:t>9</w:t>
            </w:r>
          </w:p>
        </w:tc>
        <w:tc>
          <w:tcPr>
            <w:tcW w:w="1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5"/>
        </w:trPr>
        <w:tc>
          <w:tcPr>
            <w:tcW w:w="3380" w:type="dxa"/>
            <w:vAlign w:val="bottom"/>
          </w:tcPr>
          <w:p>
            <w:pPr>
              <w:ind w:left="20"/>
              <w:spacing w:after="0"/>
              <w:rPr>
                <w:sz w:val="20"/>
                <w:szCs w:val="20"/>
                <w:color w:val="auto"/>
              </w:rPr>
            </w:pPr>
            <w:r>
              <w:rPr>
                <w:rFonts w:ascii="Arial" w:cs="Arial" w:eastAsia="Arial" w:hAnsi="Arial"/>
                <w:sz w:val="16"/>
                <w:szCs w:val="16"/>
                <w:color w:val="auto"/>
              </w:rPr>
              <w:t>Other derivative investments</w:t>
            </w:r>
          </w:p>
        </w:tc>
        <w:tc>
          <w:tcPr>
            <w:tcW w:w="1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(9)</w:t>
            </w:r>
          </w:p>
        </w:tc>
        <w:tc>
          <w:tcPr>
            <w:tcW w:w="160" w:type="dxa"/>
            <w:vAlign w:val="bottom"/>
          </w:tcPr>
          <w:p>
            <w:pPr>
              <w:spacing w:after="0"/>
              <w:rPr>
                <w:sz w:val="20"/>
                <w:szCs w:val="20"/>
                <w:color w:val="auto"/>
              </w:rPr>
            </w:pPr>
          </w:p>
        </w:tc>
        <w:tc>
          <w:tcPr>
            <w:tcW w:w="94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980" w:type="dxa"/>
            <w:vAlign w:val="bottom"/>
          </w:tcPr>
          <w:p>
            <w:pPr>
              <w:jc w:val="right"/>
              <w:ind w:right="42"/>
              <w:spacing w:after="0"/>
              <w:rPr>
                <w:sz w:val="20"/>
                <w:szCs w:val="20"/>
                <w:color w:val="auto"/>
              </w:rPr>
            </w:pPr>
            <w:r>
              <w:rPr>
                <w:rFonts w:ascii="Arial" w:cs="Arial" w:eastAsia="Arial" w:hAnsi="Arial"/>
                <w:sz w:val="16"/>
                <w:szCs w:val="16"/>
                <w:color w:val="auto"/>
              </w:rPr>
              <w:t>10</w:t>
            </w:r>
          </w:p>
        </w:tc>
        <w:tc>
          <w:tcPr>
            <w:tcW w:w="140" w:type="dxa"/>
            <w:vAlign w:val="bottom"/>
          </w:tcPr>
          <w:p>
            <w:pPr>
              <w:spacing w:after="0"/>
              <w:rPr>
                <w:sz w:val="20"/>
                <w:szCs w:val="20"/>
                <w:color w:val="auto"/>
              </w:rPr>
            </w:pPr>
          </w:p>
        </w:tc>
        <w:tc>
          <w:tcPr>
            <w:tcW w:w="96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w:t>
            </w:r>
          </w:p>
        </w:tc>
        <w:tc>
          <w:tcPr>
            <w:tcW w:w="1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5"/>
        </w:trPr>
        <w:tc>
          <w:tcPr>
            <w:tcW w:w="3380" w:type="dxa"/>
            <w:vAlign w:val="bottom"/>
          </w:tcPr>
          <w:p>
            <w:pPr>
              <w:ind w:left="20"/>
              <w:spacing w:after="0"/>
              <w:rPr>
                <w:sz w:val="20"/>
                <w:szCs w:val="20"/>
                <w:color w:val="auto"/>
              </w:rPr>
            </w:pPr>
            <w:r>
              <w:rPr>
                <w:rFonts w:ascii="Arial" w:cs="Arial" w:eastAsia="Arial" w:hAnsi="Arial"/>
                <w:sz w:val="16"/>
                <w:szCs w:val="16"/>
                <w:color w:val="auto"/>
              </w:rPr>
              <w:t>Other embedded derivatives</w:t>
            </w:r>
          </w:p>
        </w:tc>
        <w:tc>
          <w:tcPr>
            <w:tcW w:w="140" w:type="dxa"/>
            <w:vAlign w:val="bottom"/>
          </w:tcPr>
          <w:p>
            <w:pPr>
              <w:spacing w:after="0"/>
              <w:rPr>
                <w:sz w:val="20"/>
                <w:szCs w:val="20"/>
                <w:color w:val="auto"/>
              </w:rPr>
            </w:pPr>
          </w:p>
        </w:tc>
        <w:tc>
          <w:tcPr>
            <w:tcW w:w="960" w:type="dxa"/>
            <w:vAlign w:val="bottom"/>
          </w:tcPr>
          <w:p>
            <w:pPr>
              <w:jc w:val="right"/>
              <w:ind w:right="22"/>
              <w:spacing w:after="0"/>
              <w:rPr>
                <w:sz w:val="20"/>
                <w:szCs w:val="20"/>
                <w:color w:val="auto"/>
              </w:rPr>
            </w:pPr>
            <w:r>
              <w:rPr>
                <w:rFonts w:ascii="Arial" w:cs="Arial" w:eastAsia="Arial" w:hAnsi="Arial"/>
                <w:sz w:val="16"/>
                <w:szCs w:val="16"/>
                <w:color w:val="auto"/>
              </w:rPr>
              <w:t>9</w:t>
            </w:r>
          </w:p>
        </w:tc>
        <w:tc>
          <w:tcPr>
            <w:tcW w:w="160" w:type="dxa"/>
            <w:vAlign w:val="bottom"/>
          </w:tcPr>
          <w:p>
            <w:pPr>
              <w:spacing w:after="0"/>
              <w:rPr>
                <w:sz w:val="20"/>
                <w:szCs w:val="20"/>
                <w:color w:val="auto"/>
              </w:rPr>
            </w:pPr>
          </w:p>
        </w:tc>
        <w:tc>
          <w:tcPr>
            <w:tcW w:w="94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980" w:type="dxa"/>
            <w:vAlign w:val="bottom"/>
          </w:tcPr>
          <w:p>
            <w:pPr>
              <w:jc w:val="right"/>
              <w:ind w:right="42"/>
              <w:spacing w:after="0"/>
              <w:rPr>
                <w:sz w:val="20"/>
                <w:szCs w:val="20"/>
                <w:color w:val="auto"/>
              </w:rPr>
            </w:pPr>
            <w:r>
              <w:rPr>
                <w:rFonts w:ascii="Arial" w:cs="Arial" w:eastAsia="Arial" w:hAnsi="Arial"/>
                <w:sz w:val="16"/>
                <w:szCs w:val="16"/>
                <w:color w:val="auto"/>
              </w:rPr>
              <w:t>4</w:t>
            </w:r>
          </w:p>
        </w:tc>
        <w:tc>
          <w:tcPr>
            <w:tcW w:w="140" w:type="dxa"/>
            <w:vAlign w:val="bottom"/>
          </w:tcPr>
          <w:p>
            <w:pPr>
              <w:spacing w:after="0"/>
              <w:rPr>
                <w:sz w:val="20"/>
                <w:szCs w:val="20"/>
                <w:color w:val="auto"/>
              </w:rPr>
            </w:pPr>
          </w:p>
        </w:tc>
        <w:tc>
          <w:tcPr>
            <w:tcW w:w="96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980" w:type="dxa"/>
            <w:vAlign w:val="bottom"/>
          </w:tcPr>
          <w:p>
            <w:pPr>
              <w:jc w:val="right"/>
              <w:ind w:right="42"/>
              <w:spacing w:after="0"/>
              <w:rPr>
                <w:sz w:val="20"/>
                <w:szCs w:val="20"/>
                <w:color w:val="auto"/>
              </w:rPr>
            </w:pPr>
            <w:r>
              <w:rPr>
                <w:rFonts w:ascii="Arial" w:cs="Arial" w:eastAsia="Arial" w:hAnsi="Arial"/>
                <w:sz w:val="16"/>
                <w:szCs w:val="16"/>
                <w:color w:val="auto"/>
              </w:rPr>
              <w:t>5</w:t>
            </w:r>
          </w:p>
        </w:tc>
        <w:tc>
          <w:tcPr>
            <w:tcW w:w="1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5"/>
        </w:trPr>
        <w:tc>
          <w:tcPr>
            <w:tcW w:w="3380" w:type="dxa"/>
            <w:vAlign w:val="bottom"/>
          </w:tcPr>
          <w:p>
            <w:pPr>
              <w:ind w:left="20"/>
              <w:spacing w:after="0"/>
              <w:rPr>
                <w:sz w:val="20"/>
                <w:szCs w:val="20"/>
                <w:color w:val="auto"/>
              </w:rPr>
            </w:pPr>
            <w:r>
              <w:rPr>
                <w:rFonts w:ascii="Arial" w:cs="Arial" w:eastAsia="Arial" w:hAnsi="Arial"/>
                <w:sz w:val="16"/>
                <w:szCs w:val="16"/>
                <w:color w:val="auto"/>
              </w:rPr>
              <w:t>Indexed annuities/IUL embedded derivatives</w:t>
            </w:r>
          </w:p>
        </w:tc>
        <w:tc>
          <w:tcPr>
            <w:tcW w:w="140" w:type="dxa"/>
            <w:vAlign w:val="bottom"/>
          </w:tcPr>
          <w:p>
            <w:pPr>
              <w:spacing w:after="0"/>
              <w:rPr>
                <w:sz w:val="20"/>
                <w:szCs w:val="20"/>
                <w:color w:val="auto"/>
              </w:rPr>
            </w:pPr>
          </w:p>
        </w:tc>
        <w:tc>
          <w:tcPr>
            <w:tcW w:w="96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940" w:type="dxa"/>
            <w:vAlign w:val="bottom"/>
          </w:tcPr>
          <w:p>
            <w:pPr>
              <w:jc w:val="right"/>
              <w:ind w:right="2"/>
              <w:spacing w:after="0"/>
              <w:rPr>
                <w:sz w:val="20"/>
                <w:szCs w:val="20"/>
                <w:color w:val="auto"/>
              </w:rPr>
            </w:pPr>
            <w:r>
              <w:rPr>
                <w:rFonts w:ascii="Arial" w:cs="Arial" w:eastAsia="Arial" w:hAnsi="Arial"/>
                <w:sz w:val="16"/>
                <w:szCs w:val="16"/>
                <w:color w:val="auto"/>
              </w:rPr>
              <w:t>402</w:t>
            </w:r>
          </w:p>
        </w:tc>
        <w:tc>
          <w:tcPr>
            <w:tcW w:w="160" w:type="dxa"/>
            <w:vAlign w:val="bottom"/>
          </w:tcPr>
          <w:p>
            <w:pPr>
              <w:spacing w:after="0"/>
              <w:rPr>
                <w:sz w:val="20"/>
                <w:szCs w:val="20"/>
                <w:color w:val="auto"/>
              </w:rPr>
            </w:pPr>
          </w:p>
        </w:tc>
        <w:tc>
          <w:tcPr>
            <w:tcW w:w="98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60" w:type="dxa"/>
            <w:vAlign w:val="bottom"/>
          </w:tcPr>
          <w:p>
            <w:pPr>
              <w:jc w:val="right"/>
              <w:ind w:right="22"/>
              <w:spacing w:after="0"/>
              <w:rPr>
                <w:sz w:val="20"/>
                <w:szCs w:val="20"/>
                <w:color w:val="auto"/>
              </w:rPr>
            </w:pPr>
            <w:r>
              <w:rPr>
                <w:rFonts w:ascii="Arial" w:cs="Arial" w:eastAsia="Arial" w:hAnsi="Arial"/>
                <w:sz w:val="16"/>
                <w:szCs w:val="16"/>
                <w:color w:val="auto"/>
              </w:rPr>
              <w:t>47</w:t>
            </w:r>
          </w:p>
        </w:tc>
        <w:tc>
          <w:tcPr>
            <w:tcW w:w="160" w:type="dxa"/>
            <w:vAlign w:val="bottom"/>
          </w:tcPr>
          <w:p>
            <w:pPr>
              <w:spacing w:after="0"/>
              <w:rPr>
                <w:sz w:val="20"/>
                <w:szCs w:val="20"/>
                <w:color w:val="auto"/>
              </w:rPr>
            </w:pPr>
          </w:p>
        </w:tc>
        <w:tc>
          <w:tcPr>
            <w:tcW w:w="98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257</w:t>
            </w:r>
          </w:p>
        </w:tc>
        <w:tc>
          <w:tcPr>
            <w:tcW w:w="0" w:type="dxa"/>
            <w:vAlign w:val="bottom"/>
          </w:tcPr>
          <w:p>
            <w:pPr>
              <w:spacing w:after="0"/>
              <w:rPr>
                <w:sz w:val="1"/>
                <w:szCs w:val="1"/>
                <w:color w:val="auto"/>
              </w:rPr>
            </w:pPr>
          </w:p>
        </w:tc>
      </w:tr>
      <w:tr>
        <w:trPr>
          <w:trHeight w:val="242"/>
        </w:trPr>
        <w:tc>
          <w:tcPr>
            <w:tcW w:w="3380" w:type="dxa"/>
            <w:vAlign w:val="bottom"/>
          </w:tcPr>
          <w:p>
            <w:pPr>
              <w:ind w:left="20"/>
              <w:spacing w:after="0"/>
              <w:rPr>
                <w:sz w:val="20"/>
                <w:szCs w:val="20"/>
                <w:color w:val="auto"/>
              </w:rPr>
            </w:pPr>
            <w:r>
              <w:rPr>
                <w:rFonts w:ascii="Arial" w:cs="Arial" w:eastAsia="Arial" w:hAnsi="Arial"/>
                <w:sz w:val="16"/>
                <w:szCs w:val="16"/>
                <w:color w:val="auto"/>
              </w:rPr>
              <w:t>Reinsurance related embedded derivatives</w:t>
            </w:r>
          </w:p>
        </w:tc>
        <w:tc>
          <w:tcPr>
            <w:tcW w:w="1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(148)</w:t>
            </w:r>
          </w:p>
        </w:tc>
        <w:tc>
          <w:tcPr>
            <w:tcW w:w="1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w:t>
            </w:r>
          </w:p>
        </w:tc>
        <w:tc>
          <w:tcPr>
            <w:tcW w:w="1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(128)</w:t>
            </w:r>
          </w:p>
        </w:tc>
        <w:tc>
          <w:tcPr>
            <w:tcW w:w="1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77"/>
        </w:trPr>
        <w:tc>
          <w:tcPr>
            <w:tcW w:w="3380" w:type="dxa"/>
            <w:vAlign w:val="bottom"/>
          </w:tcPr>
          <w:p>
            <w:pPr>
              <w:ind w:left="20"/>
              <w:spacing w:after="0"/>
              <w:rPr>
                <w:sz w:val="20"/>
                <w:szCs w:val="20"/>
                <w:color w:val="auto"/>
              </w:rPr>
            </w:pPr>
            <w:r>
              <w:rPr>
                <w:rFonts w:ascii="Arial" w:cs="Arial" w:eastAsia="Arial" w:hAnsi="Arial"/>
                <w:sz w:val="16"/>
                <w:szCs w:val="16"/>
                <w:b w:val="1"/>
                <w:bCs w:val="1"/>
                <w:color w:val="auto"/>
                <w:w w:val="92"/>
              </w:rPr>
              <w:t>Total derivatives not designated as instruments</w:t>
            </w:r>
          </w:p>
        </w:tc>
        <w:tc>
          <w:tcPr>
            <w:tcW w:w="1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115</w:t>
            </w:r>
          </w:p>
        </w:tc>
        <w:tc>
          <w:tcPr>
            <w:tcW w:w="1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402</w:t>
            </w:r>
          </w:p>
        </w:tc>
        <w:tc>
          <w:tcPr>
            <w:tcW w:w="1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42</w:t>
            </w:r>
          </w:p>
        </w:tc>
        <w:tc>
          <w:tcPr>
            <w:tcW w:w="1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47</w:t>
            </w:r>
          </w:p>
        </w:tc>
        <w:tc>
          <w:tcPr>
            <w:tcW w:w="1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24</w:t>
            </w:r>
          </w:p>
        </w:tc>
        <w:tc>
          <w:tcPr>
            <w:tcW w:w="1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257</w:t>
            </w:r>
          </w:p>
        </w:tc>
        <w:tc>
          <w:tcPr>
            <w:tcW w:w="0" w:type="dxa"/>
            <w:vAlign w:val="bottom"/>
          </w:tcPr>
          <w:p>
            <w:pPr>
              <w:spacing w:after="0"/>
              <w:rPr>
                <w:sz w:val="1"/>
                <w:szCs w:val="1"/>
                <w:color w:val="auto"/>
              </w:rPr>
            </w:pPr>
          </w:p>
        </w:tc>
      </w:tr>
      <w:tr>
        <w:trPr>
          <w:trHeight w:val="196"/>
        </w:trPr>
        <w:tc>
          <w:tcPr>
            <w:tcW w:w="3380" w:type="dxa"/>
            <w:vAlign w:val="bottom"/>
          </w:tcPr>
          <w:p>
            <w:pPr>
              <w:ind w:left="20"/>
              <w:spacing w:after="0"/>
              <w:rPr>
                <w:sz w:val="20"/>
                <w:szCs w:val="20"/>
                <w:color w:val="auto"/>
              </w:rPr>
            </w:pPr>
            <w:r>
              <w:rPr>
                <w:rFonts w:ascii="Arial" w:cs="Arial" w:eastAsia="Arial" w:hAnsi="Arial"/>
                <w:sz w:val="16"/>
                <w:szCs w:val="16"/>
                <w:b w:val="1"/>
                <w:bCs w:val="1"/>
                <w:color w:val="auto"/>
              </w:rPr>
              <w:t>Total derivatives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112</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413</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42</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47</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24</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257</w:t>
            </w:r>
          </w:p>
        </w:tc>
        <w:tc>
          <w:tcPr>
            <w:tcW w:w="0" w:type="dxa"/>
            <w:vAlign w:val="bottom"/>
          </w:tcPr>
          <w:p>
            <w:pPr>
              <w:spacing w:after="0"/>
              <w:rPr>
                <w:sz w:val="1"/>
                <w:szCs w:val="1"/>
                <w:color w:val="auto"/>
              </w:rPr>
            </w:pPr>
          </w:p>
        </w:tc>
      </w:tr>
      <w:tr>
        <w:trPr>
          <w:trHeight w:val="20"/>
        </w:trPr>
        <w:tc>
          <w:tcPr>
            <w:tcW w:w="33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-2588260</wp:posOffset>
            </wp:positionV>
            <wp:extent cx="6410325" cy="25952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13">
                      <a:extLst>
                        <a:ext uri="{28A0092B-C50C-407E-A947-70E740481C1C}"/>
                      </a:extLst>
                    </a:blip>
                    <a:srcRect/>
                    <a:stretch>
                      <a:fillRect/>
                    </a:stretch>
                  </pic:blipFill>
                  <pic:spPr bwMode="auto">
                    <a:xfrm>
                      <a:off x="0" y="0"/>
                      <a:ext cx="6410325" cy="2595245"/>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amounts and locations of gains losses, net recognized for hedged items included in the Consolidated Statements of</w:t>
      </w:r>
    </w:p>
    <w:p>
      <w:pPr>
        <w:spacing w:after="0" w:line="59" w:lineRule="exact"/>
        <w:rPr>
          <w:sz w:val="20"/>
          <w:szCs w:val="20"/>
          <w:color w:val="auto"/>
        </w:rPr>
      </w:pPr>
    </w:p>
    <w:p>
      <w:pPr>
        <w:spacing w:after="0"/>
        <w:rPr>
          <w:sz w:val="20"/>
          <w:szCs w:val="20"/>
          <w:color w:val="auto"/>
        </w:rPr>
      </w:pPr>
      <w:r>
        <w:rPr>
          <w:rFonts w:ascii="Arial" w:cs="Arial" w:eastAsia="Arial" w:hAnsi="Arial"/>
          <w:sz w:val="20"/>
          <w:szCs w:val="20"/>
          <w:color w:val="auto"/>
        </w:rPr>
        <w:t>Earnings are as follows:</w:t>
      </w:r>
    </w:p>
    <w:p>
      <w:pPr>
        <w:spacing w:after="0" w:line="191" w:lineRule="exact"/>
        <w:rPr>
          <w:sz w:val="20"/>
          <w:szCs w:val="20"/>
          <w:color w:val="auto"/>
        </w:rPr>
      </w:pPr>
    </w:p>
    <w:tbl>
      <w:tblPr>
        <w:tblLayout w:type="fixed"/>
        <w:tblInd w:w="40" w:type="dxa"/>
        <w:tblCellMar>
          <w:top w:w="0" w:type="dxa"/>
          <w:left w:w="0" w:type="dxa"/>
          <w:bottom w:w="0" w:type="dxa"/>
          <w:right w:w="0" w:type="dxa"/>
        </w:tblCellMar>
      </w:tblPr>
      <w:tr>
        <w:trPr>
          <w:trHeight w:val="213"/>
        </w:trPr>
        <w:tc>
          <w:tcPr>
            <w:tcW w:w="33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080" w:type="dxa"/>
            <w:vAlign w:val="bottom"/>
            <w:tcBorders>
              <w:bottom w:val="single" w:sz="8" w:color="auto"/>
            </w:tcBorders>
            <w:gridSpan w:val="3"/>
          </w:tcPr>
          <w:p>
            <w:pPr>
              <w:jc w:val="center"/>
              <w:ind w:right="82"/>
              <w:spacing w:after="0"/>
              <w:rPr>
                <w:sz w:val="20"/>
                <w:szCs w:val="20"/>
                <w:color w:val="auto"/>
              </w:rPr>
            </w:pPr>
            <w:r>
              <w:rPr>
                <w:rFonts w:ascii="Arial" w:cs="Arial" w:eastAsia="Arial" w:hAnsi="Arial"/>
                <w:sz w:val="16"/>
                <w:szCs w:val="16"/>
                <w:b w:val="1"/>
                <w:bCs w:val="1"/>
                <w:color w:val="auto"/>
                <w:w w:val="89"/>
              </w:rPr>
              <w:t>Year Ended December 31,</w:t>
            </w: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3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2025</w:t>
            </w:r>
          </w:p>
        </w:tc>
        <w:tc>
          <w:tcPr>
            <w:tcW w:w="9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2024</w:t>
            </w:r>
          </w:p>
        </w:tc>
        <w:tc>
          <w:tcPr>
            <w:tcW w:w="96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2023</w:t>
            </w:r>
          </w:p>
        </w:tc>
        <w:tc>
          <w:tcPr>
            <w:tcW w:w="9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7"/>
        </w:trPr>
        <w:tc>
          <w:tcPr>
            <w:tcW w:w="3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vMerge w:val="restart"/>
          </w:tcPr>
          <w:p>
            <w:pPr>
              <w:jc w:val="center"/>
              <w:ind w:right="82"/>
              <w:spacing w:after="0"/>
              <w:rPr>
                <w:sz w:val="20"/>
                <w:szCs w:val="20"/>
                <w:color w:val="auto"/>
              </w:rPr>
            </w:pPr>
            <w:r>
              <w:rPr>
                <w:rFonts w:ascii="Arial" w:cs="Arial" w:eastAsia="Arial" w:hAnsi="Arial"/>
                <w:sz w:val="16"/>
                <w:szCs w:val="16"/>
                <w:b w:val="1"/>
                <w:bCs w:val="1"/>
                <w:color w:val="auto"/>
                <w:w w:val="86"/>
              </w:rPr>
              <w:t>Recognized</w:t>
            </w:r>
          </w:p>
        </w:tc>
        <w:tc>
          <w:tcPr>
            <w:tcW w:w="1140" w:type="dxa"/>
            <w:vAlign w:val="bottom"/>
            <w:gridSpan w:val="2"/>
          </w:tcPr>
          <w:p>
            <w:pPr>
              <w:jc w:val="center"/>
              <w:spacing w:after="0" w:line="167" w:lineRule="exact"/>
              <w:rPr>
                <w:sz w:val="20"/>
                <w:szCs w:val="20"/>
                <w:color w:val="auto"/>
              </w:rPr>
            </w:pPr>
            <w:r>
              <w:rPr>
                <w:rFonts w:ascii="Arial" w:cs="Arial" w:eastAsia="Arial" w:hAnsi="Arial"/>
                <w:sz w:val="16"/>
                <w:szCs w:val="16"/>
                <w:b w:val="1"/>
                <w:bCs w:val="1"/>
                <w:color w:val="auto"/>
                <w:w w:val="85"/>
              </w:rPr>
              <w:t>Benefits and</w:t>
            </w:r>
          </w:p>
        </w:tc>
        <w:tc>
          <w:tcPr>
            <w:tcW w:w="140" w:type="dxa"/>
            <w:vAlign w:val="bottom"/>
          </w:tcPr>
          <w:p>
            <w:pPr>
              <w:spacing w:after="0"/>
              <w:rPr>
                <w:sz w:val="14"/>
                <w:szCs w:val="14"/>
                <w:color w:val="auto"/>
              </w:rPr>
            </w:pPr>
          </w:p>
        </w:tc>
        <w:tc>
          <w:tcPr>
            <w:tcW w:w="960" w:type="dxa"/>
            <w:vAlign w:val="bottom"/>
            <w:vMerge w:val="restart"/>
          </w:tcPr>
          <w:p>
            <w:pPr>
              <w:jc w:val="center"/>
              <w:ind w:right="82"/>
              <w:spacing w:after="0"/>
              <w:rPr>
                <w:sz w:val="20"/>
                <w:szCs w:val="20"/>
                <w:color w:val="auto"/>
              </w:rPr>
            </w:pPr>
            <w:r>
              <w:rPr>
                <w:rFonts w:ascii="Arial" w:cs="Arial" w:eastAsia="Arial" w:hAnsi="Arial"/>
                <w:sz w:val="16"/>
                <w:szCs w:val="16"/>
                <w:b w:val="1"/>
                <w:bCs w:val="1"/>
                <w:color w:val="auto"/>
                <w:w w:val="84"/>
              </w:rPr>
              <w:t>Recognized</w:t>
            </w:r>
          </w:p>
        </w:tc>
        <w:tc>
          <w:tcPr>
            <w:tcW w:w="1120" w:type="dxa"/>
            <w:vAlign w:val="bottom"/>
            <w:gridSpan w:val="2"/>
          </w:tcPr>
          <w:p>
            <w:pPr>
              <w:jc w:val="center"/>
              <w:spacing w:after="0" w:line="167" w:lineRule="exact"/>
              <w:rPr>
                <w:sz w:val="20"/>
                <w:szCs w:val="20"/>
                <w:color w:val="auto"/>
              </w:rPr>
            </w:pPr>
            <w:r>
              <w:rPr>
                <w:rFonts w:ascii="Arial" w:cs="Arial" w:eastAsia="Arial" w:hAnsi="Arial"/>
                <w:sz w:val="16"/>
                <w:szCs w:val="16"/>
                <w:b w:val="1"/>
                <w:bCs w:val="1"/>
                <w:color w:val="auto"/>
                <w:w w:val="87"/>
              </w:rPr>
              <w:t>Benefits and</w:t>
            </w:r>
          </w:p>
        </w:tc>
        <w:tc>
          <w:tcPr>
            <w:tcW w:w="160" w:type="dxa"/>
            <w:vAlign w:val="bottom"/>
          </w:tcPr>
          <w:p>
            <w:pPr>
              <w:spacing w:after="0"/>
              <w:rPr>
                <w:sz w:val="14"/>
                <w:szCs w:val="14"/>
                <w:color w:val="auto"/>
              </w:rPr>
            </w:pPr>
          </w:p>
        </w:tc>
        <w:tc>
          <w:tcPr>
            <w:tcW w:w="940" w:type="dxa"/>
            <w:vAlign w:val="bottom"/>
            <w:vMerge w:val="restart"/>
          </w:tcPr>
          <w:p>
            <w:pPr>
              <w:jc w:val="center"/>
              <w:ind w:right="62"/>
              <w:spacing w:after="0"/>
              <w:rPr>
                <w:sz w:val="20"/>
                <w:szCs w:val="20"/>
                <w:color w:val="auto"/>
              </w:rPr>
            </w:pPr>
            <w:r>
              <w:rPr>
                <w:rFonts w:ascii="Arial" w:cs="Arial" w:eastAsia="Arial" w:hAnsi="Arial"/>
                <w:sz w:val="16"/>
                <w:szCs w:val="16"/>
                <w:b w:val="1"/>
                <w:bCs w:val="1"/>
                <w:color w:val="auto"/>
                <w:w w:val="84"/>
              </w:rPr>
              <w:t>Recognized</w:t>
            </w:r>
          </w:p>
        </w:tc>
        <w:tc>
          <w:tcPr>
            <w:tcW w:w="1100" w:type="dxa"/>
            <w:vAlign w:val="bottom"/>
            <w:gridSpan w:val="2"/>
          </w:tcPr>
          <w:p>
            <w:pPr>
              <w:jc w:val="center"/>
              <w:spacing w:after="0" w:line="167" w:lineRule="exact"/>
              <w:rPr>
                <w:sz w:val="20"/>
                <w:szCs w:val="20"/>
                <w:color w:val="auto"/>
              </w:rPr>
            </w:pPr>
            <w:r>
              <w:rPr>
                <w:rFonts w:ascii="Arial" w:cs="Arial" w:eastAsia="Arial" w:hAnsi="Arial"/>
                <w:sz w:val="16"/>
                <w:szCs w:val="16"/>
                <w:b w:val="1"/>
                <w:bCs w:val="1"/>
                <w:color w:val="auto"/>
                <w:w w:val="87"/>
              </w:rPr>
              <w:t>Benefits and</w:t>
            </w:r>
          </w:p>
        </w:tc>
        <w:tc>
          <w:tcPr>
            <w:tcW w:w="0" w:type="dxa"/>
            <w:vAlign w:val="bottom"/>
          </w:tcPr>
          <w:p>
            <w:pPr>
              <w:spacing w:after="0"/>
              <w:rPr>
                <w:sz w:val="1"/>
                <w:szCs w:val="1"/>
                <w:color w:val="auto"/>
              </w:rPr>
            </w:pPr>
          </w:p>
        </w:tc>
      </w:tr>
      <w:tr>
        <w:trPr>
          <w:trHeight w:val="157"/>
        </w:trPr>
        <w:tc>
          <w:tcPr>
            <w:tcW w:w="3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vMerge w:val="continue"/>
          </w:tcPr>
          <w:p>
            <w:pPr>
              <w:spacing w:after="0"/>
              <w:rPr>
                <w:sz w:val="13"/>
                <w:szCs w:val="13"/>
                <w:color w:val="auto"/>
              </w:rPr>
            </w:pPr>
          </w:p>
        </w:tc>
        <w:tc>
          <w:tcPr>
            <w:tcW w:w="1140" w:type="dxa"/>
            <w:vAlign w:val="bottom"/>
            <w:gridSpan w:val="2"/>
          </w:tcPr>
          <w:p>
            <w:pPr>
              <w:jc w:val="center"/>
              <w:spacing w:after="0" w:line="157" w:lineRule="exact"/>
              <w:rPr>
                <w:sz w:val="20"/>
                <w:szCs w:val="20"/>
                <w:color w:val="auto"/>
              </w:rPr>
            </w:pPr>
            <w:r>
              <w:rPr>
                <w:rFonts w:ascii="Arial" w:cs="Arial" w:eastAsia="Arial" w:hAnsi="Arial"/>
                <w:sz w:val="16"/>
                <w:szCs w:val="16"/>
                <w:b w:val="1"/>
                <w:bCs w:val="1"/>
                <w:color w:val="auto"/>
                <w:w w:val="85"/>
              </w:rPr>
              <w:t>other changes</w:t>
            </w:r>
          </w:p>
        </w:tc>
        <w:tc>
          <w:tcPr>
            <w:tcW w:w="140" w:type="dxa"/>
            <w:vAlign w:val="bottom"/>
          </w:tcPr>
          <w:p>
            <w:pPr>
              <w:spacing w:after="0"/>
              <w:rPr>
                <w:sz w:val="13"/>
                <w:szCs w:val="13"/>
                <w:color w:val="auto"/>
              </w:rPr>
            </w:pPr>
          </w:p>
        </w:tc>
        <w:tc>
          <w:tcPr>
            <w:tcW w:w="960" w:type="dxa"/>
            <w:vAlign w:val="bottom"/>
            <w:vMerge w:val="continue"/>
          </w:tcPr>
          <w:p>
            <w:pPr>
              <w:spacing w:after="0"/>
              <w:rPr>
                <w:sz w:val="13"/>
                <w:szCs w:val="13"/>
                <w:color w:val="auto"/>
              </w:rPr>
            </w:pPr>
          </w:p>
        </w:tc>
        <w:tc>
          <w:tcPr>
            <w:tcW w:w="1120" w:type="dxa"/>
            <w:vAlign w:val="bottom"/>
            <w:gridSpan w:val="2"/>
          </w:tcPr>
          <w:p>
            <w:pPr>
              <w:jc w:val="center"/>
              <w:spacing w:after="0" w:line="157" w:lineRule="exact"/>
              <w:rPr>
                <w:sz w:val="20"/>
                <w:szCs w:val="20"/>
                <w:color w:val="auto"/>
              </w:rPr>
            </w:pPr>
            <w:r>
              <w:rPr>
                <w:rFonts w:ascii="Arial" w:cs="Arial" w:eastAsia="Arial" w:hAnsi="Arial"/>
                <w:sz w:val="16"/>
                <w:szCs w:val="16"/>
                <w:b w:val="1"/>
                <w:bCs w:val="1"/>
                <w:color w:val="auto"/>
                <w:w w:val="84"/>
              </w:rPr>
              <w:t>other changes</w:t>
            </w:r>
          </w:p>
        </w:tc>
        <w:tc>
          <w:tcPr>
            <w:tcW w:w="160" w:type="dxa"/>
            <w:vAlign w:val="bottom"/>
          </w:tcPr>
          <w:p>
            <w:pPr>
              <w:spacing w:after="0"/>
              <w:rPr>
                <w:sz w:val="13"/>
                <w:szCs w:val="13"/>
                <w:color w:val="auto"/>
              </w:rPr>
            </w:pPr>
          </w:p>
        </w:tc>
        <w:tc>
          <w:tcPr>
            <w:tcW w:w="940" w:type="dxa"/>
            <w:vAlign w:val="bottom"/>
            <w:vMerge w:val="continue"/>
          </w:tcPr>
          <w:p>
            <w:pPr>
              <w:spacing w:after="0"/>
              <w:rPr>
                <w:sz w:val="13"/>
                <w:szCs w:val="13"/>
                <w:color w:val="auto"/>
              </w:rPr>
            </w:pPr>
          </w:p>
        </w:tc>
        <w:tc>
          <w:tcPr>
            <w:tcW w:w="1100" w:type="dxa"/>
            <w:vAlign w:val="bottom"/>
            <w:gridSpan w:val="2"/>
          </w:tcPr>
          <w:p>
            <w:pPr>
              <w:jc w:val="center"/>
              <w:spacing w:after="0" w:line="157" w:lineRule="exact"/>
              <w:rPr>
                <w:sz w:val="20"/>
                <w:szCs w:val="20"/>
                <w:color w:val="auto"/>
              </w:rPr>
            </w:pPr>
            <w:r>
              <w:rPr>
                <w:rFonts w:ascii="Arial" w:cs="Arial" w:eastAsia="Arial" w:hAnsi="Arial"/>
                <w:sz w:val="16"/>
                <w:szCs w:val="16"/>
                <w:b w:val="1"/>
                <w:bCs w:val="1"/>
                <w:color w:val="auto"/>
                <w:w w:val="84"/>
              </w:rPr>
              <w:t>other changes</w:t>
            </w:r>
          </w:p>
        </w:tc>
        <w:tc>
          <w:tcPr>
            <w:tcW w:w="0" w:type="dxa"/>
            <w:vAlign w:val="bottom"/>
          </w:tcPr>
          <w:p>
            <w:pPr>
              <w:spacing w:after="0"/>
              <w:rPr>
                <w:sz w:val="1"/>
                <w:szCs w:val="1"/>
                <w:color w:val="auto"/>
              </w:rPr>
            </w:pPr>
          </w:p>
        </w:tc>
      </w:tr>
      <w:tr>
        <w:trPr>
          <w:trHeight w:val="157"/>
        </w:trPr>
        <w:tc>
          <w:tcPr>
            <w:tcW w:w="3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tcPr>
          <w:p>
            <w:pPr>
              <w:jc w:val="center"/>
              <w:ind w:right="62"/>
              <w:spacing w:after="0" w:line="157" w:lineRule="exact"/>
              <w:rPr>
                <w:sz w:val="20"/>
                <w:szCs w:val="20"/>
                <w:color w:val="auto"/>
              </w:rPr>
            </w:pPr>
            <w:r>
              <w:rPr>
                <w:rFonts w:ascii="Arial" w:cs="Arial" w:eastAsia="Arial" w:hAnsi="Arial"/>
                <w:sz w:val="16"/>
                <w:szCs w:val="16"/>
                <w:b w:val="1"/>
                <w:bCs w:val="1"/>
                <w:color w:val="auto"/>
                <w:w w:val="79"/>
              </w:rPr>
              <w:t>gains losses,</w:t>
            </w:r>
          </w:p>
        </w:tc>
        <w:tc>
          <w:tcPr>
            <w:tcW w:w="180" w:type="dxa"/>
            <w:vAlign w:val="bottom"/>
          </w:tcPr>
          <w:p>
            <w:pPr>
              <w:spacing w:after="0"/>
              <w:rPr>
                <w:sz w:val="13"/>
                <w:szCs w:val="13"/>
                <w:color w:val="auto"/>
              </w:rPr>
            </w:pPr>
          </w:p>
        </w:tc>
        <w:tc>
          <w:tcPr>
            <w:tcW w:w="960" w:type="dxa"/>
            <w:vAlign w:val="bottom"/>
          </w:tcPr>
          <w:p>
            <w:pPr>
              <w:jc w:val="center"/>
              <w:ind w:right="102"/>
              <w:spacing w:after="0" w:line="157" w:lineRule="exact"/>
              <w:rPr>
                <w:sz w:val="20"/>
                <w:szCs w:val="20"/>
                <w:color w:val="auto"/>
              </w:rPr>
            </w:pPr>
            <w:r>
              <w:rPr>
                <w:rFonts w:ascii="Arial" w:cs="Arial" w:eastAsia="Arial" w:hAnsi="Arial"/>
                <w:sz w:val="16"/>
                <w:szCs w:val="16"/>
                <w:b w:val="1"/>
                <w:bCs w:val="1"/>
                <w:color w:val="auto"/>
                <w:w w:val="89"/>
              </w:rPr>
              <w:t>in policy</w:t>
            </w:r>
          </w:p>
        </w:tc>
        <w:tc>
          <w:tcPr>
            <w:tcW w:w="140" w:type="dxa"/>
            <w:vAlign w:val="bottom"/>
          </w:tcPr>
          <w:p>
            <w:pPr>
              <w:spacing w:after="0"/>
              <w:rPr>
                <w:sz w:val="13"/>
                <w:szCs w:val="13"/>
                <w:color w:val="auto"/>
              </w:rPr>
            </w:pPr>
          </w:p>
        </w:tc>
        <w:tc>
          <w:tcPr>
            <w:tcW w:w="960" w:type="dxa"/>
            <w:vAlign w:val="bottom"/>
          </w:tcPr>
          <w:p>
            <w:pPr>
              <w:jc w:val="center"/>
              <w:ind w:right="82"/>
              <w:spacing w:after="0" w:line="157" w:lineRule="exact"/>
              <w:rPr>
                <w:sz w:val="20"/>
                <w:szCs w:val="20"/>
                <w:color w:val="auto"/>
              </w:rPr>
            </w:pPr>
            <w:r>
              <w:rPr>
                <w:rFonts w:ascii="Arial" w:cs="Arial" w:eastAsia="Arial" w:hAnsi="Arial"/>
                <w:sz w:val="16"/>
                <w:szCs w:val="16"/>
                <w:b w:val="1"/>
                <w:bCs w:val="1"/>
                <w:color w:val="auto"/>
                <w:w w:val="79"/>
              </w:rPr>
              <w:t>gains losses,</w:t>
            </w:r>
          </w:p>
        </w:tc>
        <w:tc>
          <w:tcPr>
            <w:tcW w:w="160" w:type="dxa"/>
            <w:vAlign w:val="bottom"/>
          </w:tcPr>
          <w:p>
            <w:pPr>
              <w:spacing w:after="0"/>
              <w:rPr>
                <w:sz w:val="13"/>
                <w:szCs w:val="13"/>
                <w:color w:val="auto"/>
              </w:rPr>
            </w:pPr>
          </w:p>
        </w:tc>
        <w:tc>
          <w:tcPr>
            <w:tcW w:w="960" w:type="dxa"/>
            <w:vAlign w:val="bottom"/>
          </w:tcPr>
          <w:p>
            <w:pPr>
              <w:jc w:val="center"/>
              <w:ind w:right="82"/>
              <w:spacing w:after="0" w:line="157" w:lineRule="exact"/>
              <w:rPr>
                <w:sz w:val="20"/>
                <w:szCs w:val="20"/>
                <w:color w:val="auto"/>
              </w:rPr>
            </w:pPr>
            <w:r>
              <w:rPr>
                <w:rFonts w:ascii="Arial" w:cs="Arial" w:eastAsia="Arial" w:hAnsi="Arial"/>
                <w:sz w:val="16"/>
                <w:szCs w:val="16"/>
                <w:b w:val="1"/>
                <w:bCs w:val="1"/>
                <w:color w:val="auto"/>
                <w:w w:val="86"/>
              </w:rPr>
              <w:t>in policy</w:t>
            </w:r>
          </w:p>
        </w:tc>
        <w:tc>
          <w:tcPr>
            <w:tcW w:w="160" w:type="dxa"/>
            <w:vAlign w:val="bottom"/>
          </w:tcPr>
          <w:p>
            <w:pPr>
              <w:spacing w:after="0"/>
              <w:rPr>
                <w:sz w:val="13"/>
                <w:szCs w:val="13"/>
                <w:color w:val="auto"/>
              </w:rPr>
            </w:pPr>
          </w:p>
        </w:tc>
        <w:tc>
          <w:tcPr>
            <w:tcW w:w="940" w:type="dxa"/>
            <w:vAlign w:val="bottom"/>
          </w:tcPr>
          <w:p>
            <w:pPr>
              <w:jc w:val="center"/>
              <w:ind w:right="62"/>
              <w:spacing w:after="0" w:line="157" w:lineRule="exact"/>
              <w:rPr>
                <w:sz w:val="20"/>
                <w:szCs w:val="20"/>
                <w:color w:val="auto"/>
              </w:rPr>
            </w:pPr>
            <w:r>
              <w:rPr>
                <w:rFonts w:ascii="Arial" w:cs="Arial" w:eastAsia="Arial" w:hAnsi="Arial"/>
                <w:sz w:val="16"/>
                <w:szCs w:val="16"/>
                <w:b w:val="1"/>
                <w:bCs w:val="1"/>
                <w:color w:val="auto"/>
                <w:w w:val="79"/>
              </w:rPr>
              <w:t>gains losses,</w:t>
            </w:r>
          </w:p>
        </w:tc>
        <w:tc>
          <w:tcPr>
            <w:tcW w:w="180" w:type="dxa"/>
            <w:vAlign w:val="bottom"/>
          </w:tcPr>
          <w:p>
            <w:pPr>
              <w:spacing w:after="0"/>
              <w:rPr>
                <w:sz w:val="13"/>
                <w:szCs w:val="13"/>
                <w:color w:val="auto"/>
              </w:rPr>
            </w:pPr>
          </w:p>
        </w:tc>
        <w:tc>
          <w:tcPr>
            <w:tcW w:w="920" w:type="dxa"/>
            <w:vAlign w:val="bottom"/>
          </w:tcPr>
          <w:p>
            <w:pPr>
              <w:jc w:val="center"/>
              <w:ind w:right="42"/>
              <w:spacing w:after="0" w:line="157" w:lineRule="exact"/>
              <w:rPr>
                <w:sz w:val="20"/>
                <w:szCs w:val="20"/>
                <w:color w:val="auto"/>
              </w:rPr>
            </w:pPr>
            <w:r>
              <w:rPr>
                <w:rFonts w:ascii="Arial" w:cs="Arial" w:eastAsia="Arial" w:hAnsi="Arial"/>
                <w:sz w:val="16"/>
                <w:szCs w:val="16"/>
                <w:b w:val="1"/>
                <w:bCs w:val="1"/>
                <w:color w:val="auto"/>
                <w:w w:val="86"/>
              </w:rPr>
              <w:t>in policy</w:t>
            </w:r>
          </w:p>
        </w:tc>
        <w:tc>
          <w:tcPr>
            <w:tcW w:w="0" w:type="dxa"/>
            <w:vAlign w:val="bottom"/>
          </w:tcPr>
          <w:p>
            <w:pPr>
              <w:spacing w:after="0"/>
              <w:rPr>
                <w:sz w:val="1"/>
                <w:szCs w:val="1"/>
                <w:color w:val="auto"/>
              </w:rPr>
            </w:pPr>
          </w:p>
        </w:tc>
      </w:tr>
      <w:tr>
        <w:trPr>
          <w:trHeight w:val="157"/>
        </w:trPr>
        <w:tc>
          <w:tcPr>
            <w:tcW w:w="3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tcPr>
          <w:p>
            <w:pPr>
              <w:jc w:val="center"/>
              <w:ind w:right="82"/>
              <w:spacing w:after="0" w:line="157" w:lineRule="exact"/>
              <w:rPr>
                <w:sz w:val="20"/>
                <w:szCs w:val="20"/>
                <w:color w:val="auto"/>
              </w:rPr>
            </w:pPr>
            <w:r>
              <w:rPr>
                <w:rFonts w:ascii="Arial" w:cs="Arial" w:eastAsia="Arial" w:hAnsi="Arial"/>
                <w:sz w:val="16"/>
                <w:szCs w:val="16"/>
                <w:b w:val="1"/>
                <w:bCs w:val="1"/>
                <w:color w:val="auto"/>
                <w:w w:val="92"/>
              </w:rPr>
              <w:t>net for</w:t>
            </w:r>
          </w:p>
        </w:tc>
        <w:tc>
          <w:tcPr>
            <w:tcW w:w="180" w:type="dxa"/>
            <w:vAlign w:val="bottom"/>
          </w:tcPr>
          <w:p>
            <w:pPr>
              <w:spacing w:after="0"/>
              <w:rPr>
                <w:sz w:val="13"/>
                <w:szCs w:val="13"/>
                <w:color w:val="auto"/>
              </w:rPr>
            </w:pPr>
          </w:p>
        </w:tc>
        <w:tc>
          <w:tcPr>
            <w:tcW w:w="960" w:type="dxa"/>
            <w:vAlign w:val="bottom"/>
          </w:tcPr>
          <w:p>
            <w:pPr>
              <w:jc w:val="center"/>
              <w:ind w:right="102"/>
              <w:spacing w:after="0" w:line="157" w:lineRule="exact"/>
              <w:rPr>
                <w:sz w:val="20"/>
                <w:szCs w:val="20"/>
                <w:color w:val="auto"/>
              </w:rPr>
            </w:pPr>
            <w:r>
              <w:rPr>
                <w:rFonts w:ascii="Arial" w:cs="Arial" w:eastAsia="Arial" w:hAnsi="Arial"/>
                <w:sz w:val="16"/>
                <w:szCs w:val="16"/>
                <w:b w:val="1"/>
                <w:bCs w:val="1"/>
                <w:color w:val="auto"/>
                <w:w w:val="85"/>
              </w:rPr>
              <w:t>reserves for</w:t>
            </w:r>
          </w:p>
        </w:tc>
        <w:tc>
          <w:tcPr>
            <w:tcW w:w="140" w:type="dxa"/>
            <w:vAlign w:val="bottom"/>
          </w:tcPr>
          <w:p>
            <w:pPr>
              <w:spacing w:after="0"/>
              <w:rPr>
                <w:sz w:val="13"/>
                <w:szCs w:val="13"/>
                <w:color w:val="auto"/>
              </w:rPr>
            </w:pPr>
          </w:p>
        </w:tc>
        <w:tc>
          <w:tcPr>
            <w:tcW w:w="960" w:type="dxa"/>
            <w:vAlign w:val="bottom"/>
          </w:tcPr>
          <w:p>
            <w:pPr>
              <w:jc w:val="center"/>
              <w:ind w:right="62"/>
              <w:spacing w:after="0" w:line="157" w:lineRule="exact"/>
              <w:rPr>
                <w:sz w:val="20"/>
                <w:szCs w:val="20"/>
                <w:color w:val="auto"/>
              </w:rPr>
            </w:pPr>
            <w:r>
              <w:rPr>
                <w:rFonts w:ascii="Arial" w:cs="Arial" w:eastAsia="Arial" w:hAnsi="Arial"/>
                <w:sz w:val="16"/>
                <w:szCs w:val="16"/>
                <w:b w:val="1"/>
                <w:bCs w:val="1"/>
                <w:color w:val="auto"/>
                <w:w w:val="92"/>
              </w:rPr>
              <w:t>net for</w:t>
            </w:r>
          </w:p>
        </w:tc>
        <w:tc>
          <w:tcPr>
            <w:tcW w:w="160" w:type="dxa"/>
            <w:vAlign w:val="bottom"/>
          </w:tcPr>
          <w:p>
            <w:pPr>
              <w:spacing w:after="0"/>
              <w:rPr>
                <w:sz w:val="13"/>
                <w:szCs w:val="13"/>
                <w:color w:val="auto"/>
              </w:rPr>
            </w:pPr>
          </w:p>
        </w:tc>
        <w:tc>
          <w:tcPr>
            <w:tcW w:w="960" w:type="dxa"/>
            <w:vAlign w:val="bottom"/>
          </w:tcPr>
          <w:p>
            <w:pPr>
              <w:jc w:val="center"/>
              <w:ind w:right="62"/>
              <w:spacing w:after="0" w:line="157" w:lineRule="exact"/>
              <w:rPr>
                <w:sz w:val="20"/>
                <w:szCs w:val="20"/>
                <w:color w:val="auto"/>
              </w:rPr>
            </w:pPr>
            <w:r>
              <w:rPr>
                <w:rFonts w:ascii="Arial" w:cs="Arial" w:eastAsia="Arial" w:hAnsi="Arial"/>
                <w:sz w:val="16"/>
                <w:szCs w:val="16"/>
                <w:b w:val="1"/>
                <w:bCs w:val="1"/>
                <w:color w:val="auto"/>
                <w:w w:val="85"/>
              </w:rPr>
              <w:t>reserves for</w:t>
            </w:r>
          </w:p>
        </w:tc>
        <w:tc>
          <w:tcPr>
            <w:tcW w:w="160" w:type="dxa"/>
            <w:vAlign w:val="bottom"/>
          </w:tcPr>
          <w:p>
            <w:pPr>
              <w:spacing w:after="0"/>
              <w:rPr>
                <w:sz w:val="13"/>
                <w:szCs w:val="13"/>
                <w:color w:val="auto"/>
              </w:rPr>
            </w:pPr>
          </w:p>
        </w:tc>
        <w:tc>
          <w:tcPr>
            <w:tcW w:w="940" w:type="dxa"/>
            <w:vAlign w:val="bottom"/>
          </w:tcPr>
          <w:p>
            <w:pPr>
              <w:jc w:val="center"/>
              <w:ind w:right="62"/>
              <w:spacing w:after="0" w:line="157" w:lineRule="exact"/>
              <w:rPr>
                <w:sz w:val="20"/>
                <w:szCs w:val="20"/>
                <w:color w:val="auto"/>
              </w:rPr>
            </w:pPr>
            <w:r>
              <w:rPr>
                <w:rFonts w:ascii="Arial" w:cs="Arial" w:eastAsia="Arial" w:hAnsi="Arial"/>
                <w:sz w:val="16"/>
                <w:szCs w:val="16"/>
                <w:b w:val="1"/>
                <w:bCs w:val="1"/>
                <w:color w:val="auto"/>
                <w:w w:val="88"/>
              </w:rPr>
              <w:t>net for</w:t>
            </w:r>
          </w:p>
        </w:tc>
        <w:tc>
          <w:tcPr>
            <w:tcW w:w="180" w:type="dxa"/>
            <w:vAlign w:val="bottom"/>
          </w:tcPr>
          <w:p>
            <w:pPr>
              <w:spacing w:after="0"/>
              <w:rPr>
                <w:sz w:val="13"/>
                <w:szCs w:val="13"/>
                <w:color w:val="auto"/>
              </w:rPr>
            </w:pPr>
          </w:p>
        </w:tc>
        <w:tc>
          <w:tcPr>
            <w:tcW w:w="920" w:type="dxa"/>
            <w:vAlign w:val="bottom"/>
          </w:tcPr>
          <w:p>
            <w:pPr>
              <w:jc w:val="center"/>
              <w:ind w:right="42"/>
              <w:spacing w:after="0" w:line="157" w:lineRule="exact"/>
              <w:rPr>
                <w:sz w:val="20"/>
                <w:szCs w:val="20"/>
                <w:color w:val="auto"/>
              </w:rPr>
            </w:pPr>
            <w:r>
              <w:rPr>
                <w:rFonts w:ascii="Arial" w:cs="Arial" w:eastAsia="Arial" w:hAnsi="Arial"/>
                <w:sz w:val="16"/>
                <w:szCs w:val="16"/>
                <w:b w:val="1"/>
                <w:bCs w:val="1"/>
                <w:color w:val="auto"/>
                <w:w w:val="87"/>
              </w:rPr>
              <w:t>reserves for</w:t>
            </w:r>
          </w:p>
        </w:tc>
        <w:tc>
          <w:tcPr>
            <w:tcW w:w="0" w:type="dxa"/>
            <w:vAlign w:val="bottom"/>
          </w:tcPr>
          <w:p>
            <w:pPr>
              <w:spacing w:after="0"/>
              <w:rPr>
                <w:sz w:val="1"/>
                <w:szCs w:val="1"/>
                <w:color w:val="auto"/>
              </w:rPr>
            </w:pPr>
          </w:p>
        </w:tc>
      </w:tr>
      <w:tr>
        <w:trPr>
          <w:trHeight w:val="210"/>
        </w:trPr>
        <w:tc>
          <w:tcPr>
            <w:tcW w:w="3360" w:type="dxa"/>
            <w:vAlign w:val="bottom"/>
          </w:tcPr>
          <w:p>
            <w:pPr>
              <w:spacing w:after="0"/>
              <w:rPr>
                <w:sz w:val="18"/>
                <w:szCs w:val="18"/>
                <w:color w:val="auto"/>
              </w:rPr>
            </w:pPr>
          </w:p>
        </w:tc>
        <w:tc>
          <w:tcPr>
            <w:tcW w:w="108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w w:val="86"/>
              </w:rPr>
              <w:t>hedged item</w:t>
            </w:r>
          </w:p>
        </w:tc>
        <w:tc>
          <w:tcPr>
            <w:tcW w:w="114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w w:val="86"/>
              </w:rPr>
              <w:t>hedged item</w:t>
            </w:r>
          </w:p>
        </w:tc>
        <w:tc>
          <w:tcPr>
            <w:tcW w:w="110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w w:val="86"/>
              </w:rPr>
              <w:t>hedged item</w:t>
            </w:r>
          </w:p>
        </w:tc>
        <w:tc>
          <w:tcPr>
            <w:tcW w:w="112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w w:val="86"/>
              </w:rPr>
              <w:t>hedged item</w:t>
            </w:r>
          </w:p>
        </w:tc>
        <w:tc>
          <w:tcPr>
            <w:tcW w:w="110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w w:val="84"/>
              </w:rPr>
              <w:t>hedged item</w:t>
            </w:r>
          </w:p>
        </w:tc>
        <w:tc>
          <w:tcPr>
            <w:tcW w:w="110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w w:val="84"/>
              </w:rPr>
              <w:t>hedged item</w:t>
            </w:r>
          </w:p>
        </w:tc>
        <w:tc>
          <w:tcPr>
            <w:tcW w:w="0" w:type="dxa"/>
            <w:vAlign w:val="bottom"/>
          </w:tcPr>
          <w:p>
            <w:pPr>
              <w:spacing w:after="0"/>
              <w:rPr>
                <w:sz w:val="1"/>
                <w:szCs w:val="1"/>
                <w:color w:val="auto"/>
              </w:rPr>
            </w:pPr>
          </w:p>
        </w:tc>
      </w:tr>
      <w:tr>
        <w:trPr>
          <w:trHeight w:val="223"/>
        </w:trPr>
        <w:tc>
          <w:tcPr>
            <w:tcW w:w="3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80" w:type="dxa"/>
            <w:vAlign w:val="bottom"/>
            <w:gridSpan w:val="3"/>
          </w:tcPr>
          <w:p>
            <w:pPr>
              <w:jc w:val="center"/>
              <w:ind w:right="62"/>
              <w:spacing w:after="0"/>
              <w:rPr>
                <w:sz w:val="20"/>
                <w:szCs w:val="20"/>
                <w:color w:val="auto"/>
              </w:rPr>
            </w:pPr>
            <w:r>
              <w:rPr>
                <w:rFonts w:ascii="Arial" w:cs="Arial" w:eastAsia="Arial" w:hAnsi="Arial"/>
                <w:sz w:val="16"/>
                <w:szCs w:val="16"/>
                <w:b w:val="1"/>
                <w:bCs w:val="1"/>
                <w:color w:val="auto"/>
                <w:w w:val="91"/>
              </w:rPr>
              <w:t>(In millions)</w:t>
            </w: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7"/>
        </w:trPr>
        <w:tc>
          <w:tcPr>
            <w:tcW w:w="3360" w:type="dxa"/>
            <w:vAlign w:val="bottom"/>
          </w:tcPr>
          <w:p>
            <w:pPr>
              <w:spacing w:after="0"/>
              <w:rPr>
                <w:sz w:val="20"/>
                <w:szCs w:val="20"/>
                <w:color w:val="auto"/>
              </w:rPr>
            </w:pPr>
            <w:r>
              <w:rPr>
                <w:rFonts w:ascii="Arial" w:cs="Arial" w:eastAsia="Arial" w:hAnsi="Arial"/>
                <w:sz w:val="16"/>
                <w:szCs w:val="16"/>
                <w:b w:val="1"/>
                <w:bCs w:val="1"/>
                <w:color w:val="auto"/>
                <w:w w:val="92"/>
              </w:rPr>
              <w:t>Derivatives designated as hedging instruments</w:t>
            </w: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5"/>
        </w:trPr>
        <w:tc>
          <w:tcPr>
            <w:tcW w:w="3360" w:type="dxa"/>
            <w:vAlign w:val="bottom"/>
          </w:tcPr>
          <w:p>
            <w:pPr>
              <w:spacing w:after="0"/>
              <w:rPr>
                <w:sz w:val="20"/>
                <w:szCs w:val="20"/>
                <w:color w:val="auto"/>
              </w:rPr>
            </w:pPr>
            <w:r>
              <w:rPr>
                <w:rFonts w:ascii="Arial" w:cs="Arial" w:eastAsia="Arial" w:hAnsi="Arial"/>
                <w:sz w:val="16"/>
                <w:szCs w:val="16"/>
                <w:color w:val="auto"/>
              </w:rPr>
              <w:t>Interest rate swaps</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(11)</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ind w:left="72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ind w:left="70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ind w:left="700"/>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ind w:left="7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2"/>
        </w:trPr>
        <w:tc>
          <w:tcPr>
            <w:tcW w:w="3360" w:type="dxa"/>
            <w:vAlign w:val="bottom"/>
          </w:tcPr>
          <w:p>
            <w:pPr>
              <w:spacing w:after="0"/>
              <w:rPr>
                <w:sz w:val="20"/>
                <w:szCs w:val="20"/>
                <w:color w:val="auto"/>
              </w:rPr>
            </w:pPr>
            <w:r>
              <w:rPr>
                <w:rFonts w:ascii="Arial" w:cs="Arial" w:eastAsia="Arial" w:hAnsi="Arial"/>
                <w:sz w:val="16"/>
                <w:szCs w:val="16"/>
                <w:color w:val="auto"/>
              </w:rPr>
              <w:t>Foreign currency swaps</w:t>
            </w:r>
          </w:p>
        </w:tc>
        <w:tc>
          <w:tcPr>
            <w:tcW w:w="14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3</w:t>
            </w:r>
          </w:p>
        </w:tc>
        <w:tc>
          <w:tcPr>
            <w:tcW w:w="1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ind w:left="7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ind w:left="7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ind w:left="7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ind w:left="7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7"/>
        </w:trPr>
        <w:tc>
          <w:tcPr>
            <w:tcW w:w="3360" w:type="dxa"/>
            <w:vAlign w:val="bottom"/>
          </w:tcPr>
          <w:p>
            <w:pPr>
              <w:spacing w:after="0" w:line="167" w:lineRule="exact"/>
              <w:rPr>
                <w:sz w:val="20"/>
                <w:szCs w:val="20"/>
                <w:color w:val="auto"/>
              </w:rPr>
            </w:pPr>
            <w:r>
              <w:rPr>
                <w:rFonts w:ascii="Arial" w:cs="Arial" w:eastAsia="Arial" w:hAnsi="Arial"/>
                <w:sz w:val="16"/>
                <w:szCs w:val="16"/>
                <w:b w:val="1"/>
                <w:bCs w:val="1"/>
                <w:color w:val="auto"/>
              </w:rPr>
              <w:t>Total derivatives designated as hedging</w:t>
            </w:r>
          </w:p>
        </w:tc>
        <w:tc>
          <w:tcPr>
            <w:tcW w:w="1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940" w:type="dxa"/>
            <w:vAlign w:val="bottom"/>
            <w:vMerge w:val="restart"/>
          </w:tcPr>
          <w:p>
            <w:pPr>
              <w:jc w:val="right"/>
              <w:ind w:right="22"/>
              <w:spacing w:after="0"/>
              <w:rPr>
                <w:sz w:val="20"/>
                <w:szCs w:val="20"/>
                <w:color w:val="auto"/>
              </w:rPr>
            </w:pPr>
            <w:r>
              <w:rPr>
                <w:rFonts w:ascii="Arial" w:cs="Arial" w:eastAsia="Arial" w:hAnsi="Arial"/>
                <w:sz w:val="16"/>
                <w:szCs w:val="16"/>
                <w:color w:val="auto"/>
              </w:rPr>
              <w:t>3</w:t>
            </w:r>
          </w:p>
        </w:tc>
        <w:tc>
          <w:tcPr>
            <w:tcW w:w="1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960" w:type="dxa"/>
            <w:vAlign w:val="bottom"/>
            <w:vMerge w:val="restart"/>
          </w:tcPr>
          <w:p>
            <w:pPr>
              <w:jc w:val="right"/>
              <w:spacing w:after="0"/>
              <w:rPr>
                <w:sz w:val="20"/>
                <w:szCs w:val="20"/>
                <w:color w:val="auto"/>
              </w:rPr>
            </w:pPr>
            <w:r>
              <w:rPr>
                <w:rFonts w:ascii="Arial" w:cs="Arial" w:eastAsia="Arial" w:hAnsi="Arial"/>
                <w:sz w:val="16"/>
                <w:szCs w:val="16"/>
                <w:color w:val="auto"/>
              </w:rPr>
              <w:t>(11)</w:t>
            </w:r>
          </w:p>
        </w:tc>
        <w:tc>
          <w:tcPr>
            <w:tcW w:w="1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960" w:type="dxa"/>
            <w:vAlign w:val="bottom"/>
            <w:vMerge w:val="restart"/>
          </w:tcPr>
          <w:p>
            <w:pPr>
              <w:ind w:left="720"/>
              <w:spacing w:after="0"/>
              <w:rPr>
                <w:sz w:val="20"/>
                <w:szCs w:val="20"/>
                <w:color w:val="auto"/>
              </w:rPr>
            </w:pPr>
            <w:r>
              <w:rPr>
                <w:rFonts w:ascii="Arial" w:cs="Arial" w:eastAsia="Arial" w:hAnsi="Arial"/>
                <w:sz w:val="16"/>
                <w:szCs w:val="16"/>
                <w:color w:val="auto"/>
              </w:rPr>
              <w:t>—</w:t>
            </w:r>
          </w:p>
        </w:tc>
        <w:tc>
          <w:tcPr>
            <w:tcW w:w="1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960" w:type="dxa"/>
            <w:vAlign w:val="bottom"/>
            <w:vMerge w:val="restart"/>
          </w:tcPr>
          <w:p>
            <w:pPr>
              <w:ind w:left="700"/>
              <w:spacing w:after="0"/>
              <w:rPr>
                <w:sz w:val="20"/>
                <w:szCs w:val="20"/>
                <w:color w:val="auto"/>
              </w:rPr>
            </w:pPr>
            <w:r>
              <w:rPr>
                <w:rFonts w:ascii="Arial" w:cs="Arial" w:eastAsia="Arial" w:hAnsi="Arial"/>
                <w:sz w:val="16"/>
                <w:szCs w:val="16"/>
                <w:color w:val="auto"/>
              </w:rPr>
              <w:t>—</w:t>
            </w:r>
          </w:p>
        </w:tc>
        <w:tc>
          <w:tcPr>
            <w:tcW w:w="1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940" w:type="dxa"/>
            <w:vAlign w:val="bottom"/>
            <w:vMerge w:val="restart"/>
          </w:tcPr>
          <w:p>
            <w:pPr>
              <w:ind w:left="700"/>
              <w:spacing w:after="0"/>
              <w:rPr>
                <w:sz w:val="20"/>
                <w:szCs w:val="20"/>
                <w:color w:val="auto"/>
              </w:rPr>
            </w:pPr>
            <w:r>
              <w:rPr>
                <w:rFonts w:ascii="Arial" w:cs="Arial" w:eastAsia="Arial" w:hAnsi="Arial"/>
                <w:sz w:val="16"/>
                <w:szCs w:val="16"/>
                <w:color w:val="auto"/>
              </w:rPr>
              <w:t>—</w:t>
            </w:r>
          </w:p>
        </w:tc>
        <w:tc>
          <w:tcPr>
            <w:tcW w:w="1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920" w:type="dxa"/>
            <w:vAlign w:val="bottom"/>
            <w:vMerge w:val="restart"/>
          </w:tcPr>
          <w:p>
            <w:pPr>
              <w:ind w:left="7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5"/>
        </w:trPr>
        <w:tc>
          <w:tcPr>
            <w:tcW w:w="3360" w:type="dxa"/>
            <w:vAlign w:val="bottom"/>
          </w:tcPr>
          <w:p>
            <w:pPr>
              <w:spacing w:after="0"/>
              <w:rPr>
                <w:sz w:val="20"/>
                <w:szCs w:val="20"/>
                <w:color w:val="auto"/>
              </w:rPr>
            </w:pPr>
            <w:r>
              <w:rPr>
                <w:rFonts w:ascii="Arial" w:cs="Arial" w:eastAsia="Arial" w:hAnsi="Arial"/>
                <w:sz w:val="16"/>
                <w:szCs w:val="16"/>
                <w:b w:val="1"/>
                <w:bCs w:val="1"/>
                <w:color w:val="auto"/>
              </w:rPr>
              <w:t>instruments</w:t>
            </w:r>
          </w:p>
        </w:tc>
        <w:tc>
          <w:tcPr>
            <w:tcW w:w="140" w:type="dxa"/>
            <w:vAlign w:val="bottom"/>
            <w:tcBorders>
              <w:bottom w:val="single" w:sz="8" w:color="auto"/>
            </w:tcBorders>
            <w:vMerge w:val="continue"/>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auto"/>
            </w:tcBorders>
            <w:vMerge w:val="continue"/>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auto"/>
            </w:tcBorders>
            <w:vMerge w:val="continue"/>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60" w:type="dxa"/>
            <w:vAlign w:val="bottom"/>
            <w:tcBorders>
              <w:bottom w:val="single" w:sz="8" w:color="auto"/>
            </w:tcBorders>
            <w:vMerge w:val="continue"/>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60" w:type="dxa"/>
            <w:vAlign w:val="bottom"/>
            <w:tcBorders>
              <w:bottom w:val="single" w:sz="8" w:color="auto"/>
            </w:tcBorders>
            <w:vMerge w:val="continue"/>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auto"/>
            </w:tcBorders>
            <w:vMerge w:val="continue"/>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3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-581660</wp:posOffset>
            </wp:positionV>
            <wp:extent cx="6410325" cy="5886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14">
                      <a:extLst>
                        <a:ext uri="{28A0092B-C50C-407E-A947-70E740481C1C}"/>
                      </a:extLst>
                    </a:blip>
                    <a:srcRect/>
                    <a:stretch>
                      <a:fillRect/>
                    </a:stretch>
                  </pic:blipFill>
                  <pic:spPr bwMode="auto">
                    <a:xfrm>
                      <a:off x="0" y="0"/>
                      <a:ext cx="6410325" cy="588645"/>
                    </a:xfrm>
                    <a:prstGeom prst="rect">
                      <a:avLst/>
                    </a:prstGeom>
                    <a:noFill/>
                  </pic:spPr>
                </pic:pic>
              </a:graphicData>
            </a:graphic>
          </wp:anchor>
        </w:drawing>
      </w:r>
    </w:p>
    <w:p>
      <w:pPr>
        <w:sectPr>
          <w:pgSz w:w="11880" w:h="15480" w:orient="portrait"/>
          <w:cols w:equalWidth="0" w:num="1">
            <w:col w:w="10040"/>
          </w:cols>
          <w:pgMar w:left="920" w:top="1121"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146</w:t>
      </w:r>
    </w:p>
    <w:p>
      <w:pPr>
        <w:sectPr>
          <w:pgSz w:w="11880" w:h="15480" w:orient="portrait"/>
          <w:cols w:equalWidth="0" w:num="1">
            <w:col w:w="10040"/>
          </w:cols>
          <w:pgMar w:left="920" w:top="1121" w:right="920" w:bottom="0" w:gutter="0" w:footer="0" w:header="0"/>
          <w:type w:val="continuous"/>
        </w:sectPr>
      </w:pPr>
    </w:p>
    <w:bookmarkStart w:id="158" w:name="page159"/>
    <w:bookmarkEnd w:id="158"/>
    <w:p>
      <w:pPr>
        <w:jc w:val="both"/>
        <w:ind w:firstLine="353"/>
        <w:spacing w:after="0" w:line="298" w:lineRule="auto"/>
        <w:rPr>
          <w:sz w:val="20"/>
          <w:szCs w:val="20"/>
          <w:color w:val="auto"/>
        </w:rPr>
      </w:pPr>
      <w:r>
        <w:rPr>
          <w:rFonts w:ascii="Arial" w:cs="Arial" w:eastAsia="Arial" w:hAnsi="Arial"/>
          <w:sz w:val="19"/>
          <w:szCs w:val="19"/>
          <w:color w:val="auto"/>
        </w:rPr>
        <w:t>The following amounts are recorded in the Consolidated Balance Sheets related to the carrying amount of hedged assets and (liabilities) and the cumulative basis adjustment included in the carrying amount for fair value hedges: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4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500" w:type="dxa"/>
            <w:vAlign w:val="bottom"/>
            <w:tcBorders>
              <w:bottom w:val="single" w:sz="8" w:color="auto"/>
            </w:tcBorders>
            <w:gridSpan w:val="2"/>
          </w:tcPr>
          <w:p>
            <w:pPr>
              <w:jc w:val="center"/>
              <w:ind w:left="62"/>
              <w:spacing w:after="0"/>
              <w:rPr>
                <w:sz w:val="20"/>
                <w:szCs w:val="20"/>
                <w:color w:val="auto"/>
              </w:rPr>
            </w:pPr>
            <w:r>
              <w:rPr>
                <w:rFonts w:ascii="Arial" w:cs="Arial" w:eastAsia="Arial" w:hAnsi="Arial"/>
                <w:sz w:val="16"/>
                <w:szCs w:val="16"/>
                <w:b w:val="1"/>
                <w:bCs w:val="1"/>
                <w:color w:val="auto"/>
                <w:w w:val="89"/>
              </w:rPr>
              <w:t>Year Ended December 31,</w:t>
            </w:r>
          </w:p>
        </w:tc>
        <w:tc>
          <w:tcPr>
            <w:tcW w:w="3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2025</w:t>
            </w:r>
          </w:p>
        </w:tc>
        <w:tc>
          <w:tcPr>
            <w:tcW w:w="13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2024</w:t>
            </w:r>
          </w:p>
        </w:tc>
        <w:tc>
          <w:tcPr>
            <w:tcW w:w="12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99"/>
        </w:trPr>
        <w:tc>
          <w:tcPr>
            <w:tcW w:w="3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jc w:val="center"/>
              <w:ind w:right="102"/>
              <w:spacing w:after="0"/>
              <w:rPr>
                <w:sz w:val="20"/>
                <w:szCs w:val="20"/>
                <w:color w:val="auto"/>
              </w:rPr>
            </w:pPr>
            <w:r>
              <w:rPr>
                <w:rFonts w:ascii="Arial" w:cs="Arial" w:eastAsia="Arial" w:hAnsi="Arial"/>
                <w:sz w:val="16"/>
                <w:szCs w:val="16"/>
                <w:b w:val="1"/>
                <w:bCs w:val="1"/>
                <w:color w:val="auto"/>
                <w:w w:val="90"/>
              </w:rPr>
              <w:t>Cumulative</w:t>
            </w:r>
          </w:p>
        </w:tc>
        <w:tc>
          <w:tcPr>
            <w:tcW w:w="1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jc w:val="center"/>
              <w:ind w:right="82"/>
              <w:spacing w:after="0"/>
              <w:rPr>
                <w:sz w:val="20"/>
                <w:szCs w:val="20"/>
                <w:color w:val="auto"/>
              </w:rPr>
            </w:pPr>
            <w:r>
              <w:rPr>
                <w:rFonts w:ascii="Arial" w:cs="Arial" w:eastAsia="Arial" w:hAnsi="Arial"/>
                <w:sz w:val="16"/>
                <w:szCs w:val="16"/>
                <w:b w:val="1"/>
                <w:bCs w:val="1"/>
                <w:color w:val="auto"/>
                <w:w w:val="92"/>
              </w:rPr>
              <w:t>Cumulative</w:t>
            </w:r>
          </w:p>
        </w:tc>
        <w:tc>
          <w:tcPr>
            <w:tcW w:w="0" w:type="dxa"/>
            <w:vAlign w:val="bottom"/>
          </w:tcPr>
          <w:p>
            <w:pPr>
              <w:spacing w:after="0"/>
              <w:rPr>
                <w:sz w:val="1"/>
                <w:szCs w:val="1"/>
                <w:color w:val="auto"/>
              </w:rPr>
            </w:pPr>
          </w:p>
        </w:tc>
      </w:tr>
      <w:tr>
        <w:trPr>
          <w:trHeight w:val="157"/>
        </w:trPr>
        <w:tc>
          <w:tcPr>
            <w:tcW w:w="3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20" w:type="dxa"/>
            <w:vAlign w:val="bottom"/>
          </w:tcPr>
          <w:p>
            <w:pPr>
              <w:jc w:val="center"/>
              <w:ind w:right="122"/>
              <w:spacing w:after="0" w:line="157" w:lineRule="exact"/>
              <w:rPr>
                <w:sz w:val="20"/>
                <w:szCs w:val="20"/>
                <w:color w:val="auto"/>
              </w:rPr>
            </w:pPr>
            <w:r>
              <w:rPr>
                <w:rFonts w:ascii="Arial" w:cs="Arial" w:eastAsia="Arial" w:hAnsi="Arial"/>
                <w:sz w:val="16"/>
                <w:szCs w:val="16"/>
                <w:b w:val="1"/>
                <w:bCs w:val="1"/>
                <w:color w:val="auto"/>
                <w:w w:val="91"/>
              </w:rPr>
              <w:t>Amount of Fair</w:t>
            </w:r>
          </w:p>
        </w:tc>
        <w:tc>
          <w:tcPr>
            <w:tcW w:w="11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80" w:type="dxa"/>
            <w:vAlign w:val="bottom"/>
          </w:tcPr>
          <w:p>
            <w:pPr>
              <w:jc w:val="center"/>
              <w:ind w:right="82"/>
              <w:spacing w:after="0" w:line="157" w:lineRule="exact"/>
              <w:rPr>
                <w:sz w:val="20"/>
                <w:szCs w:val="20"/>
                <w:color w:val="auto"/>
              </w:rPr>
            </w:pPr>
            <w:r>
              <w:rPr>
                <w:rFonts w:ascii="Arial" w:cs="Arial" w:eastAsia="Arial" w:hAnsi="Arial"/>
                <w:sz w:val="16"/>
                <w:szCs w:val="16"/>
                <w:b w:val="1"/>
                <w:bCs w:val="1"/>
                <w:color w:val="auto"/>
                <w:w w:val="91"/>
              </w:rPr>
              <w:t>Amount of Fair</w:t>
            </w:r>
          </w:p>
        </w:tc>
        <w:tc>
          <w:tcPr>
            <w:tcW w:w="0" w:type="dxa"/>
            <w:vAlign w:val="bottom"/>
          </w:tcPr>
          <w:p>
            <w:pPr>
              <w:spacing w:after="0"/>
              <w:rPr>
                <w:sz w:val="1"/>
                <w:szCs w:val="1"/>
                <w:color w:val="auto"/>
              </w:rPr>
            </w:pPr>
          </w:p>
        </w:tc>
      </w:tr>
      <w:tr>
        <w:trPr>
          <w:trHeight w:val="157"/>
        </w:trPr>
        <w:tc>
          <w:tcPr>
            <w:tcW w:w="3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20" w:type="dxa"/>
            <w:vAlign w:val="bottom"/>
          </w:tcPr>
          <w:p>
            <w:pPr>
              <w:jc w:val="center"/>
              <w:ind w:right="122"/>
              <w:spacing w:after="0" w:line="157" w:lineRule="exact"/>
              <w:rPr>
                <w:sz w:val="20"/>
                <w:szCs w:val="20"/>
                <w:color w:val="auto"/>
              </w:rPr>
            </w:pPr>
            <w:r>
              <w:rPr>
                <w:rFonts w:ascii="Arial" w:cs="Arial" w:eastAsia="Arial" w:hAnsi="Arial"/>
                <w:sz w:val="16"/>
                <w:szCs w:val="16"/>
                <w:b w:val="1"/>
                <w:bCs w:val="1"/>
                <w:color w:val="auto"/>
                <w:w w:val="89"/>
              </w:rPr>
              <w:t>Value Hedging</w:t>
            </w:r>
          </w:p>
        </w:tc>
        <w:tc>
          <w:tcPr>
            <w:tcW w:w="11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80" w:type="dxa"/>
            <w:vAlign w:val="bottom"/>
          </w:tcPr>
          <w:p>
            <w:pPr>
              <w:jc w:val="center"/>
              <w:ind w:right="82"/>
              <w:spacing w:after="0" w:line="157" w:lineRule="exact"/>
              <w:rPr>
                <w:sz w:val="20"/>
                <w:szCs w:val="20"/>
                <w:color w:val="auto"/>
              </w:rPr>
            </w:pPr>
            <w:r>
              <w:rPr>
                <w:rFonts w:ascii="Arial" w:cs="Arial" w:eastAsia="Arial" w:hAnsi="Arial"/>
                <w:sz w:val="16"/>
                <w:szCs w:val="16"/>
                <w:b w:val="1"/>
                <w:bCs w:val="1"/>
                <w:color w:val="auto"/>
                <w:w w:val="89"/>
              </w:rPr>
              <w:t>Value Hedging</w:t>
            </w:r>
          </w:p>
        </w:tc>
        <w:tc>
          <w:tcPr>
            <w:tcW w:w="0" w:type="dxa"/>
            <w:vAlign w:val="bottom"/>
          </w:tcPr>
          <w:p>
            <w:pPr>
              <w:spacing w:after="0"/>
              <w:rPr>
                <w:sz w:val="1"/>
                <w:szCs w:val="1"/>
                <w:color w:val="auto"/>
              </w:rPr>
            </w:pPr>
          </w:p>
        </w:tc>
      </w:tr>
      <w:tr>
        <w:trPr>
          <w:trHeight w:val="157"/>
        </w:trPr>
        <w:tc>
          <w:tcPr>
            <w:tcW w:w="3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20" w:type="dxa"/>
            <w:vAlign w:val="bottom"/>
          </w:tcPr>
          <w:p>
            <w:pPr>
              <w:jc w:val="center"/>
              <w:ind w:right="122"/>
              <w:spacing w:after="0" w:line="157" w:lineRule="exact"/>
              <w:rPr>
                <w:sz w:val="20"/>
                <w:szCs w:val="20"/>
                <w:color w:val="auto"/>
              </w:rPr>
            </w:pPr>
            <w:r>
              <w:rPr>
                <w:rFonts w:ascii="Arial" w:cs="Arial" w:eastAsia="Arial" w:hAnsi="Arial"/>
                <w:sz w:val="16"/>
                <w:szCs w:val="16"/>
                <w:b w:val="1"/>
                <w:bCs w:val="1"/>
                <w:color w:val="auto"/>
                <w:w w:val="90"/>
              </w:rPr>
              <w:t>Adjustment</w:t>
            </w:r>
          </w:p>
        </w:tc>
        <w:tc>
          <w:tcPr>
            <w:tcW w:w="11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80" w:type="dxa"/>
            <w:vAlign w:val="bottom"/>
          </w:tcPr>
          <w:p>
            <w:pPr>
              <w:jc w:val="center"/>
              <w:ind w:right="82"/>
              <w:spacing w:after="0" w:line="157" w:lineRule="exact"/>
              <w:rPr>
                <w:sz w:val="20"/>
                <w:szCs w:val="20"/>
                <w:color w:val="auto"/>
              </w:rPr>
            </w:pPr>
            <w:r>
              <w:rPr>
                <w:rFonts w:ascii="Arial" w:cs="Arial" w:eastAsia="Arial" w:hAnsi="Arial"/>
                <w:sz w:val="16"/>
                <w:szCs w:val="16"/>
                <w:b w:val="1"/>
                <w:bCs w:val="1"/>
                <w:color w:val="auto"/>
                <w:w w:val="90"/>
              </w:rPr>
              <w:t>Adjustment</w:t>
            </w:r>
          </w:p>
        </w:tc>
        <w:tc>
          <w:tcPr>
            <w:tcW w:w="0" w:type="dxa"/>
            <w:vAlign w:val="bottom"/>
          </w:tcPr>
          <w:p>
            <w:pPr>
              <w:spacing w:after="0"/>
              <w:rPr>
                <w:sz w:val="1"/>
                <w:szCs w:val="1"/>
                <w:color w:val="auto"/>
              </w:rPr>
            </w:pPr>
          </w:p>
        </w:tc>
      </w:tr>
      <w:tr>
        <w:trPr>
          <w:trHeight w:val="157"/>
        </w:trPr>
        <w:tc>
          <w:tcPr>
            <w:tcW w:w="3400" w:type="dxa"/>
            <w:vAlign w:val="bottom"/>
          </w:tcPr>
          <w:p>
            <w:pPr>
              <w:spacing w:after="0"/>
              <w:rPr>
                <w:sz w:val="13"/>
                <w:szCs w:val="13"/>
                <w:color w:val="auto"/>
              </w:rPr>
            </w:pPr>
          </w:p>
        </w:tc>
        <w:tc>
          <w:tcPr>
            <w:tcW w:w="1480" w:type="dxa"/>
            <w:vAlign w:val="bottom"/>
            <w:gridSpan w:val="2"/>
            <w:vMerge w:val="restart"/>
          </w:tcPr>
          <w:p>
            <w:pPr>
              <w:jc w:val="center"/>
              <w:spacing w:after="0"/>
              <w:rPr>
                <w:sz w:val="20"/>
                <w:szCs w:val="20"/>
                <w:color w:val="auto"/>
              </w:rPr>
            </w:pPr>
            <w:r>
              <w:rPr>
                <w:rFonts w:ascii="Arial" w:cs="Arial" w:eastAsia="Arial" w:hAnsi="Arial"/>
                <w:sz w:val="16"/>
                <w:szCs w:val="16"/>
                <w:b w:val="1"/>
                <w:bCs w:val="1"/>
                <w:color w:val="auto"/>
                <w:w w:val="91"/>
              </w:rPr>
              <w:t>Carrying Amount</w:t>
            </w:r>
          </w:p>
        </w:tc>
        <w:tc>
          <w:tcPr>
            <w:tcW w:w="180" w:type="dxa"/>
            <w:vAlign w:val="bottom"/>
          </w:tcPr>
          <w:p>
            <w:pPr>
              <w:spacing w:after="0"/>
              <w:rPr>
                <w:sz w:val="13"/>
                <w:szCs w:val="13"/>
                <w:color w:val="auto"/>
              </w:rPr>
            </w:pPr>
          </w:p>
        </w:tc>
        <w:tc>
          <w:tcPr>
            <w:tcW w:w="1320" w:type="dxa"/>
            <w:vAlign w:val="bottom"/>
          </w:tcPr>
          <w:p>
            <w:pPr>
              <w:jc w:val="center"/>
              <w:ind w:right="122"/>
              <w:spacing w:after="0" w:line="157" w:lineRule="exact"/>
              <w:rPr>
                <w:sz w:val="20"/>
                <w:szCs w:val="20"/>
                <w:color w:val="auto"/>
              </w:rPr>
            </w:pPr>
            <w:r>
              <w:rPr>
                <w:rFonts w:ascii="Arial" w:cs="Arial" w:eastAsia="Arial" w:hAnsi="Arial"/>
                <w:sz w:val="16"/>
                <w:szCs w:val="16"/>
                <w:b w:val="1"/>
                <w:bCs w:val="1"/>
                <w:color w:val="auto"/>
                <w:w w:val="88"/>
              </w:rPr>
              <w:t>included in the</w:t>
            </w:r>
          </w:p>
        </w:tc>
        <w:tc>
          <w:tcPr>
            <w:tcW w:w="1500" w:type="dxa"/>
            <w:vAlign w:val="bottom"/>
            <w:gridSpan w:val="2"/>
            <w:vMerge w:val="restart"/>
          </w:tcPr>
          <w:p>
            <w:pPr>
              <w:jc w:val="center"/>
              <w:spacing w:after="0"/>
              <w:rPr>
                <w:sz w:val="20"/>
                <w:szCs w:val="20"/>
                <w:color w:val="auto"/>
              </w:rPr>
            </w:pPr>
            <w:r>
              <w:rPr>
                <w:rFonts w:ascii="Arial" w:cs="Arial" w:eastAsia="Arial" w:hAnsi="Arial"/>
                <w:sz w:val="16"/>
                <w:szCs w:val="16"/>
                <w:b w:val="1"/>
                <w:bCs w:val="1"/>
                <w:color w:val="auto"/>
                <w:w w:val="91"/>
              </w:rPr>
              <w:t>Carrying Amount</w:t>
            </w:r>
          </w:p>
        </w:tc>
        <w:tc>
          <w:tcPr>
            <w:tcW w:w="180" w:type="dxa"/>
            <w:vAlign w:val="bottom"/>
          </w:tcPr>
          <w:p>
            <w:pPr>
              <w:spacing w:after="0"/>
              <w:rPr>
                <w:sz w:val="13"/>
                <w:szCs w:val="13"/>
                <w:color w:val="auto"/>
              </w:rPr>
            </w:pPr>
          </w:p>
        </w:tc>
        <w:tc>
          <w:tcPr>
            <w:tcW w:w="1280" w:type="dxa"/>
            <w:vAlign w:val="bottom"/>
          </w:tcPr>
          <w:p>
            <w:pPr>
              <w:jc w:val="center"/>
              <w:ind w:right="82"/>
              <w:spacing w:after="0" w:line="157" w:lineRule="exact"/>
              <w:rPr>
                <w:sz w:val="20"/>
                <w:szCs w:val="20"/>
                <w:color w:val="auto"/>
              </w:rPr>
            </w:pPr>
            <w:r>
              <w:rPr>
                <w:rFonts w:ascii="Arial" w:cs="Arial" w:eastAsia="Arial" w:hAnsi="Arial"/>
                <w:sz w:val="16"/>
                <w:szCs w:val="16"/>
                <w:b w:val="1"/>
                <w:bCs w:val="1"/>
                <w:color w:val="auto"/>
                <w:w w:val="88"/>
              </w:rPr>
              <w:t>included in the</w:t>
            </w:r>
          </w:p>
        </w:tc>
        <w:tc>
          <w:tcPr>
            <w:tcW w:w="0" w:type="dxa"/>
            <w:vAlign w:val="bottom"/>
          </w:tcPr>
          <w:p>
            <w:pPr>
              <w:spacing w:after="0"/>
              <w:rPr>
                <w:sz w:val="1"/>
                <w:szCs w:val="1"/>
                <w:color w:val="auto"/>
              </w:rPr>
            </w:pPr>
          </w:p>
        </w:tc>
      </w:tr>
      <w:tr>
        <w:trPr>
          <w:trHeight w:val="157"/>
        </w:trPr>
        <w:tc>
          <w:tcPr>
            <w:tcW w:w="3400" w:type="dxa"/>
            <w:vAlign w:val="bottom"/>
            <w:vMerge w:val="restart"/>
          </w:tcPr>
          <w:p>
            <w:pPr>
              <w:ind w:left="40"/>
              <w:spacing w:after="0"/>
              <w:rPr>
                <w:sz w:val="20"/>
                <w:szCs w:val="20"/>
                <w:color w:val="auto"/>
              </w:rPr>
            </w:pPr>
            <w:r>
              <w:rPr>
                <w:rFonts w:ascii="Arial" w:cs="Arial" w:eastAsia="Arial" w:hAnsi="Arial"/>
                <w:sz w:val="16"/>
                <w:szCs w:val="16"/>
                <w:b w:val="1"/>
                <w:bCs w:val="1"/>
                <w:color w:val="auto"/>
                <w:w w:val="90"/>
              </w:rPr>
              <w:t>Line Item in the Consolidated Balance Sheet that</w:t>
            </w:r>
          </w:p>
        </w:tc>
        <w:tc>
          <w:tcPr>
            <w:tcW w:w="1480" w:type="dxa"/>
            <w:vAlign w:val="bottom"/>
            <w:gridSpan w:val="2"/>
            <w:vMerge w:val="continue"/>
          </w:tcPr>
          <w:p>
            <w:pPr>
              <w:spacing w:after="0"/>
              <w:rPr>
                <w:sz w:val="13"/>
                <w:szCs w:val="13"/>
                <w:color w:val="auto"/>
              </w:rPr>
            </w:pPr>
          </w:p>
        </w:tc>
        <w:tc>
          <w:tcPr>
            <w:tcW w:w="1500" w:type="dxa"/>
            <w:vAlign w:val="bottom"/>
            <w:gridSpan w:val="2"/>
          </w:tcPr>
          <w:p>
            <w:pPr>
              <w:jc w:val="center"/>
              <w:spacing w:after="0" w:line="157" w:lineRule="exact"/>
              <w:rPr>
                <w:sz w:val="20"/>
                <w:szCs w:val="20"/>
                <w:color w:val="auto"/>
              </w:rPr>
            </w:pPr>
            <w:r>
              <w:rPr>
                <w:rFonts w:ascii="Arial" w:cs="Arial" w:eastAsia="Arial" w:hAnsi="Arial"/>
                <w:sz w:val="16"/>
                <w:szCs w:val="16"/>
                <w:b w:val="1"/>
                <w:bCs w:val="1"/>
                <w:color w:val="auto"/>
                <w:w w:val="91"/>
              </w:rPr>
              <w:t>Carrying Amount</w:t>
            </w:r>
          </w:p>
        </w:tc>
        <w:tc>
          <w:tcPr>
            <w:tcW w:w="1500" w:type="dxa"/>
            <w:vAlign w:val="bottom"/>
            <w:gridSpan w:val="2"/>
            <w:vMerge w:val="continue"/>
          </w:tcPr>
          <w:p>
            <w:pPr>
              <w:spacing w:after="0"/>
              <w:rPr>
                <w:sz w:val="13"/>
                <w:szCs w:val="13"/>
                <w:color w:val="auto"/>
              </w:rPr>
            </w:pPr>
          </w:p>
        </w:tc>
        <w:tc>
          <w:tcPr>
            <w:tcW w:w="1460" w:type="dxa"/>
            <w:vAlign w:val="bottom"/>
            <w:gridSpan w:val="2"/>
          </w:tcPr>
          <w:p>
            <w:pPr>
              <w:jc w:val="center"/>
              <w:spacing w:after="0" w:line="157" w:lineRule="exact"/>
              <w:rPr>
                <w:sz w:val="20"/>
                <w:szCs w:val="20"/>
                <w:color w:val="auto"/>
              </w:rPr>
            </w:pPr>
            <w:r>
              <w:rPr>
                <w:rFonts w:ascii="Arial" w:cs="Arial" w:eastAsia="Arial" w:hAnsi="Arial"/>
                <w:sz w:val="16"/>
                <w:szCs w:val="16"/>
                <w:b w:val="1"/>
                <w:bCs w:val="1"/>
                <w:color w:val="auto"/>
                <w:w w:val="91"/>
              </w:rPr>
              <w:t>Carrying Amount</w:t>
            </w:r>
          </w:p>
        </w:tc>
        <w:tc>
          <w:tcPr>
            <w:tcW w:w="0" w:type="dxa"/>
            <w:vAlign w:val="bottom"/>
          </w:tcPr>
          <w:p>
            <w:pPr>
              <w:spacing w:after="0"/>
              <w:rPr>
                <w:sz w:val="1"/>
                <w:szCs w:val="1"/>
                <w:color w:val="auto"/>
              </w:rPr>
            </w:pPr>
          </w:p>
        </w:tc>
      </w:tr>
      <w:tr>
        <w:trPr>
          <w:trHeight w:val="157"/>
        </w:trPr>
        <w:tc>
          <w:tcPr>
            <w:tcW w:w="340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1340" w:type="dxa"/>
            <w:vAlign w:val="bottom"/>
          </w:tcPr>
          <w:p>
            <w:pPr>
              <w:jc w:val="center"/>
              <w:ind w:right="82"/>
              <w:spacing w:after="0" w:line="157" w:lineRule="exact"/>
              <w:rPr>
                <w:sz w:val="20"/>
                <w:szCs w:val="20"/>
                <w:color w:val="auto"/>
              </w:rPr>
            </w:pPr>
            <w:r>
              <w:rPr>
                <w:rFonts w:ascii="Arial" w:cs="Arial" w:eastAsia="Arial" w:hAnsi="Arial"/>
                <w:sz w:val="16"/>
                <w:szCs w:val="16"/>
                <w:b w:val="1"/>
                <w:bCs w:val="1"/>
                <w:color w:val="auto"/>
                <w:w w:val="84"/>
              </w:rPr>
              <w:t>of Hedged Assets</w:t>
            </w:r>
          </w:p>
        </w:tc>
        <w:tc>
          <w:tcPr>
            <w:tcW w:w="180" w:type="dxa"/>
            <w:vAlign w:val="bottom"/>
          </w:tcPr>
          <w:p>
            <w:pPr>
              <w:spacing w:after="0"/>
              <w:rPr>
                <w:sz w:val="13"/>
                <w:szCs w:val="13"/>
                <w:color w:val="auto"/>
              </w:rPr>
            </w:pPr>
          </w:p>
        </w:tc>
        <w:tc>
          <w:tcPr>
            <w:tcW w:w="1320" w:type="dxa"/>
            <w:vAlign w:val="bottom"/>
          </w:tcPr>
          <w:p>
            <w:pPr>
              <w:jc w:val="center"/>
              <w:ind w:right="122"/>
              <w:spacing w:after="0" w:line="157" w:lineRule="exact"/>
              <w:rPr>
                <w:sz w:val="20"/>
                <w:szCs w:val="20"/>
                <w:color w:val="auto"/>
              </w:rPr>
            </w:pPr>
            <w:r>
              <w:rPr>
                <w:rFonts w:ascii="Arial" w:cs="Arial" w:eastAsia="Arial" w:hAnsi="Arial"/>
                <w:sz w:val="16"/>
                <w:szCs w:val="16"/>
                <w:b w:val="1"/>
                <w:bCs w:val="1"/>
                <w:color w:val="auto"/>
                <w:w w:val="86"/>
              </w:rPr>
              <w:t>of the Hedged</w:t>
            </w:r>
          </w:p>
        </w:tc>
        <w:tc>
          <w:tcPr>
            <w:tcW w:w="1500" w:type="dxa"/>
            <w:vAlign w:val="bottom"/>
            <w:gridSpan w:val="2"/>
          </w:tcPr>
          <w:p>
            <w:pPr>
              <w:jc w:val="center"/>
              <w:spacing w:after="0" w:line="157" w:lineRule="exact"/>
              <w:rPr>
                <w:sz w:val="20"/>
                <w:szCs w:val="20"/>
                <w:color w:val="auto"/>
              </w:rPr>
            </w:pPr>
            <w:r>
              <w:rPr>
                <w:rFonts w:ascii="Arial" w:cs="Arial" w:eastAsia="Arial" w:hAnsi="Arial"/>
                <w:sz w:val="16"/>
                <w:szCs w:val="16"/>
                <w:b w:val="1"/>
                <w:bCs w:val="1"/>
                <w:color w:val="auto"/>
                <w:w w:val="84"/>
              </w:rPr>
              <w:t>of Hedged Assets</w:t>
            </w:r>
          </w:p>
        </w:tc>
        <w:tc>
          <w:tcPr>
            <w:tcW w:w="180" w:type="dxa"/>
            <w:vAlign w:val="bottom"/>
          </w:tcPr>
          <w:p>
            <w:pPr>
              <w:spacing w:after="0"/>
              <w:rPr>
                <w:sz w:val="13"/>
                <w:szCs w:val="13"/>
                <w:color w:val="auto"/>
              </w:rPr>
            </w:pPr>
          </w:p>
        </w:tc>
        <w:tc>
          <w:tcPr>
            <w:tcW w:w="1280" w:type="dxa"/>
            <w:vAlign w:val="bottom"/>
          </w:tcPr>
          <w:p>
            <w:pPr>
              <w:jc w:val="center"/>
              <w:ind w:right="82"/>
              <w:spacing w:after="0" w:line="157" w:lineRule="exact"/>
              <w:rPr>
                <w:sz w:val="20"/>
                <w:szCs w:val="20"/>
                <w:color w:val="auto"/>
              </w:rPr>
            </w:pPr>
            <w:r>
              <w:rPr>
                <w:rFonts w:ascii="Arial" w:cs="Arial" w:eastAsia="Arial" w:hAnsi="Arial"/>
                <w:sz w:val="16"/>
                <w:szCs w:val="16"/>
                <w:b w:val="1"/>
                <w:bCs w:val="1"/>
                <w:color w:val="auto"/>
                <w:w w:val="86"/>
              </w:rPr>
              <w:t>of the Hedged</w:t>
            </w:r>
          </w:p>
        </w:tc>
        <w:tc>
          <w:tcPr>
            <w:tcW w:w="0" w:type="dxa"/>
            <w:vAlign w:val="bottom"/>
          </w:tcPr>
          <w:p>
            <w:pPr>
              <w:spacing w:after="0"/>
              <w:rPr>
                <w:sz w:val="1"/>
                <w:szCs w:val="1"/>
                <w:color w:val="auto"/>
              </w:rPr>
            </w:pPr>
          </w:p>
        </w:tc>
      </w:tr>
      <w:tr>
        <w:trPr>
          <w:trHeight w:val="210"/>
        </w:trPr>
        <w:tc>
          <w:tcPr>
            <w:tcW w:w="340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includes hedged item</w:t>
            </w:r>
          </w:p>
        </w:tc>
        <w:tc>
          <w:tcPr>
            <w:tcW w:w="1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center"/>
              <w:ind w:right="82"/>
              <w:spacing w:after="0"/>
              <w:rPr>
                <w:sz w:val="20"/>
                <w:szCs w:val="20"/>
                <w:color w:val="auto"/>
              </w:rPr>
            </w:pPr>
            <w:r>
              <w:rPr>
                <w:rFonts w:ascii="Arial" w:cs="Arial" w:eastAsia="Arial" w:hAnsi="Arial"/>
                <w:sz w:val="16"/>
                <w:szCs w:val="16"/>
                <w:b w:val="1"/>
                <w:bCs w:val="1"/>
                <w:color w:val="auto"/>
                <w:w w:val="92"/>
              </w:rPr>
              <w:t>(Liabilities)</w:t>
            </w:r>
          </w:p>
        </w:tc>
        <w:tc>
          <w:tcPr>
            <w:tcW w:w="150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w w:val="87"/>
              </w:rPr>
              <w:t>Assets (Liabilities)</w:t>
            </w:r>
          </w:p>
        </w:tc>
        <w:tc>
          <w:tcPr>
            <w:tcW w:w="1180" w:type="dxa"/>
            <w:vAlign w:val="bottom"/>
            <w:tcBorders>
              <w:bottom w:val="single" w:sz="8" w:color="auto"/>
            </w:tcBorders>
          </w:tcPr>
          <w:p>
            <w:pPr>
              <w:jc w:val="center"/>
              <w:ind w:left="242"/>
              <w:spacing w:after="0"/>
              <w:rPr>
                <w:sz w:val="20"/>
                <w:szCs w:val="20"/>
                <w:color w:val="auto"/>
              </w:rPr>
            </w:pPr>
            <w:r>
              <w:rPr>
                <w:rFonts w:ascii="Arial" w:cs="Arial" w:eastAsia="Arial" w:hAnsi="Arial"/>
                <w:sz w:val="16"/>
                <w:szCs w:val="16"/>
                <w:b w:val="1"/>
                <w:bCs w:val="1"/>
                <w:color w:val="auto"/>
                <w:w w:val="92"/>
              </w:rPr>
              <w:t>(Liabilities)</w:t>
            </w:r>
          </w:p>
        </w:tc>
        <w:tc>
          <w:tcPr>
            <w:tcW w:w="3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w w:val="87"/>
              </w:rPr>
              <w:t>Assets (Liabilities)</w:t>
            </w:r>
          </w:p>
        </w:tc>
        <w:tc>
          <w:tcPr>
            <w:tcW w:w="0" w:type="dxa"/>
            <w:vAlign w:val="bottom"/>
          </w:tcPr>
          <w:p>
            <w:pPr>
              <w:spacing w:after="0"/>
              <w:rPr>
                <w:sz w:val="1"/>
                <w:szCs w:val="1"/>
                <w:color w:val="auto"/>
              </w:rPr>
            </w:pPr>
          </w:p>
        </w:tc>
      </w:tr>
      <w:tr>
        <w:trPr>
          <w:trHeight w:val="223"/>
        </w:trPr>
        <w:tc>
          <w:tcPr>
            <w:tcW w:w="3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500" w:type="dxa"/>
            <w:vAlign w:val="bottom"/>
            <w:gridSpan w:val="2"/>
          </w:tcPr>
          <w:p>
            <w:pPr>
              <w:jc w:val="center"/>
              <w:ind w:left="42"/>
              <w:spacing w:after="0"/>
              <w:rPr>
                <w:sz w:val="20"/>
                <w:szCs w:val="20"/>
                <w:color w:val="auto"/>
              </w:rPr>
            </w:pPr>
            <w:r>
              <w:rPr>
                <w:rFonts w:ascii="Arial" w:cs="Arial" w:eastAsia="Arial" w:hAnsi="Arial"/>
                <w:sz w:val="16"/>
                <w:szCs w:val="16"/>
                <w:b w:val="1"/>
                <w:bCs w:val="1"/>
                <w:color w:val="auto"/>
                <w:w w:val="91"/>
              </w:rPr>
              <w:t>(In millions)</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3400" w:type="dxa"/>
            <w:vAlign w:val="bottom"/>
          </w:tcPr>
          <w:p>
            <w:pPr>
              <w:ind w:left="40"/>
              <w:spacing w:after="0"/>
              <w:rPr>
                <w:sz w:val="20"/>
                <w:szCs w:val="20"/>
                <w:color w:val="auto"/>
              </w:rPr>
            </w:pPr>
            <w:r>
              <w:rPr>
                <w:rFonts w:ascii="Arial" w:cs="Arial" w:eastAsia="Arial" w:hAnsi="Arial"/>
                <w:sz w:val="16"/>
                <w:szCs w:val="16"/>
                <w:color w:val="auto"/>
                <w:w w:val="97"/>
              </w:rPr>
              <w:t>Fixed maturity securities, AFS, at amortized cost</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22"/>
              <w:spacing w:after="0"/>
              <w:rPr>
                <w:sz w:val="20"/>
                <w:szCs w:val="20"/>
                <w:color w:val="auto"/>
              </w:rPr>
            </w:pPr>
            <w:r>
              <w:rPr>
                <w:rFonts w:ascii="Arial" w:cs="Arial" w:eastAsia="Arial" w:hAnsi="Arial"/>
                <w:sz w:val="16"/>
                <w:szCs w:val="16"/>
                <w:color w:val="auto"/>
              </w:rPr>
              <w:t>21</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942"/>
              <w:spacing w:after="0"/>
              <w:rPr>
                <w:sz w:val="20"/>
                <w:szCs w:val="20"/>
                <w:color w:val="auto"/>
              </w:rPr>
            </w:pPr>
            <w:r>
              <w:rPr>
                <w:rFonts w:ascii="Arial" w:cs="Arial" w:eastAsia="Arial" w:hAnsi="Arial"/>
                <w:sz w:val="16"/>
                <w:szCs w:val="16"/>
                <w:color w:val="auto"/>
              </w:rPr>
              <w:t>$</w:t>
            </w:r>
          </w:p>
        </w:tc>
        <w:tc>
          <w:tcPr>
            <w:tcW w:w="320" w:type="dxa"/>
            <w:vAlign w:val="bottom"/>
          </w:tcPr>
          <w:p>
            <w:pPr>
              <w:ind w:left="60"/>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280" w:type="dxa"/>
            <w:vAlign w:val="bottom"/>
          </w:tcPr>
          <w:p>
            <w:pPr>
              <w:ind w:left="10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0"/>
        </w:trPr>
        <w:tc>
          <w:tcPr>
            <w:tcW w:w="3400" w:type="dxa"/>
            <w:vAlign w:val="bottom"/>
          </w:tcPr>
          <w:p>
            <w:pPr>
              <w:ind w:left="40"/>
              <w:spacing w:after="0"/>
              <w:rPr>
                <w:sz w:val="20"/>
                <w:szCs w:val="20"/>
                <w:color w:val="auto"/>
              </w:rPr>
            </w:pPr>
            <w:r>
              <w:rPr>
                <w:rFonts w:ascii="Arial" w:cs="Arial" w:eastAsia="Arial" w:hAnsi="Arial"/>
                <w:sz w:val="16"/>
                <w:szCs w:val="16"/>
                <w:color w:val="auto"/>
              </w:rPr>
              <w:t>Contractholder funds</w:t>
            </w:r>
          </w:p>
        </w:tc>
        <w:tc>
          <w:tcPr>
            <w:tcW w:w="140" w:type="dxa"/>
            <w:vAlign w:val="bottom"/>
          </w:tcPr>
          <w:p>
            <w:pPr>
              <w:spacing w:after="0"/>
              <w:rPr>
                <w:sz w:val="21"/>
                <w:szCs w:val="21"/>
                <w:color w:val="auto"/>
              </w:rPr>
            </w:pPr>
          </w:p>
        </w:tc>
        <w:tc>
          <w:tcPr>
            <w:tcW w:w="1340" w:type="dxa"/>
            <w:vAlign w:val="bottom"/>
          </w:tcPr>
          <w:p>
            <w:pPr>
              <w:jc w:val="right"/>
              <w:ind w:right="2"/>
              <w:spacing w:after="0"/>
              <w:rPr>
                <w:sz w:val="20"/>
                <w:szCs w:val="20"/>
                <w:color w:val="auto"/>
              </w:rPr>
            </w:pPr>
            <w:r>
              <w:rPr>
                <w:rFonts w:ascii="Arial" w:cs="Arial" w:eastAsia="Arial" w:hAnsi="Arial"/>
                <w:sz w:val="16"/>
                <w:szCs w:val="16"/>
                <w:color w:val="auto"/>
              </w:rPr>
              <w:t>(862)</w:t>
            </w:r>
          </w:p>
        </w:tc>
        <w:tc>
          <w:tcPr>
            <w:tcW w:w="180" w:type="dxa"/>
            <w:vAlign w:val="bottom"/>
          </w:tcPr>
          <w:p>
            <w:pPr>
              <w:spacing w:after="0"/>
              <w:rPr>
                <w:sz w:val="21"/>
                <w:szCs w:val="21"/>
                <w:color w:val="auto"/>
              </w:rPr>
            </w:pPr>
          </w:p>
        </w:tc>
        <w:tc>
          <w:tcPr>
            <w:tcW w:w="1320" w:type="dxa"/>
            <w:vAlign w:val="bottom"/>
          </w:tcPr>
          <w:p>
            <w:pPr>
              <w:jc w:val="right"/>
              <w:ind w:right="2"/>
              <w:spacing w:after="0"/>
              <w:rPr>
                <w:sz w:val="20"/>
                <w:szCs w:val="20"/>
                <w:color w:val="auto"/>
              </w:rPr>
            </w:pPr>
            <w:r>
              <w:rPr>
                <w:rFonts w:ascii="Arial" w:cs="Arial" w:eastAsia="Arial" w:hAnsi="Arial"/>
                <w:sz w:val="16"/>
                <w:szCs w:val="16"/>
                <w:color w:val="auto"/>
              </w:rPr>
              <w:t>(11)</w:t>
            </w:r>
          </w:p>
        </w:tc>
        <w:tc>
          <w:tcPr>
            <w:tcW w:w="1180" w:type="dxa"/>
            <w:vAlign w:val="bottom"/>
          </w:tcPr>
          <w:p>
            <w:pPr>
              <w:spacing w:after="0"/>
              <w:rPr>
                <w:sz w:val="21"/>
                <w:szCs w:val="21"/>
                <w:color w:val="auto"/>
              </w:rPr>
            </w:pPr>
          </w:p>
        </w:tc>
        <w:tc>
          <w:tcPr>
            <w:tcW w:w="320" w:type="dxa"/>
            <w:vAlign w:val="bottom"/>
          </w:tcPr>
          <w:p>
            <w:pPr>
              <w:ind w:left="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1"/>
                <w:szCs w:val="21"/>
                <w:color w:val="auto"/>
              </w:rPr>
            </w:pPr>
          </w:p>
        </w:tc>
        <w:tc>
          <w:tcPr>
            <w:tcW w:w="1280" w:type="dxa"/>
            <w:vAlign w:val="bottom"/>
          </w:tcPr>
          <w:p>
            <w:pPr>
              <w:ind w:left="10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-318770</wp:posOffset>
            </wp:positionV>
            <wp:extent cx="5962015" cy="3429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15">
                      <a:extLst>
                        <a:ext uri="{28A0092B-C50C-407E-A947-70E740481C1C}"/>
                      </a:extLst>
                    </a:blip>
                    <a:srcRect/>
                    <a:stretch>
                      <a:fillRect/>
                    </a:stretch>
                  </pic:blipFill>
                  <pic:spPr bwMode="auto">
                    <a:xfrm>
                      <a:off x="0" y="0"/>
                      <a:ext cx="5962015" cy="342900"/>
                    </a:xfrm>
                    <a:prstGeom prst="rect">
                      <a:avLst/>
                    </a:prstGeom>
                    <a:noFill/>
                  </pic:spPr>
                </pic:pic>
              </a:graphicData>
            </a:graphic>
          </wp:anchor>
        </w:drawing>
      </w:r>
    </w:p>
    <w:p>
      <w:pPr>
        <w:spacing w:after="0" w:line="152" w:lineRule="exact"/>
        <w:rPr>
          <w:sz w:val="20"/>
          <w:szCs w:val="20"/>
          <w:color w:val="auto"/>
        </w:rPr>
      </w:pPr>
    </w:p>
    <w:p>
      <w:pPr>
        <w:jc w:val="both"/>
        <w:ind w:firstLine="353"/>
        <w:spacing w:after="0" w:line="271" w:lineRule="auto"/>
        <w:rPr>
          <w:sz w:val="20"/>
          <w:szCs w:val="20"/>
          <w:color w:val="auto"/>
        </w:rPr>
      </w:pPr>
      <w:r>
        <w:rPr>
          <w:rFonts w:ascii="Arial" w:cs="Arial" w:eastAsia="Arial" w:hAnsi="Arial"/>
          <w:sz w:val="20"/>
          <w:szCs w:val="20"/>
          <w:color w:val="auto"/>
        </w:rPr>
        <w:t>For the years ended December 31, 2025, 2024, and 2023, the derivative instruments’ gains losses, net excluded from the assessment of hedge effectiveness was immaterial.</w:t>
      </w:r>
    </w:p>
    <w:p>
      <w:pPr>
        <w:spacing w:after="0" w:line="69" w:lineRule="exact"/>
        <w:rPr>
          <w:sz w:val="20"/>
          <w:szCs w:val="20"/>
          <w:color w:val="auto"/>
        </w:rPr>
      </w:pPr>
    </w:p>
    <w:p>
      <w:pPr>
        <w:jc w:val="both"/>
        <w:ind w:firstLine="353"/>
        <w:spacing w:after="0" w:line="271" w:lineRule="auto"/>
        <w:rPr>
          <w:sz w:val="20"/>
          <w:szCs w:val="20"/>
          <w:color w:val="auto"/>
        </w:rPr>
      </w:pPr>
      <w:r>
        <w:rPr>
          <w:rFonts w:ascii="Arial" w:cs="Arial" w:eastAsia="Arial" w:hAnsi="Arial"/>
          <w:sz w:val="20"/>
          <w:szCs w:val="20"/>
          <w:color w:val="auto"/>
        </w:rPr>
        <w:t>There were no cumulative fair value hedging adjustments for hedged assets and liabilities for which hedge accounting was discontinued as of December 31, 2025 and 2024.</w:t>
      </w:r>
    </w:p>
    <w:p>
      <w:pPr>
        <w:spacing w:after="0" w:line="6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Derivatives designated as hedging instruments</w:t>
      </w:r>
    </w:p>
    <w:p>
      <w:pPr>
        <w:spacing w:after="0" w:line="130" w:lineRule="exact"/>
        <w:rPr>
          <w:sz w:val="20"/>
          <w:szCs w:val="20"/>
          <w:color w:val="auto"/>
        </w:rPr>
      </w:pPr>
    </w:p>
    <w:p>
      <w:pPr>
        <w:jc w:val="both"/>
        <w:ind w:firstLine="353"/>
        <w:spacing w:after="0" w:line="264" w:lineRule="auto"/>
        <w:rPr>
          <w:sz w:val="20"/>
          <w:szCs w:val="20"/>
          <w:color w:val="auto"/>
        </w:rPr>
      </w:pPr>
      <w:r>
        <w:rPr>
          <w:rFonts w:ascii="Arial" w:cs="Arial" w:eastAsia="Arial" w:hAnsi="Arial"/>
          <w:sz w:val="19"/>
          <w:szCs w:val="19"/>
          <w:color w:val="auto"/>
        </w:rPr>
        <w:t>We utilize interest rate swaps and foreign currency swaps that are designated and accounted for as fair value hedges to reduce interest rate risk for certain funding agreements and to reduce the risk of certain exposures to foreign currency risk for foreign AFS fixed maturity securities. For fair value hedges of funding agreements, changes in fair value are reported in Benefits and other changes in policy reserves. For fair value hedges of AFS fixed maturity securities, changes in fair value included in the assessment of effectiveness are reported in Recognized gains and losses, net in the Consolidated Statement of Earnings. The change in the fair value of components excluded from the assessment of hedge effectiveness is recorded in OCI and is recognized in net income through periodic settlements.</w:t>
      </w:r>
    </w:p>
    <w:p>
      <w:pPr>
        <w:spacing w:after="0" w:line="7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Derivatives not designated as hedging instruments</w:t>
      </w:r>
    </w:p>
    <w:p>
      <w:pPr>
        <w:spacing w:after="0" w:line="128" w:lineRule="exact"/>
        <w:rPr>
          <w:sz w:val="20"/>
          <w:szCs w:val="20"/>
          <w:color w:val="auto"/>
        </w:rPr>
      </w:pPr>
    </w:p>
    <w:p>
      <w:pPr>
        <w:ind w:left="340"/>
        <w:spacing w:after="0"/>
        <w:rPr>
          <w:sz w:val="20"/>
          <w:szCs w:val="20"/>
          <w:color w:val="auto"/>
        </w:rPr>
      </w:pPr>
      <w:r>
        <w:rPr>
          <w:rFonts w:ascii="Arial" w:cs="Arial" w:eastAsia="Arial" w:hAnsi="Arial"/>
          <w:sz w:val="20"/>
          <w:szCs w:val="20"/>
          <w:b w:val="1"/>
          <w:bCs w:val="1"/>
          <w:i w:val="1"/>
          <w:iCs w:val="1"/>
          <w:color w:val="auto"/>
        </w:rPr>
        <w:t>Indexed Annuities/IUL Embedded Derivative, Equity Options and Futures</w:t>
      </w:r>
    </w:p>
    <w:p>
      <w:pPr>
        <w:spacing w:after="0" w:line="125" w:lineRule="exact"/>
        <w:rPr>
          <w:sz w:val="20"/>
          <w:szCs w:val="20"/>
          <w:color w:val="auto"/>
        </w:rPr>
      </w:pPr>
    </w:p>
    <w:p>
      <w:pPr>
        <w:jc w:val="both"/>
        <w:ind w:firstLine="353"/>
        <w:spacing w:after="0" w:line="264" w:lineRule="auto"/>
        <w:rPr>
          <w:sz w:val="20"/>
          <w:szCs w:val="20"/>
          <w:color w:val="auto"/>
        </w:rPr>
      </w:pPr>
      <w:r>
        <w:rPr>
          <w:rFonts w:ascii="Arial" w:cs="Arial" w:eastAsia="Arial" w:hAnsi="Arial"/>
          <w:sz w:val="19"/>
          <w:szCs w:val="19"/>
          <w:color w:val="auto"/>
        </w:rPr>
        <w:t>We have indexed annuities and IUL contracts that permit the holder to elect an interest rate return or an equity index linked component, where interest credited to the contracts is linked to the performance of various equity indices, such as the S&amp;P 500 Index. This feature represents an embedded derivative under GAAP. The indexed annuities/IUL embedded derivatives are valued at fair value and included in the liability for Contractholder funds in the Consolidated Balance Sheets with the ceded portion of the reinsured indexed crediting feature embedded derivatives, recorded as a component of the Reinsurance recoverable in the Consolidated Balance Sheets. Changes in fair value are included as a component of Benefits and other changes in policy reserves in the Consolidated Statements of Earnings.</w:t>
      </w:r>
    </w:p>
    <w:p>
      <w:pPr>
        <w:spacing w:after="0" w:line="82" w:lineRule="exact"/>
        <w:rPr>
          <w:sz w:val="20"/>
          <w:szCs w:val="20"/>
          <w:color w:val="auto"/>
        </w:rPr>
      </w:pPr>
    </w:p>
    <w:p>
      <w:pPr>
        <w:jc w:val="both"/>
        <w:ind w:firstLine="353"/>
        <w:spacing w:after="0" w:line="295" w:lineRule="auto"/>
        <w:rPr>
          <w:sz w:val="20"/>
          <w:szCs w:val="20"/>
          <w:color w:val="auto"/>
        </w:rPr>
      </w:pPr>
      <w:r>
        <w:rPr>
          <w:rFonts w:ascii="Arial" w:cs="Arial" w:eastAsia="Arial" w:hAnsi="Arial"/>
          <w:sz w:val="17"/>
          <w:szCs w:val="17"/>
          <w:color w:val="auto"/>
        </w:rPr>
        <w:t>We purchase derivatives consisting of a combination of equity options and futures contracts (specifically for indexed annuity contracts) on the applicable market indices to fund the index credits due to indexed annuity/IUL contractholders. The equity options are one, two, three, five and six year options purchased to match the funding requirements of the underlying policies. On the respective anniversary dates of the indexed policies, the index used to compute the interest credit is reset and we purchase new equity options to fund the next index credit. We manage the cost of these purchases through the terms of our indexed annuities/IUL contracts, which permit us to change caps, spreads or participation rates, subject to guaranteed minimums, on each contract’s anniversary date. The change in the fair value of the equity options and futures contracts is generally designed to offset the portion of the change in the fair value of the indexed annuities/IUL embedded derivatives related to index performance through the current credit period. The equity options and futures contracts are marked to fair value with the change in fair value included as a component of Recognized gains and losses, net, in the Consolidated Statements of Earnings. The change in fair value of the equity options and futures contracts includes the gains and losses recognized at the expiration of the instrument term or upon early termination and the changes in fair value of open positions.</w:t>
      </w:r>
    </w:p>
    <w:p>
      <w:pPr>
        <w:spacing w:after="0" w:line="57" w:lineRule="exact"/>
        <w:rPr>
          <w:sz w:val="20"/>
          <w:szCs w:val="20"/>
          <w:color w:val="auto"/>
        </w:rPr>
      </w:pPr>
    </w:p>
    <w:p>
      <w:pPr>
        <w:jc w:val="both"/>
        <w:ind w:firstLine="353"/>
        <w:spacing w:after="0" w:line="268" w:lineRule="auto"/>
        <w:rPr>
          <w:sz w:val="20"/>
          <w:szCs w:val="20"/>
          <w:color w:val="auto"/>
        </w:rPr>
      </w:pPr>
      <w:r>
        <w:rPr>
          <w:rFonts w:ascii="Arial" w:cs="Arial" w:eastAsia="Arial" w:hAnsi="Arial"/>
          <w:sz w:val="19"/>
          <w:szCs w:val="19"/>
          <w:color w:val="auto"/>
        </w:rPr>
        <w:t>Other market exposures are hedged periodically depending on market conditions and our risk tolerance. Our indexed annuities/IUL hedging strategy economically hedges the equity returns and exposes us to the risk that unhedged market exposures result in divergence between changes in the fair value of the liabilities and the hedging assets. We use a variety of techniques, including direct estimation of market sensitivities, to monitor this risk daily. We intend to continue to adjust the hedging strategy as market conditions and our risk tolerance changes.</w:t>
      </w:r>
    </w:p>
    <w:p>
      <w:pPr>
        <w:sectPr>
          <w:pgSz w:w="11880" w:h="15480" w:orient="portrait"/>
          <w:cols w:equalWidth="0" w:num="1">
            <w:col w:w="10040"/>
          </w:cols>
          <w:pgMar w:left="920" w:top="772"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147</w:t>
      </w:r>
    </w:p>
    <w:p>
      <w:pPr>
        <w:sectPr>
          <w:pgSz w:w="11880" w:h="15480" w:orient="portrait"/>
          <w:cols w:equalWidth="0" w:num="1">
            <w:col w:w="10040"/>
          </w:cols>
          <w:pgMar w:left="920" w:top="772" w:right="920" w:bottom="0" w:gutter="0" w:footer="0" w:header="0"/>
          <w:type w:val="continuous"/>
        </w:sectPr>
      </w:pPr>
    </w:p>
    <w:bookmarkStart w:id="159" w:name="page160"/>
    <w:bookmarkEnd w:id="159"/>
    <w:p>
      <w:pPr>
        <w:ind w:left="340"/>
        <w:spacing w:after="0"/>
        <w:rPr>
          <w:sz w:val="20"/>
          <w:szCs w:val="20"/>
          <w:color w:val="auto"/>
        </w:rPr>
      </w:pPr>
      <w:r>
        <w:rPr>
          <w:rFonts w:ascii="Arial" w:cs="Arial" w:eastAsia="Arial" w:hAnsi="Arial"/>
          <w:sz w:val="20"/>
          <w:szCs w:val="20"/>
          <w:b w:val="1"/>
          <w:bCs w:val="1"/>
          <w:i w:val="1"/>
          <w:iCs w:val="1"/>
          <w:color w:val="auto"/>
        </w:rPr>
        <w:t>Interest Rate Swaps</w:t>
      </w:r>
    </w:p>
    <w:p>
      <w:pPr>
        <w:spacing w:after="0" w:line="125" w:lineRule="exact"/>
        <w:rPr>
          <w:sz w:val="20"/>
          <w:szCs w:val="20"/>
          <w:color w:val="auto"/>
        </w:rPr>
      </w:pPr>
    </w:p>
    <w:p>
      <w:pPr>
        <w:jc w:val="both"/>
        <w:ind w:firstLine="353"/>
        <w:spacing w:after="0" w:line="278" w:lineRule="auto"/>
        <w:rPr>
          <w:sz w:val="20"/>
          <w:szCs w:val="20"/>
          <w:color w:val="auto"/>
        </w:rPr>
      </w:pPr>
      <w:r>
        <w:rPr>
          <w:rFonts w:ascii="Arial" w:cs="Arial" w:eastAsia="Arial" w:hAnsi="Arial"/>
          <w:sz w:val="19"/>
          <w:szCs w:val="19"/>
          <w:color w:val="auto"/>
        </w:rPr>
        <w:t>We utilize interest rate swaps to reduce market risks from interest rate changes on our earnings associated with our floating rate investments. With an interest rate swap, we agree with another party to exchange, at specified intervals, the difference between fixed-rate and floating-rate interest amounts tied to an agreed upon notional principal.</w:t>
      </w:r>
    </w:p>
    <w:p>
      <w:pPr>
        <w:spacing w:after="0" w:line="64" w:lineRule="exact"/>
        <w:rPr>
          <w:sz w:val="20"/>
          <w:szCs w:val="20"/>
          <w:color w:val="auto"/>
        </w:rPr>
      </w:pPr>
    </w:p>
    <w:p>
      <w:pPr>
        <w:jc w:val="both"/>
        <w:ind w:firstLine="353"/>
        <w:spacing w:after="0" w:line="258" w:lineRule="auto"/>
        <w:rPr>
          <w:sz w:val="20"/>
          <w:szCs w:val="20"/>
          <w:color w:val="auto"/>
        </w:rPr>
      </w:pPr>
      <w:r>
        <w:rPr>
          <w:rFonts w:ascii="Arial" w:cs="Arial" w:eastAsia="Arial" w:hAnsi="Arial"/>
          <w:sz w:val="20"/>
          <w:szCs w:val="20"/>
          <w:color w:val="auto"/>
        </w:rPr>
        <w:t>The interest rate swaps are marked to fair value with the change in fair value, including accrued interest and related periodic cash flows received or paid, included as a component of Recognized gains and losses, net, in the Consolidated Statements of Earnings.</w:t>
      </w:r>
    </w:p>
    <w:p>
      <w:pPr>
        <w:spacing w:after="0" w:line="80" w:lineRule="exact"/>
        <w:rPr>
          <w:sz w:val="20"/>
          <w:szCs w:val="20"/>
          <w:color w:val="auto"/>
        </w:rPr>
      </w:pPr>
    </w:p>
    <w:p>
      <w:pPr>
        <w:ind w:left="340"/>
        <w:spacing w:after="0"/>
        <w:rPr>
          <w:sz w:val="20"/>
          <w:szCs w:val="20"/>
          <w:color w:val="auto"/>
        </w:rPr>
      </w:pPr>
      <w:r>
        <w:rPr>
          <w:rFonts w:ascii="Arial" w:cs="Arial" w:eastAsia="Arial" w:hAnsi="Arial"/>
          <w:sz w:val="20"/>
          <w:szCs w:val="20"/>
          <w:b w:val="1"/>
          <w:bCs w:val="1"/>
          <w:i w:val="1"/>
          <w:iCs w:val="1"/>
          <w:color w:val="auto"/>
        </w:rPr>
        <w:t>Foreign Currency Swaps</w:t>
      </w:r>
    </w:p>
    <w:p>
      <w:pPr>
        <w:spacing w:after="0" w:line="125" w:lineRule="exact"/>
        <w:rPr>
          <w:sz w:val="20"/>
          <w:szCs w:val="20"/>
          <w:color w:val="auto"/>
        </w:rPr>
      </w:pPr>
    </w:p>
    <w:p>
      <w:pPr>
        <w:jc w:val="both"/>
        <w:ind w:firstLine="353"/>
        <w:spacing w:after="0" w:line="254" w:lineRule="auto"/>
        <w:rPr>
          <w:sz w:val="20"/>
          <w:szCs w:val="20"/>
          <w:color w:val="auto"/>
        </w:rPr>
      </w:pPr>
      <w:r>
        <w:rPr>
          <w:rFonts w:ascii="Arial" w:cs="Arial" w:eastAsia="Arial" w:hAnsi="Arial"/>
          <w:sz w:val="20"/>
          <w:szCs w:val="20"/>
          <w:color w:val="auto"/>
        </w:rPr>
        <w:t>We utilize foreign currency swaps to reduce market risks from fluctuations in foreign exchange rates that impact earnings associated with our foreign currency denominated investments. Through a foreign currency swap, we agree with another party to exchange, at specified intervals, principal and interest payments in one currency for principal and interest payments in another currency, based on an agreed-upon notional amount.</w:t>
      </w:r>
    </w:p>
    <w:p>
      <w:pPr>
        <w:spacing w:after="0" w:line="85" w:lineRule="exact"/>
        <w:rPr>
          <w:sz w:val="20"/>
          <w:szCs w:val="20"/>
          <w:color w:val="auto"/>
        </w:rPr>
      </w:pPr>
    </w:p>
    <w:p>
      <w:pPr>
        <w:jc w:val="both"/>
        <w:ind w:firstLine="353"/>
        <w:spacing w:after="0" w:line="258" w:lineRule="auto"/>
        <w:rPr>
          <w:sz w:val="20"/>
          <w:szCs w:val="20"/>
          <w:color w:val="auto"/>
        </w:rPr>
      </w:pPr>
      <w:r>
        <w:rPr>
          <w:rFonts w:ascii="Arial" w:cs="Arial" w:eastAsia="Arial" w:hAnsi="Arial"/>
          <w:sz w:val="20"/>
          <w:szCs w:val="20"/>
          <w:color w:val="auto"/>
        </w:rPr>
        <w:t>The foreign currency swaps are marked to fair value with the change in fair value, including accrued interest and related periodic cash flows received or paid, included as a component of Recognized gains and losses, net, in the Consolidated Statements of Earnings.</w:t>
      </w:r>
    </w:p>
    <w:p>
      <w:pPr>
        <w:spacing w:after="0" w:line="80" w:lineRule="exact"/>
        <w:rPr>
          <w:sz w:val="20"/>
          <w:szCs w:val="20"/>
          <w:color w:val="auto"/>
        </w:rPr>
      </w:pPr>
    </w:p>
    <w:p>
      <w:pPr>
        <w:ind w:left="340"/>
        <w:spacing w:after="0"/>
        <w:rPr>
          <w:sz w:val="20"/>
          <w:szCs w:val="20"/>
          <w:color w:val="auto"/>
        </w:rPr>
      </w:pPr>
      <w:r>
        <w:rPr>
          <w:rFonts w:ascii="Arial" w:cs="Arial" w:eastAsia="Arial" w:hAnsi="Arial"/>
          <w:sz w:val="20"/>
          <w:szCs w:val="20"/>
          <w:b w:val="1"/>
          <w:bCs w:val="1"/>
          <w:i w:val="1"/>
          <w:iCs w:val="1"/>
          <w:color w:val="auto"/>
        </w:rPr>
        <w:t>Reinsurance Related Embedded Derivatives</w:t>
      </w:r>
    </w:p>
    <w:p>
      <w:pPr>
        <w:spacing w:after="0" w:line="125" w:lineRule="exact"/>
        <w:rPr>
          <w:sz w:val="20"/>
          <w:szCs w:val="20"/>
          <w:color w:val="auto"/>
        </w:rPr>
      </w:pPr>
    </w:p>
    <w:p>
      <w:pPr>
        <w:jc w:val="both"/>
        <w:ind w:firstLine="353"/>
        <w:spacing w:after="0" w:line="262" w:lineRule="auto"/>
        <w:rPr>
          <w:sz w:val="20"/>
          <w:szCs w:val="20"/>
          <w:color w:val="auto"/>
        </w:rPr>
      </w:pPr>
      <w:r>
        <w:rPr>
          <w:rFonts w:ascii="Arial" w:cs="Arial" w:eastAsia="Arial" w:hAnsi="Arial"/>
          <w:sz w:val="19"/>
          <w:szCs w:val="19"/>
          <w:color w:val="auto"/>
        </w:rPr>
        <w:t>F&amp;G cedes certain business on a coinsurance funds withheld basis. Investment results for the assets that support the coinsurance are segregated within the funds withheld account and are passed directly to the reinsurer pursuant to the contractual terms of the reinsurance agreement, which creates embedded derivatives considered to be total return swaps. These total return swaps are not clearly and closely related to the underlying reinsurance agreement and thus require bifurcation. For arrangements reinsuring indexed annuities products, the funds withheld account additionally contains an embedded derivative representing the index credit obligation due the reinsurer, resulting in a compound embedded derivative. Beginning in 2025, these embedded derivatives are reported in Funds withheld for reinsurance liabilities, irrespective if in a net asset position or a net liability position, on the Consolidated Balance Sheets and prior periods have been reclassified from Prepaid expenses and other assets to conform with the current presentation. The related gains or losses are reported in Recognized gains and losses, net, on the Consolidated Statements of Earnings.</w:t>
      </w:r>
    </w:p>
    <w:p>
      <w:pPr>
        <w:spacing w:after="0" w:line="83" w:lineRule="exact"/>
        <w:rPr>
          <w:sz w:val="20"/>
          <w:szCs w:val="20"/>
          <w:color w:val="auto"/>
        </w:rPr>
      </w:pPr>
    </w:p>
    <w:p>
      <w:pPr>
        <w:ind w:left="340"/>
        <w:spacing w:after="0"/>
        <w:rPr>
          <w:sz w:val="20"/>
          <w:szCs w:val="20"/>
          <w:color w:val="auto"/>
        </w:rPr>
      </w:pPr>
      <w:r>
        <w:rPr>
          <w:rFonts w:ascii="Arial" w:cs="Arial" w:eastAsia="Arial" w:hAnsi="Arial"/>
          <w:sz w:val="20"/>
          <w:szCs w:val="20"/>
          <w:b w:val="1"/>
          <w:bCs w:val="1"/>
          <w:i w:val="1"/>
          <w:iCs w:val="1"/>
          <w:color w:val="auto"/>
        </w:rPr>
        <w:t>Credit Risk</w:t>
      </w:r>
    </w:p>
    <w:p>
      <w:pPr>
        <w:spacing w:after="0" w:line="125" w:lineRule="exact"/>
        <w:rPr>
          <w:sz w:val="20"/>
          <w:szCs w:val="20"/>
          <w:color w:val="auto"/>
        </w:rPr>
      </w:pPr>
    </w:p>
    <w:p>
      <w:pPr>
        <w:jc w:val="both"/>
        <w:ind w:firstLine="353"/>
        <w:spacing w:after="0" w:line="312" w:lineRule="auto"/>
        <w:rPr>
          <w:sz w:val="20"/>
          <w:szCs w:val="20"/>
          <w:color w:val="auto"/>
        </w:rPr>
      </w:pPr>
      <w:r>
        <w:rPr>
          <w:rFonts w:ascii="Arial" w:cs="Arial" w:eastAsia="Arial" w:hAnsi="Arial"/>
          <w:sz w:val="17"/>
          <w:szCs w:val="17"/>
          <w:color w:val="auto"/>
        </w:rPr>
        <w:t>We are exposed to credit loss in the event of non-performance by our counterparties and reflect assumptions regarding this non-performance risk in the fair value of our derivatives. The non-performance risk is the net counterparty exposure based on the fair value of the open contracts less collateral held. We maintain a policy of requiring all derivative contracts to be governed by an International Swaps and Derivatives Association (“ISDA”) Master Agreement.</w:t>
      </w:r>
    </w:p>
    <w:p>
      <w:pPr>
        <w:spacing w:after="0" w:line="42" w:lineRule="exact"/>
        <w:rPr>
          <w:sz w:val="20"/>
          <w:szCs w:val="20"/>
          <w:color w:val="auto"/>
        </w:rPr>
      </w:pPr>
    </w:p>
    <w:p>
      <w:pPr>
        <w:jc w:val="both"/>
        <w:ind w:firstLine="353"/>
        <w:spacing w:after="0" w:line="258" w:lineRule="auto"/>
        <w:rPr>
          <w:sz w:val="20"/>
          <w:szCs w:val="20"/>
          <w:color w:val="auto"/>
        </w:rPr>
      </w:pPr>
      <w:r>
        <w:rPr>
          <w:rFonts w:ascii="Arial" w:cs="Arial" w:eastAsia="Arial" w:hAnsi="Arial"/>
          <w:sz w:val="20"/>
          <w:szCs w:val="20"/>
          <w:color w:val="auto"/>
        </w:rPr>
        <w:t>We manage credit risk related to non-performance by our counterparties by (i) entering into derivative transactions with creditworthy counterparties; (ii) obtaining collateral, such as cash and securities when appropriate; and (iii) establishing counterparty exposure limits, which are subject to periodic management review.</w:t>
      </w:r>
    </w:p>
    <w:p>
      <w:pPr>
        <w:sectPr>
          <w:pgSz w:w="11880" w:h="15480" w:orient="portrait"/>
          <w:cols w:equalWidth="0" w:num="1">
            <w:col w:w="10040"/>
          </w:cols>
          <w:pgMar w:left="920" w:top="770"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148</w:t>
      </w:r>
    </w:p>
    <w:p>
      <w:pPr>
        <w:sectPr>
          <w:pgSz w:w="11880" w:h="15480" w:orient="portrait"/>
          <w:cols w:equalWidth="0" w:num="1">
            <w:col w:w="10040"/>
          </w:cols>
          <w:pgMar w:left="920" w:top="770" w:right="920" w:bottom="0" w:gutter="0" w:footer="0" w:header="0"/>
          <w:type w:val="continuous"/>
        </w:sectPr>
      </w:pPr>
    </w:p>
    <w:bookmarkStart w:id="160" w:name="page161"/>
    <w:bookmarkEnd w:id="160"/>
    <w:p>
      <w:pPr>
        <w:jc w:val="both"/>
        <w:ind w:firstLine="353"/>
        <w:spacing w:after="0" w:line="271" w:lineRule="auto"/>
        <w:rPr>
          <w:sz w:val="20"/>
          <w:szCs w:val="20"/>
          <w:color w:val="auto"/>
        </w:rPr>
      </w:pPr>
      <w:r>
        <w:rPr>
          <w:rFonts w:ascii="Arial" w:cs="Arial" w:eastAsia="Arial" w:hAnsi="Arial"/>
          <w:sz w:val="20"/>
          <w:szCs w:val="20"/>
          <w:color w:val="auto"/>
        </w:rPr>
        <w:t>Information regarding our exposure to credit loss on the derivative instruments we hold, excluding futures contracts, is presented below:</w:t>
      </w:r>
    </w:p>
    <w:p>
      <w:pPr>
        <w:spacing w:after="0" w:line="142" w:lineRule="exact"/>
        <w:rPr>
          <w:sz w:val="20"/>
          <w:szCs w:val="20"/>
          <w:color w:val="auto"/>
        </w:rPr>
      </w:pPr>
    </w:p>
    <w:tbl>
      <w:tblPr>
        <w:tblLayout w:type="fixed"/>
        <w:tblInd w:w="40" w:type="dxa"/>
        <w:tblCellMar>
          <w:top w:w="0" w:type="dxa"/>
          <w:left w:w="0" w:type="dxa"/>
          <w:bottom w:w="0" w:type="dxa"/>
          <w:right w:w="0" w:type="dxa"/>
        </w:tblCellMar>
      </w:tblPr>
      <w:tr>
        <w:trPr>
          <w:trHeight w:val="213"/>
        </w:trPr>
        <w:tc>
          <w:tcPr>
            <w:tcW w:w="60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222"/>
              <w:spacing w:after="0"/>
              <w:rPr>
                <w:sz w:val="20"/>
                <w:szCs w:val="20"/>
                <w:color w:val="auto"/>
              </w:rPr>
            </w:pPr>
            <w:r>
              <w:rPr>
                <w:rFonts w:ascii="Arial" w:cs="Arial" w:eastAsia="Arial" w:hAnsi="Arial"/>
                <w:sz w:val="16"/>
                <w:szCs w:val="16"/>
                <w:b w:val="1"/>
                <w:bCs w:val="1"/>
                <w:color w:val="auto"/>
              </w:rPr>
              <w:t>Fair Value</w:t>
            </w:r>
          </w:p>
        </w:tc>
        <w:tc>
          <w:tcPr>
            <w:tcW w:w="2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262"/>
              <w:spacing w:after="0"/>
              <w:rPr>
                <w:sz w:val="20"/>
                <w:szCs w:val="20"/>
                <w:color w:val="auto"/>
              </w:rPr>
            </w:pPr>
            <w:r>
              <w:rPr>
                <w:rFonts w:ascii="Arial" w:cs="Arial" w:eastAsia="Arial" w:hAnsi="Arial"/>
                <w:sz w:val="16"/>
                <w:szCs w:val="16"/>
                <w:b w:val="1"/>
                <w:bCs w:val="1"/>
                <w:color w:val="auto"/>
              </w:rPr>
              <w:t>Collateral</w:t>
            </w:r>
          </w:p>
        </w:tc>
        <w:tc>
          <w:tcPr>
            <w:tcW w:w="1300" w:type="dxa"/>
            <w:vAlign w:val="bottom"/>
            <w:tcBorders>
              <w:bottom w:val="single" w:sz="8" w:color="auto"/>
            </w:tcBorders>
            <w:gridSpan w:val="2"/>
          </w:tcPr>
          <w:p>
            <w:pPr>
              <w:jc w:val="right"/>
              <w:ind w:right="22"/>
              <w:spacing w:after="0"/>
              <w:rPr>
                <w:sz w:val="20"/>
                <w:szCs w:val="20"/>
                <w:color w:val="auto"/>
              </w:rPr>
            </w:pPr>
            <w:r>
              <w:rPr>
                <w:rFonts w:ascii="Arial" w:cs="Arial" w:eastAsia="Arial" w:hAnsi="Arial"/>
                <w:sz w:val="16"/>
                <w:szCs w:val="16"/>
                <w:b w:val="1"/>
                <w:bCs w:val="1"/>
                <w:color w:val="auto"/>
              </w:rPr>
              <w:t>Net Credit Risk</w:t>
            </w:r>
          </w:p>
        </w:tc>
      </w:tr>
      <w:tr>
        <w:trPr>
          <w:trHeight w:val="208"/>
        </w:trPr>
        <w:tc>
          <w:tcPr>
            <w:tcW w:w="6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ind w:right="182"/>
              <w:spacing w:after="0"/>
              <w:rPr>
                <w:sz w:val="20"/>
                <w:szCs w:val="20"/>
                <w:color w:val="auto"/>
              </w:rPr>
            </w:pPr>
            <w:r>
              <w:rPr>
                <w:rFonts w:ascii="Arial" w:cs="Arial" w:eastAsia="Arial" w:hAnsi="Arial"/>
                <w:sz w:val="16"/>
                <w:szCs w:val="16"/>
                <w:b w:val="1"/>
                <w:bCs w:val="1"/>
                <w:color w:val="auto"/>
                <w:w w:val="95"/>
              </w:rPr>
              <w:t>(In millions)</w:t>
            </w:r>
          </w:p>
        </w:tc>
        <w:tc>
          <w:tcPr>
            <w:tcW w:w="62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35"/>
        </w:trPr>
        <w:tc>
          <w:tcPr>
            <w:tcW w:w="6000" w:type="dxa"/>
            <w:vAlign w:val="bottom"/>
          </w:tcPr>
          <w:p>
            <w:pPr>
              <w:spacing w:after="0"/>
              <w:rPr>
                <w:sz w:val="20"/>
                <w:szCs w:val="20"/>
                <w:color w:val="auto"/>
              </w:rPr>
            </w:pPr>
            <w:r>
              <w:rPr>
                <w:rFonts w:ascii="Arial" w:cs="Arial" w:eastAsia="Arial" w:hAnsi="Arial"/>
                <w:sz w:val="16"/>
                <w:szCs w:val="16"/>
                <w:color w:val="auto"/>
              </w:rPr>
              <w:t>December 31, 2025</w:t>
            </w:r>
          </w:p>
        </w:tc>
        <w:tc>
          <w:tcPr>
            <w:tcW w:w="26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22"/>
              <w:spacing w:after="0"/>
              <w:rPr>
                <w:sz w:val="20"/>
                <w:szCs w:val="20"/>
                <w:color w:val="auto"/>
              </w:rPr>
            </w:pPr>
            <w:r>
              <w:rPr>
                <w:rFonts w:ascii="Arial" w:cs="Arial" w:eastAsia="Arial" w:hAnsi="Arial"/>
                <w:sz w:val="16"/>
                <w:szCs w:val="16"/>
                <w:color w:val="auto"/>
              </w:rPr>
              <w:t>1,137</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22"/>
              <w:spacing w:after="0"/>
              <w:rPr>
                <w:sz w:val="20"/>
                <w:szCs w:val="20"/>
                <w:color w:val="auto"/>
              </w:rPr>
            </w:pPr>
            <w:r>
              <w:rPr>
                <w:rFonts w:ascii="Arial" w:cs="Arial" w:eastAsia="Arial" w:hAnsi="Arial"/>
                <w:sz w:val="16"/>
                <w:szCs w:val="16"/>
                <w:color w:val="auto"/>
              </w:rPr>
              <w:t>1,185</w:t>
            </w:r>
          </w:p>
        </w:tc>
        <w:tc>
          <w:tcPr>
            <w:tcW w:w="620" w:type="dxa"/>
            <w:vAlign w:val="bottom"/>
          </w:tcPr>
          <w:p>
            <w:pPr>
              <w:jc w:val="right"/>
              <w:ind w:right="382"/>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34</w:t>
            </w:r>
          </w:p>
        </w:tc>
      </w:tr>
      <w:tr>
        <w:trPr>
          <w:trHeight w:val="235"/>
        </w:trPr>
        <w:tc>
          <w:tcPr>
            <w:tcW w:w="6000" w:type="dxa"/>
            <w:vAlign w:val="bottom"/>
          </w:tcPr>
          <w:p>
            <w:pPr>
              <w:spacing w:after="0"/>
              <w:rPr>
                <w:sz w:val="20"/>
                <w:szCs w:val="20"/>
                <w:color w:val="auto"/>
              </w:rPr>
            </w:pPr>
            <w:r>
              <w:rPr>
                <w:rFonts w:ascii="Arial" w:cs="Arial" w:eastAsia="Arial" w:hAnsi="Arial"/>
                <w:sz w:val="16"/>
                <w:szCs w:val="16"/>
                <w:color w:val="auto"/>
              </w:rPr>
              <w:t>December 31, 2024</w:t>
            </w:r>
          </w:p>
        </w:tc>
        <w:tc>
          <w:tcPr>
            <w:tcW w:w="260" w:type="dxa"/>
            <w:vAlign w:val="bottom"/>
          </w:tcPr>
          <w:p>
            <w:pPr>
              <w:spacing w:after="0"/>
              <w:rPr>
                <w:sz w:val="20"/>
                <w:szCs w:val="20"/>
                <w:color w:val="auto"/>
              </w:rPr>
            </w:pPr>
          </w:p>
        </w:tc>
        <w:tc>
          <w:tcPr>
            <w:tcW w:w="1100" w:type="dxa"/>
            <w:vAlign w:val="bottom"/>
          </w:tcPr>
          <w:p>
            <w:pPr>
              <w:jc w:val="right"/>
              <w:ind w:right="22"/>
              <w:spacing w:after="0"/>
              <w:rPr>
                <w:sz w:val="20"/>
                <w:szCs w:val="20"/>
                <w:color w:val="auto"/>
              </w:rPr>
            </w:pPr>
            <w:r>
              <w:rPr>
                <w:rFonts w:ascii="Arial" w:cs="Arial" w:eastAsia="Arial" w:hAnsi="Arial"/>
                <w:sz w:val="16"/>
                <w:szCs w:val="16"/>
                <w:color w:val="auto"/>
              </w:rPr>
              <w:t>782</w:t>
            </w:r>
          </w:p>
        </w:tc>
        <w:tc>
          <w:tcPr>
            <w:tcW w:w="200" w:type="dxa"/>
            <w:vAlign w:val="bottom"/>
          </w:tcPr>
          <w:p>
            <w:pPr>
              <w:spacing w:after="0"/>
              <w:rPr>
                <w:sz w:val="20"/>
                <w:szCs w:val="20"/>
                <w:color w:val="auto"/>
              </w:rPr>
            </w:pPr>
          </w:p>
        </w:tc>
        <w:tc>
          <w:tcPr>
            <w:tcW w:w="1140" w:type="dxa"/>
            <w:vAlign w:val="bottom"/>
          </w:tcPr>
          <w:p>
            <w:pPr>
              <w:jc w:val="right"/>
              <w:ind w:right="22"/>
              <w:spacing w:after="0"/>
              <w:rPr>
                <w:sz w:val="20"/>
                <w:szCs w:val="20"/>
                <w:color w:val="auto"/>
              </w:rPr>
            </w:pPr>
            <w:r>
              <w:rPr>
                <w:rFonts w:ascii="Arial" w:cs="Arial" w:eastAsia="Arial" w:hAnsi="Arial"/>
                <w:sz w:val="16"/>
                <w:szCs w:val="16"/>
                <w:color w:val="auto"/>
              </w:rPr>
              <w:t>771</w:t>
            </w:r>
          </w:p>
        </w:tc>
        <w:tc>
          <w:tcPr>
            <w:tcW w:w="6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34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-299720</wp:posOffset>
            </wp:positionV>
            <wp:extent cx="6410325" cy="32385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16">
                      <a:extLst>
                        <a:ext uri="{28A0092B-C50C-407E-A947-70E740481C1C}"/>
                      </a:extLst>
                    </a:blip>
                    <a:srcRect/>
                    <a:stretch>
                      <a:fillRect/>
                    </a:stretch>
                  </pic:blipFill>
                  <pic:spPr bwMode="auto">
                    <a:xfrm>
                      <a:off x="0" y="0"/>
                      <a:ext cx="6410325" cy="323850"/>
                    </a:xfrm>
                    <a:prstGeom prst="rect">
                      <a:avLst/>
                    </a:prstGeom>
                    <a:noFill/>
                  </pic:spPr>
                </pic:pic>
              </a:graphicData>
            </a:graphic>
          </wp:anchor>
        </w:drawing>
      </w:r>
    </w:p>
    <w:p>
      <w:pPr>
        <w:spacing w:after="0" w:line="150" w:lineRule="exact"/>
        <w:rPr>
          <w:sz w:val="20"/>
          <w:szCs w:val="20"/>
          <w:color w:val="auto"/>
        </w:rPr>
      </w:pPr>
    </w:p>
    <w:p>
      <w:pPr>
        <w:ind w:left="340"/>
        <w:spacing w:after="0"/>
        <w:rPr>
          <w:sz w:val="20"/>
          <w:szCs w:val="20"/>
          <w:color w:val="auto"/>
        </w:rPr>
      </w:pPr>
      <w:r>
        <w:rPr>
          <w:rFonts w:ascii="Arial" w:cs="Arial" w:eastAsia="Arial" w:hAnsi="Arial"/>
          <w:sz w:val="20"/>
          <w:szCs w:val="20"/>
          <w:b w:val="1"/>
          <w:bCs w:val="1"/>
          <w:i w:val="1"/>
          <w:iCs w:val="1"/>
          <w:color w:val="auto"/>
        </w:rPr>
        <w:t>Collateral Agreements</w:t>
      </w:r>
    </w:p>
    <w:p>
      <w:pPr>
        <w:spacing w:after="0" w:line="125" w:lineRule="exact"/>
        <w:rPr>
          <w:sz w:val="20"/>
          <w:szCs w:val="20"/>
          <w:color w:val="auto"/>
        </w:rPr>
      </w:pPr>
    </w:p>
    <w:p>
      <w:pPr>
        <w:jc w:val="both"/>
        <w:ind w:firstLine="353"/>
        <w:spacing w:after="0" w:line="293" w:lineRule="auto"/>
        <w:rPr>
          <w:sz w:val="20"/>
          <w:szCs w:val="20"/>
          <w:color w:val="auto"/>
        </w:rPr>
      </w:pPr>
      <w:r>
        <w:rPr>
          <w:rFonts w:ascii="Arial" w:cs="Arial" w:eastAsia="Arial" w:hAnsi="Arial"/>
          <w:sz w:val="17"/>
          <w:szCs w:val="17"/>
          <w:color w:val="auto"/>
        </w:rPr>
        <w:t>We are required to maintain minimum ratings as a matter of routine practice as part of our over-the-counter derivative agreements on ISDA forms. Under some ISDA agreements, we have agreed to maintain certain financial strength ratings. A downgrade below these levels provides the counterparty under the agreement the right to terminate the open derivative contracts between the parties, at which time any amounts payable by us or the counterparty would be dependent on the market value of the underlying contracts. Our current rating does not allow any counterparty the right to terminate ISDA agreements. In certain transactions, both us and the counterparty have entered into a collateral support agreement requiring either party to post collateral when the net exposures exceed pre-determined thresholds. For all counterparties, except one, the threshold is set to zero. As of December 31, 2025 and 2024, counterparties posted collateral of $1,185 million and $771 million, respectively. This included cash collateral of $928 million and $679 million, respectively, for which we record an associated payable included in Accounts payable and accrued liabilities on the Consolidated Balance Sheets. Cash collateral received is not legally segregated and may be used by the Company in the normal course of business. The Company is obligated to return an equivalent amount of collateral upon settlement or termination of the related derivative contracts, or otherwise in accordance with the collateral provisions of such agreements, including in circumstances where changes in market conditions cause the Company’s mark-to-market position to decline. The remaining collateral represents securities collateral received that is not reported on the Consolidated Balance Sheets. Accordingly, the maximum amount of loss due to credit risk that we would incur if parties to the derivatives failed completely to perform according to the terms of the contracts, after giving effect to cash and securities collateral held, was $34 million at both December 31, 2025 and 2024.</w:t>
      </w:r>
    </w:p>
    <w:p>
      <w:pPr>
        <w:spacing w:after="0" w:line="59" w:lineRule="exact"/>
        <w:rPr>
          <w:sz w:val="20"/>
          <w:szCs w:val="20"/>
          <w:color w:val="auto"/>
        </w:rPr>
      </w:pPr>
    </w:p>
    <w:p>
      <w:pPr>
        <w:jc w:val="both"/>
        <w:ind w:firstLine="353"/>
        <w:spacing w:after="0" w:line="254" w:lineRule="auto"/>
        <w:rPr>
          <w:sz w:val="20"/>
          <w:szCs w:val="20"/>
          <w:color w:val="auto"/>
        </w:rPr>
      </w:pPr>
      <w:r>
        <w:rPr>
          <w:rFonts w:ascii="Arial" w:cs="Arial" w:eastAsia="Arial" w:hAnsi="Arial"/>
          <w:sz w:val="20"/>
          <w:szCs w:val="20"/>
          <w:color w:val="auto"/>
        </w:rPr>
        <w:t>We are required to pay our counterparties the effective federal funds interest rate each day for cash collateral posted to us. Cash collateral is reinvested in overnight investment sweep products, which are included in Cash and cash equivalents on the Consolidated Balance Sheets, to reduce the interest cost. Changes in cash collateral are included in the Change in derivative collateral liabilities in the Consolidated Statements of Cash Flows.</w:t>
      </w:r>
    </w:p>
    <w:p>
      <w:pPr>
        <w:spacing w:after="0" w:line="85" w:lineRule="exact"/>
        <w:rPr>
          <w:sz w:val="20"/>
          <w:szCs w:val="20"/>
          <w:color w:val="auto"/>
        </w:rPr>
      </w:pPr>
    </w:p>
    <w:p>
      <w:pPr>
        <w:jc w:val="both"/>
        <w:ind w:firstLine="353"/>
        <w:spacing w:after="0" w:line="268" w:lineRule="auto"/>
        <w:rPr>
          <w:sz w:val="20"/>
          <w:szCs w:val="20"/>
          <w:color w:val="auto"/>
        </w:rPr>
      </w:pPr>
      <w:r>
        <w:rPr>
          <w:rFonts w:ascii="Arial" w:cs="Arial" w:eastAsia="Arial" w:hAnsi="Arial"/>
          <w:sz w:val="19"/>
          <w:szCs w:val="19"/>
          <w:color w:val="auto"/>
        </w:rPr>
        <w:t>We held 172 and 527 futures contracts at December 31, 2025 and 2024, respectively. The fair value of the futures contracts represents the cumulative unsettled variation margin (open trade equity, net of cash settlements). We provide cash collateral to the counterparties for the initial and variation margin on the futures contracts, which is included in Cash and cash equivalents in the Consolidated Balance Sheets. The amount of cash collateral held by the counterparties for such contracts was $4 million and $7 million at December 31, 2025 and 2024, respectively.</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F — Notes Payable</w:t>
      </w:r>
    </w:p>
    <w:p>
      <w:pPr>
        <w:spacing w:after="0" w:line="29" w:lineRule="exact"/>
        <w:rPr>
          <w:sz w:val="20"/>
          <w:szCs w:val="20"/>
          <w:color w:val="auto"/>
        </w:rPr>
      </w:pPr>
    </w:p>
    <w:p>
      <w:pPr>
        <w:ind w:left="340"/>
        <w:spacing w:after="0"/>
        <w:rPr>
          <w:sz w:val="20"/>
          <w:szCs w:val="20"/>
          <w:color w:val="auto"/>
        </w:rPr>
      </w:pPr>
      <w:r>
        <w:rPr>
          <w:rFonts w:ascii="Arial" w:cs="Arial" w:eastAsia="Arial" w:hAnsi="Arial"/>
          <w:sz w:val="20"/>
          <w:szCs w:val="20"/>
          <w:color w:val="auto"/>
        </w:rPr>
        <w:t>Notes payable consists of the following:</w:t>
      </w:r>
    </w:p>
    <w:p>
      <w:pPr>
        <w:spacing w:after="0" w:line="62" w:lineRule="exact"/>
        <w:rPr>
          <w:sz w:val="20"/>
          <w:szCs w:val="20"/>
          <w:color w:val="auto"/>
        </w:rPr>
      </w:pPr>
    </w:p>
    <w:tbl>
      <w:tblPr>
        <w:tblLayout w:type="fixed"/>
        <w:tblInd w:w="40" w:type="dxa"/>
        <w:tblCellMar>
          <w:top w:w="0" w:type="dxa"/>
          <w:left w:w="0" w:type="dxa"/>
          <w:bottom w:w="0" w:type="dxa"/>
          <w:right w:w="0" w:type="dxa"/>
        </w:tblCellMar>
      </w:tblPr>
      <w:tr>
        <w:trPr>
          <w:trHeight w:val="213"/>
        </w:trPr>
        <w:tc>
          <w:tcPr>
            <w:tcW w:w="420" w:type="dxa"/>
            <w:vAlign w:val="bottom"/>
          </w:tcPr>
          <w:p>
            <w:pPr>
              <w:spacing w:after="0"/>
              <w:rPr>
                <w:sz w:val="18"/>
                <w:szCs w:val="18"/>
                <w:color w:val="auto"/>
              </w:rPr>
            </w:pPr>
          </w:p>
        </w:tc>
        <w:tc>
          <w:tcPr>
            <w:tcW w:w="6720" w:type="dxa"/>
            <w:vAlign w:val="bottom"/>
          </w:tcPr>
          <w:p>
            <w:pPr>
              <w:spacing w:after="0"/>
              <w:rPr>
                <w:sz w:val="18"/>
                <w:szCs w:val="18"/>
                <w:color w:val="auto"/>
              </w:rPr>
            </w:pPr>
          </w:p>
        </w:tc>
        <w:tc>
          <w:tcPr>
            <w:tcW w:w="1400" w:type="dxa"/>
            <w:vAlign w:val="bottom"/>
            <w:tcBorders>
              <w:bottom w:val="single" w:sz="8" w:color="auto"/>
            </w:tcBorders>
            <w:gridSpan w:val="2"/>
          </w:tcPr>
          <w:p>
            <w:pPr>
              <w:ind w:left="60"/>
              <w:spacing w:after="0"/>
              <w:rPr>
                <w:sz w:val="20"/>
                <w:szCs w:val="20"/>
                <w:color w:val="auto"/>
              </w:rPr>
            </w:pPr>
            <w:r>
              <w:rPr>
                <w:rFonts w:ascii="Arial" w:cs="Arial" w:eastAsia="Arial" w:hAnsi="Arial"/>
                <w:sz w:val="16"/>
                <w:szCs w:val="16"/>
                <w:b w:val="1"/>
                <w:bCs w:val="1"/>
                <w:color w:val="auto"/>
                <w:w w:val="91"/>
              </w:rPr>
              <w:t>December 31, 2025</w:t>
            </w:r>
          </w:p>
        </w:tc>
        <w:tc>
          <w:tcPr>
            <w:tcW w:w="80" w:type="dxa"/>
            <w:vAlign w:val="bottom"/>
          </w:tcPr>
          <w:p>
            <w:pPr>
              <w:spacing w:after="0"/>
              <w:rPr>
                <w:sz w:val="18"/>
                <w:szCs w:val="18"/>
                <w:color w:val="auto"/>
              </w:rPr>
            </w:pPr>
          </w:p>
        </w:tc>
        <w:tc>
          <w:tcPr>
            <w:tcW w:w="1380" w:type="dxa"/>
            <w:vAlign w:val="bottom"/>
            <w:tcBorders>
              <w:bottom w:val="single" w:sz="8" w:color="auto"/>
            </w:tcBorders>
            <w:gridSpan w:val="2"/>
          </w:tcPr>
          <w:p>
            <w:pPr>
              <w:ind w:left="60"/>
              <w:spacing w:after="0"/>
              <w:rPr>
                <w:sz w:val="20"/>
                <w:szCs w:val="20"/>
                <w:color w:val="auto"/>
              </w:rPr>
            </w:pPr>
            <w:r>
              <w:rPr>
                <w:rFonts w:ascii="Arial" w:cs="Arial" w:eastAsia="Arial" w:hAnsi="Arial"/>
                <w:sz w:val="16"/>
                <w:szCs w:val="16"/>
                <w:b w:val="1"/>
                <w:bCs w:val="1"/>
                <w:color w:val="auto"/>
                <w:w w:val="90"/>
              </w:rPr>
              <w:t>December 31, 2024</w:t>
            </w:r>
          </w:p>
        </w:tc>
      </w:tr>
      <w:tr>
        <w:trPr>
          <w:trHeight w:val="208"/>
        </w:trPr>
        <w:tc>
          <w:tcPr>
            <w:tcW w:w="420" w:type="dxa"/>
            <w:vAlign w:val="bottom"/>
          </w:tcPr>
          <w:p>
            <w:pPr>
              <w:spacing w:after="0"/>
              <w:rPr>
                <w:sz w:val="18"/>
                <w:szCs w:val="18"/>
                <w:color w:val="auto"/>
              </w:rPr>
            </w:pPr>
          </w:p>
        </w:tc>
        <w:tc>
          <w:tcPr>
            <w:tcW w:w="67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580" w:type="dxa"/>
            <w:vAlign w:val="bottom"/>
            <w:gridSpan w:val="3"/>
          </w:tcPr>
          <w:p>
            <w:pPr>
              <w:ind w:left="460"/>
              <w:spacing w:after="0"/>
              <w:rPr>
                <w:sz w:val="20"/>
                <w:szCs w:val="20"/>
                <w:color w:val="auto"/>
              </w:rPr>
            </w:pPr>
            <w:r>
              <w:rPr>
                <w:rFonts w:ascii="Arial" w:cs="Arial" w:eastAsia="Arial" w:hAnsi="Arial"/>
                <w:sz w:val="16"/>
                <w:szCs w:val="16"/>
                <w:b w:val="1"/>
                <w:bCs w:val="1"/>
                <w:color w:val="auto"/>
              </w:rPr>
              <w:t>(In millions)</w:t>
            </w:r>
          </w:p>
        </w:tc>
        <w:tc>
          <w:tcPr>
            <w:tcW w:w="720" w:type="dxa"/>
            <w:vAlign w:val="bottom"/>
          </w:tcPr>
          <w:p>
            <w:pPr>
              <w:spacing w:after="0"/>
              <w:rPr>
                <w:sz w:val="18"/>
                <w:szCs w:val="18"/>
                <w:color w:val="auto"/>
              </w:rPr>
            </w:pPr>
          </w:p>
        </w:tc>
      </w:tr>
      <w:tr>
        <w:trPr>
          <w:trHeight w:val="245"/>
        </w:trPr>
        <w:tc>
          <w:tcPr>
            <w:tcW w:w="420" w:type="dxa"/>
            <w:vAlign w:val="bottom"/>
          </w:tcPr>
          <w:p>
            <w:pPr>
              <w:spacing w:after="0"/>
              <w:rPr>
                <w:sz w:val="20"/>
                <w:szCs w:val="20"/>
                <w:color w:val="auto"/>
              </w:rPr>
            </w:pPr>
            <w:r>
              <w:rPr>
                <w:rFonts w:ascii="Arial" w:cs="Arial" w:eastAsia="Arial" w:hAnsi="Arial"/>
                <w:sz w:val="16"/>
                <w:szCs w:val="16"/>
                <w:color w:val="auto"/>
                <w:w w:val="88"/>
              </w:rPr>
              <w:t>4.50%</w:t>
            </w:r>
          </w:p>
        </w:tc>
        <w:tc>
          <w:tcPr>
            <w:tcW w:w="6720" w:type="dxa"/>
            <w:vAlign w:val="bottom"/>
          </w:tcPr>
          <w:p>
            <w:pPr>
              <w:ind w:left="20"/>
              <w:spacing w:after="0"/>
              <w:rPr>
                <w:sz w:val="20"/>
                <w:szCs w:val="20"/>
                <w:color w:val="auto"/>
              </w:rPr>
            </w:pPr>
            <w:r>
              <w:rPr>
                <w:rFonts w:ascii="Arial" w:cs="Arial" w:eastAsia="Arial" w:hAnsi="Arial"/>
                <w:sz w:val="16"/>
                <w:szCs w:val="16"/>
                <w:color w:val="auto"/>
              </w:rPr>
              <w:t>Notes, net of discount</w:t>
            </w:r>
          </w:p>
        </w:tc>
        <w:tc>
          <w:tcPr>
            <w:tcW w:w="560" w:type="dxa"/>
            <w:vAlign w:val="bottom"/>
          </w:tcPr>
          <w:p>
            <w:pPr>
              <w:ind w:left="60"/>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448</w:t>
            </w:r>
          </w:p>
        </w:tc>
        <w:tc>
          <w:tcPr>
            <w:tcW w:w="740" w:type="dxa"/>
            <w:vAlign w:val="bottom"/>
            <w:gridSpan w:val="2"/>
          </w:tcPr>
          <w:p>
            <w:pPr>
              <w:ind w:left="120"/>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447</w:t>
            </w:r>
          </w:p>
        </w:tc>
      </w:tr>
      <w:tr>
        <w:trPr>
          <w:trHeight w:val="235"/>
        </w:trPr>
        <w:tc>
          <w:tcPr>
            <w:tcW w:w="420" w:type="dxa"/>
            <w:vAlign w:val="bottom"/>
          </w:tcPr>
          <w:p>
            <w:pPr>
              <w:spacing w:after="0"/>
              <w:rPr>
                <w:sz w:val="20"/>
                <w:szCs w:val="20"/>
                <w:color w:val="auto"/>
              </w:rPr>
            </w:pPr>
            <w:r>
              <w:rPr>
                <w:rFonts w:ascii="Arial" w:cs="Arial" w:eastAsia="Arial" w:hAnsi="Arial"/>
                <w:sz w:val="16"/>
                <w:szCs w:val="16"/>
                <w:color w:val="auto"/>
                <w:w w:val="88"/>
              </w:rPr>
              <w:t>3.40%</w:t>
            </w:r>
          </w:p>
        </w:tc>
        <w:tc>
          <w:tcPr>
            <w:tcW w:w="6720" w:type="dxa"/>
            <w:vAlign w:val="bottom"/>
          </w:tcPr>
          <w:p>
            <w:pPr>
              <w:ind w:left="20"/>
              <w:spacing w:after="0"/>
              <w:rPr>
                <w:sz w:val="20"/>
                <w:szCs w:val="20"/>
                <w:color w:val="auto"/>
              </w:rPr>
            </w:pPr>
            <w:r>
              <w:rPr>
                <w:rFonts w:ascii="Arial" w:cs="Arial" w:eastAsia="Arial" w:hAnsi="Arial"/>
                <w:sz w:val="16"/>
                <w:szCs w:val="16"/>
                <w:color w:val="auto"/>
              </w:rPr>
              <w:t>Notes, net of discount</w:t>
            </w:r>
          </w:p>
        </w:tc>
        <w:tc>
          <w:tcPr>
            <w:tcW w:w="5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646</w:t>
            </w:r>
          </w:p>
        </w:tc>
        <w:tc>
          <w:tcPr>
            <w:tcW w:w="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646</w:t>
            </w:r>
          </w:p>
        </w:tc>
      </w:tr>
      <w:tr>
        <w:trPr>
          <w:trHeight w:val="235"/>
        </w:trPr>
        <w:tc>
          <w:tcPr>
            <w:tcW w:w="420" w:type="dxa"/>
            <w:vAlign w:val="bottom"/>
          </w:tcPr>
          <w:p>
            <w:pPr>
              <w:spacing w:after="0"/>
              <w:rPr>
                <w:sz w:val="20"/>
                <w:szCs w:val="20"/>
                <w:color w:val="auto"/>
              </w:rPr>
            </w:pPr>
            <w:r>
              <w:rPr>
                <w:rFonts w:ascii="Arial" w:cs="Arial" w:eastAsia="Arial" w:hAnsi="Arial"/>
                <w:sz w:val="16"/>
                <w:szCs w:val="16"/>
                <w:color w:val="auto"/>
                <w:w w:val="88"/>
              </w:rPr>
              <w:t>2.45%</w:t>
            </w:r>
          </w:p>
        </w:tc>
        <w:tc>
          <w:tcPr>
            <w:tcW w:w="6720" w:type="dxa"/>
            <w:vAlign w:val="bottom"/>
          </w:tcPr>
          <w:p>
            <w:pPr>
              <w:ind w:left="20"/>
              <w:spacing w:after="0"/>
              <w:rPr>
                <w:sz w:val="20"/>
                <w:szCs w:val="20"/>
                <w:color w:val="auto"/>
              </w:rPr>
            </w:pPr>
            <w:r>
              <w:rPr>
                <w:rFonts w:ascii="Arial" w:cs="Arial" w:eastAsia="Arial" w:hAnsi="Arial"/>
                <w:sz w:val="16"/>
                <w:szCs w:val="16"/>
                <w:color w:val="auto"/>
              </w:rPr>
              <w:t>Notes, net of discount</w:t>
            </w:r>
          </w:p>
        </w:tc>
        <w:tc>
          <w:tcPr>
            <w:tcW w:w="5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596</w:t>
            </w:r>
          </w:p>
        </w:tc>
        <w:tc>
          <w:tcPr>
            <w:tcW w:w="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595</w:t>
            </w:r>
          </w:p>
        </w:tc>
      </w:tr>
      <w:tr>
        <w:trPr>
          <w:trHeight w:val="235"/>
        </w:trPr>
        <w:tc>
          <w:tcPr>
            <w:tcW w:w="420" w:type="dxa"/>
            <w:vAlign w:val="bottom"/>
          </w:tcPr>
          <w:p>
            <w:pPr>
              <w:spacing w:after="0"/>
              <w:rPr>
                <w:sz w:val="20"/>
                <w:szCs w:val="20"/>
                <w:color w:val="auto"/>
              </w:rPr>
            </w:pPr>
            <w:r>
              <w:rPr>
                <w:rFonts w:ascii="Arial" w:cs="Arial" w:eastAsia="Arial" w:hAnsi="Arial"/>
                <w:sz w:val="16"/>
                <w:szCs w:val="16"/>
                <w:color w:val="auto"/>
                <w:w w:val="88"/>
              </w:rPr>
              <w:t>3.20%</w:t>
            </w:r>
          </w:p>
        </w:tc>
        <w:tc>
          <w:tcPr>
            <w:tcW w:w="6720" w:type="dxa"/>
            <w:vAlign w:val="bottom"/>
          </w:tcPr>
          <w:p>
            <w:pPr>
              <w:ind w:left="20"/>
              <w:spacing w:after="0"/>
              <w:rPr>
                <w:sz w:val="20"/>
                <w:szCs w:val="20"/>
                <w:color w:val="auto"/>
              </w:rPr>
            </w:pPr>
            <w:r>
              <w:rPr>
                <w:rFonts w:ascii="Arial" w:cs="Arial" w:eastAsia="Arial" w:hAnsi="Arial"/>
                <w:sz w:val="16"/>
                <w:szCs w:val="16"/>
                <w:color w:val="auto"/>
              </w:rPr>
              <w:t>Notes, net of discount</w:t>
            </w:r>
          </w:p>
        </w:tc>
        <w:tc>
          <w:tcPr>
            <w:tcW w:w="5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445</w:t>
            </w:r>
          </w:p>
        </w:tc>
        <w:tc>
          <w:tcPr>
            <w:tcW w:w="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444</w:t>
            </w:r>
          </w:p>
        </w:tc>
      </w:tr>
      <w:tr>
        <w:trPr>
          <w:trHeight w:val="235"/>
        </w:trPr>
        <w:tc>
          <w:tcPr>
            <w:tcW w:w="7140" w:type="dxa"/>
            <w:vAlign w:val="bottom"/>
            <w:gridSpan w:val="2"/>
          </w:tcPr>
          <w:p>
            <w:pPr>
              <w:spacing w:after="0"/>
              <w:rPr>
                <w:sz w:val="20"/>
                <w:szCs w:val="20"/>
                <w:color w:val="auto"/>
              </w:rPr>
            </w:pPr>
            <w:r>
              <w:rPr>
                <w:rFonts w:ascii="Arial" w:cs="Arial" w:eastAsia="Arial" w:hAnsi="Arial"/>
                <w:sz w:val="16"/>
                <w:szCs w:val="16"/>
                <w:color w:val="auto"/>
              </w:rPr>
              <w:t>Revolving Credit Facility</w:t>
            </w:r>
          </w:p>
        </w:tc>
        <w:tc>
          <w:tcPr>
            <w:tcW w:w="5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w:t>
            </w:r>
          </w:p>
        </w:tc>
        <w:tc>
          <w:tcPr>
            <w:tcW w:w="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(4)</w:t>
            </w:r>
          </w:p>
        </w:tc>
      </w:tr>
      <w:tr>
        <w:trPr>
          <w:trHeight w:val="235"/>
        </w:trPr>
        <w:tc>
          <w:tcPr>
            <w:tcW w:w="7140" w:type="dxa"/>
            <w:vAlign w:val="bottom"/>
            <w:gridSpan w:val="2"/>
          </w:tcPr>
          <w:p>
            <w:pPr>
              <w:spacing w:after="0"/>
              <w:rPr>
                <w:sz w:val="20"/>
                <w:szCs w:val="20"/>
                <w:color w:val="auto"/>
              </w:rPr>
            </w:pPr>
            <w:r>
              <w:rPr>
                <w:rFonts w:ascii="Arial" w:cs="Arial" w:eastAsia="Arial" w:hAnsi="Arial"/>
                <w:sz w:val="16"/>
                <w:szCs w:val="16"/>
                <w:color w:val="auto"/>
              </w:rPr>
              <w:t>F&amp;G Credit Agreement</w:t>
            </w:r>
          </w:p>
        </w:tc>
        <w:tc>
          <w:tcPr>
            <w:tcW w:w="5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35"/>
        </w:trPr>
        <w:tc>
          <w:tcPr>
            <w:tcW w:w="7140" w:type="dxa"/>
            <w:vAlign w:val="bottom"/>
            <w:gridSpan w:val="2"/>
          </w:tcPr>
          <w:p>
            <w:pPr>
              <w:spacing w:after="0"/>
              <w:rPr>
                <w:sz w:val="20"/>
                <w:szCs w:val="20"/>
                <w:color w:val="auto"/>
              </w:rPr>
            </w:pPr>
            <w:r>
              <w:rPr>
                <w:rFonts w:ascii="Arial" w:cs="Arial" w:eastAsia="Arial" w:hAnsi="Arial"/>
                <w:sz w:val="16"/>
                <w:szCs w:val="16"/>
                <w:color w:val="auto"/>
              </w:rPr>
              <w:t>5.50% F&amp;G Notes</w:t>
            </w:r>
          </w:p>
        </w:tc>
        <w:tc>
          <w:tcPr>
            <w:tcW w:w="5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301</w:t>
            </w:r>
          </w:p>
        </w:tc>
      </w:tr>
      <w:tr>
        <w:trPr>
          <w:trHeight w:val="235"/>
        </w:trPr>
        <w:tc>
          <w:tcPr>
            <w:tcW w:w="420" w:type="dxa"/>
            <w:vAlign w:val="bottom"/>
          </w:tcPr>
          <w:p>
            <w:pPr>
              <w:spacing w:after="0"/>
              <w:rPr>
                <w:sz w:val="20"/>
                <w:szCs w:val="20"/>
                <w:color w:val="auto"/>
              </w:rPr>
            </w:pPr>
            <w:r>
              <w:rPr>
                <w:rFonts w:ascii="Arial" w:cs="Arial" w:eastAsia="Arial" w:hAnsi="Arial"/>
                <w:sz w:val="16"/>
                <w:szCs w:val="16"/>
                <w:color w:val="auto"/>
                <w:w w:val="88"/>
              </w:rPr>
              <w:t>7.40%</w:t>
            </w:r>
          </w:p>
        </w:tc>
        <w:tc>
          <w:tcPr>
            <w:tcW w:w="6720" w:type="dxa"/>
            <w:vAlign w:val="bottom"/>
          </w:tcPr>
          <w:p>
            <w:pPr>
              <w:ind w:left="20"/>
              <w:spacing w:after="0"/>
              <w:rPr>
                <w:sz w:val="20"/>
                <w:szCs w:val="20"/>
                <w:color w:val="auto"/>
              </w:rPr>
            </w:pPr>
            <w:r>
              <w:rPr>
                <w:rFonts w:ascii="Arial" w:cs="Arial" w:eastAsia="Arial" w:hAnsi="Arial"/>
                <w:sz w:val="16"/>
                <w:szCs w:val="16"/>
                <w:color w:val="auto"/>
              </w:rPr>
              <w:t>F&amp;G Notes, net of discount</w:t>
            </w:r>
          </w:p>
        </w:tc>
        <w:tc>
          <w:tcPr>
            <w:tcW w:w="5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498</w:t>
            </w:r>
          </w:p>
        </w:tc>
        <w:tc>
          <w:tcPr>
            <w:tcW w:w="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497</w:t>
            </w:r>
          </w:p>
        </w:tc>
      </w:tr>
      <w:tr>
        <w:trPr>
          <w:trHeight w:val="235"/>
        </w:trPr>
        <w:tc>
          <w:tcPr>
            <w:tcW w:w="7140" w:type="dxa"/>
            <w:vAlign w:val="bottom"/>
            <w:gridSpan w:val="2"/>
          </w:tcPr>
          <w:p>
            <w:pPr>
              <w:spacing w:after="0"/>
              <w:rPr>
                <w:sz w:val="20"/>
                <w:szCs w:val="20"/>
                <w:color w:val="auto"/>
              </w:rPr>
            </w:pPr>
            <w:r>
              <w:rPr>
                <w:rFonts w:ascii="Arial" w:cs="Arial" w:eastAsia="Arial" w:hAnsi="Arial"/>
                <w:sz w:val="16"/>
                <w:szCs w:val="16"/>
                <w:color w:val="auto"/>
              </w:rPr>
              <w:t>7.30% F&amp;G Notes</w:t>
            </w:r>
          </w:p>
        </w:tc>
        <w:tc>
          <w:tcPr>
            <w:tcW w:w="5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364</w:t>
            </w:r>
          </w:p>
        </w:tc>
        <w:tc>
          <w:tcPr>
            <w:tcW w:w="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35"/>
        </w:trPr>
        <w:tc>
          <w:tcPr>
            <w:tcW w:w="420" w:type="dxa"/>
            <w:vAlign w:val="bottom"/>
          </w:tcPr>
          <w:p>
            <w:pPr>
              <w:spacing w:after="0"/>
              <w:rPr>
                <w:sz w:val="20"/>
                <w:szCs w:val="20"/>
                <w:color w:val="auto"/>
              </w:rPr>
            </w:pPr>
            <w:r>
              <w:rPr>
                <w:rFonts w:ascii="Arial" w:cs="Arial" w:eastAsia="Arial" w:hAnsi="Arial"/>
                <w:sz w:val="16"/>
                <w:szCs w:val="16"/>
                <w:color w:val="auto"/>
                <w:w w:val="88"/>
              </w:rPr>
              <w:t>7.95%</w:t>
            </w:r>
          </w:p>
        </w:tc>
        <w:tc>
          <w:tcPr>
            <w:tcW w:w="6720" w:type="dxa"/>
            <w:vAlign w:val="bottom"/>
          </w:tcPr>
          <w:p>
            <w:pPr>
              <w:ind w:left="20"/>
              <w:spacing w:after="0"/>
              <w:rPr>
                <w:sz w:val="20"/>
                <w:szCs w:val="20"/>
                <w:color w:val="auto"/>
              </w:rPr>
            </w:pPr>
            <w:r>
              <w:rPr>
                <w:rFonts w:ascii="Arial" w:cs="Arial" w:eastAsia="Arial" w:hAnsi="Arial"/>
                <w:sz w:val="16"/>
                <w:szCs w:val="16"/>
                <w:color w:val="auto"/>
              </w:rPr>
              <w:t>F&amp;G Notes, net of discount</w:t>
            </w:r>
          </w:p>
        </w:tc>
        <w:tc>
          <w:tcPr>
            <w:tcW w:w="5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336</w:t>
            </w:r>
          </w:p>
        </w:tc>
        <w:tc>
          <w:tcPr>
            <w:tcW w:w="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336</w:t>
            </w:r>
          </w:p>
        </w:tc>
      </w:tr>
      <w:tr>
        <w:trPr>
          <w:trHeight w:val="235"/>
        </w:trPr>
        <w:tc>
          <w:tcPr>
            <w:tcW w:w="420" w:type="dxa"/>
            <w:vAlign w:val="bottom"/>
          </w:tcPr>
          <w:p>
            <w:pPr>
              <w:spacing w:after="0"/>
              <w:rPr>
                <w:sz w:val="20"/>
                <w:szCs w:val="20"/>
                <w:color w:val="auto"/>
              </w:rPr>
            </w:pPr>
            <w:r>
              <w:rPr>
                <w:rFonts w:ascii="Arial" w:cs="Arial" w:eastAsia="Arial" w:hAnsi="Arial"/>
                <w:sz w:val="16"/>
                <w:szCs w:val="16"/>
                <w:color w:val="auto"/>
                <w:w w:val="88"/>
              </w:rPr>
              <w:t>6.50%</w:t>
            </w:r>
          </w:p>
        </w:tc>
        <w:tc>
          <w:tcPr>
            <w:tcW w:w="6720" w:type="dxa"/>
            <w:vAlign w:val="bottom"/>
          </w:tcPr>
          <w:p>
            <w:pPr>
              <w:ind w:left="20"/>
              <w:spacing w:after="0"/>
              <w:rPr>
                <w:sz w:val="20"/>
                <w:szCs w:val="20"/>
                <w:color w:val="auto"/>
              </w:rPr>
            </w:pPr>
            <w:r>
              <w:rPr>
                <w:rFonts w:ascii="Arial" w:cs="Arial" w:eastAsia="Arial" w:hAnsi="Arial"/>
                <w:sz w:val="16"/>
                <w:szCs w:val="16"/>
                <w:color w:val="auto"/>
              </w:rPr>
              <w:t>F&amp;G Notes, net of discount</w:t>
            </w:r>
          </w:p>
        </w:tc>
        <w:tc>
          <w:tcPr>
            <w:tcW w:w="5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546</w:t>
            </w:r>
          </w:p>
        </w:tc>
        <w:tc>
          <w:tcPr>
            <w:tcW w:w="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545</w:t>
            </w:r>
          </w:p>
        </w:tc>
      </w:tr>
      <w:tr>
        <w:trPr>
          <w:trHeight w:val="235"/>
        </w:trPr>
        <w:tc>
          <w:tcPr>
            <w:tcW w:w="420" w:type="dxa"/>
            <w:vAlign w:val="bottom"/>
          </w:tcPr>
          <w:p>
            <w:pPr>
              <w:spacing w:after="0"/>
              <w:rPr>
                <w:sz w:val="20"/>
                <w:szCs w:val="20"/>
                <w:color w:val="auto"/>
              </w:rPr>
            </w:pPr>
            <w:r>
              <w:rPr>
                <w:rFonts w:ascii="Arial" w:cs="Arial" w:eastAsia="Arial" w:hAnsi="Arial"/>
                <w:sz w:val="16"/>
                <w:szCs w:val="16"/>
                <w:color w:val="auto"/>
                <w:w w:val="88"/>
              </w:rPr>
              <w:t>6.25%</w:t>
            </w:r>
          </w:p>
        </w:tc>
        <w:tc>
          <w:tcPr>
            <w:tcW w:w="6720" w:type="dxa"/>
            <w:vAlign w:val="bottom"/>
          </w:tcPr>
          <w:p>
            <w:pPr>
              <w:ind w:left="20"/>
              <w:spacing w:after="0"/>
              <w:rPr>
                <w:sz w:val="20"/>
                <w:szCs w:val="20"/>
                <w:color w:val="auto"/>
              </w:rPr>
            </w:pPr>
            <w:r>
              <w:rPr>
                <w:rFonts w:ascii="Arial" w:cs="Arial" w:eastAsia="Arial" w:hAnsi="Arial"/>
                <w:sz w:val="16"/>
                <w:szCs w:val="16"/>
                <w:color w:val="auto"/>
              </w:rPr>
              <w:t>F&amp;G Notes, net of discount</w:t>
            </w:r>
          </w:p>
        </w:tc>
        <w:tc>
          <w:tcPr>
            <w:tcW w:w="5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493</w:t>
            </w:r>
          </w:p>
        </w:tc>
        <w:tc>
          <w:tcPr>
            <w:tcW w:w="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492</w:t>
            </w:r>
          </w:p>
        </w:tc>
      </w:tr>
      <w:tr>
        <w:trPr>
          <w:trHeight w:val="232"/>
        </w:trPr>
        <w:tc>
          <w:tcPr>
            <w:tcW w:w="420" w:type="dxa"/>
            <w:vAlign w:val="bottom"/>
          </w:tcPr>
          <w:p>
            <w:pPr>
              <w:spacing w:after="0"/>
              <w:rPr>
                <w:sz w:val="20"/>
                <w:szCs w:val="20"/>
                <w:color w:val="auto"/>
              </w:rPr>
            </w:pPr>
            <w:r>
              <w:rPr>
                <w:rFonts w:ascii="Arial" w:cs="Arial" w:eastAsia="Arial" w:hAnsi="Arial"/>
                <w:sz w:val="16"/>
                <w:szCs w:val="16"/>
                <w:color w:val="auto"/>
                <w:w w:val="99"/>
              </w:rPr>
              <w:t>Other</w:t>
            </w:r>
          </w:p>
        </w:tc>
        <w:tc>
          <w:tcPr>
            <w:tcW w:w="6720" w:type="dxa"/>
            <w:vAlign w:val="bottom"/>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w:t>
            </w:r>
          </w:p>
        </w:tc>
        <w:tc>
          <w:tcPr>
            <w:tcW w:w="80" w:type="dxa"/>
            <w:vAlign w:val="bottom"/>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w:t>
            </w:r>
          </w:p>
        </w:tc>
      </w:tr>
      <w:tr>
        <w:trPr>
          <w:trHeight w:val="196"/>
        </w:trPr>
        <w:tc>
          <w:tcPr>
            <w:tcW w:w="420" w:type="dxa"/>
            <w:vAlign w:val="bottom"/>
          </w:tcPr>
          <w:p>
            <w:pPr>
              <w:spacing w:after="0"/>
              <w:rPr>
                <w:sz w:val="17"/>
                <w:szCs w:val="17"/>
                <w:color w:val="auto"/>
              </w:rPr>
            </w:pPr>
          </w:p>
        </w:tc>
        <w:tc>
          <w:tcPr>
            <w:tcW w:w="6720" w:type="dxa"/>
            <w:vAlign w:val="bottom"/>
          </w:tcPr>
          <w:p>
            <w:pPr>
              <w:spacing w:after="0"/>
              <w:rPr>
                <w:sz w:val="17"/>
                <w:szCs w:val="17"/>
                <w:color w:val="auto"/>
              </w:rPr>
            </w:pPr>
          </w:p>
        </w:tc>
        <w:tc>
          <w:tcPr>
            <w:tcW w:w="560" w:type="dxa"/>
            <w:vAlign w:val="bottom"/>
          </w:tcPr>
          <w:p>
            <w:pPr>
              <w:ind w:left="60"/>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4,400</w:t>
            </w:r>
          </w:p>
        </w:tc>
        <w:tc>
          <w:tcPr>
            <w:tcW w:w="740" w:type="dxa"/>
            <w:vAlign w:val="bottom"/>
            <w:gridSpan w:val="2"/>
          </w:tcPr>
          <w:p>
            <w:pPr>
              <w:ind w:left="120"/>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4,321</w:t>
            </w:r>
          </w:p>
        </w:tc>
      </w:tr>
      <w:tr>
        <w:trPr>
          <w:trHeight w:val="20"/>
        </w:trPr>
        <w:tc>
          <w:tcPr>
            <w:tcW w:w="42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-2121535</wp:posOffset>
            </wp:positionV>
            <wp:extent cx="6410325" cy="212852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17">
                      <a:extLst>
                        <a:ext uri="{28A0092B-C50C-407E-A947-70E740481C1C}"/>
                      </a:extLst>
                    </a:blip>
                    <a:srcRect/>
                    <a:stretch>
                      <a:fillRect/>
                    </a:stretch>
                  </pic:blipFill>
                  <pic:spPr bwMode="auto">
                    <a:xfrm>
                      <a:off x="0" y="0"/>
                      <a:ext cx="6410325" cy="2128520"/>
                    </a:xfrm>
                    <a:prstGeom prst="rect">
                      <a:avLst/>
                    </a:prstGeom>
                    <a:noFill/>
                  </pic:spPr>
                </pic:pic>
              </a:graphicData>
            </a:graphic>
          </wp:anchor>
        </w:drawing>
      </w:r>
    </w:p>
    <w:p>
      <w:pPr>
        <w:spacing w:after="0" w:line="105" w:lineRule="exact"/>
        <w:rPr>
          <w:sz w:val="20"/>
          <w:szCs w:val="20"/>
          <w:color w:val="auto"/>
        </w:rPr>
      </w:pPr>
    </w:p>
    <w:p>
      <w:pPr>
        <w:jc w:val="both"/>
        <w:ind w:firstLine="353"/>
        <w:spacing w:after="0" w:line="361" w:lineRule="auto"/>
        <w:rPr>
          <w:sz w:val="20"/>
          <w:szCs w:val="20"/>
          <w:color w:val="auto"/>
        </w:rPr>
      </w:pPr>
      <w:r>
        <w:rPr>
          <w:rFonts w:ascii="Arial" w:cs="Arial" w:eastAsia="Arial" w:hAnsi="Arial"/>
          <w:sz w:val="17"/>
          <w:szCs w:val="17"/>
          <w:color w:val="auto"/>
        </w:rPr>
        <w:t>On January 13, 2025, F&amp;G completed its public offering of the 7.30% F&amp;G Junior Notes. F&amp;G used a portion of the net proceeds of this offering to redeem the outstanding $300 million aggregate principal amount of its 5.50% F&amp;G Senior Notes.</w:t>
      </w:r>
    </w:p>
    <w:p>
      <w:pPr>
        <w:sectPr>
          <w:pgSz w:w="11880" w:h="15480" w:orient="portrait"/>
          <w:cols w:equalWidth="0" w:num="1">
            <w:col w:w="10040"/>
          </w:cols>
          <w:pgMar w:left="920" w:top="772" w:right="920" w:bottom="0" w:gutter="0" w:footer="0" w:header="0"/>
        </w:sect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149</w:t>
      </w:r>
    </w:p>
    <w:p>
      <w:pPr>
        <w:sectPr>
          <w:pgSz w:w="11880" w:h="15480" w:orient="portrait"/>
          <w:cols w:equalWidth="0" w:num="1">
            <w:col w:w="10040"/>
          </w:cols>
          <w:pgMar w:left="920" w:top="772" w:right="920" w:bottom="0" w:gutter="0" w:footer="0" w:header="0"/>
          <w:type w:val="continuous"/>
        </w:sectPr>
      </w:pPr>
    </w:p>
    <w:bookmarkStart w:id="161" w:name="page162"/>
    <w:bookmarkEnd w:id="161"/>
    <w:p>
      <w:pPr>
        <w:jc w:val="both"/>
        <w:spacing w:after="0" w:line="250" w:lineRule="auto"/>
        <w:rPr>
          <w:sz w:val="20"/>
          <w:szCs w:val="20"/>
          <w:color w:val="auto"/>
        </w:rPr>
      </w:pPr>
      <w:r>
        <w:rPr>
          <w:rFonts w:ascii="Arial" w:cs="Arial" w:eastAsia="Arial" w:hAnsi="Arial"/>
          <w:sz w:val="20"/>
          <w:szCs w:val="20"/>
          <w:color w:val="auto"/>
        </w:rPr>
        <w:t>F&amp;G used the remaining net proceeds for general corporate purposes. The 7.30% F&amp;G Junior Notes are junior, unsecured subordinated obligations of F&amp;G. Interest is payable quarterly in arrears beginning on April 15, 2025, and the 7.30% F&amp;G Junior Notes mature on January 15, 2065, unless earlier repurchased or redeemed. The 7.30% F&amp;G Junior Notes become redeemable in whole or in part, any time and from time to time on or after January 15, 2030 or within 90 days of the occurrence of certain events as described in the indenture. The 7.30% F&amp;G Junior Notes were registered under the Securities Act of 1933 (as amended) (the “Securities Act”).</w:t>
      </w:r>
    </w:p>
    <w:p>
      <w:pPr>
        <w:spacing w:after="0" w:line="91" w:lineRule="exact"/>
        <w:rPr>
          <w:sz w:val="20"/>
          <w:szCs w:val="20"/>
          <w:color w:val="auto"/>
        </w:rPr>
      </w:pPr>
    </w:p>
    <w:p>
      <w:pPr>
        <w:jc w:val="both"/>
        <w:ind w:firstLine="353"/>
        <w:spacing w:after="0" w:line="299" w:lineRule="auto"/>
        <w:rPr>
          <w:sz w:val="20"/>
          <w:szCs w:val="20"/>
          <w:color w:val="auto"/>
        </w:rPr>
      </w:pPr>
      <w:r>
        <w:rPr>
          <w:rFonts w:ascii="Arial" w:cs="Arial" w:eastAsia="Arial" w:hAnsi="Arial"/>
          <w:sz w:val="17"/>
          <w:szCs w:val="17"/>
          <w:color w:val="auto"/>
        </w:rPr>
        <w:t>On October 4, 2024, F&amp;G issued $500 million of its 6.25% Senior Notes due 2034. The 6.25% F&amp;G Notes were issued at 99.36% of face value, net of deferred issuance costs of approximately $8 million The 6.25% F&amp;G Notes are senior unsecured, unsubordinated obligations of F&amp;G and are guaranteed by each of F&amp;G's subsidiaries that are guarantors of F&amp;G's obligations under its existing credit agreement. The 6.25% F&amp;G Notes mature on October 4, 2034, and become callable on July 4, 2034. Interest is payable semi-annually at a fixed rate of 6.25%, and if the 6.25% F&amp;G Notes are downgraded, the interest rate payable is subject to adjustment from time to time per the terms of the indenture. A portion of the net proceeds were used to pay off the outstanding balance of $365 million on the F&amp;G Credit Agreement described below. The remaining net proceeds of this offering were used for general corporate purposes, including the support of organic growth opportunities.</w:t>
      </w:r>
    </w:p>
    <w:p>
      <w:pPr>
        <w:spacing w:after="0" w:line="51" w:lineRule="exact"/>
        <w:rPr>
          <w:sz w:val="20"/>
          <w:szCs w:val="20"/>
          <w:color w:val="auto"/>
        </w:rPr>
      </w:pPr>
    </w:p>
    <w:p>
      <w:pPr>
        <w:jc w:val="both"/>
        <w:ind w:firstLine="353"/>
        <w:spacing w:after="0" w:line="262" w:lineRule="auto"/>
        <w:rPr>
          <w:sz w:val="20"/>
          <w:szCs w:val="20"/>
          <w:color w:val="auto"/>
        </w:rPr>
      </w:pPr>
      <w:r>
        <w:rPr>
          <w:rFonts w:ascii="Arial" w:cs="Arial" w:eastAsia="Arial" w:hAnsi="Arial"/>
          <w:sz w:val="19"/>
          <w:szCs w:val="19"/>
          <w:color w:val="auto"/>
        </w:rPr>
        <w:t>On June 4, 2024, F&amp;G issued $550 million of its 6.50% Senior Notes due 2029. The 6.50% F&amp;G Notes were issued at 99.74% of face value, net of deferred issuance costs of approximately $6 million. The 6.50% F&amp;G Notes are senior unsecured, unsubordinated obligations of F&amp;G and are guaranteed by each of F&amp;G's subsidiaries that are guarantors of F&amp;G's obligations under its existing credit agreement. The 6.50% F&amp;G Notes mature on June 4, 2029, and become callable on May 4, 2029. Interest is payable semi-annually at a fixed rate of 6.50%, and if the 6.50% F&amp;G Notes are downgraded, the interest rate payable is subject to adjustment from time to time per the terms of the indenture. A portion of the net proceeds were used to finance a cash tender offer by its wholly owned subsidiary Fidelity &amp; Guaranty Life Holdings, Inc. (“FGLH”) for an aggregate principal amount of $250 million of FGLH’s 5.50% Senior Notes due 2025 (the “5.50% F&amp;G Notes”). The remaining net proceeds of this offering were used for for general corporate purposes, including the repurchase, redemption or repayment at maturity of outstanding indebtedness.</w:t>
      </w:r>
    </w:p>
    <w:p>
      <w:pPr>
        <w:spacing w:after="0" w:line="84" w:lineRule="exact"/>
        <w:rPr>
          <w:sz w:val="20"/>
          <w:szCs w:val="20"/>
          <w:color w:val="auto"/>
        </w:rPr>
      </w:pPr>
    </w:p>
    <w:p>
      <w:pPr>
        <w:jc w:val="both"/>
        <w:ind w:firstLine="353"/>
        <w:spacing w:after="0" w:line="303" w:lineRule="auto"/>
        <w:rPr>
          <w:sz w:val="20"/>
          <w:szCs w:val="20"/>
          <w:color w:val="auto"/>
        </w:rPr>
      </w:pPr>
      <w:r>
        <w:rPr>
          <w:rFonts w:ascii="Arial" w:cs="Arial" w:eastAsia="Arial" w:hAnsi="Arial"/>
          <w:sz w:val="17"/>
          <w:szCs w:val="17"/>
          <w:color w:val="auto"/>
        </w:rPr>
        <w:t>On December 6, 2023, F&amp;G issued $345 million of its 7.95% Senior Notes due 2053 (the "7.95% F&amp;G Notes"). The 7.95% F&amp;G Notes were issued at par, net of deferred issuance costs of approximately $9 million. The 7.95% F&amp;G Notes are senior unsecured, unsubordinated obligations of F&amp;G and are guaranteed by each of F&amp;G’s subsidiaries that are guarantors of F&amp;G’s obligations under its existing credit agreement. The 7.95% F&amp;G Notes mature on December 15, 2053, and become callable on or after December 15, 2028. Interest is payable quarterly at a fixed rate of 7.95%, and, if the 7.95% F&amp;G Notes are downgraded, the interest rate payable is subject to adjustment from time to time per the terms of the indenture.</w:t>
      </w:r>
    </w:p>
    <w:p>
      <w:pPr>
        <w:spacing w:after="0" w:line="48" w:lineRule="exact"/>
        <w:rPr>
          <w:sz w:val="20"/>
          <w:szCs w:val="20"/>
          <w:color w:val="auto"/>
        </w:rPr>
      </w:pPr>
    </w:p>
    <w:p>
      <w:pPr>
        <w:jc w:val="both"/>
        <w:ind w:firstLine="353"/>
        <w:spacing w:after="0" w:line="264" w:lineRule="auto"/>
        <w:rPr>
          <w:sz w:val="20"/>
          <w:szCs w:val="20"/>
          <w:color w:val="auto"/>
        </w:rPr>
      </w:pPr>
      <w:r>
        <w:rPr>
          <w:rFonts w:ascii="Arial" w:cs="Arial" w:eastAsia="Arial" w:hAnsi="Arial"/>
          <w:sz w:val="19"/>
          <w:szCs w:val="19"/>
          <w:color w:val="auto"/>
        </w:rPr>
        <w:t>On January 13, 2023, F&amp;G issued $500 million of its 7.40% F&amp;G Notes due 2028 (the 7.40% F&amp;G Notes"). The 7.40% F&amp;G Notes were issued at par, net of deferred issuance costs of approximately $6 million. The 7.40% F&amp;G Notes are senior, unsecured unsubordinated obligations of F&amp;G and are fully and unconditionally guaranteed on an unsecured, unsubordinated basis by each of F&amp;G’s subsidiaries that are guarantors of F&amp;G’s obligations under its existing credit agreement. The 7.40% F&amp;G Notes mature on January 13, 2028, and become callable on or after December 13, 2027. Interest is payable semi-annually at a fixed rate of 7.40%, and if, the 7.40% F&amp;G Notes are downgraded, the interest rate payable is subject to adjustment from time to time per the terms of the indenture.</w:t>
      </w:r>
    </w:p>
    <w:p>
      <w:pPr>
        <w:spacing w:after="0" w:line="82" w:lineRule="exact"/>
        <w:rPr>
          <w:sz w:val="20"/>
          <w:szCs w:val="20"/>
          <w:color w:val="auto"/>
        </w:rPr>
      </w:pPr>
    </w:p>
    <w:p>
      <w:pPr>
        <w:jc w:val="both"/>
        <w:ind w:firstLine="353"/>
        <w:spacing w:after="0" w:line="296" w:lineRule="auto"/>
        <w:rPr>
          <w:sz w:val="20"/>
          <w:szCs w:val="20"/>
          <w:color w:val="auto"/>
        </w:rPr>
      </w:pPr>
      <w:r>
        <w:rPr>
          <w:rFonts w:ascii="Arial" w:cs="Arial" w:eastAsia="Arial" w:hAnsi="Arial"/>
          <w:sz w:val="17"/>
          <w:szCs w:val="17"/>
          <w:color w:val="auto"/>
        </w:rPr>
        <w:t xml:space="preserve">On April 20, 2018, Fidelity &amp; Guaranty Life Holdings, Inc. (“FGLH”), F&amp;G's indirect wholly owned subsidiary, completed a debt offering of $550 million of 5.50% F&amp;G Notes due May 1, 2025 at 99.5% of face value for proceeds of $547 million. As a result of our acquisition of F&amp;G in 2020, a premium of $39 million was established for these notes and is being amortized over the remaining life of the debt through 2025. In conjunction with the acquisition, we became a guarantor of FGLH's obligations under the 5.50% F&amp;G Notes and agreed to fully and unconditionally guarantee the 5.50% F&amp;G Notes, on a joint and several basis. A portion of the net proceeds of the 6.50% F&amp;G Notes were used for a $250 million cash tender offer of the 5.50% F&amp;G Notes in June 2024. On February 1, 2025, F&amp;G redeemed the outstanding $300 million aggregate principal amount of the 5.50% F&amp;G Senior Notes. The notes were redeemed for a redemption price equal to 100% of the principal amount of the notes plus accrued and unpaid interest to, but excluding, the redemption date. Refer to Note A </w:t>
      </w:r>
      <w:r>
        <w:rPr>
          <w:rFonts w:ascii="Arial" w:cs="Arial" w:eastAsia="Arial" w:hAnsi="Arial"/>
          <w:sz w:val="17"/>
          <w:szCs w:val="17"/>
          <w:b w:val="1"/>
          <w:bCs w:val="1"/>
          <w:i w:val="1"/>
          <w:iCs w:val="1"/>
          <w:color w:val="auto"/>
        </w:rPr>
        <w:t>Business and</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 xml:space="preserve">Summary of Significant Accounting Policies </w:t>
      </w:r>
      <w:r>
        <w:rPr>
          <w:rFonts w:ascii="Arial" w:cs="Arial" w:eastAsia="Arial" w:hAnsi="Arial"/>
          <w:sz w:val="17"/>
          <w:szCs w:val="17"/>
          <w:color w:val="auto"/>
        </w:rPr>
        <w:t>for a discussion of the redemption of the 5.50% F&amp;G Notes.</w:t>
      </w:r>
    </w:p>
    <w:p>
      <w:pPr>
        <w:spacing w:after="0" w:line="59" w:lineRule="exact"/>
        <w:rPr>
          <w:sz w:val="20"/>
          <w:szCs w:val="20"/>
          <w:color w:val="auto"/>
        </w:rPr>
      </w:pPr>
    </w:p>
    <w:p>
      <w:pPr>
        <w:jc w:val="both"/>
        <w:ind w:firstLine="353"/>
        <w:spacing w:after="0" w:line="300" w:lineRule="auto"/>
        <w:rPr>
          <w:sz w:val="20"/>
          <w:szCs w:val="20"/>
          <w:color w:val="auto"/>
        </w:rPr>
      </w:pPr>
      <w:r>
        <w:rPr>
          <w:rFonts w:ascii="Arial" w:cs="Arial" w:eastAsia="Arial" w:hAnsi="Arial"/>
          <w:sz w:val="17"/>
          <w:szCs w:val="17"/>
          <w:color w:val="auto"/>
        </w:rPr>
        <w:t>On November 22, 2022, F&amp;G entered into the F&amp;G Credit Agreement pursuant to which the Lenders have made available the F&amp;G Credit Facility in an aggregate principal amount of $550 million to be used for working capital and general corporate purposes. On February 21, 2023, F&amp;G entered into the Amended F&amp;G Credit Agreement with the Lenders and the Administrative Agent, swing line lender and issuing bank. The Amended F&amp;G Credit Agreement increased the aggregate principal amount of commitments under the F&amp;G Credit Facility by $115 million to $665 million. On February 16, 2024, F&amp;G entered into a Second Amended and Restated F&amp;G Credit Agreement. Among other changes, the Second Amended and Restated F&amp;G Credit Agreement amends the Amended F&amp;G Credit Agreement to extend the maturity date to November 22,</w:t>
      </w:r>
    </w:p>
    <w:p>
      <w:pPr>
        <w:sectPr>
          <w:pgSz w:w="11880" w:h="15480" w:orient="portrait"/>
          <w:cols w:equalWidth="0" w:num="1">
            <w:col w:w="10040"/>
          </w:cols>
          <w:pgMar w:left="920" w:top="772"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150</w:t>
      </w:r>
    </w:p>
    <w:p>
      <w:pPr>
        <w:sectPr>
          <w:pgSz w:w="11880" w:h="15480" w:orient="portrait"/>
          <w:cols w:equalWidth="0" w:num="1">
            <w:col w:w="10040"/>
          </w:cols>
          <w:pgMar w:left="920" w:top="772" w:right="920" w:bottom="0" w:gutter="0" w:footer="0" w:header="0"/>
          <w:type w:val="continuous"/>
        </w:sectPr>
      </w:pPr>
    </w:p>
    <w:bookmarkStart w:id="162" w:name="page163"/>
    <w:bookmarkEnd w:id="162"/>
    <w:p>
      <w:pPr>
        <w:spacing w:after="0"/>
        <w:rPr>
          <w:sz w:val="20"/>
          <w:szCs w:val="20"/>
          <w:color w:val="auto"/>
        </w:rPr>
      </w:pPr>
      <w:r>
        <w:rPr>
          <w:rFonts w:ascii="Arial" w:cs="Arial" w:eastAsia="Arial" w:hAnsi="Arial"/>
          <w:sz w:val="19"/>
          <w:szCs w:val="19"/>
          <w:color w:val="auto"/>
        </w:rPr>
        <w:t>2027, and increase the aggregate principal amount of commitments under the revolving credit facility to $750 million.</w:t>
      </w:r>
    </w:p>
    <w:p>
      <w:pPr>
        <w:spacing w:after="0" w:line="134" w:lineRule="exact"/>
        <w:rPr>
          <w:sz w:val="20"/>
          <w:szCs w:val="20"/>
          <w:color w:val="auto"/>
        </w:rPr>
      </w:pPr>
    </w:p>
    <w:p>
      <w:pPr>
        <w:jc w:val="both"/>
        <w:ind w:firstLine="353"/>
        <w:spacing w:after="0" w:line="263" w:lineRule="auto"/>
        <w:rPr>
          <w:sz w:val="20"/>
          <w:szCs w:val="20"/>
          <w:color w:val="auto"/>
        </w:rPr>
      </w:pPr>
      <w:r>
        <w:rPr>
          <w:rFonts w:ascii="Arial" w:cs="Arial" w:eastAsia="Arial" w:hAnsi="Arial"/>
          <w:sz w:val="19"/>
          <w:szCs w:val="19"/>
          <w:color w:val="auto"/>
        </w:rPr>
        <w:t>Revolving loans under the Credit Agreement generally bear interest at a variable rate based on either (i) the base rate (which is the highest of (a) one-half of one percent in excess of the federal funds rate, (b) the Administrative Agent’s “prime rate”, or (c) the sum of one percent plus Term The Secured Overnight Financing Rate (“SOFR”) plus a margin of between 30.0 and 80.0 basis points depending on the non-credit-enhanced, senior unsecured long-term debt ratings of F&amp;G or (ii) Term SOFR plus a margin of between 130.0 and 180.0 basis points depending on the non-credit-enhanced, senior unsecured long-term debt ratings of F&amp;G. In addition, F&amp;G pays a facility fee of between 20.0 and 45.0 basis points on the entire facility, also depending on the non-credit-enhanced, senior unsecured long-term debt ratings, which is payable quarterly in arrears. The average variable interest rate on the revolving credit facility for the period the debt was outstanding in 2025 was 0.00% compared to 7.06% for the year ended December 31, 2024.</w:t>
      </w:r>
    </w:p>
    <w:p>
      <w:pPr>
        <w:spacing w:after="0" w:line="80" w:lineRule="exact"/>
        <w:rPr>
          <w:sz w:val="20"/>
          <w:szCs w:val="20"/>
          <w:color w:val="auto"/>
        </w:rPr>
      </w:pPr>
    </w:p>
    <w:p>
      <w:pPr>
        <w:jc w:val="both"/>
        <w:ind w:firstLine="353"/>
        <w:spacing w:after="0" w:line="360" w:lineRule="auto"/>
        <w:rPr>
          <w:sz w:val="20"/>
          <w:szCs w:val="20"/>
          <w:color w:val="auto"/>
        </w:rPr>
      </w:pPr>
      <w:r>
        <w:rPr>
          <w:rFonts w:ascii="Arial" w:cs="Arial" w:eastAsia="Arial" w:hAnsi="Arial"/>
          <w:sz w:val="17"/>
          <w:szCs w:val="17"/>
          <w:color w:val="auto"/>
        </w:rPr>
        <w:t>As of December 31, 2025 and 2024, $0 million and $0 million, respectively, of gross principal balance, was outstanding under the F&amp;G Credit Agreement. As of December 31, 2025, we had $750 million of remaining borrowing availability.</w:t>
      </w:r>
    </w:p>
    <w:p>
      <w:pPr>
        <w:spacing w:after="0" w:line="2" w:lineRule="exact"/>
        <w:rPr>
          <w:sz w:val="20"/>
          <w:szCs w:val="20"/>
          <w:color w:val="auto"/>
        </w:rPr>
      </w:pPr>
    </w:p>
    <w:p>
      <w:pPr>
        <w:jc w:val="both"/>
        <w:ind w:firstLine="353"/>
        <w:spacing w:after="0" w:line="251" w:lineRule="auto"/>
        <w:rPr>
          <w:sz w:val="20"/>
          <w:szCs w:val="20"/>
          <w:color w:val="auto"/>
        </w:rPr>
      </w:pPr>
      <w:r>
        <w:rPr>
          <w:rFonts w:ascii="Arial" w:cs="Arial" w:eastAsia="Arial" w:hAnsi="Arial"/>
          <w:sz w:val="20"/>
          <w:szCs w:val="20"/>
          <w:color w:val="auto"/>
        </w:rPr>
        <w:t>On September 17, 2021, we completed our underwritten public offering of $450 million aggregate principal amount of our 3.20% Notes due 2051, pursuant to our registration statement on Form S-3 ASR (File No. 333-239002) and the related prospectus supplement. The net proceeds from the registered offering of the 3.20% Notes were approximately $443 million, after deducting underwriting discounts, commissions and offering expenses. We plan to use the net proceeds from the offering for general corporate purposes.</w:t>
      </w:r>
    </w:p>
    <w:p>
      <w:pPr>
        <w:spacing w:after="0" w:line="91" w:lineRule="exact"/>
        <w:rPr>
          <w:sz w:val="20"/>
          <w:szCs w:val="20"/>
          <w:color w:val="auto"/>
        </w:rPr>
      </w:pPr>
    </w:p>
    <w:p>
      <w:pPr>
        <w:jc w:val="both"/>
        <w:ind w:firstLine="353"/>
        <w:spacing w:after="0" w:line="263" w:lineRule="auto"/>
        <w:rPr>
          <w:sz w:val="20"/>
          <w:szCs w:val="20"/>
          <w:color w:val="auto"/>
        </w:rPr>
      </w:pPr>
      <w:r>
        <w:rPr>
          <w:rFonts w:ascii="Arial" w:cs="Arial" w:eastAsia="Arial" w:hAnsi="Arial"/>
          <w:sz w:val="19"/>
          <w:szCs w:val="19"/>
          <w:color w:val="auto"/>
        </w:rPr>
        <w:t>On October 29, 2020, we entered into the Fifth Restated Credit Agreement for our Amended Revolving Credit Facility with Bank of America, N.A., as administrative agent and the other agents party thereto. Among other changes, the Fifth Restated Credit Agreement amends the Fourth Restated Credit Agreement to extend the maturity date from April 27, 2022 to October 29, 2025. The material terms of the Fourth Restated Credit Agreement are set forth in our Annual Report for the year ended December 31, 2019. As of December 31, 2025, there was no principal outstanding, $3 million of unamortized debt issuance costs, and $800 million of available borrowing capacity under the Revolving Credit Facility. On February 16, 2024, we entered into a Sixth Amended and Restated Credit Agreement. Among other changes, the Sixth Amended and Restated Credit Agreement amends the Fifth Restated Credit Agreement to extend the maturity date from October 29, 2025 to February 16, 2029.</w:t>
      </w:r>
    </w:p>
    <w:p>
      <w:pPr>
        <w:spacing w:after="0" w:line="80" w:lineRule="exact"/>
        <w:rPr>
          <w:sz w:val="20"/>
          <w:szCs w:val="20"/>
          <w:color w:val="auto"/>
        </w:rPr>
      </w:pPr>
    </w:p>
    <w:p>
      <w:pPr>
        <w:jc w:val="both"/>
        <w:ind w:firstLine="353"/>
        <w:spacing w:after="0" w:line="264" w:lineRule="auto"/>
        <w:rPr>
          <w:sz w:val="20"/>
          <w:szCs w:val="20"/>
          <w:color w:val="auto"/>
        </w:rPr>
      </w:pPr>
      <w:r>
        <w:rPr>
          <w:rFonts w:ascii="Arial" w:cs="Arial" w:eastAsia="Arial" w:hAnsi="Arial"/>
          <w:sz w:val="19"/>
          <w:szCs w:val="19"/>
          <w:color w:val="auto"/>
        </w:rPr>
        <w:t>On September 15, 2020, we completed our underwritten public offering of $600 million aggregate principal amount of our 2.45% Notes due March 15, 2031 (the "2.45% Notes") pursuant to an effective registration statement filed with the Securities and Exchange Commission ("SEC"). The net proceeds from the registered offering of the 2.45% Notes were approximately $593 million, after deducting underwriting discounts and commissions and offering expenses. We used the net proceeds from the offering (i) to repay the remaining $260 million outstanding indebtedness under our prior term loan credit agreement dated April 22, 2020, among us, as borrower, various lenders, and Bank of American N.A., as administrative agent (the "Term Loan"), which provided for an aggregate principal borrowing of $1.0 billion that we entered into to fund a portion of the acquisition of F&amp;G and (ii) for general corporate purposes.</w:t>
      </w:r>
    </w:p>
    <w:p>
      <w:pPr>
        <w:spacing w:after="0" w:line="77" w:lineRule="exact"/>
        <w:rPr>
          <w:sz w:val="20"/>
          <w:szCs w:val="20"/>
          <w:color w:val="auto"/>
        </w:rPr>
      </w:pPr>
    </w:p>
    <w:p>
      <w:pPr>
        <w:jc w:val="both"/>
        <w:ind w:firstLine="353"/>
        <w:spacing w:after="0" w:line="268" w:lineRule="auto"/>
        <w:rPr>
          <w:sz w:val="20"/>
          <w:szCs w:val="20"/>
          <w:color w:val="auto"/>
        </w:rPr>
      </w:pPr>
      <w:r>
        <w:rPr>
          <w:rFonts w:ascii="Arial" w:cs="Arial" w:eastAsia="Arial" w:hAnsi="Arial"/>
          <w:sz w:val="19"/>
          <w:szCs w:val="19"/>
          <w:color w:val="auto"/>
        </w:rPr>
        <w:t>On June 12, 2020, we completed our underwritten public offering of $650 million aggregate principal amount of the 3.40% Notes due 2030 (the “3.40% Notes”) pursuant to an effective registration statement filed with the SEC. The net proceeds from the registered offering of the 3.40% Notes were approximately $642 million, after deducting underwriting discounts, and commissions and offering expenses. We used the net proceeds from the offering (i) to repay $640 million of the then outstanding principal amount under the Term Loan, and (ii) for general corporate purposes.</w:t>
      </w:r>
    </w:p>
    <w:p>
      <w:pPr>
        <w:spacing w:after="0" w:line="74" w:lineRule="exact"/>
        <w:rPr>
          <w:sz w:val="20"/>
          <w:szCs w:val="20"/>
          <w:color w:val="auto"/>
        </w:rPr>
      </w:pPr>
    </w:p>
    <w:p>
      <w:pPr>
        <w:jc w:val="both"/>
        <w:ind w:firstLine="353"/>
        <w:spacing w:after="0" w:line="299" w:lineRule="auto"/>
        <w:rPr>
          <w:sz w:val="20"/>
          <w:szCs w:val="20"/>
          <w:color w:val="auto"/>
        </w:rPr>
      </w:pPr>
      <w:r>
        <w:rPr>
          <w:rFonts w:ascii="Arial" w:cs="Arial" w:eastAsia="Arial" w:hAnsi="Arial"/>
          <w:sz w:val="17"/>
          <w:szCs w:val="17"/>
          <w:color w:val="auto"/>
        </w:rPr>
        <w:t>On August 13, 2018, we completed an offering of $450 million in aggregate principal amount of 4.50% notes due August 2028 (the "4.50% Notes"), pursuant to Rule 144A and Regulation S under the Securities Act of 1933, as amended. The 4.50% Notes were priced at 99.252% of par to yield 4.594% annual interest. We pay interest on the 4.50% Notes semi-annually on the 15th of February and August, beginning February 15, 2019. The 4.50% Notes contain customary covenants and events of default for investment grade public debt, which primarily relate to failure to make principal or interest payments. On May 16, 2019, we completed an offering to exchange the 4.50% Notes for substantially identical notes registered pursuant to Rule 424 under the Securities Act of 1933 (the "4.50% Notes Exchange"). There were no material changes to the terms of the 4.50% Notes as a result of the 4.50% Notes Exchange and all holders of the 4.50% Notes accepted the offer to exchange.</w:t>
      </w:r>
    </w:p>
    <w:p>
      <w:pPr>
        <w:sectPr>
          <w:pgSz w:w="11880" w:h="15480" w:orient="portrait"/>
          <w:cols w:equalWidth="0" w:num="1">
            <w:col w:w="10040"/>
          </w:cols>
          <w:pgMar w:left="920" w:top="772"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151</w:t>
      </w:r>
    </w:p>
    <w:p>
      <w:pPr>
        <w:sectPr>
          <w:pgSz w:w="11880" w:h="15480" w:orient="portrait"/>
          <w:cols w:equalWidth="0" w:num="1">
            <w:col w:w="10040"/>
          </w:cols>
          <w:pgMar w:left="920" w:top="772" w:right="920" w:bottom="0" w:gutter="0" w:footer="0" w:header="0"/>
          <w:type w:val="continuous"/>
        </w:sectPr>
      </w:pPr>
    </w:p>
    <w:bookmarkStart w:id="163" w:name="page164"/>
    <w:bookmarkEnd w:id="163"/>
    <w:tbl>
      <w:tblPr>
        <w:tblLayout w:type="fixed"/>
        <w:tblInd w:w="60" w:type="dxa"/>
        <w:tblCellMar>
          <w:top w:w="0" w:type="dxa"/>
          <w:left w:w="0" w:type="dxa"/>
          <w:bottom w:w="0" w:type="dxa"/>
          <w:right w:w="0" w:type="dxa"/>
        </w:tblCellMar>
      </w:tblPr>
      <w:tr>
        <w:trPr>
          <w:trHeight w:val="237"/>
        </w:trPr>
        <w:tc>
          <w:tcPr>
            <w:tcW w:w="8740" w:type="dxa"/>
            <w:vAlign w:val="bottom"/>
          </w:tcPr>
          <w:p>
            <w:pPr>
              <w:ind w:left="280"/>
              <w:spacing w:after="0"/>
              <w:rPr>
                <w:sz w:val="20"/>
                <w:szCs w:val="20"/>
                <w:color w:val="auto"/>
              </w:rPr>
            </w:pPr>
            <w:r>
              <w:rPr>
                <w:rFonts w:ascii="Arial" w:cs="Arial" w:eastAsia="Arial" w:hAnsi="Arial"/>
                <w:sz w:val="20"/>
                <w:szCs w:val="20"/>
                <w:color w:val="auto"/>
              </w:rPr>
              <w:t>Gross principal maturities of notes payable at December 31, 2025, are as follows:</w:t>
            </w:r>
          </w:p>
        </w:tc>
        <w:tc>
          <w:tcPr>
            <w:tcW w:w="180" w:type="dxa"/>
            <w:vAlign w:val="bottom"/>
          </w:tcPr>
          <w:p>
            <w:pPr>
              <w:spacing w:after="0"/>
              <w:rPr>
                <w:sz w:val="20"/>
                <w:szCs w:val="20"/>
                <w:color w:val="auto"/>
              </w:rPr>
            </w:pPr>
          </w:p>
        </w:tc>
        <w:tc>
          <w:tcPr>
            <w:tcW w:w="1060" w:type="dxa"/>
            <w:vAlign w:val="bottom"/>
          </w:tcPr>
          <w:p>
            <w:pPr>
              <w:jc w:val="right"/>
              <w:ind w:right="122"/>
              <w:spacing w:after="0"/>
              <w:rPr>
                <w:sz w:val="20"/>
                <w:szCs w:val="20"/>
                <w:color w:val="auto"/>
              </w:rPr>
            </w:pPr>
            <w:r>
              <w:rPr>
                <w:rFonts w:ascii="Arial" w:cs="Arial" w:eastAsia="Arial" w:hAnsi="Arial"/>
                <w:sz w:val="16"/>
                <w:szCs w:val="16"/>
                <w:b w:val="1"/>
                <w:bCs w:val="1"/>
                <w:color w:val="auto"/>
                <w:w w:val="93"/>
              </w:rPr>
              <w:t>(In millions)</w:t>
            </w:r>
          </w:p>
        </w:tc>
      </w:tr>
      <w:tr>
        <w:trPr>
          <w:trHeight w:val="204"/>
        </w:trPr>
        <w:tc>
          <w:tcPr>
            <w:tcW w:w="8740" w:type="dxa"/>
            <w:vAlign w:val="bottom"/>
          </w:tcPr>
          <w:p>
            <w:pPr>
              <w:spacing w:after="0"/>
              <w:rPr>
                <w:sz w:val="20"/>
                <w:szCs w:val="20"/>
                <w:color w:val="auto"/>
              </w:rPr>
            </w:pPr>
            <w:r>
              <w:rPr>
                <w:rFonts w:ascii="Arial" w:cs="Arial" w:eastAsia="Arial" w:hAnsi="Arial"/>
                <w:sz w:val="16"/>
                <w:szCs w:val="16"/>
                <w:color w:val="auto"/>
              </w:rPr>
              <w:t>2026</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32</w:t>
            </w:r>
          </w:p>
        </w:tc>
      </w:tr>
      <w:tr>
        <w:trPr>
          <w:trHeight w:val="235"/>
        </w:trPr>
        <w:tc>
          <w:tcPr>
            <w:tcW w:w="8740" w:type="dxa"/>
            <w:vAlign w:val="bottom"/>
          </w:tcPr>
          <w:p>
            <w:pPr>
              <w:spacing w:after="0"/>
              <w:rPr>
                <w:sz w:val="20"/>
                <w:szCs w:val="20"/>
                <w:color w:val="auto"/>
              </w:rPr>
            </w:pPr>
            <w:r>
              <w:rPr>
                <w:rFonts w:ascii="Arial" w:cs="Arial" w:eastAsia="Arial" w:hAnsi="Arial"/>
                <w:sz w:val="16"/>
                <w:szCs w:val="16"/>
                <w:color w:val="auto"/>
              </w:rPr>
              <w:t>2027</w:t>
            </w:r>
          </w:p>
        </w:tc>
        <w:tc>
          <w:tcPr>
            <w:tcW w:w="1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35"/>
        </w:trPr>
        <w:tc>
          <w:tcPr>
            <w:tcW w:w="8740" w:type="dxa"/>
            <w:vAlign w:val="bottom"/>
          </w:tcPr>
          <w:p>
            <w:pPr>
              <w:spacing w:after="0"/>
              <w:rPr>
                <w:sz w:val="20"/>
                <w:szCs w:val="20"/>
                <w:color w:val="auto"/>
              </w:rPr>
            </w:pPr>
            <w:r>
              <w:rPr>
                <w:rFonts w:ascii="Arial" w:cs="Arial" w:eastAsia="Arial" w:hAnsi="Arial"/>
                <w:sz w:val="16"/>
                <w:szCs w:val="16"/>
                <w:color w:val="auto"/>
              </w:rPr>
              <w:t>2028</w:t>
            </w:r>
          </w:p>
        </w:tc>
        <w:tc>
          <w:tcPr>
            <w:tcW w:w="1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950</w:t>
            </w:r>
          </w:p>
        </w:tc>
      </w:tr>
      <w:tr>
        <w:trPr>
          <w:trHeight w:val="235"/>
        </w:trPr>
        <w:tc>
          <w:tcPr>
            <w:tcW w:w="8740" w:type="dxa"/>
            <w:vAlign w:val="bottom"/>
          </w:tcPr>
          <w:p>
            <w:pPr>
              <w:spacing w:after="0"/>
              <w:rPr>
                <w:sz w:val="20"/>
                <w:szCs w:val="20"/>
                <w:color w:val="auto"/>
              </w:rPr>
            </w:pPr>
            <w:r>
              <w:rPr>
                <w:rFonts w:ascii="Arial" w:cs="Arial" w:eastAsia="Arial" w:hAnsi="Arial"/>
                <w:sz w:val="16"/>
                <w:szCs w:val="16"/>
                <w:color w:val="auto"/>
              </w:rPr>
              <w:t>2029</w:t>
            </w:r>
          </w:p>
        </w:tc>
        <w:tc>
          <w:tcPr>
            <w:tcW w:w="1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550</w:t>
            </w:r>
          </w:p>
        </w:tc>
      </w:tr>
      <w:tr>
        <w:trPr>
          <w:trHeight w:val="235"/>
        </w:trPr>
        <w:tc>
          <w:tcPr>
            <w:tcW w:w="8740" w:type="dxa"/>
            <w:vAlign w:val="bottom"/>
          </w:tcPr>
          <w:p>
            <w:pPr>
              <w:spacing w:after="0"/>
              <w:rPr>
                <w:sz w:val="20"/>
                <w:szCs w:val="20"/>
                <w:color w:val="auto"/>
              </w:rPr>
            </w:pPr>
            <w:r>
              <w:rPr>
                <w:rFonts w:ascii="Arial" w:cs="Arial" w:eastAsia="Arial" w:hAnsi="Arial"/>
                <w:sz w:val="16"/>
                <w:szCs w:val="16"/>
                <w:color w:val="auto"/>
              </w:rPr>
              <w:t>2030</w:t>
            </w:r>
          </w:p>
        </w:tc>
        <w:tc>
          <w:tcPr>
            <w:tcW w:w="1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650</w:t>
            </w:r>
          </w:p>
        </w:tc>
      </w:tr>
      <w:tr>
        <w:trPr>
          <w:trHeight w:val="242"/>
        </w:trPr>
        <w:tc>
          <w:tcPr>
            <w:tcW w:w="8740" w:type="dxa"/>
            <w:vAlign w:val="bottom"/>
          </w:tcPr>
          <w:p>
            <w:pPr>
              <w:spacing w:after="0"/>
              <w:rPr>
                <w:sz w:val="20"/>
                <w:szCs w:val="20"/>
                <w:color w:val="auto"/>
              </w:rPr>
            </w:pPr>
            <w:r>
              <w:rPr>
                <w:rFonts w:ascii="Arial" w:cs="Arial" w:eastAsia="Arial" w:hAnsi="Arial"/>
                <w:sz w:val="16"/>
                <w:szCs w:val="16"/>
                <w:color w:val="auto"/>
              </w:rPr>
              <w:t>Thereafter</w:t>
            </w:r>
          </w:p>
        </w:tc>
        <w:tc>
          <w:tcPr>
            <w:tcW w:w="18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2,270</w:t>
            </w:r>
          </w:p>
        </w:tc>
      </w:tr>
      <w:tr>
        <w:trPr>
          <w:trHeight w:val="196"/>
        </w:trPr>
        <w:tc>
          <w:tcPr>
            <w:tcW w:w="8740" w:type="dxa"/>
            <w:vAlign w:val="bottom"/>
          </w:tcPr>
          <w:p>
            <w:pPr>
              <w:spacing w:after="0"/>
              <w:rPr>
                <w:sz w:val="17"/>
                <w:szCs w:val="17"/>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4,452</w:t>
            </w:r>
          </w:p>
        </w:tc>
      </w:tr>
      <w:tr>
        <w:trPr>
          <w:trHeight w:val="20"/>
        </w:trPr>
        <w:tc>
          <w:tcPr>
            <w:tcW w:w="87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-927100</wp:posOffset>
            </wp:positionV>
            <wp:extent cx="6400800" cy="93408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18">
                      <a:extLst>
                        <a:ext uri="{28A0092B-C50C-407E-A947-70E740481C1C}"/>
                      </a:extLst>
                    </a:blip>
                    <a:srcRect/>
                    <a:stretch>
                      <a:fillRect/>
                    </a:stretch>
                  </pic:blipFill>
                  <pic:spPr bwMode="auto">
                    <a:xfrm>
                      <a:off x="0" y="0"/>
                      <a:ext cx="6400800" cy="934085"/>
                    </a:xfrm>
                    <a:prstGeom prst="rect">
                      <a:avLst/>
                    </a:prstGeom>
                    <a:noFill/>
                  </pic:spPr>
                </pic:pic>
              </a:graphicData>
            </a:graphic>
          </wp:anchor>
        </w:drawing>
      </w:r>
    </w:p>
    <w:p>
      <w:pPr>
        <w:spacing w:after="0" w:line="235" w:lineRule="exact"/>
        <w:rPr>
          <w:sz w:val="20"/>
          <w:szCs w:val="20"/>
          <w:color w:val="auto"/>
        </w:rPr>
      </w:pPr>
    </w:p>
    <w:p>
      <w:pPr>
        <w:jc w:val="center"/>
        <w:ind w:right="6380"/>
        <w:spacing w:after="0"/>
        <w:rPr>
          <w:sz w:val="20"/>
          <w:szCs w:val="20"/>
          <w:color w:val="auto"/>
        </w:rPr>
      </w:pPr>
      <w:r>
        <w:rPr>
          <w:rFonts w:ascii="Arial" w:cs="Arial" w:eastAsia="Arial" w:hAnsi="Arial"/>
          <w:sz w:val="17"/>
          <w:szCs w:val="17"/>
          <w:b w:val="1"/>
          <w:bCs w:val="1"/>
          <w:color w:val="auto"/>
        </w:rPr>
        <w:t>Note G — Commitments and Contingencies</w:t>
      </w:r>
    </w:p>
    <w:p>
      <w:pPr>
        <w:spacing w:after="0" w:line="157" w:lineRule="exact"/>
        <w:rPr>
          <w:sz w:val="20"/>
          <w:szCs w:val="20"/>
          <w:color w:val="auto"/>
        </w:rPr>
      </w:pPr>
    </w:p>
    <w:p>
      <w:pPr>
        <w:jc w:val="center"/>
        <w:ind w:right="6380"/>
        <w:spacing w:after="0"/>
        <w:rPr>
          <w:sz w:val="20"/>
          <w:szCs w:val="20"/>
          <w:color w:val="auto"/>
        </w:rPr>
      </w:pPr>
      <w:r>
        <w:rPr>
          <w:rFonts w:ascii="Arial" w:cs="Arial" w:eastAsia="Arial" w:hAnsi="Arial"/>
          <w:sz w:val="20"/>
          <w:szCs w:val="20"/>
          <w:b w:val="1"/>
          <w:bCs w:val="1"/>
          <w:i w:val="1"/>
          <w:iCs w:val="1"/>
          <w:color w:val="auto"/>
        </w:rPr>
        <w:t>Legal and Regulatory Contingencies</w:t>
      </w:r>
    </w:p>
    <w:p>
      <w:pPr>
        <w:spacing w:after="0" w:line="130" w:lineRule="exact"/>
        <w:rPr>
          <w:sz w:val="20"/>
          <w:szCs w:val="20"/>
          <w:color w:val="auto"/>
        </w:rPr>
      </w:pPr>
    </w:p>
    <w:p>
      <w:pPr>
        <w:jc w:val="both"/>
        <w:ind w:firstLine="353"/>
        <w:spacing w:after="0" w:line="300" w:lineRule="auto"/>
        <w:rPr>
          <w:sz w:val="20"/>
          <w:szCs w:val="20"/>
          <w:color w:val="auto"/>
        </w:rPr>
      </w:pPr>
      <w:r>
        <w:rPr>
          <w:rFonts w:ascii="Arial" w:cs="Arial" w:eastAsia="Arial" w:hAnsi="Arial"/>
          <w:sz w:val="17"/>
          <w:szCs w:val="17"/>
          <w:color w:val="auto"/>
        </w:rPr>
        <w:t xml:space="preserve">In the ordinary course of business, we are involved in various pending and threatened litigation matters related to our operations, some of which include claims for punitive or exemplary damages. With respect to our title insurance operations, this customary litigation includes but is not limited to a wide variety of cases arising out of or related to title and escrow claims, for which we make provisions through our loss reserves. See Note B </w:t>
      </w:r>
      <w:r>
        <w:rPr>
          <w:rFonts w:ascii="Arial" w:cs="Arial" w:eastAsia="Arial" w:hAnsi="Arial"/>
          <w:sz w:val="17"/>
          <w:szCs w:val="17"/>
          <w:b w:val="1"/>
          <w:bCs w:val="1"/>
          <w:i w:val="1"/>
          <w:iCs w:val="1"/>
          <w:color w:val="auto"/>
        </w:rPr>
        <w:t>Summary of Reserve for Title Claim Losses</w:t>
      </w:r>
      <w:r>
        <w:rPr>
          <w:rFonts w:ascii="Arial" w:cs="Arial" w:eastAsia="Arial" w:hAnsi="Arial"/>
          <w:sz w:val="17"/>
          <w:szCs w:val="17"/>
          <w:color w:val="auto"/>
        </w:rPr>
        <w:t xml:space="preserve"> for further discussion. Additionally, like other companies, our ordinary course litigation includes a number of class action and purported class action lawsuits, which make allegations related to aspects of our operations. We believe that no actions, other than the matters discussed below, if any, depart from customary litigation incidental to our business.</w:t>
      </w:r>
    </w:p>
    <w:p>
      <w:pPr>
        <w:spacing w:after="0" w:line="54" w:lineRule="exact"/>
        <w:rPr>
          <w:sz w:val="20"/>
          <w:szCs w:val="20"/>
          <w:color w:val="auto"/>
        </w:rPr>
      </w:pPr>
    </w:p>
    <w:p>
      <w:pPr>
        <w:jc w:val="both"/>
        <w:ind w:firstLine="353"/>
        <w:spacing w:after="0" w:line="296" w:lineRule="auto"/>
        <w:rPr>
          <w:sz w:val="20"/>
          <w:szCs w:val="20"/>
          <w:color w:val="auto"/>
        </w:rPr>
      </w:pPr>
      <w:r>
        <w:rPr>
          <w:rFonts w:ascii="Arial" w:cs="Arial" w:eastAsia="Arial" w:hAnsi="Arial"/>
          <w:sz w:val="17"/>
          <w:szCs w:val="17"/>
          <w:color w:val="auto"/>
        </w:rPr>
        <w:t>We review lawsuits and other legal and regulatory matters (collectively “legal proceedings”) on an ongoing basis when making accrual and disclosure decisions. When assessing reasonably possible and probable outcomes, management bases its decision on its assessment of the ultimate outcome assuming all appeals have been exhausted. For legal proceedings in which it has been determined that a loss is both probable and reasonably estimable, a liability based on known facts and that represents our best estimate has been recorded. Our accrual for legal and regulatory matters was $7 million and $17 million as of December 31, 2025 and 2024, respectively. None of the amounts we have currently recorded are considered to be material to our financial condition individually or in the aggregate. Actual losses may materially differ from the amounts recorded and the ultimate outcome of our pending legal proceedings is generally not yet determinable. While some of these matters could be material to our operating results or cash flows for any particular period if an unfavorable outcome results, at present we do not believe that the ultimate resolution of currently pending legal proceedings, either individually or in the aggregate, will have a material adverse effect on our financial condition.</w:t>
      </w:r>
    </w:p>
    <w:p>
      <w:pPr>
        <w:spacing w:after="0" w:line="51" w:lineRule="exact"/>
        <w:rPr>
          <w:sz w:val="20"/>
          <w:szCs w:val="20"/>
          <w:color w:val="auto"/>
        </w:rPr>
      </w:pPr>
    </w:p>
    <w:p>
      <w:pPr>
        <w:jc w:val="both"/>
        <w:ind w:firstLine="353"/>
        <w:spacing w:after="0" w:line="262" w:lineRule="auto"/>
        <w:rPr>
          <w:sz w:val="20"/>
          <w:szCs w:val="20"/>
          <w:color w:val="auto"/>
        </w:rPr>
      </w:pPr>
      <w:r>
        <w:rPr>
          <w:rFonts w:ascii="Arial" w:cs="Arial" w:eastAsia="Arial" w:hAnsi="Arial"/>
          <w:sz w:val="19"/>
          <w:szCs w:val="19"/>
          <w:color w:val="auto"/>
        </w:rPr>
        <w:t xml:space="preserve">On June 10, 2025, a stockholder derivative lawsuit styled, </w:t>
      </w:r>
      <w:r>
        <w:rPr>
          <w:rFonts w:ascii="Arial" w:cs="Arial" w:eastAsia="Arial" w:hAnsi="Arial"/>
          <w:sz w:val="19"/>
          <w:szCs w:val="19"/>
          <w:b w:val="1"/>
          <w:bCs w:val="1"/>
          <w:i w:val="1"/>
          <w:iCs w:val="1"/>
          <w:color w:val="auto"/>
        </w:rPr>
        <w:t>Patrick Ayers v. William P. Foley, Douglas K. Ammerman,</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Halim Dhanidina, Thomas M. Hagerty, Daniel D. Lane, Heather H. Miller, Sandra D. Morgan, John D. Rood, Peter O. Shea, Jr., Cary H. Thompson, and Fidelity National Financial, Inc</w:t>
      </w:r>
      <w:r>
        <w:rPr>
          <w:rFonts w:ascii="Arial" w:cs="Arial" w:eastAsia="Arial" w:hAnsi="Arial"/>
          <w:sz w:val="19"/>
          <w:szCs w:val="19"/>
          <w:color w:val="auto"/>
        </w:rPr>
        <w:t>., C.A. No. 2025-0650-LWW, was filed in the Chancery Court of</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the State of Delaware against FNF and its non-employee members of its Board of Directors alleging they breached their fiduciary duties related to their compensation in 2022, 2023, and 2024, and were unjustly enriched. Plaintiff seeks disgorgement of any alleged excessive and unfair compensation payments, the recovery of damages on behalf of FNF, and the reformation of certain corporate governance and internal measures to protect FNF and its stockholders going forward. On August 1, 2025, defendants filed a motion to dismiss the lawsuit based on various grounds. A hearing on the motion has been rescheduled for March 9, 2026. At this time, FNF does not believe the lawsuit will have a material impact on its business, operations, or financial results.</w:t>
      </w:r>
    </w:p>
    <w:p>
      <w:pPr>
        <w:spacing w:after="0" w:line="86" w:lineRule="exact"/>
        <w:rPr>
          <w:sz w:val="20"/>
          <w:szCs w:val="20"/>
          <w:color w:val="auto"/>
        </w:rPr>
      </w:pPr>
    </w:p>
    <w:p>
      <w:pPr>
        <w:jc w:val="both"/>
        <w:ind w:firstLine="353"/>
        <w:spacing w:after="0" w:line="293" w:lineRule="auto"/>
        <w:rPr>
          <w:sz w:val="20"/>
          <w:szCs w:val="20"/>
          <w:color w:val="auto"/>
        </w:rPr>
      </w:pPr>
      <w:r>
        <w:rPr>
          <w:rFonts w:ascii="Arial" w:cs="Arial" w:eastAsia="Arial" w:hAnsi="Arial"/>
          <w:sz w:val="17"/>
          <w:szCs w:val="17"/>
          <w:color w:val="auto"/>
        </w:rPr>
        <w:t xml:space="preserve">Fidelity &amp; Guaranty Life Insurance Company (“FGL Insurance”) is a defendant in a lawsuit filed in U.S. District Court for the Southern District of Texas (the “Southern District of Texas”) styled, </w:t>
      </w:r>
      <w:r>
        <w:rPr>
          <w:rFonts w:ascii="Arial" w:cs="Arial" w:eastAsia="Arial" w:hAnsi="Arial"/>
          <w:sz w:val="17"/>
          <w:szCs w:val="17"/>
          <w:b w:val="1"/>
          <w:bCs w:val="1"/>
          <w:i w:val="1"/>
          <w:iCs w:val="1"/>
          <w:color w:val="auto"/>
        </w:rPr>
        <w:t>Insurance Distribution Consulting, LLC v. Fidelity &amp;</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Guaranty Life Insurance Company</w:t>
      </w:r>
      <w:r>
        <w:rPr>
          <w:rFonts w:ascii="Arial" w:cs="Arial" w:eastAsia="Arial" w:hAnsi="Arial"/>
          <w:sz w:val="17"/>
          <w:szCs w:val="17"/>
          <w:color w:val="auto"/>
        </w:rPr>
        <w:t>, Case No. 3:23-cv-00126. Plaintiff, which provides consulting services to independent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marketing organizations (“IMO”), alleges FGL Insurance failed to pay commissions owed to plaintiff and diverted commissions from one of plaintiff’s IMO customers, Syncis, to another IMO, Freedom Equity Group, LLC (“Freedom Equity”). Further, plaintiff alleges after FGL Insurance purportedly purchased a partial ownership interest in Syncis and Freedom Equity, plaintiff offered to sell its interests in its contracts with Syncis but FGL Insurance declined, leading plaintiff to allege a statutory violation of 42 U.S.C. §1981 for discrimination where plaintiff’s sole member is a racial minority. Plaintiff claims its damages for breach of contract from FGL Insurance’s purported failure to pay commissions are more than $162 million and its damages from FGL Insurance’s declining to purchase plaintiff’s interest in its contracts with Syncis are over $11 million. FGL Insurance denies the allegations and denies any contract or agreement existed with plaintiff to pay commissions. On April 21, 2025, FGL Insurance filed its initial motion for summary judgment. On June 5, 2025, plaintiff amended its complaint to include an additional breach of contract claim, prompting FGL Insurance to file a second motion for summary judgment on July 18, 2025, addressing the new allegation. Both motions for summary judgment were argued on February 20, 2026, and a decision is pending with the court. Additionally, FGL Insurance’s motion to exclude plaintiff’s expert testimony as inadmissible, filed June</w:t>
      </w:r>
    </w:p>
    <w:p>
      <w:pPr>
        <w:sectPr>
          <w:pgSz w:w="11880" w:h="15480" w:orient="portrait"/>
          <w:cols w:equalWidth="0" w:num="1">
            <w:col w:w="10040"/>
          </w:cols>
          <w:pgMar w:left="920" w:top="845"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152</w:t>
      </w:r>
    </w:p>
    <w:p>
      <w:pPr>
        <w:sectPr>
          <w:pgSz w:w="11880" w:h="15480" w:orient="portrait"/>
          <w:cols w:equalWidth="0" w:num="1">
            <w:col w:w="10040"/>
          </w:cols>
          <w:pgMar w:left="920" w:top="845" w:right="920" w:bottom="0" w:gutter="0" w:footer="0" w:header="0"/>
          <w:type w:val="continuous"/>
        </w:sectPr>
      </w:pPr>
    </w:p>
    <w:bookmarkStart w:id="164" w:name="page165"/>
    <w:bookmarkEnd w:id="164"/>
    <w:p>
      <w:pPr>
        <w:jc w:val="both"/>
        <w:spacing w:after="0" w:line="296" w:lineRule="auto"/>
        <w:rPr>
          <w:sz w:val="20"/>
          <w:szCs w:val="20"/>
          <w:color w:val="auto"/>
        </w:rPr>
      </w:pPr>
      <w:r>
        <w:rPr>
          <w:rFonts w:ascii="Arial" w:cs="Arial" w:eastAsia="Arial" w:hAnsi="Arial"/>
          <w:sz w:val="17"/>
          <w:szCs w:val="17"/>
          <w:color w:val="auto"/>
        </w:rPr>
        <w:t xml:space="preserve">9, 2025, remains pending with the Southern District of Texas. On July 18, 2025, Peak Altitude Equity, LLC (“Peak”), a subsidiary of Fidelity &amp; Guaranty Life Holdings, Inc., was served with a new lawsuit filed by Insurance Distribution Consulting, LLC (“IDC”) as a counterclaim in response to a separate breach of contract lawsuit initiated against IDC by Syncis. The case, styled </w:t>
      </w:r>
      <w:r>
        <w:rPr>
          <w:rFonts w:ascii="Arial" w:cs="Arial" w:eastAsia="Arial" w:hAnsi="Arial"/>
          <w:sz w:val="17"/>
          <w:szCs w:val="17"/>
          <w:b w:val="1"/>
          <w:bCs w:val="1"/>
          <w:i w:val="1"/>
          <w:iCs w:val="1"/>
          <w:color w:val="auto"/>
        </w:rPr>
        <w:t>Syncis Insurance Solutions, LLC v. Insurance Distribution Consulting, LLC</w:t>
      </w:r>
      <w:r>
        <w:rPr>
          <w:rFonts w:ascii="Arial" w:cs="Arial" w:eastAsia="Arial" w:hAnsi="Arial"/>
          <w:sz w:val="17"/>
          <w:szCs w:val="17"/>
          <w:color w:val="auto"/>
        </w:rPr>
        <w:t>, Case No. 2:25-cv-03874, is pending in the U.S. District Court for the Central District of California (the “Central District of California”), and certain facts alleged by IDC against Peak overlap with those asserted in the lawsuit filed by IDC against FGL Insurance. On September 8, 2025, Peak filed its motion to dismiss IDC’s counterclaim on various grounds. A decision is pending with the Central District of California. FGL Insurance and Peak will vigorously contest the plaintiff’s claims in the actions. As these cases continue to evolve, it is not possible to reasonably estimate the probability that plaintiff will ultimately prevail on its claims or that FGL Insurance or Peak will be held liable for the dispute. At this time, we do not believe the lawsuit will have a material impact on our business, operations, or financial results.</w:t>
      </w:r>
    </w:p>
    <w:p>
      <w:pPr>
        <w:spacing w:after="0" w:line="294" w:lineRule="exact"/>
        <w:rPr>
          <w:sz w:val="20"/>
          <w:szCs w:val="20"/>
          <w:color w:val="auto"/>
        </w:rPr>
      </w:pPr>
    </w:p>
    <w:p>
      <w:pPr>
        <w:jc w:val="both"/>
        <w:ind w:firstLine="353"/>
        <w:spacing w:after="0" w:line="248" w:lineRule="auto"/>
        <w:rPr>
          <w:sz w:val="20"/>
          <w:szCs w:val="20"/>
          <w:color w:val="auto"/>
        </w:rPr>
      </w:pPr>
      <w:r>
        <w:rPr>
          <w:rFonts w:ascii="Arial" w:cs="Arial" w:eastAsia="Arial" w:hAnsi="Arial"/>
          <w:sz w:val="20"/>
          <w:szCs w:val="20"/>
          <w:color w:val="auto"/>
        </w:rPr>
        <w:t xml:space="preserve">F&amp;G is a defendant in two putative class action lawsuits related to the alleged compromise of certain customers’ personal information resulting from an alleged vulnerability in the MOVEit file transfer software. F&amp;G’s vendor, Pension Benefit Information, LLC (“PBI”), used the MOVEit software in the course of providing audit and address research services to F&amp;G and many other corporate customers. </w:t>
      </w:r>
      <w:r>
        <w:rPr>
          <w:rFonts w:ascii="Arial" w:cs="Arial" w:eastAsia="Arial" w:hAnsi="Arial"/>
          <w:sz w:val="20"/>
          <w:szCs w:val="20"/>
          <w:b w:val="1"/>
          <w:bCs w:val="1"/>
          <w:i w:val="1"/>
          <w:iCs w:val="1"/>
          <w:color w:val="auto"/>
        </w:rPr>
        <w:t>Miller v. F&amp;G</w:t>
      </w:r>
      <w:r>
        <w:rPr>
          <w:rFonts w:ascii="Arial" w:cs="Arial" w:eastAsia="Arial" w:hAnsi="Arial"/>
          <w:sz w:val="20"/>
          <w:szCs w:val="20"/>
          <w:color w:val="auto"/>
        </w:rPr>
        <w:t xml:space="preserve">, No. 4:23-cv-00326 was filed against F&amp;G in the Southern District of Iowa on August 31, 2023. Miller alleges that he is a F&amp;G customer whose information was impacted in the MOVEit incident and brings common law tort and implied contract claims. </w:t>
      </w:r>
      <w:r>
        <w:rPr>
          <w:rFonts w:ascii="Arial" w:cs="Arial" w:eastAsia="Arial" w:hAnsi="Arial"/>
          <w:sz w:val="20"/>
          <w:szCs w:val="20"/>
          <w:b w:val="1"/>
          <w:bCs w:val="1"/>
          <w:i w:val="1"/>
          <w:iCs w:val="1"/>
          <w:color w:val="auto"/>
        </w:rPr>
        <w:t>Cooper v. Progress Software Corp</w:t>
      </w:r>
      <w:r>
        <w:rPr>
          <w:rFonts w:ascii="Arial" w:cs="Arial" w:eastAsia="Arial" w:hAnsi="Arial"/>
          <w:sz w:val="20"/>
          <w:szCs w:val="20"/>
          <w:color w:val="auto"/>
        </w:rPr>
        <w:t xml:space="preserve">., No. 1:23-cv-12067 was filed against F&amp;G and five other defendants in the District of Massachusetts on September 7, 2023. </w:t>
      </w:r>
      <w:r>
        <w:rPr>
          <w:rFonts w:ascii="Arial" w:cs="Arial" w:eastAsia="Arial" w:hAnsi="Arial"/>
          <w:sz w:val="20"/>
          <w:szCs w:val="20"/>
          <w:b w:val="1"/>
          <w:bCs w:val="1"/>
          <w:i w:val="1"/>
          <w:iCs w:val="1"/>
          <w:color w:val="auto"/>
        </w:rPr>
        <w:t>Cooper</w:t>
      </w:r>
      <w:r>
        <w:rPr>
          <w:rFonts w:ascii="Arial" w:cs="Arial" w:eastAsia="Arial" w:hAnsi="Arial"/>
          <w:sz w:val="20"/>
          <w:szCs w:val="20"/>
          <w:color w:val="auto"/>
        </w:rPr>
        <w:t xml:space="preserve"> also alleges that he is a F&amp;G customer and brings similar common law tort claims and alleges claims as a purported third-party beneficiary of an alleged contract.</w:t>
      </w:r>
    </w:p>
    <w:p>
      <w:pPr>
        <w:spacing w:after="0" w:line="96" w:lineRule="exact"/>
        <w:rPr>
          <w:sz w:val="20"/>
          <w:szCs w:val="20"/>
          <w:color w:val="auto"/>
        </w:rPr>
      </w:pPr>
    </w:p>
    <w:p>
      <w:pPr>
        <w:jc w:val="both"/>
        <w:ind w:firstLine="353"/>
        <w:spacing w:after="0" w:line="297" w:lineRule="auto"/>
        <w:rPr>
          <w:sz w:val="20"/>
          <w:szCs w:val="20"/>
          <w:color w:val="auto"/>
        </w:rPr>
      </w:pPr>
      <w:r>
        <w:rPr>
          <w:rFonts w:ascii="Arial" w:cs="Arial" w:eastAsia="Arial" w:hAnsi="Arial"/>
          <w:sz w:val="17"/>
          <w:szCs w:val="17"/>
          <w:color w:val="auto"/>
        </w:rPr>
        <w:t xml:space="preserve">Well over 150 similar lawsuits have been filed against other entities impacted by the MOVEit incident including a number of such lawsuits related to PBI’s use of MOVEit. On October 4, 2023, the U.S. Judicial Panel on Multidistrict Litigation created a multidistrict litigation (“MDL”) pursuant to 28 U.S.C. § 1407 to handle all litigation brought by individuals whose information was potentially compromised in connection with the alleged MOVEit vulnerability. Both </w:t>
      </w:r>
      <w:r>
        <w:rPr>
          <w:rFonts w:ascii="Arial" w:cs="Arial" w:eastAsia="Arial" w:hAnsi="Arial"/>
          <w:sz w:val="17"/>
          <w:szCs w:val="17"/>
          <w:b w:val="1"/>
          <w:bCs w:val="1"/>
          <w:i w:val="1"/>
          <w:iCs w:val="1"/>
          <w:color w:val="auto"/>
        </w:rPr>
        <w:t>Miller</w:t>
      </w:r>
      <w:r>
        <w:rPr>
          <w:rFonts w:ascii="Arial" w:cs="Arial" w:eastAsia="Arial" w:hAnsi="Arial"/>
          <w:sz w:val="17"/>
          <w:szCs w:val="17"/>
          <w:color w:val="auto"/>
        </w:rPr>
        <w:t xml:space="preserve"> and </w:t>
      </w:r>
      <w:r>
        <w:rPr>
          <w:rFonts w:ascii="Arial" w:cs="Arial" w:eastAsia="Arial" w:hAnsi="Arial"/>
          <w:sz w:val="17"/>
          <w:szCs w:val="17"/>
          <w:b w:val="1"/>
          <w:bCs w:val="1"/>
          <w:i w:val="1"/>
          <w:iCs w:val="1"/>
          <w:color w:val="auto"/>
        </w:rPr>
        <w:t>Cooper</w:t>
      </w:r>
      <w:r>
        <w:rPr>
          <w:rFonts w:ascii="Arial" w:cs="Arial" w:eastAsia="Arial" w:hAnsi="Arial"/>
          <w:sz w:val="17"/>
          <w:szCs w:val="17"/>
          <w:color w:val="auto"/>
        </w:rPr>
        <w:t xml:space="preserve"> have been transferred to the MDL and are consolidated under MDL Case No. 1:23-md-03083-ADB-PGL. The case is proceeding under a modified bellwether structure to decide critical issues and facilitate reciprocal discovery, and plaintiffs’ consolidated class action complaint against all the bellwether Defendants was filed on December 6, 2024. F&amp;G was not selected as a bellwether Defendant, and there is no schedule in place for further proceedings involving the non-bellwether Defendants like F&amp;G. At this time, we do not believe the incident will have a material impact on our business, operations, or financial results.</w:t>
      </w:r>
    </w:p>
    <w:p>
      <w:pPr>
        <w:spacing w:after="0" w:line="57" w:lineRule="exact"/>
        <w:rPr>
          <w:sz w:val="20"/>
          <w:szCs w:val="20"/>
          <w:color w:val="auto"/>
        </w:rPr>
      </w:pPr>
    </w:p>
    <w:p>
      <w:pPr>
        <w:jc w:val="both"/>
        <w:ind w:firstLine="353"/>
        <w:spacing w:after="0" w:line="262" w:lineRule="auto"/>
        <w:rPr>
          <w:sz w:val="20"/>
          <w:szCs w:val="20"/>
          <w:color w:val="auto"/>
        </w:rPr>
      </w:pPr>
      <w:r>
        <w:rPr>
          <w:rFonts w:ascii="Arial" w:cs="Arial" w:eastAsia="Arial" w:hAnsi="Arial"/>
          <w:sz w:val="19"/>
          <w:szCs w:val="19"/>
          <w:color w:val="auto"/>
        </w:rPr>
        <w:t>From time to time, we receive inquiries and requests for information from state insurance departments, attorneys general, and other regulatory agencies about various matters relating to our business. Sometimes these take the form of civil investigative demands or subpoenas. We cooperate with all such inquiries, and we have responded to or are currently responding to inquiries from multiple governmental agencies. Also, regulators and courts have been dealing with issues arising from foreclosures and related processes and documentation. Various governmental entities are studying the title insurance product, market, pricing, and business practices, and potential regulatory and legislative changes, which may materially affect our business and operations. From time to time, we are assessed fines for violations of regulations or other matters or enter into settlements with such authorities, which may require us to pay fines or claims or take other actions. We do not anticipate such fines and settlements, either individually or in the aggregate, will have a material adverse effect on our business, operations, or financial results.</w:t>
      </w:r>
    </w:p>
    <w:p>
      <w:pPr>
        <w:spacing w:after="0" w:line="77" w:lineRule="exact"/>
        <w:rPr>
          <w:sz w:val="20"/>
          <w:szCs w:val="20"/>
          <w:color w:val="auto"/>
        </w:rPr>
      </w:pPr>
    </w:p>
    <w:p>
      <w:pPr>
        <w:ind w:left="340"/>
        <w:spacing w:after="0"/>
        <w:rPr>
          <w:sz w:val="20"/>
          <w:szCs w:val="20"/>
          <w:color w:val="auto"/>
        </w:rPr>
      </w:pPr>
      <w:r>
        <w:rPr>
          <w:rFonts w:ascii="Arial" w:cs="Arial" w:eastAsia="Arial" w:hAnsi="Arial"/>
          <w:sz w:val="20"/>
          <w:szCs w:val="20"/>
          <w:b w:val="1"/>
          <w:bCs w:val="1"/>
          <w:i w:val="1"/>
          <w:iCs w:val="1"/>
          <w:color w:val="auto"/>
        </w:rPr>
        <w:t>Escrow Balances</w:t>
      </w:r>
    </w:p>
    <w:p>
      <w:pPr>
        <w:spacing w:after="0" w:line="130" w:lineRule="exact"/>
        <w:rPr>
          <w:sz w:val="20"/>
          <w:szCs w:val="20"/>
          <w:color w:val="auto"/>
        </w:rPr>
      </w:pPr>
    </w:p>
    <w:p>
      <w:pPr>
        <w:jc w:val="both"/>
        <w:ind w:firstLine="353"/>
        <w:spacing w:after="0" w:line="300" w:lineRule="auto"/>
        <w:rPr>
          <w:sz w:val="20"/>
          <w:szCs w:val="20"/>
          <w:color w:val="auto"/>
        </w:rPr>
      </w:pPr>
      <w:r>
        <w:rPr>
          <w:rFonts w:ascii="Arial" w:cs="Arial" w:eastAsia="Arial" w:hAnsi="Arial"/>
          <w:sz w:val="17"/>
          <w:szCs w:val="17"/>
          <w:color w:val="auto"/>
        </w:rPr>
        <w:t>In conducting our operations, we routinely hold customers’ assets in escrow, pending completion of real estate transactions, and are responsible for the proper disposition of these balances for our customers. Certain of these amounts are maintained in segregated bank accounts and have not been included in the accompanying Consolidated Balance Sheets, consistent with GAAP and industry practice. These balances amounted to $16.2 billion and $14.4 billion at December 31, 2025 and 2024, respectively. As a result of holding these customers’ assets in escrow, we have ongoing programs for realizing economic benefits during the year through favorable borrowing and vendor arrangements with various banks. There were no investments or loans outstanding as of December 31, 2025 and 2024 related to these arrangements.</w:t>
      </w:r>
    </w:p>
    <w:p>
      <w:pPr>
        <w:sectPr>
          <w:pgSz w:w="11880" w:h="15480" w:orient="portrait"/>
          <w:cols w:equalWidth="0" w:num="1">
            <w:col w:w="10040"/>
          </w:cols>
          <w:pgMar w:left="920" w:top="772"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153</w:t>
      </w:r>
    </w:p>
    <w:p>
      <w:pPr>
        <w:sectPr>
          <w:pgSz w:w="11880" w:h="15480" w:orient="portrait"/>
          <w:cols w:equalWidth="0" w:num="1">
            <w:col w:w="10040"/>
          </w:cols>
          <w:pgMar w:left="920" w:top="772" w:right="920" w:bottom="0" w:gutter="0" w:footer="0" w:header="0"/>
          <w:type w:val="continuous"/>
        </w:sectPr>
      </w:pPr>
    </w:p>
    <w:bookmarkStart w:id="165" w:name="page166"/>
    <w:bookmarkEnd w:id="165"/>
    <w:p>
      <w:pPr>
        <w:ind w:left="340"/>
        <w:spacing w:after="0"/>
        <w:rPr>
          <w:sz w:val="20"/>
          <w:szCs w:val="20"/>
          <w:color w:val="auto"/>
        </w:rPr>
      </w:pPr>
      <w:r>
        <w:rPr>
          <w:rFonts w:ascii="Arial" w:cs="Arial" w:eastAsia="Arial" w:hAnsi="Arial"/>
          <w:sz w:val="20"/>
          <w:szCs w:val="20"/>
          <w:b w:val="1"/>
          <w:bCs w:val="1"/>
          <w:i w:val="1"/>
          <w:iCs w:val="1"/>
          <w:color w:val="auto"/>
        </w:rPr>
        <w:t>F&amp;G Commitments</w:t>
      </w:r>
    </w:p>
    <w:p>
      <w:pPr>
        <w:spacing w:after="0" w:line="130" w:lineRule="exact"/>
        <w:rPr>
          <w:sz w:val="20"/>
          <w:szCs w:val="20"/>
          <w:color w:val="auto"/>
        </w:rPr>
      </w:pPr>
    </w:p>
    <w:p>
      <w:pPr>
        <w:jc w:val="both"/>
        <w:ind w:firstLine="441"/>
        <w:spacing w:after="0" w:line="254" w:lineRule="auto"/>
        <w:rPr>
          <w:sz w:val="20"/>
          <w:szCs w:val="20"/>
          <w:color w:val="auto"/>
        </w:rPr>
      </w:pPr>
      <w:r>
        <w:rPr>
          <w:rFonts w:ascii="Arial" w:cs="Arial" w:eastAsia="Arial" w:hAnsi="Arial"/>
          <w:sz w:val="20"/>
          <w:szCs w:val="20"/>
          <w:color w:val="auto"/>
        </w:rPr>
        <w:t>In our F&amp;G segment, we have unfunded investment commitments as of December 31, 2025 based upon the timing of when investments and agreements are executed or signed compared to when the actual investments and agreements are funded or closed. Some investments require that funding occur over a period of months or years. A summary of unfunded commitments by commitment type is included below:</w:t>
      </w:r>
    </w:p>
    <w:p>
      <w:pPr>
        <w:spacing w:after="0" w:line="202" w:lineRule="exact"/>
        <w:rPr>
          <w:sz w:val="20"/>
          <w:szCs w:val="20"/>
          <w:color w:val="auto"/>
        </w:rPr>
      </w:pPr>
    </w:p>
    <w:tbl>
      <w:tblPr>
        <w:tblLayout w:type="fixed"/>
        <w:tblInd w:w="140" w:type="dxa"/>
        <w:tblCellMar>
          <w:top w:w="0" w:type="dxa"/>
          <w:left w:w="0" w:type="dxa"/>
          <w:bottom w:w="0" w:type="dxa"/>
          <w:right w:w="0" w:type="dxa"/>
        </w:tblCellMar>
      </w:tblPr>
      <w:tr>
        <w:trPr>
          <w:trHeight w:val="213"/>
        </w:trPr>
        <w:tc>
          <w:tcPr>
            <w:tcW w:w="81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102"/>
              <w:spacing w:after="0"/>
              <w:rPr>
                <w:sz w:val="20"/>
                <w:szCs w:val="20"/>
                <w:color w:val="auto"/>
              </w:rPr>
            </w:pPr>
            <w:r>
              <w:rPr>
                <w:rFonts w:ascii="Arial" w:cs="Arial" w:eastAsia="Arial" w:hAnsi="Arial"/>
                <w:sz w:val="16"/>
                <w:szCs w:val="16"/>
                <w:b w:val="1"/>
                <w:bCs w:val="1"/>
                <w:color w:val="auto"/>
                <w:w w:val="88"/>
              </w:rPr>
              <w:t>December 31, 2025</w:t>
            </w:r>
          </w:p>
        </w:tc>
      </w:tr>
      <w:tr>
        <w:trPr>
          <w:trHeight w:val="216"/>
        </w:trPr>
        <w:tc>
          <w:tcPr>
            <w:tcW w:w="8180" w:type="dxa"/>
            <w:vAlign w:val="bottom"/>
          </w:tcPr>
          <w:p>
            <w:pPr>
              <w:spacing w:after="0"/>
              <w:rPr>
                <w:sz w:val="20"/>
                <w:szCs w:val="20"/>
                <w:color w:val="auto"/>
              </w:rPr>
            </w:pPr>
            <w:r>
              <w:rPr>
                <w:rFonts w:ascii="Arial" w:cs="Arial" w:eastAsia="Arial" w:hAnsi="Arial"/>
                <w:sz w:val="16"/>
                <w:szCs w:val="16"/>
                <w:b w:val="1"/>
                <w:bCs w:val="1"/>
                <w:color w:val="auto"/>
              </w:rPr>
              <w:t>Commitment Type</w:t>
            </w:r>
          </w:p>
        </w:tc>
        <w:tc>
          <w:tcPr>
            <w:tcW w:w="160" w:type="dxa"/>
            <w:vAlign w:val="bottom"/>
          </w:tcPr>
          <w:p>
            <w:pPr>
              <w:spacing w:after="0"/>
              <w:rPr>
                <w:sz w:val="18"/>
                <w:szCs w:val="18"/>
                <w:color w:val="auto"/>
              </w:rPr>
            </w:pPr>
          </w:p>
        </w:tc>
        <w:tc>
          <w:tcPr>
            <w:tcW w:w="1480" w:type="dxa"/>
            <w:vAlign w:val="bottom"/>
          </w:tcPr>
          <w:p>
            <w:pPr>
              <w:jc w:val="right"/>
              <w:ind w:right="322"/>
              <w:spacing w:after="0"/>
              <w:rPr>
                <w:sz w:val="20"/>
                <w:szCs w:val="20"/>
                <w:color w:val="auto"/>
              </w:rPr>
            </w:pPr>
            <w:r>
              <w:rPr>
                <w:rFonts w:ascii="Arial" w:cs="Arial" w:eastAsia="Arial" w:hAnsi="Arial"/>
                <w:sz w:val="16"/>
                <w:szCs w:val="16"/>
                <w:b w:val="1"/>
                <w:bCs w:val="1"/>
                <w:color w:val="auto"/>
              </w:rPr>
              <w:t>(In millions)</w:t>
            </w:r>
          </w:p>
        </w:tc>
      </w:tr>
      <w:tr>
        <w:trPr>
          <w:trHeight w:val="228"/>
        </w:trPr>
        <w:tc>
          <w:tcPr>
            <w:tcW w:w="8180" w:type="dxa"/>
            <w:vAlign w:val="bottom"/>
          </w:tcPr>
          <w:p>
            <w:pPr>
              <w:spacing w:after="0"/>
              <w:rPr>
                <w:sz w:val="20"/>
                <w:szCs w:val="20"/>
                <w:color w:val="auto"/>
              </w:rPr>
            </w:pPr>
            <w:r>
              <w:rPr>
                <w:rFonts w:ascii="Arial" w:cs="Arial" w:eastAsia="Arial" w:hAnsi="Arial"/>
                <w:sz w:val="16"/>
                <w:szCs w:val="16"/>
                <w:color w:val="auto"/>
              </w:rPr>
              <w:t>Other fixed maturity securities, AFS</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480" w:type="dxa"/>
            <w:vAlign w:val="bottom"/>
          </w:tcPr>
          <w:p>
            <w:pPr>
              <w:jc w:val="right"/>
              <w:spacing w:after="0"/>
              <w:rPr>
                <w:sz w:val="20"/>
                <w:szCs w:val="20"/>
                <w:color w:val="auto"/>
              </w:rPr>
            </w:pPr>
            <w:r>
              <w:rPr>
                <w:rFonts w:ascii="Arial" w:cs="Arial" w:eastAsia="Arial" w:hAnsi="Arial"/>
                <w:sz w:val="16"/>
                <w:szCs w:val="16"/>
                <w:color w:val="auto"/>
              </w:rPr>
              <w:t>126</w:t>
            </w:r>
          </w:p>
        </w:tc>
      </w:tr>
      <w:tr>
        <w:trPr>
          <w:trHeight w:val="235"/>
        </w:trPr>
        <w:tc>
          <w:tcPr>
            <w:tcW w:w="8180" w:type="dxa"/>
            <w:vAlign w:val="bottom"/>
          </w:tcPr>
          <w:p>
            <w:pPr>
              <w:ind w:left="120"/>
              <w:spacing w:after="0"/>
              <w:rPr>
                <w:sz w:val="20"/>
                <w:szCs w:val="20"/>
                <w:color w:val="auto"/>
              </w:rPr>
            </w:pPr>
            <w:r>
              <w:rPr>
                <w:rFonts w:ascii="Arial" w:cs="Arial" w:eastAsia="Arial" w:hAnsi="Arial"/>
                <w:sz w:val="16"/>
                <w:szCs w:val="16"/>
                <w:color w:val="auto"/>
              </w:rPr>
              <w:t>Commercial mortgage loans</w:t>
            </w:r>
          </w:p>
        </w:tc>
        <w:tc>
          <w:tcPr>
            <w:tcW w:w="16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74</w:t>
            </w:r>
          </w:p>
        </w:tc>
      </w:tr>
      <w:tr>
        <w:trPr>
          <w:trHeight w:val="235"/>
        </w:trPr>
        <w:tc>
          <w:tcPr>
            <w:tcW w:w="8180" w:type="dxa"/>
            <w:vAlign w:val="bottom"/>
          </w:tcPr>
          <w:p>
            <w:pPr>
              <w:ind w:left="120"/>
              <w:spacing w:after="0"/>
              <w:rPr>
                <w:sz w:val="20"/>
                <w:szCs w:val="20"/>
                <w:color w:val="auto"/>
              </w:rPr>
            </w:pPr>
            <w:r>
              <w:rPr>
                <w:rFonts w:ascii="Arial" w:cs="Arial" w:eastAsia="Arial" w:hAnsi="Arial"/>
                <w:sz w:val="16"/>
                <w:szCs w:val="16"/>
                <w:color w:val="auto"/>
              </w:rPr>
              <w:t>Residential mortgage loans</w:t>
            </w:r>
          </w:p>
        </w:tc>
        <w:tc>
          <w:tcPr>
            <w:tcW w:w="16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300</w:t>
            </w:r>
          </w:p>
        </w:tc>
      </w:tr>
      <w:tr>
        <w:trPr>
          <w:trHeight w:val="235"/>
        </w:trPr>
        <w:tc>
          <w:tcPr>
            <w:tcW w:w="8180" w:type="dxa"/>
            <w:vAlign w:val="bottom"/>
          </w:tcPr>
          <w:p>
            <w:pPr>
              <w:ind w:left="120"/>
              <w:spacing w:after="0"/>
              <w:rPr>
                <w:sz w:val="20"/>
                <w:szCs w:val="20"/>
                <w:color w:val="auto"/>
              </w:rPr>
            </w:pPr>
            <w:r>
              <w:rPr>
                <w:rFonts w:ascii="Arial" w:cs="Arial" w:eastAsia="Arial" w:hAnsi="Arial"/>
                <w:sz w:val="16"/>
                <w:szCs w:val="16"/>
                <w:color w:val="auto"/>
              </w:rPr>
              <w:t>Other assets</w:t>
            </w:r>
          </w:p>
        </w:tc>
        <w:tc>
          <w:tcPr>
            <w:tcW w:w="16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122</w:t>
            </w:r>
          </w:p>
        </w:tc>
      </w:tr>
      <w:tr>
        <w:trPr>
          <w:trHeight w:val="235"/>
        </w:trPr>
        <w:tc>
          <w:tcPr>
            <w:tcW w:w="8180" w:type="dxa"/>
            <w:vAlign w:val="bottom"/>
          </w:tcPr>
          <w:p>
            <w:pPr>
              <w:spacing w:after="0"/>
              <w:rPr>
                <w:sz w:val="20"/>
                <w:szCs w:val="20"/>
                <w:color w:val="auto"/>
              </w:rPr>
            </w:pPr>
            <w:r>
              <w:rPr>
                <w:rFonts w:ascii="Arial" w:cs="Arial" w:eastAsia="Arial" w:hAnsi="Arial"/>
                <w:sz w:val="16"/>
                <w:szCs w:val="16"/>
                <w:color w:val="auto"/>
              </w:rPr>
              <w:t>Consolidated VIEs:</w:t>
            </w:r>
          </w:p>
        </w:tc>
        <w:tc>
          <w:tcPr>
            <w:tcW w:w="16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235"/>
        </w:trPr>
        <w:tc>
          <w:tcPr>
            <w:tcW w:w="8180" w:type="dxa"/>
            <w:vAlign w:val="bottom"/>
          </w:tcPr>
          <w:p>
            <w:pPr>
              <w:ind w:left="220"/>
              <w:spacing w:after="0"/>
              <w:rPr>
                <w:sz w:val="20"/>
                <w:szCs w:val="20"/>
                <w:color w:val="auto"/>
              </w:rPr>
            </w:pPr>
            <w:r>
              <w:rPr>
                <w:rFonts w:ascii="Arial" w:cs="Arial" w:eastAsia="Arial" w:hAnsi="Arial"/>
                <w:sz w:val="16"/>
                <w:szCs w:val="16"/>
                <w:color w:val="auto"/>
              </w:rPr>
              <w:t>Other long-term investments</w:t>
            </w:r>
          </w:p>
        </w:tc>
        <w:tc>
          <w:tcPr>
            <w:tcW w:w="16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250</w:t>
            </w:r>
          </w:p>
        </w:tc>
      </w:tr>
      <w:tr>
        <w:trPr>
          <w:trHeight w:val="235"/>
        </w:trPr>
        <w:tc>
          <w:tcPr>
            <w:tcW w:w="8180" w:type="dxa"/>
            <w:vAlign w:val="bottom"/>
          </w:tcPr>
          <w:p>
            <w:pPr>
              <w:spacing w:after="0"/>
              <w:rPr>
                <w:sz w:val="20"/>
                <w:szCs w:val="20"/>
                <w:color w:val="auto"/>
              </w:rPr>
            </w:pPr>
            <w:r>
              <w:rPr>
                <w:rFonts w:ascii="Arial" w:cs="Arial" w:eastAsia="Arial" w:hAnsi="Arial"/>
                <w:sz w:val="16"/>
                <w:szCs w:val="16"/>
                <w:color w:val="auto"/>
              </w:rPr>
              <w:t>Unconsolidated VIEs:</w:t>
            </w:r>
          </w:p>
        </w:tc>
        <w:tc>
          <w:tcPr>
            <w:tcW w:w="16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235"/>
        </w:trPr>
        <w:tc>
          <w:tcPr>
            <w:tcW w:w="8180" w:type="dxa"/>
            <w:vAlign w:val="bottom"/>
          </w:tcPr>
          <w:p>
            <w:pPr>
              <w:ind w:left="220"/>
              <w:spacing w:after="0"/>
              <w:rPr>
                <w:sz w:val="20"/>
                <w:szCs w:val="20"/>
                <w:color w:val="auto"/>
              </w:rPr>
            </w:pPr>
            <w:r>
              <w:rPr>
                <w:rFonts w:ascii="Arial" w:cs="Arial" w:eastAsia="Arial" w:hAnsi="Arial"/>
                <w:sz w:val="16"/>
                <w:szCs w:val="16"/>
                <w:color w:val="auto"/>
              </w:rPr>
              <w:t>Limited partnerships</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480" w:type="dxa"/>
            <w:vAlign w:val="bottom"/>
          </w:tcPr>
          <w:p>
            <w:pPr>
              <w:jc w:val="right"/>
              <w:spacing w:after="0"/>
              <w:rPr>
                <w:sz w:val="20"/>
                <w:szCs w:val="20"/>
                <w:color w:val="auto"/>
              </w:rPr>
            </w:pPr>
            <w:r>
              <w:rPr>
                <w:rFonts w:ascii="Arial" w:cs="Arial" w:eastAsia="Arial" w:hAnsi="Arial"/>
                <w:sz w:val="16"/>
                <w:szCs w:val="16"/>
                <w:color w:val="auto"/>
              </w:rPr>
              <w:t>1,224</w:t>
            </w:r>
          </w:p>
        </w:tc>
      </w:tr>
      <w:tr>
        <w:trPr>
          <w:trHeight w:val="235"/>
        </w:trPr>
        <w:tc>
          <w:tcPr>
            <w:tcW w:w="8180" w:type="dxa"/>
            <w:vAlign w:val="bottom"/>
          </w:tcPr>
          <w:p>
            <w:pPr>
              <w:ind w:left="220"/>
              <w:spacing w:after="0"/>
              <w:rPr>
                <w:sz w:val="20"/>
                <w:szCs w:val="20"/>
                <w:color w:val="auto"/>
              </w:rPr>
            </w:pPr>
            <w:r>
              <w:rPr>
                <w:rFonts w:ascii="Arial" w:cs="Arial" w:eastAsia="Arial" w:hAnsi="Arial"/>
                <w:sz w:val="16"/>
                <w:szCs w:val="16"/>
                <w:color w:val="auto"/>
              </w:rPr>
              <w:t>Asset-backed lending</w:t>
            </w:r>
          </w:p>
        </w:tc>
        <w:tc>
          <w:tcPr>
            <w:tcW w:w="16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263</w:t>
            </w:r>
          </w:p>
        </w:tc>
      </w:tr>
      <w:tr>
        <w:trPr>
          <w:trHeight w:val="235"/>
        </w:trPr>
        <w:tc>
          <w:tcPr>
            <w:tcW w:w="8180" w:type="dxa"/>
            <w:vAlign w:val="bottom"/>
          </w:tcPr>
          <w:p>
            <w:pPr>
              <w:ind w:left="220"/>
              <w:spacing w:after="0"/>
              <w:rPr>
                <w:sz w:val="20"/>
                <w:szCs w:val="20"/>
                <w:color w:val="auto"/>
              </w:rPr>
            </w:pPr>
            <w:r>
              <w:rPr>
                <w:rFonts w:ascii="Arial" w:cs="Arial" w:eastAsia="Arial" w:hAnsi="Arial"/>
                <w:sz w:val="16"/>
                <w:szCs w:val="16"/>
                <w:color w:val="auto"/>
              </w:rPr>
              <w:t>Fixed maturity securities, asset-backed securities</w:t>
            </w:r>
          </w:p>
        </w:tc>
        <w:tc>
          <w:tcPr>
            <w:tcW w:w="16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684</w:t>
            </w:r>
          </w:p>
        </w:tc>
      </w:tr>
      <w:tr>
        <w:trPr>
          <w:trHeight w:val="242"/>
        </w:trPr>
        <w:tc>
          <w:tcPr>
            <w:tcW w:w="8180" w:type="dxa"/>
            <w:vAlign w:val="bottom"/>
          </w:tcPr>
          <w:p>
            <w:pPr>
              <w:ind w:left="220"/>
              <w:spacing w:after="0"/>
              <w:rPr>
                <w:sz w:val="20"/>
                <w:szCs w:val="20"/>
                <w:color w:val="auto"/>
              </w:rPr>
            </w:pPr>
            <w:r>
              <w:rPr>
                <w:rFonts w:ascii="Arial" w:cs="Arial" w:eastAsia="Arial" w:hAnsi="Arial"/>
                <w:sz w:val="16"/>
                <w:szCs w:val="16"/>
                <w:color w:val="auto"/>
              </w:rPr>
              <w:t>Direct Lending</w:t>
            </w:r>
          </w:p>
        </w:tc>
        <w:tc>
          <w:tcPr>
            <w:tcW w:w="16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1,199</w:t>
            </w:r>
          </w:p>
        </w:tc>
      </w:tr>
      <w:tr>
        <w:trPr>
          <w:trHeight w:val="196"/>
        </w:trPr>
        <w:tc>
          <w:tcPr>
            <w:tcW w:w="8180" w:type="dxa"/>
            <w:vAlign w:val="bottom"/>
          </w:tcPr>
          <w:p>
            <w:pPr>
              <w:ind w:left="120"/>
              <w:spacing w:after="0"/>
              <w:rPr>
                <w:sz w:val="20"/>
                <w:szCs w:val="20"/>
                <w:color w:val="auto"/>
              </w:rPr>
            </w:pPr>
            <w:r>
              <w:rPr>
                <w:rFonts w:ascii="Arial" w:cs="Arial" w:eastAsia="Arial" w:hAnsi="Arial"/>
                <w:sz w:val="16"/>
                <w:szCs w:val="16"/>
                <w:b w:val="1"/>
                <w:bCs w:val="1"/>
                <w:color w:val="auto"/>
              </w:rPr>
              <w:t>Total</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4,242</w:t>
            </w:r>
          </w:p>
        </w:tc>
      </w:tr>
      <w:tr>
        <w:trPr>
          <w:trHeight w:val="20"/>
        </w:trPr>
        <w:tc>
          <w:tcPr>
            <w:tcW w:w="8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38735</wp:posOffset>
            </wp:positionH>
            <wp:positionV relativeFrom="paragraph">
              <wp:posOffset>-1823085</wp:posOffset>
            </wp:positionV>
            <wp:extent cx="6297930" cy="183007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19">
                      <a:extLst>
                        <a:ext uri="{28A0092B-C50C-407E-A947-70E740481C1C}"/>
                      </a:extLst>
                    </a:blip>
                    <a:srcRect/>
                    <a:stretch>
                      <a:fillRect/>
                    </a:stretch>
                  </pic:blipFill>
                  <pic:spPr bwMode="auto">
                    <a:xfrm>
                      <a:off x="0" y="0"/>
                      <a:ext cx="6297930" cy="1830070"/>
                    </a:xfrm>
                    <a:prstGeom prst="rect">
                      <a:avLst/>
                    </a:prstGeom>
                    <a:noFill/>
                  </pic:spPr>
                </pic:pic>
              </a:graphicData>
            </a:graphic>
          </wp:anchor>
        </w:drawing>
      </w:r>
    </w:p>
    <w:p>
      <w:pPr>
        <w:spacing w:after="0" w:line="105" w:lineRule="exact"/>
        <w:rPr>
          <w:sz w:val="20"/>
          <w:szCs w:val="20"/>
          <w:color w:val="auto"/>
        </w:rPr>
      </w:pPr>
    </w:p>
    <w:p>
      <w:pPr>
        <w:jc w:val="both"/>
        <w:ind w:firstLine="353"/>
        <w:spacing w:after="0" w:line="299" w:lineRule="auto"/>
        <w:rPr>
          <w:sz w:val="20"/>
          <w:szCs w:val="20"/>
          <w:color w:val="auto"/>
        </w:rPr>
      </w:pPr>
      <w:r>
        <w:rPr>
          <w:rFonts w:ascii="Arial" w:cs="Arial" w:eastAsia="Arial" w:hAnsi="Arial"/>
          <w:sz w:val="17"/>
          <w:szCs w:val="17"/>
          <w:color w:val="auto"/>
        </w:rPr>
        <w:t xml:space="preserve">Concurrent with the purchase agreement for a prior year acquisition, we executed a separate loan agreement with the sellers for us to lend up to $40 million The loan matures on August 5, 2027. The principal balance outstanding as of December 31, 2025 and 2024 was $24 million and $11 million, respectively. The balance is included in Prepaid expenses and other assets on the Consolidated Balance Sheets. Changes in fair value are reported within Recognized gains and losses, net in the Consolidated Statements of Earnings. Interest income is recorded in Interest and investment income in the Consolidated Statements of Earnings and recognized when earned. The remainder of the unfunded loan commitment is included in the unfunded commitments table above in the “Other assets” line item. Refer to Note C </w:t>
      </w:r>
      <w:r>
        <w:rPr>
          <w:rFonts w:ascii="Arial" w:cs="Arial" w:eastAsia="Arial" w:hAnsi="Arial"/>
          <w:sz w:val="17"/>
          <w:szCs w:val="17"/>
          <w:b w:val="1"/>
          <w:bCs w:val="1"/>
          <w:i w:val="1"/>
          <w:iCs w:val="1"/>
          <w:color w:val="auto"/>
        </w:rPr>
        <w:t>Fair Value of Financial Instruments</w:t>
      </w:r>
      <w:r>
        <w:rPr>
          <w:rFonts w:ascii="Arial" w:cs="Arial" w:eastAsia="Arial" w:hAnsi="Arial"/>
          <w:sz w:val="17"/>
          <w:szCs w:val="17"/>
          <w:color w:val="auto"/>
        </w:rPr>
        <w:t xml:space="preserve"> for information regarding the fair value calculation of this loan receivable.</w:t>
      </w:r>
    </w:p>
    <w:p>
      <w:pPr>
        <w:spacing w:after="0" w:line="44" w:lineRule="exact"/>
        <w:rPr>
          <w:sz w:val="20"/>
          <w:szCs w:val="20"/>
          <w:color w:val="auto"/>
        </w:rPr>
      </w:pPr>
    </w:p>
    <w:p>
      <w:pPr>
        <w:ind w:left="340"/>
        <w:spacing w:after="0"/>
        <w:rPr>
          <w:sz w:val="20"/>
          <w:szCs w:val="20"/>
          <w:color w:val="auto"/>
        </w:rPr>
      </w:pPr>
      <w:r>
        <w:rPr>
          <w:rFonts w:ascii="Arial" w:cs="Arial" w:eastAsia="Arial" w:hAnsi="Arial"/>
          <w:sz w:val="20"/>
          <w:szCs w:val="20"/>
          <w:b w:val="1"/>
          <w:bCs w:val="1"/>
          <w:i w:val="1"/>
          <w:iCs w:val="1"/>
          <w:color w:val="auto"/>
        </w:rPr>
        <w:t>Contingent Consideration</w:t>
      </w:r>
    </w:p>
    <w:p>
      <w:pPr>
        <w:spacing w:after="0" w:line="130" w:lineRule="exact"/>
        <w:rPr>
          <w:sz w:val="20"/>
          <w:szCs w:val="20"/>
          <w:color w:val="auto"/>
        </w:rPr>
      </w:pPr>
    </w:p>
    <w:p>
      <w:pPr>
        <w:jc w:val="both"/>
        <w:ind w:firstLine="353"/>
        <w:spacing w:after="0" w:line="251" w:lineRule="auto"/>
        <w:rPr>
          <w:sz w:val="20"/>
          <w:szCs w:val="20"/>
          <w:color w:val="auto"/>
        </w:rPr>
      </w:pPr>
      <w:r>
        <w:rPr>
          <w:rFonts w:ascii="Arial" w:cs="Arial" w:eastAsia="Arial" w:hAnsi="Arial"/>
          <w:sz w:val="20"/>
          <w:szCs w:val="20"/>
          <w:color w:val="auto"/>
        </w:rPr>
        <w:t xml:space="preserve">Under the terms of the purchase agreement for a prior year acquisition, we have agreed to make cash payments of up to approximately $90 million over a three-year period upon the achievement by the acquiree of certain EBITDA milestones. The contingent consideration is recorded at fair value in Accounts payable and accrued liabilities on the Consolidated Balance Sheets. Refer to Note C </w:t>
      </w:r>
      <w:r>
        <w:rPr>
          <w:rFonts w:ascii="Arial" w:cs="Arial" w:eastAsia="Arial" w:hAnsi="Arial"/>
          <w:sz w:val="20"/>
          <w:szCs w:val="20"/>
          <w:b w:val="1"/>
          <w:bCs w:val="1"/>
          <w:i w:val="1"/>
          <w:iCs w:val="1"/>
          <w:color w:val="auto"/>
        </w:rPr>
        <w:t>Fair Value of Financial Instruments</w:t>
      </w:r>
      <w:r>
        <w:rPr>
          <w:rFonts w:ascii="Arial" w:cs="Arial" w:eastAsia="Arial" w:hAnsi="Arial"/>
          <w:sz w:val="20"/>
          <w:szCs w:val="20"/>
          <w:color w:val="auto"/>
        </w:rPr>
        <w:t xml:space="preserve"> for more information regarding the fair value of the contingent consideration.</w:t>
      </w:r>
    </w:p>
    <w:p>
      <w:pPr>
        <w:spacing w:after="0" w:line="89" w:lineRule="exact"/>
        <w:rPr>
          <w:sz w:val="20"/>
          <w:szCs w:val="20"/>
          <w:color w:val="auto"/>
        </w:rPr>
      </w:pPr>
    </w:p>
    <w:p>
      <w:pPr>
        <w:jc w:val="both"/>
        <w:ind w:firstLine="353"/>
        <w:spacing w:after="0" w:line="300" w:lineRule="auto"/>
        <w:rPr>
          <w:sz w:val="20"/>
          <w:szCs w:val="20"/>
          <w:color w:val="auto"/>
        </w:rPr>
      </w:pPr>
      <w:r>
        <w:rPr>
          <w:rFonts w:ascii="Arial" w:cs="Arial" w:eastAsia="Arial" w:hAnsi="Arial"/>
          <w:sz w:val="19"/>
          <w:szCs w:val="19"/>
          <w:color w:val="auto"/>
        </w:rPr>
        <w:t xml:space="preserve">See Note A </w:t>
      </w:r>
      <w:r>
        <w:rPr>
          <w:rFonts w:ascii="Arial" w:cs="Arial" w:eastAsia="Arial" w:hAnsi="Arial"/>
          <w:sz w:val="19"/>
          <w:szCs w:val="19"/>
          <w:b w:val="1"/>
          <w:bCs w:val="1"/>
          <w:i w:val="1"/>
          <w:iCs w:val="1"/>
          <w:color w:val="auto"/>
        </w:rPr>
        <w:t>Business and Summary of Significant Accounting Policies</w:t>
      </w:r>
      <w:r>
        <w:rPr>
          <w:rFonts w:ascii="Arial" w:cs="Arial" w:eastAsia="Arial" w:hAnsi="Arial"/>
          <w:sz w:val="19"/>
          <w:szCs w:val="19"/>
          <w:color w:val="auto"/>
        </w:rPr>
        <w:t>, for discussion of funding agreements that have been issued pursuant to the FABN Program as well as to the FHLB that are included in Contractholder funds.</w:t>
      </w:r>
    </w:p>
    <w:p>
      <w:pPr>
        <w:spacing w:after="0" w:line="44" w:lineRule="exact"/>
        <w:rPr>
          <w:sz w:val="20"/>
          <w:szCs w:val="20"/>
          <w:color w:val="auto"/>
        </w:rPr>
      </w:pPr>
    </w:p>
    <w:p>
      <w:pPr>
        <w:jc w:val="both"/>
        <w:ind w:firstLine="353"/>
        <w:spacing w:after="0" w:line="296" w:lineRule="auto"/>
        <w:rPr>
          <w:sz w:val="20"/>
          <w:szCs w:val="20"/>
          <w:color w:val="auto"/>
        </w:rPr>
      </w:pPr>
      <w:r>
        <w:rPr>
          <w:rFonts w:ascii="Arial" w:cs="Arial" w:eastAsia="Arial" w:hAnsi="Arial"/>
          <w:sz w:val="17"/>
          <w:szCs w:val="17"/>
          <w:color w:val="auto"/>
        </w:rPr>
        <w:t>The Company has a reinsurance agreement with Kubera to cede certain FIA statutory reserves on a coinsurance funds withheld basis, net of applicable existing reinsurance. To enhance Kubera's ability to pay its obligations under the amended reinsurance agreement, effective October 31, 2021, F&amp;G entered into a Variable Note Purchase Agreement (the “NPA”), whereby F&amp;G agreed to fund a note to Kubera to be used to ultimately settle with F&amp;G, with principal increases up to a maximum amount of $435 million, to the extent a potential funding shortfall (treaty assets are less than the total funding requirement) is projected relative to the business ceded to Kubera from F&amp;G as part of the amended reinsurance agreement. The potential funding shortfall will be determined quarterly and, among other items, is impacted by the market value of the assets in the funds withheld account related to the reinsurance agreement and Kubera's capital as calculated on a Bermuda regulatory basis. The NPA matures on November 30, 2071. Based on the current level of the treaty assets and projections that these policies will be profitable over the lifetime of the agreement, we do not expect significant fundings to occur under the NPA. As of December 31, 2025 and 2024, the amount funded under the NPA was insignificant.</w:t>
      </w:r>
    </w:p>
    <w:p>
      <w:pPr>
        <w:spacing w:after="0" w:line="4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H — Dividends</w:t>
      </w:r>
    </w:p>
    <w:p>
      <w:pPr>
        <w:spacing w:after="0" w:line="130" w:lineRule="exact"/>
        <w:rPr>
          <w:sz w:val="20"/>
          <w:szCs w:val="20"/>
          <w:color w:val="auto"/>
        </w:rPr>
      </w:pPr>
    </w:p>
    <w:p>
      <w:pPr>
        <w:jc w:val="both"/>
        <w:ind w:firstLine="353"/>
        <w:spacing w:after="0" w:line="271" w:lineRule="auto"/>
        <w:rPr>
          <w:sz w:val="20"/>
          <w:szCs w:val="20"/>
          <w:color w:val="auto"/>
        </w:rPr>
      </w:pPr>
      <w:r>
        <w:rPr>
          <w:rFonts w:ascii="Arial" w:cs="Arial" w:eastAsia="Arial" w:hAnsi="Arial"/>
          <w:sz w:val="20"/>
          <w:szCs w:val="20"/>
          <w:color w:val="auto"/>
        </w:rPr>
        <w:t>On February 19, 2026, our Board of Directors declared cash dividends of $0.52 per share, payable on March 31, 2026, to FNF common shareholders of record as of March 17, 2026.</w:t>
      </w:r>
    </w:p>
    <w:p>
      <w:pPr>
        <w:spacing w:after="0" w:line="69" w:lineRule="exact"/>
        <w:rPr>
          <w:sz w:val="20"/>
          <w:szCs w:val="20"/>
          <w:color w:val="auto"/>
        </w:rPr>
      </w:pPr>
    </w:p>
    <w:p>
      <w:pPr>
        <w:jc w:val="both"/>
        <w:ind w:firstLine="353"/>
        <w:spacing w:after="0" w:line="271" w:lineRule="auto"/>
        <w:rPr>
          <w:sz w:val="20"/>
          <w:szCs w:val="20"/>
          <w:color w:val="auto"/>
        </w:rPr>
      </w:pPr>
      <w:r>
        <w:rPr>
          <w:rFonts w:ascii="Arial" w:cs="Arial" w:eastAsia="Arial" w:hAnsi="Arial"/>
          <w:sz w:val="20"/>
          <w:szCs w:val="20"/>
          <w:color w:val="auto"/>
        </w:rPr>
        <w:t>During the years ended December 31, 2025, 2024 and 2023, we declared dividends on our common stock of $2.02, $1.94 and $1.83, respectively.</w:t>
      </w:r>
    </w:p>
    <w:p>
      <w:pPr>
        <w:sectPr>
          <w:pgSz w:w="11880" w:h="15480" w:orient="portrait"/>
          <w:cols w:equalWidth="0" w:num="1">
            <w:col w:w="10040"/>
          </w:cols>
          <w:pgMar w:left="920" w:top="765"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154</w:t>
      </w:r>
    </w:p>
    <w:p>
      <w:pPr>
        <w:sectPr>
          <w:pgSz w:w="11880" w:h="15480" w:orient="portrait"/>
          <w:cols w:equalWidth="0" w:num="1">
            <w:col w:w="10040"/>
          </w:cols>
          <w:pgMar w:left="920" w:top="765" w:right="920" w:bottom="0" w:gutter="0" w:footer="0" w:header="0"/>
          <w:type w:val="continuous"/>
        </w:sectPr>
      </w:pPr>
    </w:p>
    <w:bookmarkStart w:id="166" w:name="page167"/>
    <w:bookmarkEnd w:id="166"/>
    <w:p>
      <w:pPr>
        <w:ind w:left="200"/>
        <w:spacing w:after="0"/>
        <w:rPr>
          <w:sz w:val="20"/>
          <w:szCs w:val="20"/>
          <w:color w:val="auto"/>
        </w:rPr>
      </w:pPr>
      <w:r>
        <w:rPr>
          <w:rFonts w:ascii="Arial" w:cs="Arial" w:eastAsia="Arial" w:hAnsi="Arial"/>
          <w:sz w:val="20"/>
          <w:szCs w:val="20"/>
          <w:b w:val="1"/>
          <w:bCs w:val="1"/>
          <w:color w:val="auto"/>
        </w:rPr>
        <w:t>Note I — Segment Information</w:t>
      </w:r>
    </w:p>
    <w:p>
      <w:pPr>
        <w:spacing w:after="0" w:line="130" w:lineRule="exact"/>
        <w:rPr>
          <w:sz w:val="20"/>
          <w:szCs w:val="20"/>
          <w:color w:val="auto"/>
        </w:rPr>
      </w:pPr>
    </w:p>
    <w:p>
      <w:pPr>
        <w:jc w:val="both"/>
        <w:ind w:left="200" w:right="240" w:firstLine="353"/>
        <w:spacing w:after="0" w:line="312" w:lineRule="auto"/>
        <w:rPr>
          <w:sz w:val="20"/>
          <w:szCs w:val="20"/>
          <w:color w:val="auto"/>
        </w:rPr>
      </w:pPr>
      <w:r>
        <w:rPr>
          <w:rFonts w:ascii="Arial" w:cs="Arial" w:eastAsia="Arial" w:hAnsi="Arial"/>
          <w:sz w:val="17"/>
          <w:szCs w:val="17"/>
          <w:color w:val="auto"/>
        </w:rPr>
        <w:t>The tables below summarize the result of operations by segment that are provided to the Chief Operating Decision Maker ("CODM"), who is the Company's Chief Executive Officer. The Company's primary methods of measuring profitability and performance on a reportable segment basis are Revenues and Net earnings from continuing operations which are also measures used by the CODM to evaluate segment results and are factors in determining capital allocation among the segments.</w:t>
      </w:r>
    </w:p>
    <w:p>
      <w:pPr>
        <w:spacing w:after="0" w:line="42" w:lineRule="exact"/>
        <w:rPr>
          <w:sz w:val="20"/>
          <w:szCs w:val="20"/>
          <w:color w:val="auto"/>
        </w:rPr>
      </w:pPr>
    </w:p>
    <w:p>
      <w:pPr>
        <w:jc w:val="both"/>
        <w:ind w:left="200" w:right="240" w:firstLine="353"/>
        <w:spacing w:after="0" w:line="360" w:lineRule="auto"/>
        <w:rPr>
          <w:sz w:val="20"/>
          <w:szCs w:val="20"/>
          <w:color w:val="auto"/>
        </w:rPr>
      </w:pPr>
      <w:r>
        <w:rPr>
          <w:rFonts w:ascii="Arial" w:cs="Arial" w:eastAsia="Arial" w:hAnsi="Arial"/>
          <w:sz w:val="17"/>
          <w:szCs w:val="17"/>
          <w:color w:val="auto"/>
        </w:rPr>
        <w:t>Summarized financial information concerning our reportable segments is shown in the following tables. The significant expense categories and amounts align with the segment-level information that is regularly provided to the CODM.</w:t>
      </w:r>
    </w:p>
    <w:p>
      <w:pPr>
        <w:spacing w:after="0" w:line="2" w:lineRule="exact"/>
        <w:rPr>
          <w:sz w:val="20"/>
          <w:szCs w:val="20"/>
          <w:color w:val="auto"/>
        </w:rPr>
      </w:pPr>
    </w:p>
    <w:p>
      <w:pPr>
        <w:ind w:left="540"/>
        <w:spacing w:after="0"/>
        <w:rPr>
          <w:sz w:val="20"/>
          <w:szCs w:val="20"/>
          <w:color w:val="auto"/>
        </w:rPr>
      </w:pPr>
      <w:r>
        <w:rPr>
          <w:rFonts w:ascii="Arial" w:cs="Arial" w:eastAsia="Arial" w:hAnsi="Arial"/>
          <w:sz w:val="20"/>
          <w:szCs w:val="20"/>
          <w:color w:val="auto"/>
        </w:rPr>
        <w:t>As of and for the year ended December 31, 2025:</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vMerge w:val="restart"/>
          </w:tcPr>
          <w:p>
            <w:pPr>
              <w:jc w:val="right"/>
              <w:ind w:right="222"/>
              <w:spacing w:after="0"/>
              <w:rPr>
                <w:sz w:val="20"/>
                <w:szCs w:val="20"/>
                <w:color w:val="auto"/>
              </w:rPr>
            </w:pPr>
            <w:r>
              <w:rPr>
                <w:rFonts w:ascii="Arial" w:cs="Arial" w:eastAsia="Arial" w:hAnsi="Arial"/>
                <w:sz w:val="16"/>
                <w:szCs w:val="16"/>
                <w:color w:val="auto"/>
              </w:rPr>
              <w:t>Title</w:t>
            </w: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vMerge w:val="restart"/>
          </w:tcPr>
          <w:p>
            <w:pPr>
              <w:jc w:val="right"/>
              <w:ind w:right="202"/>
              <w:spacing w:after="0"/>
              <w:rPr>
                <w:sz w:val="20"/>
                <w:szCs w:val="20"/>
                <w:color w:val="auto"/>
              </w:rPr>
            </w:pPr>
            <w:r>
              <w:rPr>
                <w:rFonts w:ascii="Arial" w:cs="Arial" w:eastAsia="Arial" w:hAnsi="Arial"/>
                <w:sz w:val="16"/>
                <w:szCs w:val="16"/>
                <w:color w:val="auto"/>
              </w:rPr>
              <w:t>F&amp;G</w:t>
            </w:r>
          </w:p>
        </w:tc>
        <w:tc>
          <w:tcPr>
            <w:tcW w:w="60" w:type="dxa"/>
            <w:vAlign w:val="bottom"/>
          </w:tcPr>
          <w:p>
            <w:pPr>
              <w:spacing w:after="0"/>
              <w:rPr>
                <w:sz w:val="16"/>
                <w:szCs w:val="16"/>
                <w:color w:val="auto"/>
              </w:rPr>
            </w:pPr>
          </w:p>
        </w:tc>
        <w:tc>
          <w:tcPr>
            <w:tcW w:w="880" w:type="dxa"/>
            <w:vAlign w:val="bottom"/>
            <w:gridSpan w:val="2"/>
          </w:tcPr>
          <w:p>
            <w:pPr>
              <w:jc w:val="center"/>
              <w:spacing w:after="0"/>
              <w:rPr>
                <w:sz w:val="20"/>
                <w:szCs w:val="20"/>
                <w:color w:val="auto"/>
              </w:rPr>
            </w:pPr>
            <w:r>
              <w:rPr>
                <w:rFonts w:ascii="Arial" w:cs="Arial" w:eastAsia="Arial" w:hAnsi="Arial"/>
                <w:sz w:val="16"/>
                <w:szCs w:val="16"/>
                <w:color w:val="auto"/>
                <w:w w:val="87"/>
              </w:rPr>
              <w:t>Corporate</w:t>
            </w:r>
          </w:p>
        </w:tc>
        <w:tc>
          <w:tcPr>
            <w:tcW w:w="80" w:type="dxa"/>
            <w:vAlign w:val="bottom"/>
          </w:tcPr>
          <w:p>
            <w:pPr>
              <w:spacing w:after="0"/>
              <w:rPr>
                <w:sz w:val="16"/>
                <w:szCs w:val="16"/>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16"/>
                <w:szCs w:val="16"/>
                <w:color w:val="auto"/>
                <w:w w:val="99"/>
              </w:rPr>
              <w:t>Elimination</w:t>
            </w: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vMerge w:val="restart"/>
          </w:tcPr>
          <w:p>
            <w:pPr>
              <w:jc w:val="right"/>
              <w:ind w:right="182"/>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0"/>
        </w:trPr>
        <w:tc>
          <w:tcPr>
            <w:tcW w:w="58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vMerge w:val="continue"/>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vMerge w:val="continue"/>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center"/>
              <w:ind w:right="41"/>
              <w:spacing w:after="0"/>
              <w:rPr>
                <w:sz w:val="20"/>
                <w:szCs w:val="20"/>
                <w:color w:val="auto"/>
              </w:rPr>
            </w:pPr>
            <w:r>
              <w:rPr>
                <w:rFonts w:ascii="Arial" w:cs="Arial" w:eastAsia="Arial" w:hAnsi="Arial"/>
                <w:sz w:val="16"/>
                <w:szCs w:val="16"/>
                <w:color w:val="auto"/>
                <w:w w:val="87"/>
              </w:rPr>
              <w:t>and Other</w:t>
            </w:r>
          </w:p>
        </w:tc>
        <w:tc>
          <w:tcPr>
            <w:tcW w:w="80" w:type="dxa"/>
            <w:vAlign w:val="bottom"/>
          </w:tcPr>
          <w:p>
            <w:pPr>
              <w:spacing w:after="0"/>
              <w:rPr>
                <w:sz w:val="18"/>
                <w:szCs w:val="18"/>
                <w:color w:val="auto"/>
              </w:rPr>
            </w:pPr>
          </w:p>
        </w:tc>
        <w:tc>
          <w:tcPr>
            <w:tcW w:w="880" w:type="dxa"/>
            <w:vAlign w:val="bottom"/>
            <w:tcBorders>
              <w:bottom w:val="single" w:sz="8" w:color="auto"/>
            </w:tcBorders>
            <w:gridSpan w:val="2"/>
            <w:vMerge w:val="continue"/>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800" w:type="dxa"/>
            <w:vAlign w:val="bottom"/>
          </w:tcPr>
          <w:p>
            <w:pPr>
              <w:spacing w:after="0"/>
              <w:rPr>
                <w:sz w:val="20"/>
                <w:szCs w:val="20"/>
                <w:color w:val="auto"/>
              </w:rPr>
            </w:pPr>
            <w:r>
              <w:rPr>
                <w:rFonts w:ascii="Arial" w:cs="Arial" w:eastAsia="Arial" w:hAnsi="Arial"/>
                <w:sz w:val="16"/>
                <w:szCs w:val="16"/>
                <w:color w:val="auto"/>
              </w:rPr>
              <w:t>Segment revenues:</w:t>
            </w: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80" w:type="dxa"/>
            <w:vAlign w:val="bottom"/>
            <w:gridSpan w:val="2"/>
          </w:tcPr>
          <w:p>
            <w:pPr>
              <w:jc w:val="center"/>
              <w:spacing w:after="0"/>
              <w:rPr>
                <w:sz w:val="20"/>
                <w:szCs w:val="20"/>
                <w:color w:val="auto"/>
              </w:rPr>
            </w:pPr>
            <w:r>
              <w:rPr>
                <w:rFonts w:ascii="Arial" w:cs="Arial" w:eastAsia="Arial" w:hAnsi="Arial"/>
                <w:sz w:val="16"/>
                <w:szCs w:val="16"/>
                <w:b w:val="1"/>
                <w:bCs w:val="1"/>
                <w:color w:val="auto"/>
                <w:w w:val="91"/>
              </w:rPr>
              <w:t>(In millions)</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5800" w:type="dxa"/>
            <w:vAlign w:val="bottom"/>
          </w:tcPr>
          <w:p>
            <w:pPr>
              <w:spacing w:after="0"/>
              <w:rPr>
                <w:sz w:val="20"/>
                <w:szCs w:val="20"/>
                <w:color w:val="auto"/>
              </w:rPr>
            </w:pPr>
            <w:r>
              <w:rPr>
                <w:rFonts w:ascii="Arial" w:cs="Arial" w:eastAsia="Arial" w:hAnsi="Arial"/>
                <w:sz w:val="16"/>
                <w:szCs w:val="16"/>
                <w:color w:val="auto"/>
              </w:rPr>
              <w:t>Direct title insurance premiums</w:t>
            </w:r>
          </w:p>
        </w:tc>
        <w:tc>
          <w:tcPr>
            <w:tcW w:w="22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680" w:type="dxa"/>
            <w:vAlign w:val="bottom"/>
          </w:tcPr>
          <w:p>
            <w:pPr>
              <w:jc w:val="right"/>
              <w:ind w:right="2"/>
              <w:spacing w:after="0"/>
              <w:rPr>
                <w:sz w:val="20"/>
                <w:szCs w:val="20"/>
                <w:color w:val="auto"/>
              </w:rPr>
            </w:pPr>
            <w:r>
              <w:rPr>
                <w:rFonts w:ascii="Arial" w:cs="Arial" w:eastAsia="Arial" w:hAnsi="Arial"/>
                <w:sz w:val="16"/>
                <w:szCs w:val="16"/>
                <w:color w:val="auto"/>
              </w:rPr>
              <w:t>2,574</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400" w:type="dxa"/>
            <w:vAlign w:val="bottom"/>
            <w:gridSpan w:val="2"/>
          </w:tcPr>
          <w:p>
            <w:pPr>
              <w:ind w:left="140"/>
              <w:spacing w:after="0"/>
              <w:rPr>
                <w:sz w:val="20"/>
                <w:szCs w:val="20"/>
                <w:color w:val="auto"/>
              </w:rPr>
            </w:pPr>
            <w:r>
              <w:rPr>
                <w:rFonts w:ascii="Arial" w:cs="Arial" w:eastAsia="Arial" w:hAnsi="Arial"/>
                <w:sz w:val="16"/>
                <w:szCs w:val="16"/>
                <w:color w:val="auto"/>
              </w:rPr>
              <w:t>$</w:t>
            </w:r>
          </w:p>
        </w:tc>
        <w:tc>
          <w:tcPr>
            <w:tcW w:w="56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260" w:type="dxa"/>
            <w:vAlign w:val="bottom"/>
            <w:gridSpan w:val="2"/>
          </w:tcPr>
          <w:p>
            <w:pPr>
              <w:jc w:val="right"/>
              <w:spacing w:after="0"/>
              <w:rPr>
                <w:sz w:val="20"/>
                <w:szCs w:val="20"/>
                <w:color w:val="auto"/>
              </w:rPr>
            </w:pPr>
            <w:r>
              <w:rPr>
                <w:rFonts w:ascii="Arial" w:cs="Arial" w:eastAsia="Arial" w:hAnsi="Arial"/>
                <w:sz w:val="16"/>
                <w:szCs w:val="16"/>
                <w:b w:val="1"/>
                <w:bCs w:val="1"/>
                <w:color w:val="auto"/>
              </w:rPr>
              <w:t>$</w:t>
            </w:r>
          </w:p>
        </w:tc>
        <w:tc>
          <w:tcPr>
            <w:tcW w:w="680" w:type="dxa"/>
            <w:vAlign w:val="bottom"/>
          </w:tcPr>
          <w:p>
            <w:pPr>
              <w:jc w:val="right"/>
              <w:spacing w:after="0"/>
              <w:rPr>
                <w:sz w:val="20"/>
                <w:szCs w:val="20"/>
                <w:color w:val="auto"/>
              </w:rPr>
            </w:pPr>
            <w:r>
              <w:rPr>
                <w:rFonts w:ascii="Arial" w:cs="Arial" w:eastAsia="Arial" w:hAnsi="Arial"/>
                <w:sz w:val="16"/>
                <w:szCs w:val="16"/>
                <w:b w:val="1"/>
                <w:bCs w:val="1"/>
                <w:color w:val="auto"/>
              </w:rPr>
              <w:t>2,574</w:t>
            </w:r>
          </w:p>
        </w:tc>
        <w:tc>
          <w:tcPr>
            <w:tcW w:w="0" w:type="dxa"/>
            <w:vAlign w:val="bottom"/>
          </w:tcPr>
          <w:p>
            <w:pPr>
              <w:spacing w:after="0"/>
              <w:rPr>
                <w:sz w:val="1"/>
                <w:szCs w:val="1"/>
                <w:color w:val="auto"/>
              </w:rPr>
            </w:pPr>
          </w:p>
        </w:tc>
      </w:tr>
      <w:tr>
        <w:trPr>
          <w:trHeight w:val="250"/>
        </w:trPr>
        <w:tc>
          <w:tcPr>
            <w:tcW w:w="5800" w:type="dxa"/>
            <w:vAlign w:val="bottom"/>
          </w:tcPr>
          <w:p>
            <w:pPr>
              <w:spacing w:after="0"/>
              <w:rPr>
                <w:sz w:val="20"/>
                <w:szCs w:val="20"/>
                <w:color w:val="auto"/>
              </w:rPr>
            </w:pPr>
            <w:r>
              <w:rPr>
                <w:rFonts w:ascii="Arial" w:cs="Arial" w:eastAsia="Arial" w:hAnsi="Arial"/>
                <w:sz w:val="16"/>
                <w:szCs w:val="16"/>
                <w:color w:val="auto"/>
              </w:rPr>
              <w:t>Agency title insurance premiums</w:t>
            </w:r>
          </w:p>
        </w:tc>
        <w:tc>
          <w:tcPr>
            <w:tcW w:w="220" w:type="dxa"/>
            <w:vAlign w:val="bottom"/>
          </w:tcPr>
          <w:p>
            <w:pPr>
              <w:spacing w:after="0"/>
              <w:rPr>
                <w:sz w:val="21"/>
                <w:szCs w:val="21"/>
                <w:color w:val="auto"/>
              </w:rPr>
            </w:pPr>
          </w:p>
        </w:tc>
        <w:tc>
          <w:tcPr>
            <w:tcW w:w="680" w:type="dxa"/>
            <w:vAlign w:val="bottom"/>
          </w:tcPr>
          <w:p>
            <w:pPr>
              <w:jc w:val="right"/>
              <w:ind w:right="2"/>
              <w:spacing w:after="0"/>
              <w:rPr>
                <w:sz w:val="20"/>
                <w:szCs w:val="20"/>
                <w:color w:val="auto"/>
              </w:rPr>
            </w:pPr>
            <w:r>
              <w:rPr>
                <w:rFonts w:ascii="Arial" w:cs="Arial" w:eastAsia="Arial" w:hAnsi="Arial"/>
                <w:sz w:val="16"/>
                <w:szCs w:val="16"/>
                <w:color w:val="auto"/>
              </w:rPr>
              <w:t>3,250</w:t>
            </w: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6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6"/>
                <w:szCs w:val="16"/>
                <w:b w:val="1"/>
                <w:bCs w:val="1"/>
                <w:color w:val="auto"/>
              </w:rPr>
              <w:t>3,250</w:t>
            </w:r>
          </w:p>
        </w:tc>
        <w:tc>
          <w:tcPr>
            <w:tcW w:w="0" w:type="dxa"/>
            <w:vAlign w:val="bottom"/>
          </w:tcPr>
          <w:p>
            <w:pPr>
              <w:spacing w:after="0"/>
              <w:rPr>
                <w:sz w:val="1"/>
                <w:szCs w:val="1"/>
                <w:color w:val="auto"/>
              </w:rPr>
            </w:pPr>
          </w:p>
        </w:tc>
      </w:tr>
      <w:tr>
        <w:trPr>
          <w:trHeight w:val="250"/>
        </w:trPr>
        <w:tc>
          <w:tcPr>
            <w:tcW w:w="5800" w:type="dxa"/>
            <w:vAlign w:val="bottom"/>
          </w:tcPr>
          <w:p>
            <w:pPr>
              <w:spacing w:after="0"/>
              <w:rPr>
                <w:sz w:val="20"/>
                <w:szCs w:val="20"/>
                <w:color w:val="auto"/>
              </w:rPr>
            </w:pPr>
            <w:r>
              <w:rPr>
                <w:rFonts w:ascii="Arial" w:cs="Arial" w:eastAsia="Arial" w:hAnsi="Arial"/>
                <w:sz w:val="16"/>
                <w:szCs w:val="16"/>
                <w:color w:val="auto"/>
              </w:rPr>
              <w:t>Escrow, title related and other fees</w:t>
            </w:r>
          </w:p>
        </w:tc>
        <w:tc>
          <w:tcPr>
            <w:tcW w:w="220" w:type="dxa"/>
            <w:vAlign w:val="bottom"/>
          </w:tcPr>
          <w:p>
            <w:pPr>
              <w:spacing w:after="0"/>
              <w:rPr>
                <w:sz w:val="21"/>
                <w:szCs w:val="21"/>
                <w:color w:val="auto"/>
              </w:rPr>
            </w:pPr>
          </w:p>
        </w:tc>
        <w:tc>
          <w:tcPr>
            <w:tcW w:w="680" w:type="dxa"/>
            <w:vAlign w:val="bottom"/>
          </w:tcPr>
          <w:p>
            <w:pPr>
              <w:jc w:val="right"/>
              <w:ind w:right="2"/>
              <w:spacing w:after="0"/>
              <w:rPr>
                <w:sz w:val="20"/>
                <w:szCs w:val="20"/>
                <w:color w:val="auto"/>
              </w:rPr>
            </w:pPr>
            <w:r>
              <w:rPr>
                <w:rFonts w:ascii="Arial" w:cs="Arial" w:eastAsia="Arial" w:hAnsi="Arial"/>
                <w:sz w:val="16"/>
                <w:szCs w:val="16"/>
                <w:color w:val="auto"/>
              </w:rPr>
              <w:t>2,381</w:t>
            </w: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2,884</w:t>
            </w: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tcPr>
          <w:p>
            <w:pPr>
              <w:jc w:val="right"/>
              <w:ind w:right="1"/>
              <w:spacing w:after="0"/>
              <w:rPr>
                <w:sz w:val="20"/>
                <w:szCs w:val="20"/>
                <w:color w:val="auto"/>
              </w:rPr>
            </w:pPr>
            <w:r>
              <w:rPr>
                <w:rFonts w:ascii="Arial" w:cs="Arial" w:eastAsia="Arial" w:hAnsi="Arial"/>
                <w:sz w:val="16"/>
                <w:szCs w:val="16"/>
                <w:color w:val="auto"/>
              </w:rPr>
              <w:t>179</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6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6"/>
                <w:szCs w:val="16"/>
                <w:b w:val="1"/>
                <w:bCs w:val="1"/>
                <w:color w:val="auto"/>
              </w:rPr>
              <w:t>5,444</w:t>
            </w:r>
          </w:p>
        </w:tc>
        <w:tc>
          <w:tcPr>
            <w:tcW w:w="0" w:type="dxa"/>
            <w:vAlign w:val="bottom"/>
          </w:tcPr>
          <w:p>
            <w:pPr>
              <w:spacing w:after="0"/>
              <w:rPr>
                <w:sz w:val="1"/>
                <w:szCs w:val="1"/>
                <w:color w:val="auto"/>
              </w:rPr>
            </w:pPr>
          </w:p>
        </w:tc>
      </w:tr>
      <w:tr>
        <w:trPr>
          <w:trHeight w:val="250"/>
        </w:trPr>
        <w:tc>
          <w:tcPr>
            <w:tcW w:w="5800" w:type="dxa"/>
            <w:vAlign w:val="bottom"/>
          </w:tcPr>
          <w:p>
            <w:pPr>
              <w:spacing w:after="0"/>
              <w:rPr>
                <w:sz w:val="20"/>
                <w:szCs w:val="20"/>
                <w:color w:val="auto"/>
              </w:rPr>
            </w:pPr>
            <w:r>
              <w:rPr>
                <w:rFonts w:ascii="Arial" w:cs="Arial" w:eastAsia="Arial" w:hAnsi="Arial"/>
                <w:sz w:val="16"/>
                <w:szCs w:val="16"/>
                <w:color w:val="auto"/>
              </w:rPr>
              <w:t>Interest and investment income</w:t>
            </w:r>
          </w:p>
        </w:tc>
        <w:tc>
          <w:tcPr>
            <w:tcW w:w="220" w:type="dxa"/>
            <w:vAlign w:val="bottom"/>
          </w:tcPr>
          <w:p>
            <w:pPr>
              <w:spacing w:after="0"/>
              <w:rPr>
                <w:sz w:val="21"/>
                <w:szCs w:val="21"/>
                <w:color w:val="auto"/>
              </w:rPr>
            </w:pPr>
          </w:p>
        </w:tc>
        <w:tc>
          <w:tcPr>
            <w:tcW w:w="680" w:type="dxa"/>
            <w:vAlign w:val="bottom"/>
          </w:tcPr>
          <w:p>
            <w:pPr>
              <w:jc w:val="right"/>
              <w:ind w:right="2"/>
              <w:spacing w:after="0"/>
              <w:rPr>
                <w:sz w:val="20"/>
                <w:szCs w:val="20"/>
                <w:color w:val="auto"/>
              </w:rPr>
            </w:pPr>
            <w:r>
              <w:rPr>
                <w:rFonts w:ascii="Arial" w:cs="Arial" w:eastAsia="Arial" w:hAnsi="Arial"/>
                <w:sz w:val="16"/>
                <w:szCs w:val="16"/>
                <w:color w:val="auto"/>
              </w:rPr>
              <w:t>363</w:t>
            </w: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2,837</w:t>
            </w: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tcPr>
          <w:p>
            <w:pPr>
              <w:jc w:val="right"/>
              <w:ind w:right="1"/>
              <w:spacing w:after="0"/>
              <w:rPr>
                <w:sz w:val="20"/>
                <w:szCs w:val="20"/>
                <w:color w:val="auto"/>
              </w:rPr>
            </w:pPr>
            <w:r>
              <w:rPr>
                <w:rFonts w:ascii="Arial" w:cs="Arial" w:eastAsia="Arial" w:hAnsi="Arial"/>
                <w:sz w:val="16"/>
                <w:szCs w:val="16"/>
                <w:color w:val="auto"/>
              </w:rPr>
              <w:t>154</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(117)</w:t>
            </w: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6"/>
                <w:szCs w:val="16"/>
                <w:b w:val="1"/>
                <w:bCs w:val="1"/>
                <w:color w:val="auto"/>
              </w:rPr>
              <w:t>3,237</w:t>
            </w:r>
          </w:p>
        </w:tc>
        <w:tc>
          <w:tcPr>
            <w:tcW w:w="0" w:type="dxa"/>
            <w:vAlign w:val="bottom"/>
          </w:tcPr>
          <w:p>
            <w:pPr>
              <w:spacing w:after="0"/>
              <w:rPr>
                <w:sz w:val="1"/>
                <w:szCs w:val="1"/>
                <w:color w:val="auto"/>
              </w:rPr>
            </w:pPr>
          </w:p>
        </w:tc>
      </w:tr>
      <w:tr>
        <w:trPr>
          <w:trHeight w:val="257"/>
        </w:trPr>
        <w:tc>
          <w:tcPr>
            <w:tcW w:w="5800" w:type="dxa"/>
            <w:vAlign w:val="bottom"/>
          </w:tcPr>
          <w:p>
            <w:pPr>
              <w:spacing w:after="0"/>
              <w:rPr>
                <w:sz w:val="20"/>
                <w:szCs w:val="20"/>
                <w:color w:val="auto"/>
              </w:rPr>
            </w:pPr>
            <w:r>
              <w:rPr>
                <w:rFonts w:ascii="Arial" w:cs="Arial" w:eastAsia="Arial" w:hAnsi="Arial"/>
                <w:sz w:val="16"/>
                <w:szCs w:val="16"/>
                <w:color w:val="auto"/>
              </w:rPr>
              <w:t>Recognized gains and losses, net</w:t>
            </w:r>
          </w:p>
        </w:tc>
        <w:tc>
          <w:tcPr>
            <w:tcW w:w="22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w:t>
            </w:r>
          </w:p>
        </w:tc>
        <w:tc>
          <w:tcPr>
            <w:tcW w:w="6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w:t>
            </w:r>
          </w:p>
        </w:tc>
        <w:tc>
          <w:tcPr>
            <w:tcW w:w="6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8</w:t>
            </w:r>
          </w:p>
        </w:tc>
        <w:tc>
          <w:tcPr>
            <w:tcW w:w="8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(60)</w:t>
            </w:r>
          </w:p>
        </w:tc>
        <w:tc>
          <w:tcPr>
            <w:tcW w:w="0" w:type="dxa"/>
            <w:vAlign w:val="bottom"/>
          </w:tcPr>
          <w:p>
            <w:pPr>
              <w:spacing w:after="0"/>
              <w:rPr>
                <w:sz w:val="1"/>
                <w:szCs w:val="1"/>
                <w:color w:val="auto"/>
              </w:rPr>
            </w:pPr>
          </w:p>
        </w:tc>
      </w:tr>
      <w:tr>
        <w:trPr>
          <w:trHeight w:val="230"/>
        </w:trPr>
        <w:tc>
          <w:tcPr>
            <w:tcW w:w="5800" w:type="dxa"/>
            <w:vAlign w:val="bottom"/>
          </w:tcPr>
          <w:p>
            <w:pPr>
              <w:ind w:left="120"/>
              <w:spacing w:after="0"/>
              <w:rPr>
                <w:sz w:val="20"/>
                <w:szCs w:val="20"/>
                <w:color w:val="auto"/>
              </w:rPr>
            </w:pPr>
            <w:r>
              <w:rPr>
                <w:rFonts w:ascii="Arial" w:cs="Arial" w:eastAsia="Arial" w:hAnsi="Arial"/>
                <w:sz w:val="16"/>
                <w:szCs w:val="16"/>
                <w:color w:val="auto"/>
              </w:rPr>
              <w:t>Total segment revenues</w:t>
            </w:r>
          </w:p>
        </w:tc>
        <w:tc>
          <w:tcPr>
            <w:tcW w:w="2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8,490</w:t>
            </w:r>
          </w:p>
        </w:tc>
        <w:tc>
          <w:tcPr>
            <w:tcW w:w="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5,731</w:t>
            </w:r>
          </w:p>
        </w:tc>
        <w:tc>
          <w:tcPr>
            <w:tcW w:w="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341</w:t>
            </w:r>
          </w:p>
        </w:tc>
        <w:tc>
          <w:tcPr>
            <w:tcW w:w="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(117)</w:t>
            </w:r>
          </w:p>
        </w:tc>
        <w:tc>
          <w:tcPr>
            <w:tcW w:w="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14,445</w:t>
            </w:r>
          </w:p>
        </w:tc>
        <w:tc>
          <w:tcPr>
            <w:tcW w:w="0" w:type="dxa"/>
            <w:vAlign w:val="bottom"/>
          </w:tcPr>
          <w:p>
            <w:pPr>
              <w:spacing w:after="0"/>
              <w:rPr>
                <w:sz w:val="1"/>
                <w:szCs w:val="1"/>
                <w:color w:val="auto"/>
              </w:rPr>
            </w:pPr>
          </w:p>
        </w:tc>
      </w:tr>
      <w:tr>
        <w:trPr>
          <w:trHeight w:val="223"/>
        </w:trPr>
        <w:tc>
          <w:tcPr>
            <w:tcW w:w="5800" w:type="dxa"/>
            <w:vAlign w:val="bottom"/>
          </w:tcPr>
          <w:p>
            <w:pPr>
              <w:spacing w:after="0"/>
              <w:rPr>
                <w:sz w:val="20"/>
                <w:szCs w:val="20"/>
                <w:color w:val="auto"/>
              </w:rPr>
            </w:pPr>
            <w:r>
              <w:rPr>
                <w:rFonts w:ascii="Arial" w:cs="Arial" w:eastAsia="Arial" w:hAnsi="Arial"/>
                <w:sz w:val="16"/>
                <w:szCs w:val="16"/>
                <w:color w:val="auto"/>
              </w:rPr>
              <w:t>Significant segment expenses:</w:t>
            </w: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5800" w:type="dxa"/>
            <w:vAlign w:val="bottom"/>
          </w:tcPr>
          <w:p>
            <w:pPr>
              <w:spacing w:after="0"/>
              <w:rPr>
                <w:sz w:val="20"/>
                <w:szCs w:val="20"/>
                <w:color w:val="auto"/>
              </w:rPr>
            </w:pPr>
            <w:r>
              <w:rPr>
                <w:rFonts w:ascii="Arial" w:cs="Arial" w:eastAsia="Arial" w:hAnsi="Arial"/>
                <w:sz w:val="16"/>
                <w:szCs w:val="16"/>
                <w:color w:val="auto"/>
              </w:rPr>
              <w:t>Personnel costs</w:t>
            </w:r>
          </w:p>
        </w:tc>
        <w:tc>
          <w:tcPr>
            <w:tcW w:w="220" w:type="dxa"/>
            <w:vAlign w:val="bottom"/>
          </w:tcPr>
          <w:p>
            <w:pPr>
              <w:spacing w:after="0"/>
              <w:rPr>
                <w:sz w:val="21"/>
                <w:szCs w:val="21"/>
                <w:color w:val="auto"/>
              </w:rPr>
            </w:pPr>
          </w:p>
        </w:tc>
        <w:tc>
          <w:tcPr>
            <w:tcW w:w="680" w:type="dxa"/>
            <w:vAlign w:val="bottom"/>
          </w:tcPr>
          <w:p>
            <w:pPr>
              <w:jc w:val="right"/>
              <w:ind w:right="2"/>
              <w:spacing w:after="0"/>
              <w:rPr>
                <w:sz w:val="20"/>
                <w:szCs w:val="20"/>
                <w:color w:val="auto"/>
              </w:rPr>
            </w:pPr>
            <w:r>
              <w:rPr>
                <w:rFonts w:ascii="Arial" w:cs="Arial" w:eastAsia="Arial" w:hAnsi="Arial"/>
                <w:sz w:val="16"/>
                <w:szCs w:val="16"/>
                <w:color w:val="auto"/>
              </w:rPr>
              <w:t>2,983</w:t>
            </w: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293</w:t>
            </w: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tcPr>
          <w:p>
            <w:pPr>
              <w:jc w:val="right"/>
              <w:ind w:right="1"/>
              <w:spacing w:after="0"/>
              <w:rPr>
                <w:sz w:val="20"/>
                <w:szCs w:val="20"/>
                <w:color w:val="auto"/>
              </w:rPr>
            </w:pPr>
            <w:r>
              <w:rPr>
                <w:rFonts w:ascii="Arial" w:cs="Arial" w:eastAsia="Arial" w:hAnsi="Arial"/>
                <w:sz w:val="16"/>
                <w:szCs w:val="16"/>
                <w:color w:val="auto"/>
              </w:rPr>
              <w:t>161</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6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6"/>
                <w:szCs w:val="16"/>
                <w:b w:val="1"/>
                <w:bCs w:val="1"/>
                <w:color w:val="auto"/>
              </w:rPr>
              <w:t>3,437</w:t>
            </w:r>
          </w:p>
        </w:tc>
        <w:tc>
          <w:tcPr>
            <w:tcW w:w="0" w:type="dxa"/>
            <w:vAlign w:val="bottom"/>
          </w:tcPr>
          <w:p>
            <w:pPr>
              <w:spacing w:after="0"/>
              <w:rPr>
                <w:sz w:val="1"/>
                <w:szCs w:val="1"/>
                <w:color w:val="auto"/>
              </w:rPr>
            </w:pPr>
          </w:p>
        </w:tc>
      </w:tr>
      <w:tr>
        <w:trPr>
          <w:trHeight w:val="250"/>
        </w:trPr>
        <w:tc>
          <w:tcPr>
            <w:tcW w:w="5800" w:type="dxa"/>
            <w:vAlign w:val="bottom"/>
          </w:tcPr>
          <w:p>
            <w:pPr>
              <w:spacing w:after="0"/>
              <w:rPr>
                <w:sz w:val="20"/>
                <w:szCs w:val="20"/>
                <w:color w:val="auto"/>
              </w:rPr>
            </w:pPr>
            <w:r>
              <w:rPr>
                <w:rFonts w:ascii="Arial" w:cs="Arial" w:eastAsia="Arial" w:hAnsi="Arial"/>
                <w:sz w:val="16"/>
                <w:szCs w:val="16"/>
                <w:color w:val="auto"/>
              </w:rPr>
              <w:t>Agent commissions</w:t>
            </w:r>
          </w:p>
        </w:tc>
        <w:tc>
          <w:tcPr>
            <w:tcW w:w="220" w:type="dxa"/>
            <w:vAlign w:val="bottom"/>
          </w:tcPr>
          <w:p>
            <w:pPr>
              <w:spacing w:after="0"/>
              <w:rPr>
                <w:sz w:val="21"/>
                <w:szCs w:val="21"/>
                <w:color w:val="auto"/>
              </w:rPr>
            </w:pPr>
          </w:p>
        </w:tc>
        <w:tc>
          <w:tcPr>
            <w:tcW w:w="680" w:type="dxa"/>
            <w:vAlign w:val="bottom"/>
          </w:tcPr>
          <w:p>
            <w:pPr>
              <w:jc w:val="right"/>
              <w:ind w:right="2"/>
              <w:spacing w:after="0"/>
              <w:rPr>
                <w:sz w:val="20"/>
                <w:szCs w:val="20"/>
                <w:color w:val="auto"/>
              </w:rPr>
            </w:pPr>
            <w:r>
              <w:rPr>
                <w:rFonts w:ascii="Arial" w:cs="Arial" w:eastAsia="Arial" w:hAnsi="Arial"/>
                <w:sz w:val="16"/>
                <w:szCs w:val="16"/>
                <w:color w:val="auto"/>
              </w:rPr>
              <w:t>2,518</w:t>
            </w: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6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6"/>
                <w:szCs w:val="16"/>
                <w:b w:val="1"/>
                <w:bCs w:val="1"/>
                <w:color w:val="auto"/>
              </w:rPr>
              <w:t>2,518</w:t>
            </w:r>
          </w:p>
        </w:tc>
        <w:tc>
          <w:tcPr>
            <w:tcW w:w="0" w:type="dxa"/>
            <w:vAlign w:val="bottom"/>
          </w:tcPr>
          <w:p>
            <w:pPr>
              <w:spacing w:after="0"/>
              <w:rPr>
                <w:sz w:val="1"/>
                <w:szCs w:val="1"/>
                <w:color w:val="auto"/>
              </w:rPr>
            </w:pPr>
          </w:p>
        </w:tc>
      </w:tr>
      <w:tr>
        <w:trPr>
          <w:trHeight w:val="250"/>
        </w:trPr>
        <w:tc>
          <w:tcPr>
            <w:tcW w:w="5800" w:type="dxa"/>
            <w:vAlign w:val="bottom"/>
          </w:tcPr>
          <w:p>
            <w:pPr>
              <w:spacing w:after="0"/>
              <w:rPr>
                <w:sz w:val="20"/>
                <w:szCs w:val="20"/>
                <w:color w:val="auto"/>
              </w:rPr>
            </w:pPr>
            <w:r>
              <w:rPr>
                <w:rFonts w:ascii="Arial" w:cs="Arial" w:eastAsia="Arial" w:hAnsi="Arial"/>
                <w:sz w:val="16"/>
                <w:szCs w:val="16"/>
                <w:color w:val="auto"/>
              </w:rPr>
              <w:t>Other operating expenses</w:t>
            </w:r>
          </w:p>
        </w:tc>
        <w:tc>
          <w:tcPr>
            <w:tcW w:w="220" w:type="dxa"/>
            <w:vAlign w:val="bottom"/>
          </w:tcPr>
          <w:p>
            <w:pPr>
              <w:spacing w:after="0"/>
              <w:rPr>
                <w:sz w:val="21"/>
                <w:szCs w:val="21"/>
                <w:color w:val="auto"/>
              </w:rPr>
            </w:pPr>
          </w:p>
        </w:tc>
        <w:tc>
          <w:tcPr>
            <w:tcW w:w="680" w:type="dxa"/>
            <w:vAlign w:val="bottom"/>
          </w:tcPr>
          <w:p>
            <w:pPr>
              <w:jc w:val="right"/>
              <w:ind w:right="2"/>
              <w:spacing w:after="0"/>
              <w:rPr>
                <w:sz w:val="20"/>
                <w:szCs w:val="20"/>
                <w:color w:val="auto"/>
              </w:rPr>
            </w:pPr>
            <w:r>
              <w:rPr>
                <w:rFonts w:ascii="Arial" w:cs="Arial" w:eastAsia="Arial" w:hAnsi="Arial"/>
                <w:sz w:val="16"/>
                <w:szCs w:val="16"/>
                <w:color w:val="auto"/>
              </w:rPr>
              <w:t>1,353</w:t>
            </w: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156</w:t>
            </w: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tcPr>
          <w:p>
            <w:pPr>
              <w:jc w:val="right"/>
              <w:ind w:right="1"/>
              <w:spacing w:after="0"/>
              <w:rPr>
                <w:sz w:val="20"/>
                <w:szCs w:val="20"/>
                <w:color w:val="auto"/>
              </w:rPr>
            </w:pPr>
            <w:r>
              <w:rPr>
                <w:rFonts w:ascii="Arial" w:cs="Arial" w:eastAsia="Arial" w:hAnsi="Arial"/>
                <w:sz w:val="16"/>
                <w:szCs w:val="16"/>
                <w:color w:val="auto"/>
              </w:rPr>
              <w:t>106</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6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6"/>
                <w:szCs w:val="16"/>
                <w:b w:val="1"/>
                <w:bCs w:val="1"/>
                <w:color w:val="auto"/>
              </w:rPr>
              <w:t>1,615</w:t>
            </w:r>
          </w:p>
        </w:tc>
        <w:tc>
          <w:tcPr>
            <w:tcW w:w="0" w:type="dxa"/>
            <w:vAlign w:val="bottom"/>
          </w:tcPr>
          <w:p>
            <w:pPr>
              <w:spacing w:after="0"/>
              <w:rPr>
                <w:sz w:val="1"/>
                <w:szCs w:val="1"/>
                <w:color w:val="auto"/>
              </w:rPr>
            </w:pPr>
          </w:p>
        </w:tc>
      </w:tr>
      <w:tr>
        <w:trPr>
          <w:trHeight w:val="257"/>
        </w:trPr>
        <w:tc>
          <w:tcPr>
            <w:tcW w:w="5800" w:type="dxa"/>
            <w:vAlign w:val="bottom"/>
          </w:tcPr>
          <w:p>
            <w:pPr>
              <w:spacing w:after="0"/>
              <w:rPr>
                <w:sz w:val="20"/>
                <w:szCs w:val="20"/>
                <w:color w:val="auto"/>
              </w:rPr>
            </w:pPr>
            <w:r>
              <w:rPr>
                <w:rFonts w:ascii="Arial" w:cs="Arial" w:eastAsia="Arial" w:hAnsi="Arial"/>
                <w:sz w:val="16"/>
                <w:szCs w:val="16"/>
                <w:color w:val="auto"/>
              </w:rPr>
              <w:t>Benefits and other changes in policy reserves</w:t>
            </w:r>
          </w:p>
        </w:tc>
        <w:tc>
          <w:tcPr>
            <w:tcW w:w="22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3,963</w:t>
            </w:r>
          </w:p>
        </w:tc>
        <w:tc>
          <w:tcPr>
            <w:tcW w:w="6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3,963</w:t>
            </w:r>
          </w:p>
        </w:tc>
        <w:tc>
          <w:tcPr>
            <w:tcW w:w="0" w:type="dxa"/>
            <w:vAlign w:val="bottom"/>
          </w:tcPr>
          <w:p>
            <w:pPr>
              <w:spacing w:after="0"/>
              <w:rPr>
                <w:sz w:val="1"/>
                <w:szCs w:val="1"/>
                <w:color w:val="auto"/>
              </w:rPr>
            </w:pPr>
          </w:p>
        </w:tc>
      </w:tr>
      <w:tr>
        <w:trPr>
          <w:trHeight w:val="230"/>
        </w:trPr>
        <w:tc>
          <w:tcPr>
            <w:tcW w:w="5800" w:type="dxa"/>
            <w:vAlign w:val="bottom"/>
          </w:tcPr>
          <w:p>
            <w:pPr>
              <w:ind w:left="120"/>
              <w:spacing w:after="0"/>
              <w:rPr>
                <w:sz w:val="20"/>
                <w:szCs w:val="20"/>
                <w:color w:val="auto"/>
              </w:rPr>
            </w:pPr>
            <w:r>
              <w:rPr>
                <w:rFonts w:ascii="Arial" w:cs="Arial" w:eastAsia="Arial" w:hAnsi="Arial"/>
                <w:sz w:val="16"/>
                <w:szCs w:val="16"/>
                <w:color w:val="auto"/>
              </w:rPr>
              <w:t>Total significant segment expenses</w:t>
            </w:r>
          </w:p>
        </w:tc>
        <w:tc>
          <w:tcPr>
            <w:tcW w:w="2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6,854</w:t>
            </w:r>
          </w:p>
        </w:tc>
        <w:tc>
          <w:tcPr>
            <w:tcW w:w="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4,412</w:t>
            </w:r>
          </w:p>
        </w:tc>
        <w:tc>
          <w:tcPr>
            <w:tcW w:w="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267</w:t>
            </w:r>
          </w:p>
        </w:tc>
        <w:tc>
          <w:tcPr>
            <w:tcW w:w="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11,533</w:t>
            </w:r>
          </w:p>
        </w:tc>
        <w:tc>
          <w:tcPr>
            <w:tcW w:w="0" w:type="dxa"/>
            <w:vAlign w:val="bottom"/>
          </w:tcPr>
          <w:p>
            <w:pPr>
              <w:spacing w:after="0"/>
              <w:rPr>
                <w:sz w:val="1"/>
                <w:szCs w:val="1"/>
                <w:color w:val="auto"/>
              </w:rPr>
            </w:pPr>
          </w:p>
        </w:tc>
      </w:tr>
      <w:tr>
        <w:trPr>
          <w:trHeight w:val="223"/>
        </w:trPr>
        <w:tc>
          <w:tcPr>
            <w:tcW w:w="5800" w:type="dxa"/>
            <w:vAlign w:val="bottom"/>
          </w:tcPr>
          <w:p>
            <w:pPr>
              <w:spacing w:after="0"/>
              <w:rPr>
                <w:sz w:val="20"/>
                <w:szCs w:val="20"/>
                <w:color w:val="auto"/>
              </w:rPr>
            </w:pPr>
            <w:r>
              <w:rPr>
                <w:rFonts w:ascii="Arial" w:cs="Arial" w:eastAsia="Arial" w:hAnsi="Arial"/>
                <w:sz w:val="16"/>
                <w:szCs w:val="16"/>
                <w:color w:val="auto"/>
              </w:rPr>
              <w:t>Other segment items:</w:t>
            </w: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5800" w:type="dxa"/>
            <w:vAlign w:val="bottom"/>
          </w:tcPr>
          <w:p>
            <w:pPr>
              <w:spacing w:after="0"/>
              <w:rPr>
                <w:sz w:val="20"/>
                <w:szCs w:val="20"/>
                <w:color w:val="auto"/>
              </w:rPr>
            </w:pPr>
            <w:r>
              <w:rPr>
                <w:rFonts w:ascii="Arial" w:cs="Arial" w:eastAsia="Arial" w:hAnsi="Arial"/>
                <w:sz w:val="16"/>
                <w:szCs w:val="16"/>
                <w:color w:val="auto"/>
              </w:rPr>
              <w:t>Depreciation and amortization</w:t>
            </w:r>
          </w:p>
        </w:tc>
        <w:tc>
          <w:tcPr>
            <w:tcW w:w="220" w:type="dxa"/>
            <w:vAlign w:val="bottom"/>
          </w:tcPr>
          <w:p>
            <w:pPr>
              <w:spacing w:after="0"/>
              <w:rPr>
                <w:sz w:val="21"/>
                <w:szCs w:val="21"/>
                <w:color w:val="auto"/>
              </w:rPr>
            </w:pPr>
          </w:p>
        </w:tc>
        <w:tc>
          <w:tcPr>
            <w:tcW w:w="680" w:type="dxa"/>
            <w:vAlign w:val="bottom"/>
          </w:tcPr>
          <w:p>
            <w:pPr>
              <w:jc w:val="right"/>
              <w:ind w:right="2"/>
              <w:spacing w:after="0"/>
              <w:rPr>
                <w:sz w:val="20"/>
                <w:szCs w:val="20"/>
                <w:color w:val="auto"/>
              </w:rPr>
            </w:pPr>
            <w:r>
              <w:rPr>
                <w:rFonts w:ascii="Arial" w:cs="Arial" w:eastAsia="Arial" w:hAnsi="Arial"/>
                <w:sz w:val="16"/>
                <w:szCs w:val="16"/>
                <w:color w:val="auto"/>
              </w:rPr>
              <w:t>147</w:t>
            </w: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665</w:t>
            </w: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tcPr>
          <w:p>
            <w:pPr>
              <w:jc w:val="right"/>
              <w:ind w:right="1"/>
              <w:spacing w:after="0"/>
              <w:rPr>
                <w:sz w:val="20"/>
                <w:szCs w:val="20"/>
                <w:color w:val="auto"/>
              </w:rPr>
            </w:pPr>
            <w:r>
              <w:rPr>
                <w:rFonts w:ascii="Arial" w:cs="Arial" w:eastAsia="Arial" w:hAnsi="Arial"/>
                <w:sz w:val="16"/>
                <w:szCs w:val="16"/>
                <w:color w:val="auto"/>
              </w:rPr>
              <w:t>32</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6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6"/>
                <w:szCs w:val="16"/>
                <w:b w:val="1"/>
                <w:bCs w:val="1"/>
                <w:color w:val="auto"/>
              </w:rPr>
              <w:t>844</w:t>
            </w:r>
          </w:p>
        </w:tc>
        <w:tc>
          <w:tcPr>
            <w:tcW w:w="0" w:type="dxa"/>
            <w:vAlign w:val="bottom"/>
          </w:tcPr>
          <w:p>
            <w:pPr>
              <w:spacing w:after="0"/>
              <w:rPr>
                <w:sz w:val="1"/>
                <w:szCs w:val="1"/>
                <w:color w:val="auto"/>
              </w:rPr>
            </w:pPr>
          </w:p>
        </w:tc>
      </w:tr>
      <w:tr>
        <w:trPr>
          <w:trHeight w:val="249"/>
        </w:trPr>
        <w:tc>
          <w:tcPr>
            <w:tcW w:w="5800" w:type="dxa"/>
            <w:vAlign w:val="bottom"/>
          </w:tcPr>
          <w:p>
            <w:pPr>
              <w:spacing w:after="0"/>
              <w:rPr>
                <w:sz w:val="20"/>
                <w:szCs w:val="20"/>
                <w:color w:val="auto"/>
              </w:rPr>
            </w:pPr>
            <w:r>
              <w:rPr>
                <w:rFonts w:ascii="Arial" w:cs="Arial" w:eastAsia="Arial" w:hAnsi="Arial"/>
                <w:sz w:val="16"/>
                <w:szCs w:val="16"/>
                <w:color w:val="auto"/>
              </w:rPr>
              <w:t>Provision for title claim losses</w:t>
            </w:r>
          </w:p>
        </w:tc>
        <w:tc>
          <w:tcPr>
            <w:tcW w:w="220" w:type="dxa"/>
            <w:vAlign w:val="bottom"/>
          </w:tcPr>
          <w:p>
            <w:pPr>
              <w:spacing w:after="0"/>
              <w:rPr>
                <w:sz w:val="21"/>
                <w:szCs w:val="21"/>
                <w:color w:val="auto"/>
              </w:rPr>
            </w:pPr>
          </w:p>
        </w:tc>
        <w:tc>
          <w:tcPr>
            <w:tcW w:w="680" w:type="dxa"/>
            <w:vAlign w:val="bottom"/>
          </w:tcPr>
          <w:p>
            <w:pPr>
              <w:jc w:val="right"/>
              <w:ind w:right="2"/>
              <w:spacing w:after="0"/>
              <w:rPr>
                <w:sz w:val="20"/>
                <w:szCs w:val="20"/>
                <w:color w:val="auto"/>
              </w:rPr>
            </w:pPr>
            <w:r>
              <w:rPr>
                <w:rFonts w:ascii="Arial" w:cs="Arial" w:eastAsia="Arial" w:hAnsi="Arial"/>
                <w:sz w:val="16"/>
                <w:szCs w:val="16"/>
                <w:color w:val="auto"/>
              </w:rPr>
              <w:t>262</w:t>
            </w: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6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6"/>
                <w:szCs w:val="16"/>
                <w:b w:val="1"/>
                <w:bCs w:val="1"/>
                <w:color w:val="auto"/>
              </w:rPr>
              <w:t>262</w:t>
            </w:r>
          </w:p>
        </w:tc>
        <w:tc>
          <w:tcPr>
            <w:tcW w:w="0" w:type="dxa"/>
            <w:vAlign w:val="bottom"/>
          </w:tcPr>
          <w:p>
            <w:pPr>
              <w:spacing w:after="0"/>
              <w:rPr>
                <w:sz w:val="1"/>
                <w:szCs w:val="1"/>
                <w:color w:val="auto"/>
              </w:rPr>
            </w:pPr>
          </w:p>
        </w:tc>
      </w:tr>
      <w:tr>
        <w:trPr>
          <w:trHeight w:val="255"/>
        </w:trPr>
        <w:tc>
          <w:tcPr>
            <w:tcW w:w="5800" w:type="dxa"/>
            <w:vAlign w:val="bottom"/>
          </w:tcPr>
          <w:p>
            <w:pPr>
              <w:spacing w:after="0"/>
              <w:rPr>
                <w:sz w:val="20"/>
                <w:szCs w:val="20"/>
                <w:color w:val="auto"/>
              </w:rPr>
            </w:pPr>
            <w:r>
              <w:rPr>
                <w:rFonts w:ascii="Arial" w:cs="Arial" w:eastAsia="Arial" w:hAnsi="Arial"/>
                <w:sz w:val="16"/>
                <w:szCs w:val="16"/>
                <w:color w:val="auto"/>
              </w:rPr>
              <w:t>Market risk benefit gains</w:t>
            </w:r>
          </w:p>
        </w:tc>
        <w:tc>
          <w:tcPr>
            <w:tcW w:w="220" w:type="dxa"/>
            <w:vAlign w:val="bottom"/>
          </w:tcPr>
          <w:p>
            <w:pPr>
              <w:spacing w:after="0"/>
              <w:rPr>
                <w:sz w:val="22"/>
                <w:szCs w:val="22"/>
                <w:color w:val="auto"/>
              </w:rPr>
            </w:pPr>
          </w:p>
        </w:tc>
        <w:tc>
          <w:tcPr>
            <w:tcW w:w="68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167</w:t>
            </w: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40" w:type="dxa"/>
            <w:vAlign w:val="bottom"/>
          </w:tcPr>
          <w:p>
            <w:pPr>
              <w:jc w:val="right"/>
              <w:ind w:right="1"/>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560" w:type="dxa"/>
            <w:vAlign w:val="bottom"/>
          </w:tcPr>
          <w:p>
            <w:pPr>
              <w:jc w:val="right"/>
              <w:ind w:right="1"/>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6"/>
                <w:szCs w:val="16"/>
                <w:b w:val="1"/>
                <w:bCs w:val="1"/>
                <w:color w:val="auto"/>
              </w:rPr>
              <w:t>167</w:t>
            </w:r>
          </w:p>
        </w:tc>
        <w:tc>
          <w:tcPr>
            <w:tcW w:w="0" w:type="dxa"/>
            <w:vAlign w:val="bottom"/>
          </w:tcPr>
          <w:p>
            <w:pPr>
              <w:spacing w:after="0"/>
              <w:rPr>
                <w:sz w:val="1"/>
                <w:szCs w:val="1"/>
                <w:color w:val="auto"/>
              </w:rPr>
            </w:pPr>
          </w:p>
        </w:tc>
      </w:tr>
      <w:tr>
        <w:trPr>
          <w:trHeight w:val="253"/>
        </w:trPr>
        <w:tc>
          <w:tcPr>
            <w:tcW w:w="5800" w:type="dxa"/>
            <w:vAlign w:val="bottom"/>
          </w:tcPr>
          <w:p>
            <w:pPr>
              <w:spacing w:after="0"/>
              <w:rPr>
                <w:sz w:val="20"/>
                <w:szCs w:val="20"/>
                <w:color w:val="auto"/>
              </w:rPr>
            </w:pPr>
            <w:r>
              <w:rPr>
                <w:rFonts w:ascii="Arial" w:cs="Arial" w:eastAsia="Arial" w:hAnsi="Arial"/>
                <w:sz w:val="16"/>
                <w:szCs w:val="16"/>
                <w:color w:val="auto"/>
              </w:rPr>
              <w:t>Interest expense</w:t>
            </w:r>
          </w:p>
        </w:tc>
        <w:tc>
          <w:tcPr>
            <w:tcW w:w="22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164</w:t>
            </w:r>
          </w:p>
        </w:tc>
        <w:tc>
          <w:tcPr>
            <w:tcW w:w="6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78</w:t>
            </w:r>
          </w:p>
        </w:tc>
        <w:tc>
          <w:tcPr>
            <w:tcW w:w="8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242</w:t>
            </w:r>
          </w:p>
        </w:tc>
        <w:tc>
          <w:tcPr>
            <w:tcW w:w="0" w:type="dxa"/>
            <w:vAlign w:val="bottom"/>
          </w:tcPr>
          <w:p>
            <w:pPr>
              <w:spacing w:after="0"/>
              <w:rPr>
                <w:sz w:val="1"/>
                <w:szCs w:val="1"/>
                <w:color w:val="auto"/>
              </w:rPr>
            </w:pPr>
          </w:p>
        </w:tc>
      </w:tr>
      <w:tr>
        <w:trPr>
          <w:trHeight w:val="259"/>
        </w:trPr>
        <w:tc>
          <w:tcPr>
            <w:tcW w:w="5800" w:type="dxa"/>
            <w:vAlign w:val="bottom"/>
          </w:tcPr>
          <w:p>
            <w:pPr>
              <w:ind w:left="120"/>
              <w:spacing w:after="0"/>
              <w:rPr>
                <w:sz w:val="20"/>
                <w:szCs w:val="20"/>
                <w:color w:val="auto"/>
              </w:rPr>
            </w:pPr>
            <w:r>
              <w:rPr>
                <w:rFonts w:ascii="Arial" w:cs="Arial" w:eastAsia="Arial" w:hAnsi="Arial"/>
                <w:sz w:val="16"/>
                <w:szCs w:val="16"/>
                <w:color w:val="auto"/>
              </w:rPr>
              <w:t>Total other segment items</w:t>
            </w:r>
          </w:p>
        </w:tc>
        <w:tc>
          <w:tcPr>
            <w:tcW w:w="22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409</w:t>
            </w:r>
          </w:p>
        </w:tc>
        <w:tc>
          <w:tcPr>
            <w:tcW w:w="6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996</w:t>
            </w:r>
          </w:p>
        </w:tc>
        <w:tc>
          <w:tcPr>
            <w:tcW w:w="6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110</w:t>
            </w:r>
          </w:p>
        </w:tc>
        <w:tc>
          <w:tcPr>
            <w:tcW w:w="8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1,515</w:t>
            </w:r>
          </w:p>
        </w:tc>
        <w:tc>
          <w:tcPr>
            <w:tcW w:w="0" w:type="dxa"/>
            <w:vAlign w:val="bottom"/>
          </w:tcPr>
          <w:p>
            <w:pPr>
              <w:spacing w:after="0"/>
              <w:rPr>
                <w:sz w:val="1"/>
                <w:szCs w:val="1"/>
                <w:color w:val="auto"/>
              </w:rPr>
            </w:pPr>
          </w:p>
        </w:tc>
      </w:tr>
      <w:tr>
        <w:trPr>
          <w:trHeight w:val="230"/>
        </w:trPr>
        <w:tc>
          <w:tcPr>
            <w:tcW w:w="5800" w:type="dxa"/>
            <w:vAlign w:val="bottom"/>
          </w:tcPr>
          <w:p>
            <w:pPr>
              <w:ind w:left="120"/>
              <w:spacing w:after="0"/>
              <w:rPr>
                <w:sz w:val="20"/>
                <w:szCs w:val="20"/>
                <w:color w:val="auto"/>
              </w:rPr>
            </w:pPr>
            <w:r>
              <w:rPr>
                <w:rFonts w:ascii="Arial" w:cs="Arial" w:eastAsia="Arial" w:hAnsi="Arial"/>
                <w:sz w:val="16"/>
                <w:szCs w:val="16"/>
                <w:color w:val="auto"/>
              </w:rPr>
              <w:t>Total segment expenses</w:t>
            </w:r>
          </w:p>
        </w:tc>
        <w:tc>
          <w:tcPr>
            <w:tcW w:w="2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7,263</w:t>
            </w:r>
          </w:p>
        </w:tc>
        <w:tc>
          <w:tcPr>
            <w:tcW w:w="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5,408</w:t>
            </w:r>
          </w:p>
        </w:tc>
        <w:tc>
          <w:tcPr>
            <w:tcW w:w="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377</w:t>
            </w:r>
          </w:p>
        </w:tc>
        <w:tc>
          <w:tcPr>
            <w:tcW w:w="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13,048</w:t>
            </w:r>
          </w:p>
        </w:tc>
        <w:tc>
          <w:tcPr>
            <w:tcW w:w="0" w:type="dxa"/>
            <w:vAlign w:val="bottom"/>
          </w:tcPr>
          <w:p>
            <w:pPr>
              <w:spacing w:after="0"/>
              <w:rPr>
                <w:sz w:val="1"/>
                <w:szCs w:val="1"/>
                <w:color w:val="auto"/>
              </w:rPr>
            </w:pPr>
          </w:p>
        </w:tc>
      </w:tr>
      <w:tr>
        <w:trPr>
          <w:trHeight w:val="208"/>
        </w:trPr>
        <w:tc>
          <w:tcPr>
            <w:tcW w:w="5800" w:type="dxa"/>
            <w:vAlign w:val="bottom"/>
          </w:tcPr>
          <w:p>
            <w:pPr>
              <w:spacing w:after="0"/>
              <w:rPr>
                <w:sz w:val="20"/>
                <w:szCs w:val="20"/>
                <w:color w:val="auto"/>
              </w:rPr>
            </w:pPr>
            <w:r>
              <w:rPr>
                <w:rFonts w:ascii="Arial" w:cs="Arial" w:eastAsia="Arial" w:hAnsi="Arial"/>
                <w:sz w:val="16"/>
                <w:szCs w:val="16"/>
                <w:color w:val="auto"/>
                <w:w w:val="94"/>
              </w:rPr>
              <w:t>Earnings (loss) before income taxes and equity in earnings of unconsolidated affiliates</w:t>
            </w:r>
          </w:p>
        </w:tc>
        <w:tc>
          <w:tcPr>
            <w:tcW w:w="220" w:type="dxa"/>
            <w:vAlign w:val="bottom"/>
          </w:tcPr>
          <w:p>
            <w:pPr>
              <w:spacing w:after="0"/>
              <w:rPr>
                <w:sz w:val="18"/>
                <w:szCs w:val="18"/>
                <w:color w:val="auto"/>
              </w:rPr>
            </w:pPr>
          </w:p>
        </w:tc>
        <w:tc>
          <w:tcPr>
            <w:tcW w:w="680" w:type="dxa"/>
            <w:vAlign w:val="bottom"/>
          </w:tcPr>
          <w:p>
            <w:pPr>
              <w:jc w:val="right"/>
              <w:ind w:right="2"/>
              <w:spacing w:after="0"/>
              <w:rPr>
                <w:sz w:val="20"/>
                <w:szCs w:val="20"/>
                <w:color w:val="auto"/>
              </w:rPr>
            </w:pPr>
            <w:r>
              <w:rPr>
                <w:rFonts w:ascii="Arial" w:cs="Arial" w:eastAsia="Arial" w:hAnsi="Arial"/>
                <w:sz w:val="16"/>
                <w:szCs w:val="16"/>
                <w:color w:val="auto"/>
              </w:rPr>
              <w:t>1,227</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323</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(36)</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(117)</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b w:val="1"/>
                <w:bCs w:val="1"/>
                <w:color w:val="auto"/>
              </w:rPr>
              <w:t>1,397</w:t>
            </w:r>
          </w:p>
        </w:tc>
        <w:tc>
          <w:tcPr>
            <w:tcW w:w="0" w:type="dxa"/>
            <w:vAlign w:val="bottom"/>
          </w:tcPr>
          <w:p>
            <w:pPr>
              <w:spacing w:after="0"/>
              <w:rPr>
                <w:sz w:val="1"/>
                <w:szCs w:val="1"/>
                <w:color w:val="auto"/>
              </w:rPr>
            </w:pPr>
          </w:p>
        </w:tc>
      </w:tr>
      <w:tr>
        <w:trPr>
          <w:trHeight w:val="257"/>
        </w:trPr>
        <w:tc>
          <w:tcPr>
            <w:tcW w:w="5800" w:type="dxa"/>
            <w:vAlign w:val="bottom"/>
          </w:tcPr>
          <w:p>
            <w:pPr>
              <w:spacing w:after="0"/>
              <w:rPr>
                <w:sz w:val="20"/>
                <w:szCs w:val="20"/>
                <w:color w:val="auto"/>
              </w:rPr>
            </w:pPr>
            <w:r>
              <w:rPr>
                <w:rFonts w:ascii="Arial" w:cs="Arial" w:eastAsia="Arial" w:hAnsi="Arial"/>
                <w:sz w:val="16"/>
                <w:szCs w:val="16"/>
                <w:color w:val="auto"/>
              </w:rPr>
              <w:t>Income tax expense (benefit)</w:t>
            </w:r>
          </w:p>
        </w:tc>
        <w:tc>
          <w:tcPr>
            <w:tcW w:w="22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283</w:t>
            </w:r>
          </w:p>
        </w:tc>
        <w:tc>
          <w:tcPr>
            <w:tcW w:w="6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w:t>
            </w:r>
          </w:p>
        </w:tc>
        <w:tc>
          <w:tcPr>
            <w:tcW w:w="6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418</w:t>
            </w:r>
          </w:p>
        </w:tc>
        <w:tc>
          <w:tcPr>
            <w:tcW w:w="8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753</w:t>
            </w:r>
          </w:p>
        </w:tc>
        <w:tc>
          <w:tcPr>
            <w:tcW w:w="0" w:type="dxa"/>
            <w:vAlign w:val="bottom"/>
          </w:tcPr>
          <w:p>
            <w:pPr>
              <w:spacing w:after="0"/>
              <w:rPr>
                <w:sz w:val="1"/>
                <w:szCs w:val="1"/>
                <w:color w:val="auto"/>
              </w:rPr>
            </w:pPr>
          </w:p>
        </w:tc>
      </w:tr>
      <w:tr>
        <w:trPr>
          <w:trHeight w:val="223"/>
        </w:trPr>
        <w:tc>
          <w:tcPr>
            <w:tcW w:w="5800" w:type="dxa"/>
            <w:vAlign w:val="bottom"/>
          </w:tcPr>
          <w:p>
            <w:pPr>
              <w:spacing w:after="0"/>
              <w:rPr>
                <w:sz w:val="20"/>
                <w:szCs w:val="20"/>
                <w:color w:val="auto"/>
              </w:rPr>
            </w:pPr>
            <w:r>
              <w:rPr>
                <w:rFonts w:ascii="Arial" w:cs="Arial" w:eastAsia="Arial" w:hAnsi="Arial"/>
                <w:sz w:val="16"/>
                <w:szCs w:val="16"/>
                <w:color w:val="auto"/>
              </w:rPr>
              <w:t>Earnings (loss) before equity in earnings (loss) of unconsolidated affiliates</w:t>
            </w:r>
          </w:p>
        </w:tc>
        <w:tc>
          <w:tcPr>
            <w:tcW w:w="220" w:type="dxa"/>
            <w:vAlign w:val="bottom"/>
          </w:tcPr>
          <w:p>
            <w:pPr>
              <w:spacing w:after="0"/>
              <w:rPr>
                <w:sz w:val="19"/>
                <w:szCs w:val="19"/>
                <w:color w:val="auto"/>
              </w:rPr>
            </w:pPr>
          </w:p>
        </w:tc>
        <w:tc>
          <w:tcPr>
            <w:tcW w:w="680" w:type="dxa"/>
            <w:vAlign w:val="bottom"/>
          </w:tcPr>
          <w:p>
            <w:pPr>
              <w:jc w:val="right"/>
              <w:ind w:right="2"/>
              <w:spacing w:after="0"/>
              <w:rPr>
                <w:sz w:val="20"/>
                <w:szCs w:val="20"/>
                <w:color w:val="auto"/>
              </w:rPr>
            </w:pPr>
            <w:r>
              <w:rPr>
                <w:rFonts w:ascii="Arial" w:cs="Arial" w:eastAsia="Arial" w:hAnsi="Arial"/>
                <w:sz w:val="16"/>
                <w:szCs w:val="16"/>
                <w:color w:val="auto"/>
              </w:rPr>
              <w:t>944</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271</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(454)</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(117)</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6"/>
                <w:szCs w:val="16"/>
                <w:b w:val="1"/>
                <w:bCs w:val="1"/>
                <w:color w:val="auto"/>
              </w:rPr>
              <w:t>644</w:t>
            </w:r>
          </w:p>
        </w:tc>
        <w:tc>
          <w:tcPr>
            <w:tcW w:w="0" w:type="dxa"/>
            <w:vAlign w:val="bottom"/>
          </w:tcPr>
          <w:p>
            <w:pPr>
              <w:spacing w:after="0"/>
              <w:rPr>
                <w:sz w:val="1"/>
                <w:szCs w:val="1"/>
                <w:color w:val="auto"/>
              </w:rPr>
            </w:pPr>
          </w:p>
        </w:tc>
      </w:tr>
      <w:tr>
        <w:trPr>
          <w:trHeight w:val="257"/>
        </w:trPr>
        <w:tc>
          <w:tcPr>
            <w:tcW w:w="5800" w:type="dxa"/>
            <w:vAlign w:val="bottom"/>
          </w:tcPr>
          <w:p>
            <w:pPr>
              <w:spacing w:after="0"/>
              <w:rPr>
                <w:sz w:val="20"/>
                <w:szCs w:val="20"/>
                <w:color w:val="auto"/>
              </w:rPr>
            </w:pPr>
            <w:r>
              <w:rPr>
                <w:rFonts w:ascii="Arial" w:cs="Arial" w:eastAsia="Arial" w:hAnsi="Arial"/>
                <w:sz w:val="16"/>
                <w:szCs w:val="16"/>
                <w:color w:val="auto"/>
              </w:rPr>
              <w:t>Equity in earnings of unconsolidated affiliates</w:t>
            </w:r>
          </w:p>
        </w:tc>
        <w:tc>
          <w:tcPr>
            <w:tcW w:w="22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39</w:t>
            </w:r>
          </w:p>
        </w:tc>
        <w:tc>
          <w:tcPr>
            <w:tcW w:w="6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8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35</w:t>
            </w:r>
          </w:p>
        </w:tc>
        <w:tc>
          <w:tcPr>
            <w:tcW w:w="0" w:type="dxa"/>
            <w:vAlign w:val="bottom"/>
          </w:tcPr>
          <w:p>
            <w:pPr>
              <w:spacing w:after="0"/>
              <w:rPr>
                <w:sz w:val="1"/>
                <w:szCs w:val="1"/>
                <w:color w:val="auto"/>
              </w:rPr>
            </w:pPr>
          </w:p>
        </w:tc>
      </w:tr>
      <w:tr>
        <w:trPr>
          <w:trHeight w:val="210"/>
        </w:trPr>
        <w:tc>
          <w:tcPr>
            <w:tcW w:w="5800" w:type="dxa"/>
            <w:vAlign w:val="bottom"/>
          </w:tcPr>
          <w:p>
            <w:pPr>
              <w:spacing w:after="0"/>
              <w:rPr>
                <w:sz w:val="20"/>
                <w:szCs w:val="20"/>
                <w:color w:val="auto"/>
              </w:rPr>
            </w:pPr>
            <w:r>
              <w:rPr>
                <w:rFonts w:ascii="Arial" w:cs="Arial" w:eastAsia="Arial" w:hAnsi="Arial"/>
                <w:sz w:val="16"/>
                <w:szCs w:val="16"/>
                <w:color w:val="auto"/>
              </w:rPr>
              <w:t>Net earnings (loss) from continuing operations</w:t>
            </w:r>
          </w:p>
        </w:tc>
        <w:tc>
          <w:tcPr>
            <w:tcW w:w="2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983</w:t>
            </w:r>
          </w:p>
        </w:tc>
        <w:tc>
          <w:tcPr>
            <w:tcW w:w="60" w:type="dxa"/>
            <w:vAlign w:val="bottom"/>
          </w:tcPr>
          <w:p>
            <w:pPr>
              <w:spacing w:after="0"/>
              <w:rPr>
                <w:sz w:val="18"/>
                <w:szCs w:val="18"/>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271</w:t>
            </w:r>
          </w:p>
        </w:tc>
        <w:tc>
          <w:tcPr>
            <w:tcW w:w="6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(458)</w:t>
            </w:r>
          </w:p>
        </w:tc>
        <w:tc>
          <w:tcPr>
            <w:tcW w:w="80" w:type="dxa"/>
            <w:vAlign w:val="bottom"/>
          </w:tcPr>
          <w:p>
            <w:pPr>
              <w:spacing w:after="0"/>
              <w:rPr>
                <w:sz w:val="18"/>
                <w:szCs w:val="18"/>
                <w:color w:val="auto"/>
              </w:rPr>
            </w:pPr>
          </w:p>
        </w:tc>
        <w:tc>
          <w:tcPr>
            <w:tcW w:w="32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(117)</w:t>
            </w:r>
          </w:p>
        </w:tc>
        <w:tc>
          <w:tcPr>
            <w:tcW w:w="60" w:type="dxa"/>
            <w:vAlign w:val="bottom"/>
          </w:tcPr>
          <w:p>
            <w:pPr>
              <w:spacing w:after="0"/>
              <w:rPr>
                <w:sz w:val="18"/>
                <w:szCs w:val="18"/>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679</w:t>
            </w:r>
          </w:p>
        </w:tc>
        <w:tc>
          <w:tcPr>
            <w:tcW w:w="0" w:type="dxa"/>
            <w:vAlign w:val="bottom"/>
          </w:tcPr>
          <w:p>
            <w:pPr>
              <w:spacing w:after="0"/>
              <w:rPr>
                <w:sz w:val="1"/>
                <w:szCs w:val="1"/>
                <w:color w:val="auto"/>
              </w:rPr>
            </w:pPr>
          </w:p>
        </w:tc>
      </w:tr>
      <w:tr>
        <w:trPr>
          <w:trHeight w:val="20"/>
        </w:trPr>
        <w:tc>
          <w:tcPr>
            <w:tcW w:w="5800" w:type="dxa"/>
            <w:vAlign w:val="bottom"/>
            <w:vMerge w:val="restart"/>
          </w:tcPr>
          <w:p>
            <w:pPr>
              <w:spacing w:after="0"/>
              <w:rPr>
                <w:sz w:val="20"/>
                <w:szCs w:val="20"/>
                <w:color w:val="auto"/>
              </w:rPr>
            </w:pPr>
            <w:r>
              <w:rPr>
                <w:rFonts w:ascii="Arial" w:cs="Arial" w:eastAsia="Arial" w:hAnsi="Arial"/>
                <w:sz w:val="16"/>
                <w:szCs w:val="16"/>
                <w:color w:val="auto"/>
              </w:rPr>
              <w:t>Assets</w:t>
            </w: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5800" w:type="dxa"/>
            <w:vAlign w:val="bottom"/>
            <w:vMerge w:val="continue"/>
          </w:tcPr>
          <w:p>
            <w:pPr>
              <w:spacing w:after="0"/>
              <w:rPr>
                <w:sz w:val="17"/>
                <w:szCs w:val="17"/>
                <w:color w:val="auto"/>
              </w:rPr>
            </w:pPr>
          </w:p>
        </w:tc>
        <w:tc>
          <w:tcPr>
            <w:tcW w:w="220" w:type="dxa"/>
            <w:vAlign w:val="bottom"/>
            <w:tcBorders>
              <w:top w:val="single" w:sz="8" w:color="auto"/>
            </w:tcBorders>
          </w:tcPr>
          <w:p>
            <w:pPr>
              <w:jc w:val="right"/>
              <w:ind w:right="2"/>
              <w:spacing w:after="0"/>
              <w:rPr>
                <w:sz w:val="20"/>
                <w:szCs w:val="20"/>
                <w:color w:val="auto"/>
              </w:rPr>
            </w:pPr>
            <w:r>
              <w:rPr>
                <w:rFonts w:ascii="Arial" w:cs="Arial" w:eastAsia="Arial" w:hAnsi="Arial"/>
                <w:sz w:val="16"/>
                <w:szCs w:val="16"/>
                <w:color w:val="auto"/>
              </w:rPr>
              <w:t>$</w:t>
            </w:r>
          </w:p>
        </w:tc>
        <w:tc>
          <w:tcPr>
            <w:tcW w:w="680" w:type="dxa"/>
            <w:vAlign w:val="bottom"/>
            <w:tcBorders>
              <w:top w:val="single" w:sz="8" w:color="auto"/>
            </w:tcBorders>
          </w:tcPr>
          <w:p>
            <w:pPr>
              <w:jc w:val="right"/>
              <w:ind w:right="2"/>
              <w:spacing w:after="0"/>
              <w:rPr>
                <w:sz w:val="20"/>
                <w:szCs w:val="20"/>
                <w:color w:val="auto"/>
              </w:rPr>
            </w:pPr>
            <w:r>
              <w:rPr>
                <w:rFonts w:ascii="Arial" w:cs="Arial" w:eastAsia="Arial" w:hAnsi="Arial"/>
                <w:sz w:val="16"/>
                <w:szCs w:val="16"/>
                <w:color w:val="auto"/>
              </w:rPr>
              <w:t>8,093</w:t>
            </w:r>
          </w:p>
        </w:tc>
        <w:tc>
          <w:tcPr>
            <w:tcW w:w="60" w:type="dxa"/>
            <w:vAlign w:val="bottom"/>
          </w:tcPr>
          <w:p>
            <w:pPr>
              <w:spacing w:after="0"/>
              <w:rPr>
                <w:sz w:val="17"/>
                <w:szCs w:val="17"/>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98,432</w:t>
            </w:r>
          </w:p>
        </w:tc>
        <w:tc>
          <w:tcPr>
            <w:tcW w:w="60" w:type="dxa"/>
            <w:vAlign w:val="bottom"/>
          </w:tcPr>
          <w:p>
            <w:pPr>
              <w:spacing w:after="0"/>
              <w:rPr>
                <w:sz w:val="17"/>
                <w:szCs w:val="17"/>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top w:val="single" w:sz="8" w:color="auto"/>
            </w:tcBorders>
          </w:tcPr>
          <w:p>
            <w:pPr>
              <w:jc w:val="right"/>
              <w:ind w:right="1"/>
              <w:spacing w:after="0"/>
              <w:rPr>
                <w:sz w:val="20"/>
                <w:szCs w:val="20"/>
                <w:color w:val="auto"/>
              </w:rPr>
            </w:pPr>
            <w:r>
              <w:rPr>
                <w:rFonts w:ascii="Arial" w:cs="Arial" w:eastAsia="Arial" w:hAnsi="Arial"/>
                <w:sz w:val="16"/>
                <w:szCs w:val="16"/>
                <w:color w:val="auto"/>
              </w:rPr>
              <w:t>2,489</w:t>
            </w:r>
          </w:p>
        </w:tc>
        <w:tc>
          <w:tcPr>
            <w:tcW w:w="80" w:type="dxa"/>
            <w:vAlign w:val="bottom"/>
          </w:tcPr>
          <w:p>
            <w:pPr>
              <w:spacing w:after="0"/>
              <w:rPr>
                <w:sz w:val="17"/>
                <w:szCs w:val="17"/>
                <w:color w:val="auto"/>
              </w:rPr>
            </w:pPr>
          </w:p>
        </w:tc>
        <w:tc>
          <w:tcPr>
            <w:tcW w:w="320" w:type="dxa"/>
            <w:vAlign w:val="bottom"/>
            <w:tcBorders>
              <w:top w:val="single" w:sz="8" w:color="auto"/>
            </w:tcBorders>
          </w:tcPr>
          <w:p>
            <w:pPr>
              <w:ind w:left="60"/>
              <w:spacing w:after="0"/>
              <w:rPr>
                <w:sz w:val="20"/>
                <w:szCs w:val="20"/>
                <w:color w:val="auto"/>
              </w:rPr>
            </w:pPr>
            <w:r>
              <w:rPr>
                <w:rFonts w:ascii="Arial" w:cs="Arial" w:eastAsia="Arial" w:hAnsi="Arial"/>
                <w:sz w:val="16"/>
                <w:szCs w:val="16"/>
                <w:color w:val="auto"/>
              </w:rPr>
              <w:t>$</w:t>
            </w:r>
          </w:p>
        </w:tc>
        <w:tc>
          <w:tcPr>
            <w:tcW w:w="560" w:type="dxa"/>
            <w:vAlign w:val="bottom"/>
            <w:tcBorders>
              <w:top w:val="single" w:sz="8" w:color="auto"/>
            </w:tcBorders>
          </w:tcPr>
          <w:p>
            <w:pPr>
              <w:jc w:val="right"/>
              <w:ind w:right="1"/>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109,014</w:t>
            </w:r>
          </w:p>
        </w:tc>
        <w:tc>
          <w:tcPr>
            <w:tcW w:w="0" w:type="dxa"/>
            <w:vAlign w:val="bottom"/>
          </w:tcPr>
          <w:p>
            <w:pPr>
              <w:spacing w:after="0"/>
              <w:rPr>
                <w:sz w:val="1"/>
                <w:szCs w:val="1"/>
                <w:color w:val="auto"/>
              </w:rPr>
            </w:pPr>
          </w:p>
        </w:tc>
      </w:tr>
      <w:tr>
        <w:trPr>
          <w:trHeight w:val="247"/>
        </w:trPr>
        <w:tc>
          <w:tcPr>
            <w:tcW w:w="5800" w:type="dxa"/>
            <w:vAlign w:val="bottom"/>
          </w:tcPr>
          <w:p>
            <w:pPr>
              <w:spacing w:after="0"/>
              <w:rPr>
                <w:sz w:val="20"/>
                <w:szCs w:val="20"/>
                <w:color w:val="auto"/>
              </w:rPr>
            </w:pPr>
            <w:r>
              <w:rPr>
                <w:rFonts w:ascii="Arial" w:cs="Arial" w:eastAsia="Arial" w:hAnsi="Arial"/>
                <w:sz w:val="16"/>
                <w:szCs w:val="16"/>
                <w:color w:val="auto"/>
              </w:rPr>
              <w:t>Goodwill</w:t>
            </w:r>
          </w:p>
        </w:tc>
        <w:tc>
          <w:tcPr>
            <w:tcW w:w="220" w:type="dxa"/>
            <w:vAlign w:val="bottom"/>
          </w:tcPr>
          <w:p>
            <w:pPr>
              <w:spacing w:after="0"/>
              <w:rPr>
                <w:sz w:val="21"/>
                <w:szCs w:val="21"/>
                <w:color w:val="auto"/>
              </w:rPr>
            </w:pPr>
          </w:p>
        </w:tc>
        <w:tc>
          <w:tcPr>
            <w:tcW w:w="680" w:type="dxa"/>
            <w:vAlign w:val="bottom"/>
          </w:tcPr>
          <w:p>
            <w:pPr>
              <w:jc w:val="right"/>
              <w:ind w:right="2"/>
              <w:spacing w:after="0"/>
              <w:rPr>
                <w:sz w:val="20"/>
                <w:szCs w:val="20"/>
                <w:color w:val="auto"/>
              </w:rPr>
            </w:pPr>
            <w:r>
              <w:rPr>
                <w:rFonts w:ascii="Arial" w:cs="Arial" w:eastAsia="Arial" w:hAnsi="Arial"/>
                <w:sz w:val="16"/>
                <w:szCs w:val="16"/>
                <w:color w:val="auto"/>
              </w:rPr>
              <w:t>2,799</w:t>
            </w: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2,180</w:t>
            </w: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tcPr>
          <w:p>
            <w:pPr>
              <w:jc w:val="right"/>
              <w:ind w:right="1"/>
              <w:spacing w:after="0"/>
              <w:rPr>
                <w:sz w:val="20"/>
                <w:szCs w:val="20"/>
                <w:color w:val="auto"/>
              </w:rPr>
            </w:pPr>
            <w:r>
              <w:rPr>
                <w:rFonts w:ascii="Arial" w:cs="Arial" w:eastAsia="Arial" w:hAnsi="Arial"/>
                <w:sz w:val="16"/>
                <w:szCs w:val="16"/>
                <w:color w:val="auto"/>
              </w:rPr>
              <w:t>293</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6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6"/>
                <w:szCs w:val="16"/>
                <w:b w:val="1"/>
                <w:bCs w:val="1"/>
                <w:color w:val="auto"/>
              </w:rPr>
              <w:t>5,272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-4136390</wp:posOffset>
            </wp:positionV>
            <wp:extent cx="6708775" cy="416052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20">
                      <a:extLst>
                        <a:ext uri="{28A0092B-C50C-407E-A947-70E740481C1C}"/>
                      </a:extLst>
                    </a:blip>
                    <a:srcRect/>
                    <a:stretch>
                      <a:fillRect/>
                    </a:stretch>
                  </pic:blipFill>
                  <pic:spPr bwMode="auto">
                    <a:xfrm>
                      <a:off x="0" y="0"/>
                      <a:ext cx="6708775" cy="4160520"/>
                    </a:xfrm>
                    <a:prstGeom prst="rect">
                      <a:avLst/>
                    </a:prstGeom>
                    <a:noFill/>
                  </pic:spPr>
                </pic:pic>
              </a:graphicData>
            </a:graphic>
          </wp:anchor>
        </w:drawing>
      </w:r>
    </w:p>
    <w:p>
      <w:pPr>
        <w:sectPr>
          <w:pgSz w:w="11880" w:h="15480" w:orient="portrait"/>
          <w:cols w:equalWidth="0" w:num="1">
            <w:col w:w="10480"/>
          </w:cols>
          <w:pgMar w:left="720" w:top="1000" w:right="6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155</w:t>
      </w:r>
    </w:p>
    <w:p>
      <w:pPr>
        <w:sectPr>
          <w:pgSz w:w="11880" w:h="15480" w:orient="portrait"/>
          <w:cols w:equalWidth="0" w:num="1">
            <w:col w:w="10480"/>
          </w:cols>
          <w:pgMar w:left="720" w:top="1000" w:right="680" w:bottom="0" w:gutter="0" w:footer="0" w:header="0"/>
          <w:type w:val="continuous"/>
        </w:sectPr>
      </w:pPr>
    </w:p>
    <w:bookmarkStart w:id="167" w:name="page168"/>
    <w:bookmarkEnd w:id="167"/>
    <w:p>
      <w:pPr>
        <w:ind w:left="420"/>
        <w:spacing w:after="0"/>
        <w:rPr>
          <w:sz w:val="20"/>
          <w:szCs w:val="20"/>
          <w:color w:val="auto"/>
        </w:rPr>
      </w:pPr>
      <w:r>
        <w:rPr>
          <w:rFonts w:ascii="Arial" w:cs="Arial" w:eastAsia="Arial" w:hAnsi="Arial"/>
          <w:sz w:val="20"/>
          <w:szCs w:val="20"/>
          <w:color w:val="auto"/>
        </w:rPr>
        <w:t>As of and for the year ended December 31, 2024:</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vMerge w:val="restart"/>
          </w:tcPr>
          <w:p>
            <w:pPr>
              <w:jc w:val="right"/>
              <w:ind w:right="202"/>
              <w:spacing w:after="0"/>
              <w:rPr>
                <w:sz w:val="20"/>
                <w:szCs w:val="20"/>
                <w:color w:val="auto"/>
              </w:rPr>
            </w:pPr>
            <w:r>
              <w:rPr>
                <w:rFonts w:ascii="Arial" w:cs="Arial" w:eastAsia="Arial" w:hAnsi="Arial"/>
                <w:sz w:val="16"/>
                <w:szCs w:val="16"/>
                <w:color w:val="auto"/>
              </w:rPr>
              <w:t>Title</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vMerge w:val="restart"/>
          </w:tcPr>
          <w:p>
            <w:pPr>
              <w:jc w:val="right"/>
              <w:ind w:right="202"/>
              <w:spacing w:after="0"/>
              <w:rPr>
                <w:sz w:val="20"/>
                <w:szCs w:val="20"/>
                <w:color w:val="auto"/>
              </w:rPr>
            </w:pPr>
            <w:r>
              <w:rPr>
                <w:rFonts w:ascii="Arial" w:cs="Arial" w:eastAsia="Arial" w:hAnsi="Arial"/>
                <w:sz w:val="16"/>
                <w:szCs w:val="16"/>
                <w:color w:val="auto"/>
              </w:rPr>
              <w:t>F&amp;G</w:t>
            </w:r>
          </w:p>
        </w:tc>
        <w:tc>
          <w:tcPr>
            <w:tcW w:w="60" w:type="dxa"/>
            <w:vAlign w:val="bottom"/>
          </w:tcPr>
          <w:p>
            <w:pPr>
              <w:spacing w:after="0"/>
              <w:rPr>
                <w:sz w:val="16"/>
                <w:szCs w:val="16"/>
                <w:color w:val="auto"/>
              </w:rPr>
            </w:pPr>
          </w:p>
        </w:tc>
        <w:tc>
          <w:tcPr>
            <w:tcW w:w="880" w:type="dxa"/>
            <w:vAlign w:val="bottom"/>
            <w:gridSpan w:val="2"/>
          </w:tcPr>
          <w:p>
            <w:pPr>
              <w:jc w:val="center"/>
              <w:spacing w:after="0"/>
              <w:rPr>
                <w:sz w:val="20"/>
                <w:szCs w:val="20"/>
                <w:color w:val="auto"/>
              </w:rPr>
            </w:pPr>
            <w:r>
              <w:rPr>
                <w:rFonts w:ascii="Arial" w:cs="Arial" w:eastAsia="Arial" w:hAnsi="Arial"/>
                <w:sz w:val="16"/>
                <w:szCs w:val="16"/>
                <w:color w:val="auto"/>
                <w:w w:val="89"/>
              </w:rPr>
              <w:t>Corporate</w:t>
            </w:r>
          </w:p>
        </w:tc>
        <w:tc>
          <w:tcPr>
            <w:tcW w:w="80" w:type="dxa"/>
            <w:vAlign w:val="bottom"/>
          </w:tcPr>
          <w:p>
            <w:pPr>
              <w:spacing w:after="0"/>
              <w:rPr>
                <w:sz w:val="16"/>
                <w:szCs w:val="16"/>
                <w:color w:val="auto"/>
              </w:rPr>
            </w:pPr>
          </w:p>
        </w:tc>
        <w:tc>
          <w:tcPr>
            <w:tcW w:w="880" w:type="dxa"/>
            <w:vAlign w:val="bottom"/>
            <w:gridSpan w:val="2"/>
            <w:vMerge w:val="restart"/>
          </w:tcPr>
          <w:p>
            <w:pPr>
              <w:ind w:left="60"/>
              <w:spacing w:after="0"/>
              <w:rPr>
                <w:sz w:val="20"/>
                <w:szCs w:val="20"/>
                <w:color w:val="auto"/>
              </w:rPr>
            </w:pPr>
            <w:r>
              <w:rPr>
                <w:rFonts w:ascii="Arial" w:cs="Arial" w:eastAsia="Arial" w:hAnsi="Arial"/>
                <w:sz w:val="16"/>
                <w:szCs w:val="16"/>
                <w:color w:val="auto"/>
              </w:rPr>
              <w:t>Elimination</w:t>
            </w: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vMerge w:val="restart"/>
          </w:tcPr>
          <w:p>
            <w:pPr>
              <w:jc w:val="right"/>
              <w:ind w:right="182"/>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0"/>
        </w:trPr>
        <w:tc>
          <w:tcPr>
            <w:tcW w:w="62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vMerge w:val="continue"/>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center"/>
              <w:ind w:right="42"/>
              <w:spacing w:after="0"/>
              <w:rPr>
                <w:sz w:val="20"/>
                <w:szCs w:val="20"/>
                <w:color w:val="auto"/>
              </w:rPr>
            </w:pPr>
            <w:r>
              <w:rPr>
                <w:rFonts w:ascii="Arial" w:cs="Arial" w:eastAsia="Arial" w:hAnsi="Arial"/>
                <w:sz w:val="16"/>
                <w:szCs w:val="16"/>
                <w:color w:val="auto"/>
                <w:w w:val="89"/>
              </w:rPr>
              <w:t>and Other</w:t>
            </w:r>
          </w:p>
        </w:tc>
        <w:tc>
          <w:tcPr>
            <w:tcW w:w="80" w:type="dxa"/>
            <w:vAlign w:val="bottom"/>
          </w:tcPr>
          <w:p>
            <w:pPr>
              <w:spacing w:after="0"/>
              <w:rPr>
                <w:sz w:val="18"/>
                <w:szCs w:val="18"/>
                <w:color w:val="auto"/>
              </w:rPr>
            </w:pPr>
          </w:p>
        </w:tc>
        <w:tc>
          <w:tcPr>
            <w:tcW w:w="880" w:type="dxa"/>
            <w:vAlign w:val="bottom"/>
            <w:tcBorders>
              <w:bottom w:val="single" w:sz="8" w:color="auto"/>
            </w:tcBorders>
            <w:gridSpan w:val="2"/>
            <w:vMerge w:val="continue"/>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260" w:type="dxa"/>
            <w:vAlign w:val="bottom"/>
          </w:tcPr>
          <w:p>
            <w:pPr>
              <w:spacing w:after="0"/>
              <w:rPr>
                <w:sz w:val="20"/>
                <w:szCs w:val="20"/>
                <w:color w:val="auto"/>
              </w:rPr>
            </w:pPr>
            <w:r>
              <w:rPr>
                <w:rFonts w:ascii="Arial" w:cs="Arial" w:eastAsia="Arial" w:hAnsi="Arial"/>
                <w:sz w:val="16"/>
                <w:szCs w:val="16"/>
                <w:color w:val="auto"/>
              </w:rPr>
              <w:t>Segment revenues:</w:t>
            </w: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80" w:type="dxa"/>
            <w:vAlign w:val="bottom"/>
            <w:gridSpan w:val="2"/>
          </w:tcPr>
          <w:p>
            <w:pPr>
              <w:jc w:val="center"/>
              <w:spacing w:after="0"/>
              <w:rPr>
                <w:sz w:val="20"/>
                <w:szCs w:val="20"/>
                <w:color w:val="auto"/>
              </w:rPr>
            </w:pPr>
            <w:r>
              <w:rPr>
                <w:rFonts w:ascii="Arial" w:cs="Arial" w:eastAsia="Arial" w:hAnsi="Arial"/>
                <w:sz w:val="16"/>
                <w:szCs w:val="16"/>
                <w:b w:val="1"/>
                <w:bCs w:val="1"/>
                <w:color w:val="auto"/>
                <w:w w:val="93"/>
              </w:rPr>
              <w:t>(In millions)</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6260" w:type="dxa"/>
            <w:vAlign w:val="bottom"/>
          </w:tcPr>
          <w:p>
            <w:pPr>
              <w:spacing w:after="0"/>
              <w:rPr>
                <w:sz w:val="20"/>
                <w:szCs w:val="20"/>
                <w:color w:val="auto"/>
              </w:rPr>
            </w:pPr>
            <w:r>
              <w:rPr>
                <w:rFonts w:ascii="Arial" w:cs="Arial" w:eastAsia="Arial" w:hAnsi="Arial"/>
                <w:sz w:val="16"/>
                <w:szCs w:val="16"/>
                <w:color w:val="auto"/>
              </w:rPr>
              <w:t>Direct title insurance premiums</w:t>
            </w:r>
          </w:p>
        </w:tc>
        <w:tc>
          <w:tcPr>
            <w:tcW w:w="22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2,200</w:t>
            </w:r>
          </w:p>
        </w:tc>
        <w:tc>
          <w:tcPr>
            <w:tcW w:w="280" w:type="dxa"/>
            <w:vAlign w:val="bottom"/>
            <w:gridSpan w:val="2"/>
          </w:tcPr>
          <w:p>
            <w:pPr>
              <w:jc w:val="right"/>
              <w:ind w:right="2"/>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400" w:type="dxa"/>
            <w:vAlign w:val="bottom"/>
            <w:gridSpan w:val="2"/>
          </w:tcPr>
          <w:p>
            <w:pPr>
              <w:ind w:left="120"/>
              <w:spacing w:after="0"/>
              <w:rPr>
                <w:sz w:val="20"/>
                <w:szCs w:val="20"/>
                <w:color w:val="auto"/>
              </w:rPr>
            </w:pPr>
            <w:r>
              <w:rPr>
                <w:rFonts w:ascii="Arial" w:cs="Arial" w:eastAsia="Arial" w:hAnsi="Arial"/>
                <w:sz w:val="16"/>
                <w:szCs w:val="16"/>
                <w:color w:val="auto"/>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gridSpan w:val="2"/>
          </w:tcPr>
          <w:p>
            <w:pPr>
              <w:jc w:val="right"/>
              <w:ind w:right="2"/>
              <w:spacing w:after="0"/>
              <w:rPr>
                <w:sz w:val="20"/>
                <w:szCs w:val="20"/>
                <w:color w:val="auto"/>
              </w:rPr>
            </w:pPr>
            <w:r>
              <w:rPr>
                <w:rFonts w:ascii="Arial" w:cs="Arial" w:eastAsia="Arial" w:hAnsi="Arial"/>
                <w:sz w:val="16"/>
                <w:szCs w:val="16"/>
                <w:b w:val="1"/>
                <w:bCs w:val="1"/>
                <w:color w:val="auto"/>
              </w:rPr>
              <w:t>$</w:t>
            </w:r>
          </w:p>
        </w:tc>
        <w:tc>
          <w:tcPr>
            <w:tcW w:w="680" w:type="dxa"/>
            <w:vAlign w:val="bottom"/>
          </w:tcPr>
          <w:p>
            <w:pPr>
              <w:jc w:val="right"/>
              <w:spacing w:after="0"/>
              <w:rPr>
                <w:sz w:val="20"/>
                <w:szCs w:val="20"/>
                <w:color w:val="auto"/>
              </w:rPr>
            </w:pPr>
            <w:r>
              <w:rPr>
                <w:rFonts w:ascii="Arial" w:cs="Arial" w:eastAsia="Arial" w:hAnsi="Arial"/>
                <w:sz w:val="16"/>
                <w:szCs w:val="16"/>
                <w:b w:val="1"/>
                <w:bCs w:val="1"/>
                <w:color w:val="auto"/>
              </w:rPr>
              <w:t>2,200</w:t>
            </w:r>
          </w:p>
        </w:tc>
        <w:tc>
          <w:tcPr>
            <w:tcW w:w="0" w:type="dxa"/>
            <w:vAlign w:val="bottom"/>
          </w:tcPr>
          <w:p>
            <w:pPr>
              <w:spacing w:after="0"/>
              <w:rPr>
                <w:sz w:val="1"/>
                <w:szCs w:val="1"/>
                <w:color w:val="auto"/>
              </w:rPr>
            </w:pPr>
          </w:p>
        </w:tc>
      </w:tr>
      <w:tr>
        <w:trPr>
          <w:trHeight w:val="250"/>
        </w:trPr>
        <w:tc>
          <w:tcPr>
            <w:tcW w:w="6260" w:type="dxa"/>
            <w:vAlign w:val="bottom"/>
          </w:tcPr>
          <w:p>
            <w:pPr>
              <w:spacing w:after="0"/>
              <w:rPr>
                <w:sz w:val="20"/>
                <w:szCs w:val="20"/>
                <w:color w:val="auto"/>
              </w:rPr>
            </w:pPr>
            <w:r>
              <w:rPr>
                <w:rFonts w:ascii="Arial" w:cs="Arial" w:eastAsia="Arial" w:hAnsi="Arial"/>
                <w:sz w:val="16"/>
                <w:szCs w:val="16"/>
                <w:color w:val="auto"/>
              </w:rPr>
              <w:t>Agency title insurance premiums</w:t>
            </w:r>
          </w:p>
        </w:tc>
        <w:tc>
          <w:tcPr>
            <w:tcW w:w="2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2,953</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6"/>
                <w:szCs w:val="16"/>
                <w:b w:val="1"/>
                <w:bCs w:val="1"/>
                <w:color w:val="auto"/>
              </w:rPr>
              <w:t>2,953</w:t>
            </w:r>
          </w:p>
        </w:tc>
        <w:tc>
          <w:tcPr>
            <w:tcW w:w="0" w:type="dxa"/>
            <w:vAlign w:val="bottom"/>
          </w:tcPr>
          <w:p>
            <w:pPr>
              <w:spacing w:after="0"/>
              <w:rPr>
                <w:sz w:val="1"/>
                <w:szCs w:val="1"/>
                <w:color w:val="auto"/>
              </w:rPr>
            </w:pPr>
          </w:p>
        </w:tc>
      </w:tr>
      <w:tr>
        <w:trPr>
          <w:trHeight w:val="250"/>
        </w:trPr>
        <w:tc>
          <w:tcPr>
            <w:tcW w:w="6260" w:type="dxa"/>
            <w:vAlign w:val="bottom"/>
          </w:tcPr>
          <w:p>
            <w:pPr>
              <w:spacing w:after="0"/>
              <w:rPr>
                <w:sz w:val="20"/>
                <w:szCs w:val="20"/>
                <w:color w:val="auto"/>
              </w:rPr>
            </w:pPr>
            <w:r>
              <w:rPr>
                <w:rFonts w:ascii="Arial" w:cs="Arial" w:eastAsia="Arial" w:hAnsi="Arial"/>
                <w:sz w:val="16"/>
                <w:szCs w:val="16"/>
                <w:color w:val="auto"/>
              </w:rPr>
              <w:t>Escrow, title related and other fees</w:t>
            </w:r>
          </w:p>
        </w:tc>
        <w:tc>
          <w:tcPr>
            <w:tcW w:w="2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2,196</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2,941</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184</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6"/>
                <w:szCs w:val="16"/>
                <w:b w:val="1"/>
                <w:bCs w:val="1"/>
                <w:color w:val="auto"/>
              </w:rPr>
              <w:t>5,321</w:t>
            </w:r>
          </w:p>
        </w:tc>
        <w:tc>
          <w:tcPr>
            <w:tcW w:w="0" w:type="dxa"/>
            <w:vAlign w:val="bottom"/>
          </w:tcPr>
          <w:p>
            <w:pPr>
              <w:spacing w:after="0"/>
              <w:rPr>
                <w:sz w:val="1"/>
                <w:szCs w:val="1"/>
                <w:color w:val="auto"/>
              </w:rPr>
            </w:pPr>
          </w:p>
        </w:tc>
      </w:tr>
      <w:tr>
        <w:trPr>
          <w:trHeight w:val="250"/>
        </w:trPr>
        <w:tc>
          <w:tcPr>
            <w:tcW w:w="6260" w:type="dxa"/>
            <w:vAlign w:val="bottom"/>
          </w:tcPr>
          <w:p>
            <w:pPr>
              <w:spacing w:after="0"/>
              <w:rPr>
                <w:sz w:val="20"/>
                <w:szCs w:val="20"/>
                <w:color w:val="auto"/>
              </w:rPr>
            </w:pPr>
            <w:r>
              <w:rPr>
                <w:rFonts w:ascii="Arial" w:cs="Arial" w:eastAsia="Arial" w:hAnsi="Arial"/>
                <w:sz w:val="16"/>
                <w:szCs w:val="16"/>
                <w:color w:val="auto"/>
              </w:rPr>
              <w:t>Interest and investment income</w:t>
            </w:r>
          </w:p>
        </w:tc>
        <w:tc>
          <w:tcPr>
            <w:tcW w:w="2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359</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2,719</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154</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(108)</w:t>
            </w: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6"/>
                <w:szCs w:val="16"/>
                <w:b w:val="1"/>
                <w:bCs w:val="1"/>
                <w:color w:val="auto"/>
              </w:rPr>
              <w:t>3,124</w:t>
            </w:r>
          </w:p>
        </w:tc>
        <w:tc>
          <w:tcPr>
            <w:tcW w:w="0" w:type="dxa"/>
            <w:vAlign w:val="bottom"/>
          </w:tcPr>
          <w:p>
            <w:pPr>
              <w:spacing w:after="0"/>
              <w:rPr>
                <w:sz w:val="1"/>
                <w:szCs w:val="1"/>
                <w:color w:val="auto"/>
              </w:rPr>
            </w:pPr>
          </w:p>
        </w:tc>
      </w:tr>
      <w:tr>
        <w:trPr>
          <w:trHeight w:val="257"/>
        </w:trPr>
        <w:tc>
          <w:tcPr>
            <w:tcW w:w="6260" w:type="dxa"/>
            <w:vAlign w:val="bottom"/>
          </w:tcPr>
          <w:p>
            <w:pPr>
              <w:spacing w:after="0"/>
              <w:rPr>
                <w:sz w:val="20"/>
                <w:szCs w:val="20"/>
                <w:color w:val="auto"/>
              </w:rPr>
            </w:pPr>
            <w:r>
              <w:rPr>
                <w:rFonts w:ascii="Arial" w:cs="Arial" w:eastAsia="Arial" w:hAnsi="Arial"/>
                <w:sz w:val="16"/>
                <w:szCs w:val="16"/>
                <w:color w:val="auto"/>
              </w:rPr>
              <w:t>Recognized gains and losses, net</w:t>
            </w:r>
          </w:p>
        </w:tc>
        <w:tc>
          <w:tcPr>
            <w:tcW w:w="22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w:t>
            </w:r>
          </w:p>
        </w:tc>
        <w:tc>
          <w:tcPr>
            <w:tcW w:w="8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84</w:t>
            </w:r>
          </w:p>
        </w:tc>
        <w:tc>
          <w:tcPr>
            <w:tcW w:w="6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c>
          <w:tcPr>
            <w:tcW w:w="8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83</w:t>
            </w:r>
          </w:p>
        </w:tc>
        <w:tc>
          <w:tcPr>
            <w:tcW w:w="0" w:type="dxa"/>
            <w:vAlign w:val="bottom"/>
          </w:tcPr>
          <w:p>
            <w:pPr>
              <w:spacing w:after="0"/>
              <w:rPr>
                <w:sz w:val="1"/>
                <w:szCs w:val="1"/>
                <w:color w:val="auto"/>
              </w:rPr>
            </w:pPr>
          </w:p>
        </w:tc>
      </w:tr>
      <w:tr>
        <w:trPr>
          <w:trHeight w:val="230"/>
        </w:trPr>
        <w:tc>
          <w:tcPr>
            <w:tcW w:w="6260" w:type="dxa"/>
            <w:vAlign w:val="bottom"/>
          </w:tcPr>
          <w:p>
            <w:pPr>
              <w:spacing w:after="0"/>
              <w:rPr>
                <w:sz w:val="20"/>
                <w:szCs w:val="20"/>
                <w:color w:val="auto"/>
              </w:rPr>
            </w:pPr>
            <w:r>
              <w:rPr>
                <w:rFonts w:ascii="Arial" w:cs="Arial" w:eastAsia="Arial" w:hAnsi="Arial"/>
                <w:sz w:val="16"/>
                <w:szCs w:val="16"/>
                <w:color w:val="auto"/>
              </w:rPr>
              <w:t>Total segment revenues</w:t>
            </w:r>
          </w:p>
        </w:tc>
        <w:tc>
          <w:tcPr>
            <w:tcW w:w="2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7,702</w:t>
            </w:r>
          </w:p>
        </w:tc>
        <w:tc>
          <w:tcPr>
            <w:tcW w:w="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5,744</w:t>
            </w:r>
          </w:p>
        </w:tc>
        <w:tc>
          <w:tcPr>
            <w:tcW w:w="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343</w:t>
            </w:r>
          </w:p>
        </w:tc>
        <w:tc>
          <w:tcPr>
            <w:tcW w:w="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(108)</w:t>
            </w:r>
          </w:p>
        </w:tc>
        <w:tc>
          <w:tcPr>
            <w:tcW w:w="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13,681</w:t>
            </w:r>
          </w:p>
        </w:tc>
        <w:tc>
          <w:tcPr>
            <w:tcW w:w="0" w:type="dxa"/>
            <w:vAlign w:val="bottom"/>
          </w:tcPr>
          <w:p>
            <w:pPr>
              <w:spacing w:after="0"/>
              <w:rPr>
                <w:sz w:val="1"/>
                <w:szCs w:val="1"/>
                <w:color w:val="auto"/>
              </w:rPr>
            </w:pPr>
          </w:p>
        </w:tc>
      </w:tr>
      <w:tr>
        <w:trPr>
          <w:trHeight w:val="223"/>
        </w:trPr>
        <w:tc>
          <w:tcPr>
            <w:tcW w:w="6260" w:type="dxa"/>
            <w:vAlign w:val="bottom"/>
          </w:tcPr>
          <w:p>
            <w:pPr>
              <w:spacing w:after="0"/>
              <w:rPr>
                <w:sz w:val="20"/>
                <w:szCs w:val="20"/>
                <w:color w:val="auto"/>
              </w:rPr>
            </w:pPr>
            <w:r>
              <w:rPr>
                <w:rFonts w:ascii="Arial" w:cs="Arial" w:eastAsia="Arial" w:hAnsi="Arial"/>
                <w:sz w:val="16"/>
                <w:szCs w:val="16"/>
                <w:color w:val="auto"/>
              </w:rPr>
              <w:t>Significant segment expenses:</w:t>
            </w: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6260" w:type="dxa"/>
            <w:vAlign w:val="bottom"/>
          </w:tcPr>
          <w:p>
            <w:pPr>
              <w:spacing w:after="0"/>
              <w:rPr>
                <w:sz w:val="20"/>
                <w:szCs w:val="20"/>
                <w:color w:val="auto"/>
              </w:rPr>
            </w:pPr>
            <w:r>
              <w:rPr>
                <w:rFonts w:ascii="Arial" w:cs="Arial" w:eastAsia="Arial" w:hAnsi="Arial"/>
                <w:sz w:val="16"/>
                <w:szCs w:val="16"/>
                <w:color w:val="auto"/>
              </w:rPr>
              <w:t>Personnel costs</w:t>
            </w:r>
          </w:p>
        </w:tc>
        <w:tc>
          <w:tcPr>
            <w:tcW w:w="2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2,695</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296</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157</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6"/>
                <w:szCs w:val="16"/>
                <w:b w:val="1"/>
                <w:bCs w:val="1"/>
                <w:color w:val="auto"/>
              </w:rPr>
              <w:t>3,148</w:t>
            </w:r>
          </w:p>
        </w:tc>
        <w:tc>
          <w:tcPr>
            <w:tcW w:w="0" w:type="dxa"/>
            <w:vAlign w:val="bottom"/>
          </w:tcPr>
          <w:p>
            <w:pPr>
              <w:spacing w:after="0"/>
              <w:rPr>
                <w:sz w:val="1"/>
                <w:szCs w:val="1"/>
                <w:color w:val="auto"/>
              </w:rPr>
            </w:pPr>
          </w:p>
        </w:tc>
      </w:tr>
      <w:tr>
        <w:trPr>
          <w:trHeight w:val="250"/>
        </w:trPr>
        <w:tc>
          <w:tcPr>
            <w:tcW w:w="6260" w:type="dxa"/>
            <w:vAlign w:val="bottom"/>
          </w:tcPr>
          <w:p>
            <w:pPr>
              <w:spacing w:after="0"/>
              <w:rPr>
                <w:sz w:val="20"/>
                <w:szCs w:val="20"/>
                <w:color w:val="auto"/>
              </w:rPr>
            </w:pPr>
            <w:r>
              <w:rPr>
                <w:rFonts w:ascii="Arial" w:cs="Arial" w:eastAsia="Arial" w:hAnsi="Arial"/>
                <w:sz w:val="16"/>
                <w:szCs w:val="16"/>
                <w:color w:val="auto"/>
              </w:rPr>
              <w:t>Agent commissions</w:t>
            </w:r>
          </w:p>
        </w:tc>
        <w:tc>
          <w:tcPr>
            <w:tcW w:w="2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2,287</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6"/>
                <w:szCs w:val="16"/>
                <w:b w:val="1"/>
                <w:bCs w:val="1"/>
                <w:color w:val="auto"/>
              </w:rPr>
              <w:t>2,287</w:t>
            </w:r>
          </w:p>
        </w:tc>
        <w:tc>
          <w:tcPr>
            <w:tcW w:w="0" w:type="dxa"/>
            <w:vAlign w:val="bottom"/>
          </w:tcPr>
          <w:p>
            <w:pPr>
              <w:spacing w:after="0"/>
              <w:rPr>
                <w:sz w:val="1"/>
                <w:szCs w:val="1"/>
                <w:color w:val="auto"/>
              </w:rPr>
            </w:pPr>
          </w:p>
        </w:tc>
      </w:tr>
      <w:tr>
        <w:trPr>
          <w:trHeight w:val="250"/>
        </w:trPr>
        <w:tc>
          <w:tcPr>
            <w:tcW w:w="6260" w:type="dxa"/>
            <w:vAlign w:val="bottom"/>
          </w:tcPr>
          <w:p>
            <w:pPr>
              <w:spacing w:after="0"/>
              <w:rPr>
                <w:sz w:val="20"/>
                <w:szCs w:val="20"/>
                <w:color w:val="auto"/>
              </w:rPr>
            </w:pPr>
            <w:r>
              <w:rPr>
                <w:rFonts w:ascii="Arial" w:cs="Arial" w:eastAsia="Arial" w:hAnsi="Arial"/>
                <w:sz w:val="16"/>
                <w:szCs w:val="16"/>
                <w:color w:val="auto"/>
              </w:rPr>
              <w:t>Other operating expenses</w:t>
            </w:r>
          </w:p>
        </w:tc>
        <w:tc>
          <w:tcPr>
            <w:tcW w:w="2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1,251</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203</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104</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6"/>
                <w:szCs w:val="16"/>
                <w:b w:val="1"/>
                <w:bCs w:val="1"/>
                <w:color w:val="auto"/>
              </w:rPr>
              <w:t>1,558</w:t>
            </w:r>
          </w:p>
        </w:tc>
        <w:tc>
          <w:tcPr>
            <w:tcW w:w="0" w:type="dxa"/>
            <w:vAlign w:val="bottom"/>
          </w:tcPr>
          <w:p>
            <w:pPr>
              <w:spacing w:after="0"/>
              <w:rPr>
                <w:sz w:val="1"/>
                <w:szCs w:val="1"/>
                <w:color w:val="auto"/>
              </w:rPr>
            </w:pPr>
          </w:p>
        </w:tc>
      </w:tr>
      <w:tr>
        <w:trPr>
          <w:trHeight w:val="257"/>
        </w:trPr>
        <w:tc>
          <w:tcPr>
            <w:tcW w:w="6260" w:type="dxa"/>
            <w:vAlign w:val="bottom"/>
          </w:tcPr>
          <w:p>
            <w:pPr>
              <w:spacing w:after="0"/>
              <w:rPr>
                <w:sz w:val="20"/>
                <w:szCs w:val="20"/>
                <w:color w:val="auto"/>
              </w:rPr>
            </w:pPr>
            <w:r>
              <w:rPr>
                <w:rFonts w:ascii="Arial" w:cs="Arial" w:eastAsia="Arial" w:hAnsi="Arial"/>
                <w:sz w:val="16"/>
                <w:szCs w:val="16"/>
                <w:color w:val="auto"/>
              </w:rPr>
              <w:t>Benefits and other changes in policy reserves</w:t>
            </w:r>
          </w:p>
        </w:tc>
        <w:tc>
          <w:tcPr>
            <w:tcW w:w="22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3,791</w:t>
            </w:r>
          </w:p>
        </w:tc>
        <w:tc>
          <w:tcPr>
            <w:tcW w:w="6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3,791</w:t>
            </w:r>
          </w:p>
        </w:tc>
        <w:tc>
          <w:tcPr>
            <w:tcW w:w="0" w:type="dxa"/>
            <w:vAlign w:val="bottom"/>
          </w:tcPr>
          <w:p>
            <w:pPr>
              <w:spacing w:after="0"/>
              <w:rPr>
                <w:sz w:val="1"/>
                <w:szCs w:val="1"/>
                <w:color w:val="auto"/>
              </w:rPr>
            </w:pPr>
          </w:p>
        </w:tc>
      </w:tr>
      <w:tr>
        <w:trPr>
          <w:trHeight w:val="230"/>
        </w:trPr>
        <w:tc>
          <w:tcPr>
            <w:tcW w:w="6260" w:type="dxa"/>
            <w:vAlign w:val="bottom"/>
          </w:tcPr>
          <w:p>
            <w:pPr>
              <w:spacing w:after="0"/>
              <w:rPr>
                <w:sz w:val="20"/>
                <w:szCs w:val="20"/>
                <w:color w:val="auto"/>
              </w:rPr>
            </w:pPr>
            <w:r>
              <w:rPr>
                <w:rFonts w:ascii="Arial" w:cs="Arial" w:eastAsia="Arial" w:hAnsi="Arial"/>
                <w:sz w:val="16"/>
                <w:szCs w:val="16"/>
                <w:color w:val="auto"/>
              </w:rPr>
              <w:t>Total significant segment expenses</w:t>
            </w:r>
          </w:p>
        </w:tc>
        <w:tc>
          <w:tcPr>
            <w:tcW w:w="2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6,233</w:t>
            </w:r>
          </w:p>
        </w:tc>
        <w:tc>
          <w:tcPr>
            <w:tcW w:w="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4,290</w:t>
            </w:r>
          </w:p>
        </w:tc>
        <w:tc>
          <w:tcPr>
            <w:tcW w:w="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261</w:t>
            </w:r>
          </w:p>
        </w:tc>
        <w:tc>
          <w:tcPr>
            <w:tcW w:w="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10,784</w:t>
            </w:r>
          </w:p>
        </w:tc>
        <w:tc>
          <w:tcPr>
            <w:tcW w:w="0" w:type="dxa"/>
            <w:vAlign w:val="bottom"/>
          </w:tcPr>
          <w:p>
            <w:pPr>
              <w:spacing w:after="0"/>
              <w:rPr>
                <w:sz w:val="1"/>
                <w:szCs w:val="1"/>
                <w:color w:val="auto"/>
              </w:rPr>
            </w:pPr>
          </w:p>
        </w:tc>
      </w:tr>
      <w:tr>
        <w:trPr>
          <w:trHeight w:val="223"/>
        </w:trPr>
        <w:tc>
          <w:tcPr>
            <w:tcW w:w="6260" w:type="dxa"/>
            <w:vAlign w:val="bottom"/>
          </w:tcPr>
          <w:p>
            <w:pPr>
              <w:spacing w:after="0"/>
              <w:rPr>
                <w:sz w:val="20"/>
                <w:szCs w:val="20"/>
                <w:color w:val="auto"/>
              </w:rPr>
            </w:pPr>
            <w:r>
              <w:rPr>
                <w:rFonts w:ascii="Arial" w:cs="Arial" w:eastAsia="Arial" w:hAnsi="Arial"/>
                <w:sz w:val="16"/>
                <w:szCs w:val="16"/>
                <w:color w:val="auto"/>
              </w:rPr>
              <w:t>Other segment items:</w:t>
            </w: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6260" w:type="dxa"/>
            <w:vAlign w:val="bottom"/>
          </w:tcPr>
          <w:p>
            <w:pPr>
              <w:spacing w:after="0"/>
              <w:rPr>
                <w:sz w:val="20"/>
                <w:szCs w:val="20"/>
                <w:color w:val="auto"/>
              </w:rPr>
            </w:pPr>
            <w:r>
              <w:rPr>
                <w:rFonts w:ascii="Arial" w:cs="Arial" w:eastAsia="Arial" w:hAnsi="Arial"/>
                <w:sz w:val="16"/>
                <w:szCs w:val="16"/>
                <w:color w:val="auto"/>
              </w:rPr>
              <w:t>Depreciation and amortization</w:t>
            </w:r>
          </w:p>
        </w:tc>
        <w:tc>
          <w:tcPr>
            <w:tcW w:w="2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141</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569</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29</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6"/>
                <w:szCs w:val="16"/>
                <w:b w:val="1"/>
                <w:bCs w:val="1"/>
                <w:color w:val="auto"/>
              </w:rPr>
              <w:t>739</w:t>
            </w:r>
          </w:p>
        </w:tc>
        <w:tc>
          <w:tcPr>
            <w:tcW w:w="0" w:type="dxa"/>
            <w:vAlign w:val="bottom"/>
          </w:tcPr>
          <w:p>
            <w:pPr>
              <w:spacing w:after="0"/>
              <w:rPr>
                <w:sz w:val="1"/>
                <w:szCs w:val="1"/>
                <w:color w:val="auto"/>
              </w:rPr>
            </w:pPr>
          </w:p>
        </w:tc>
      </w:tr>
      <w:tr>
        <w:trPr>
          <w:trHeight w:val="250"/>
        </w:trPr>
        <w:tc>
          <w:tcPr>
            <w:tcW w:w="6260" w:type="dxa"/>
            <w:vAlign w:val="bottom"/>
          </w:tcPr>
          <w:p>
            <w:pPr>
              <w:spacing w:after="0"/>
              <w:rPr>
                <w:sz w:val="20"/>
                <w:szCs w:val="20"/>
                <w:color w:val="auto"/>
              </w:rPr>
            </w:pPr>
            <w:r>
              <w:rPr>
                <w:rFonts w:ascii="Arial" w:cs="Arial" w:eastAsia="Arial" w:hAnsi="Arial"/>
                <w:sz w:val="16"/>
                <w:szCs w:val="16"/>
                <w:color w:val="auto"/>
              </w:rPr>
              <w:t>Provision for title claim losses</w:t>
            </w:r>
          </w:p>
        </w:tc>
        <w:tc>
          <w:tcPr>
            <w:tcW w:w="2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232</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6"/>
                <w:szCs w:val="16"/>
                <w:b w:val="1"/>
                <w:bCs w:val="1"/>
                <w:color w:val="auto"/>
              </w:rPr>
              <w:t>232</w:t>
            </w:r>
          </w:p>
        </w:tc>
        <w:tc>
          <w:tcPr>
            <w:tcW w:w="0" w:type="dxa"/>
            <w:vAlign w:val="bottom"/>
          </w:tcPr>
          <w:p>
            <w:pPr>
              <w:spacing w:after="0"/>
              <w:rPr>
                <w:sz w:val="1"/>
                <w:szCs w:val="1"/>
                <w:color w:val="auto"/>
              </w:rPr>
            </w:pPr>
          </w:p>
        </w:tc>
      </w:tr>
      <w:tr>
        <w:trPr>
          <w:trHeight w:val="250"/>
        </w:trPr>
        <w:tc>
          <w:tcPr>
            <w:tcW w:w="6260" w:type="dxa"/>
            <w:vAlign w:val="bottom"/>
          </w:tcPr>
          <w:p>
            <w:pPr>
              <w:spacing w:after="0"/>
              <w:rPr>
                <w:sz w:val="20"/>
                <w:szCs w:val="20"/>
                <w:color w:val="auto"/>
              </w:rPr>
            </w:pPr>
            <w:r>
              <w:rPr>
                <w:rFonts w:ascii="Arial" w:cs="Arial" w:eastAsia="Arial" w:hAnsi="Arial"/>
                <w:sz w:val="16"/>
                <w:szCs w:val="16"/>
                <w:color w:val="auto"/>
              </w:rPr>
              <w:t>Market risk benefit losses</w:t>
            </w:r>
          </w:p>
        </w:tc>
        <w:tc>
          <w:tcPr>
            <w:tcW w:w="2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(25)</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6"/>
                <w:szCs w:val="16"/>
                <w:b w:val="1"/>
                <w:bCs w:val="1"/>
                <w:color w:val="auto"/>
              </w:rPr>
              <w:t>(25)</w:t>
            </w:r>
          </w:p>
        </w:tc>
        <w:tc>
          <w:tcPr>
            <w:tcW w:w="0" w:type="dxa"/>
            <w:vAlign w:val="bottom"/>
          </w:tcPr>
          <w:p>
            <w:pPr>
              <w:spacing w:after="0"/>
              <w:rPr>
                <w:sz w:val="1"/>
                <w:szCs w:val="1"/>
                <w:color w:val="auto"/>
              </w:rPr>
            </w:pPr>
          </w:p>
        </w:tc>
      </w:tr>
      <w:tr>
        <w:trPr>
          <w:trHeight w:val="257"/>
        </w:trPr>
        <w:tc>
          <w:tcPr>
            <w:tcW w:w="6260" w:type="dxa"/>
            <w:vAlign w:val="bottom"/>
          </w:tcPr>
          <w:p>
            <w:pPr>
              <w:spacing w:after="0"/>
              <w:rPr>
                <w:sz w:val="20"/>
                <w:szCs w:val="20"/>
                <w:color w:val="auto"/>
              </w:rPr>
            </w:pPr>
            <w:r>
              <w:rPr>
                <w:rFonts w:ascii="Arial" w:cs="Arial" w:eastAsia="Arial" w:hAnsi="Arial"/>
                <w:sz w:val="16"/>
                <w:szCs w:val="16"/>
                <w:color w:val="auto"/>
              </w:rPr>
              <w:t>Interest expense</w:t>
            </w:r>
          </w:p>
        </w:tc>
        <w:tc>
          <w:tcPr>
            <w:tcW w:w="22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132</w:t>
            </w:r>
          </w:p>
        </w:tc>
        <w:tc>
          <w:tcPr>
            <w:tcW w:w="6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w:t>
            </w:r>
          </w:p>
        </w:tc>
        <w:tc>
          <w:tcPr>
            <w:tcW w:w="8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209</w:t>
            </w:r>
          </w:p>
        </w:tc>
        <w:tc>
          <w:tcPr>
            <w:tcW w:w="0" w:type="dxa"/>
            <w:vAlign w:val="bottom"/>
          </w:tcPr>
          <w:p>
            <w:pPr>
              <w:spacing w:after="0"/>
              <w:rPr>
                <w:sz w:val="1"/>
                <w:szCs w:val="1"/>
                <w:color w:val="auto"/>
              </w:rPr>
            </w:pPr>
          </w:p>
        </w:tc>
      </w:tr>
      <w:tr>
        <w:trPr>
          <w:trHeight w:val="230"/>
        </w:trPr>
        <w:tc>
          <w:tcPr>
            <w:tcW w:w="6260" w:type="dxa"/>
            <w:vAlign w:val="bottom"/>
          </w:tcPr>
          <w:p>
            <w:pPr>
              <w:spacing w:after="0"/>
              <w:rPr>
                <w:sz w:val="20"/>
                <w:szCs w:val="20"/>
                <w:color w:val="auto"/>
              </w:rPr>
            </w:pPr>
            <w:r>
              <w:rPr>
                <w:rFonts w:ascii="Arial" w:cs="Arial" w:eastAsia="Arial" w:hAnsi="Arial"/>
                <w:sz w:val="16"/>
                <w:szCs w:val="16"/>
                <w:color w:val="auto"/>
              </w:rPr>
              <w:t>Total other segment items</w:t>
            </w:r>
          </w:p>
        </w:tc>
        <w:tc>
          <w:tcPr>
            <w:tcW w:w="2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373</w:t>
            </w:r>
          </w:p>
        </w:tc>
        <w:tc>
          <w:tcPr>
            <w:tcW w:w="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676</w:t>
            </w:r>
          </w:p>
        </w:tc>
        <w:tc>
          <w:tcPr>
            <w:tcW w:w="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106</w:t>
            </w:r>
          </w:p>
        </w:tc>
        <w:tc>
          <w:tcPr>
            <w:tcW w:w="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1,155</w:t>
            </w:r>
          </w:p>
        </w:tc>
        <w:tc>
          <w:tcPr>
            <w:tcW w:w="0" w:type="dxa"/>
            <w:vAlign w:val="bottom"/>
          </w:tcPr>
          <w:p>
            <w:pPr>
              <w:spacing w:after="0"/>
              <w:rPr>
                <w:sz w:val="1"/>
                <w:szCs w:val="1"/>
                <w:color w:val="auto"/>
              </w:rPr>
            </w:pPr>
          </w:p>
        </w:tc>
      </w:tr>
      <w:tr>
        <w:trPr>
          <w:trHeight w:val="230"/>
        </w:trPr>
        <w:tc>
          <w:tcPr>
            <w:tcW w:w="6260" w:type="dxa"/>
            <w:vAlign w:val="bottom"/>
          </w:tcPr>
          <w:p>
            <w:pPr>
              <w:spacing w:after="0"/>
              <w:rPr>
                <w:sz w:val="20"/>
                <w:szCs w:val="20"/>
                <w:color w:val="auto"/>
              </w:rPr>
            </w:pPr>
            <w:r>
              <w:rPr>
                <w:rFonts w:ascii="Arial" w:cs="Arial" w:eastAsia="Arial" w:hAnsi="Arial"/>
                <w:sz w:val="16"/>
                <w:szCs w:val="16"/>
                <w:color w:val="auto"/>
              </w:rPr>
              <w:t>Total segment expense</w:t>
            </w:r>
          </w:p>
        </w:tc>
        <w:tc>
          <w:tcPr>
            <w:tcW w:w="2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6,606</w:t>
            </w:r>
          </w:p>
        </w:tc>
        <w:tc>
          <w:tcPr>
            <w:tcW w:w="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4,966</w:t>
            </w:r>
          </w:p>
        </w:tc>
        <w:tc>
          <w:tcPr>
            <w:tcW w:w="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367</w:t>
            </w:r>
          </w:p>
        </w:tc>
        <w:tc>
          <w:tcPr>
            <w:tcW w:w="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11,939</w:t>
            </w:r>
          </w:p>
        </w:tc>
        <w:tc>
          <w:tcPr>
            <w:tcW w:w="0" w:type="dxa"/>
            <w:vAlign w:val="bottom"/>
          </w:tcPr>
          <w:p>
            <w:pPr>
              <w:spacing w:after="0"/>
              <w:rPr>
                <w:sz w:val="1"/>
                <w:szCs w:val="1"/>
                <w:color w:val="auto"/>
              </w:rPr>
            </w:pPr>
          </w:p>
        </w:tc>
      </w:tr>
      <w:tr>
        <w:trPr>
          <w:trHeight w:val="223"/>
        </w:trPr>
        <w:tc>
          <w:tcPr>
            <w:tcW w:w="6260" w:type="dxa"/>
            <w:vAlign w:val="bottom"/>
          </w:tcPr>
          <w:p>
            <w:pPr>
              <w:spacing w:after="0"/>
              <w:rPr>
                <w:sz w:val="20"/>
                <w:szCs w:val="20"/>
                <w:color w:val="auto"/>
              </w:rPr>
            </w:pPr>
            <w:r>
              <w:rPr>
                <w:rFonts w:ascii="Arial" w:cs="Arial" w:eastAsia="Arial" w:hAnsi="Arial"/>
                <w:sz w:val="16"/>
                <w:szCs w:val="16"/>
                <w:color w:val="auto"/>
              </w:rPr>
              <w:t>Earnings (loss) before income taxes and equity in earnings of unconsolidated affiliates</w:t>
            </w:r>
          </w:p>
        </w:tc>
        <w:tc>
          <w:tcPr>
            <w:tcW w:w="2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1,096</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778</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(24)</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(108)</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6"/>
                <w:szCs w:val="16"/>
                <w:b w:val="1"/>
                <w:bCs w:val="1"/>
                <w:color w:val="auto"/>
              </w:rPr>
              <w:t>1,742</w:t>
            </w:r>
          </w:p>
        </w:tc>
        <w:tc>
          <w:tcPr>
            <w:tcW w:w="0" w:type="dxa"/>
            <w:vAlign w:val="bottom"/>
          </w:tcPr>
          <w:p>
            <w:pPr>
              <w:spacing w:after="0"/>
              <w:rPr>
                <w:sz w:val="1"/>
                <w:szCs w:val="1"/>
                <w:color w:val="auto"/>
              </w:rPr>
            </w:pPr>
          </w:p>
        </w:tc>
      </w:tr>
      <w:tr>
        <w:trPr>
          <w:trHeight w:val="257"/>
        </w:trPr>
        <w:tc>
          <w:tcPr>
            <w:tcW w:w="6260" w:type="dxa"/>
            <w:vAlign w:val="bottom"/>
          </w:tcPr>
          <w:p>
            <w:pPr>
              <w:spacing w:after="0"/>
              <w:rPr>
                <w:sz w:val="20"/>
                <w:szCs w:val="20"/>
                <w:color w:val="auto"/>
              </w:rPr>
            </w:pPr>
            <w:r>
              <w:rPr>
                <w:rFonts w:ascii="Arial" w:cs="Arial" w:eastAsia="Arial" w:hAnsi="Arial"/>
                <w:sz w:val="16"/>
                <w:szCs w:val="16"/>
                <w:color w:val="auto"/>
              </w:rPr>
              <w:t>Income tax expense (benefit)</w:t>
            </w:r>
          </w:p>
        </w:tc>
        <w:tc>
          <w:tcPr>
            <w:tcW w:w="22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265</w:t>
            </w:r>
          </w:p>
        </w:tc>
        <w:tc>
          <w:tcPr>
            <w:tcW w:w="8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136</w:t>
            </w:r>
          </w:p>
        </w:tc>
        <w:tc>
          <w:tcPr>
            <w:tcW w:w="6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w:t>
            </w:r>
          </w:p>
        </w:tc>
        <w:tc>
          <w:tcPr>
            <w:tcW w:w="8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367</w:t>
            </w:r>
          </w:p>
        </w:tc>
        <w:tc>
          <w:tcPr>
            <w:tcW w:w="0" w:type="dxa"/>
            <w:vAlign w:val="bottom"/>
          </w:tcPr>
          <w:p>
            <w:pPr>
              <w:spacing w:after="0"/>
              <w:rPr>
                <w:sz w:val="1"/>
                <w:szCs w:val="1"/>
                <w:color w:val="auto"/>
              </w:rPr>
            </w:pPr>
          </w:p>
        </w:tc>
      </w:tr>
      <w:tr>
        <w:trPr>
          <w:trHeight w:val="223"/>
        </w:trPr>
        <w:tc>
          <w:tcPr>
            <w:tcW w:w="6260" w:type="dxa"/>
            <w:vAlign w:val="bottom"/>
          </w:tcPr>
          <w:p>
            <w:pPr>
              <w:spacing w:after="0"/>
              <w:rPr>
                <w:sz w:val="20"/>
                <w:szCs w:val="20"/>
                <w:color w:val="auto"/>
              </w:rPr>
            </w:pPr>
            <w:r>
              <w:rPr>
                <w:rFonts w:ascii="Arial" w:cs="Arial" w:eastAsia="Arial" w:hAnsi="Arial"/>
                <w:sz w:val="16"/>
                <w:szCs w:val="16"/>
                <w:color w:val="auto"/>
              </w:rPr>
              <w:t>Earnings (loss) before equity in earnings of unconsolidated affiliates</w:t>
            </w:r>
          </w:p>
        </w:tc>
        <w:tc>
          <w:tcPr>
            <w:tcW w:w="2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831</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642</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10</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(108)</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6"/>
                <w:szCs w:val="16"/>
                <w:b w:val="1"/>
                <w:bCs w:val="1"/>
                <w:color w:val="auto"/>
              </w:rPr>
              <w:t>1,375</w:t>
            </w:r>
          </w:p>
        </w:tc>
        <w:tc>
          <w:tcPr>
            <w:tcW w:w="0" w:type="dxa"/>
            <w:vAlign w:val="bottom"/>
          </w:tcPr>
          <w:p>
            <w:pPr>
              <w:spacing w:after="0"/>
              <w:rPr>
                <w:sz w:val="1"/>
                <w:szCs w:val="1"/>
                <w:color w:val="auto"/>
              </w:rPr>
            </w:pPr>
          </w:p>
        </w:tc>
      </w:tr>
      <w:tr>
        <w:trPr>
          <w:trHeight w:val="257"/>
        </w:trPr>
        <w:tc>
          <w:tcPr>
            <w:tcW w:w="6260" w:type="dxa"/>
            <w:vAlign w:val="bottom"/>
          </w:tcPr>
          <w:p>
            <w:pPr>
              <w:spacing w:after="0"/>
              <w:rPr>
                <w:sz w:val="20"/>
                <w:szCs w:val="20"/>
                <w:color w:val="auto"/>
              </w:rPr>
            </w:pPr>
            <w:r>
              <w:rPr>
                <w:rFonts w:ascii="Arial" w:cs="Arial" w:eastAsia="Arial" w:hAnsi="Arial"/>
                <w:sz w:val="16"/>
                <w:szCs w:val="16"/>
                <w:color w:val="auto"/>
              </w:rPr>
              <w:t>Equity in earnings of unconsolidated affiliates</w:t>
            </w:r>
          </w:p>
        </w:tc>
        <w:tc>
          <w:tcPr>
            <w:tcW w:w="22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w:t>
            </w:r>
          </w:p>
        </w:tc>
        <w:tc>
          <w:tcPr>
            <w:tcW w:w="8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16</w:t>
            </w:r>
          </w:p>
        </w:tc>
        <w:tc>
          <w:tcPr>
            <w:tcW w:w="0" w:type="dxa"/>
            <w:vAlign w:val="bottom"/>
          </w:tcPr>
          <w:p>
            <w:pPr>
              <w:spacing w:after="0"/>
              <w:rPr>
                <w:sz w:val="1"/>
                <w:szCs w:val="1"/>
                <w:color w:val="auto"/>
              </w:rPr>
            </w:pPr>
          </w:p>
        </w:tc>
      </w:tr>
      <w:tr>
        <w:trPr>
          <w:trHeight w:val="210"/>
        </w:trPr>
        <w:tc>
          <w:tcPr>
            <w:tcW w:w="6260" w:type="dxa"/>
            <w:vAlign w:val="bottom"/>
          </w:tcPr>
          <w:p>
            <w:pPr>
              <w:spacing w:after="0"/>
              <w:rPr>
                <w:sz w:val="20"/>
                <w:szCs w:val="20"/>
                <w:color w:val="auto"/>
              </w:rPr>
            </w:pPr>
            <w:r>
              <w:rPr>
                <w:rFonts w:ascii="Arial" w:cs="Arial" w:eastAsia="Arial" w:hAnsi="Arial"/>
                <w:sz w:val="16"/>
                <w:szCs w:val="16"/>
                <w:color w:val="auto"/>
              </w:rPr>
              <w:t>Net earnings (loss)</w:t>
            </w:r>
          </w:p>
        </w:tc>
        <w:tc>
          <w:tcPr>
            <w:tcW w:w="2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847</w:t>
            </w:r>
          </w:p>
        </w:tc>
        <w:tc>
          <w:tcPr>
            <w:tcW w:w="80" w:type="dxa"/>
            <w:vAlign w:val="bottom"/>
          </w:tcPr>
          <w:p>
            <w:pPr>
              <w:spacing w:after="0"/>
              <w:rPr>
                <w:sz w:val="18"/>
                <w:szCs w:val="18"/>
                <w:color w:val="auto"/>
              </w:rPr>
            </w:pPr>
          </w:p>
        </w:tc>
        <w:tc>
          <w:tcPr>
            <w:tcW w:w="2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642</w:t>
            </w:r>
          </w:p>
        </w:tc>
        <w:tc>
          <w:tcPr>
            <w:tcW w:w="6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w:t>
            </w:r>
          </w:p>
        </w:tc>
        <w:tc>
          <w:tcPr>
            <w:tcW w:w="80" w:type="dxa"/>
            <w:vAlign w:val="bottom"/>
          </w:tcPr>
          <w:p>
            <w:pPr>
              <w:spacing w:after="0"/>
              <w:rPr>
                <w:sz w:val="18"/>
                <w:szCs w:val="18"/>
                <w:color w:val="auto"/>
              </w:rPr>
            </w:pPr>
          </w:p>
        </w:tc>
        <w:tc>
          <w:tcPr>
            <w:tcW w:w="32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(108)</w:t>
            </w:r>
          </w:p>
        </w:tc>
        <w:tc>
          <w:tcPr>
            <w:tcW w:w="60" w:type="dxa"/>
            <w:vAlign w:val="bottom"/>
          </w:tcPr>
          <w:p>
            <w:pPr>
              <w:spacing w:after="0"/>
              <w:rPr>
                <w:sz w:val="18"/>
                <w:szCs w:val="18"/>
                <w:color w:val="auto"/>
              </w:rPr>
            </w:pPr>
          </w:p>
        </w:tc>
        <w:tc>
          <w:tcPr>
            <w:tcW w:w="2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1,391</w:t>
            </w:r>
          </w:p>
        </w:tc>
        <w:tc>
          <w:tcPr>
            <w:tcW w:w="0" w:type="dxa"/>
            <w:vAlign w:val="bottom"/>
          </w:tcPr>
          <w:p>
            <w:pPr>
              <w:spacing w:after="0"/>
              <w:rPr>
                <w:sz w:val="1"/>
                <w:szCs w:val="1"/>
                <w:color w:val="auto"/>
              </w:rPr>
            </w:pPr>
          </w:p>
        </w:tc>
      </w:tr>
      <w:tr>
        <w:trPr>
          <w:trHeight w:val="20"/>
        </w:trPr>
        <w:tc>
          <w:tcPr>
            <w:tcW w:w="6260" w:type="dxa"/>
            <w:vAlign w:val="bottom"/>
            <w:vMerge w:val="restart"/>
          </w:tcPr>
          <w:p>
            <w:pPr>
              <w:spacing w:after="0"/>
              <w:rPr>
                <w:sz w:val="20"/>
                <w:szCs w:val="20"/>
                <w:color w:val="auto"/>
              </w:rPr>
            </w:pPr>
            <w:r>
              <w:rPr>
                <w:rFonts w:ascii="Arial" w:cs="Arial" w:eastAsia="Arial" w:hAnsi="Arial"/>
                <w:sz w:val="16"/>
                <w:szCs w:val="16"/>
                <w:color w:val="auto"/>
              </w:rPr>
              <w:t>Assets</w:t>
            </w:r>
          </w:p>
        </w:tc>
        <w:tc>
          <w:tcPr>
            <w:tcW w:w="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6260" w:type="dxa"/>
            <w:vAlign w:val="bottom"/>
            <w:vMerge w:val="continue"/>
          </w:tcPr>
          <w:p>
            <w:pPr>
              <w:spacing w:after="0"/>
              <w:rPr>
                <w:sz w:val="17"/>
                <w:szCs w:val="17"/>
                <w:color w:val="auto"/>
              </w:rPr>
            </w:pPr>
          </w:p>
        </w:tc>
        <w:tc>
          <w:tcPr>
            <w:tcW w:w="220" w:type="dxa"/>
            <w:vAlign w:val="bottom"/>
            <w:tcBorders>
              <w:top w:val="single" w:sz="8" w:color="auto"/>
            </w:tcBorders>
          </w:tcPr>
          <w:p>
            <w:pPr>
              <w:jc w:val="right"/>
              <w:ind w:right="2"/>
              <w:spacing w:after="0"/>
              <w:rPr>
                <w:sz w:val="20"/>
                <w:szCs w:val="20"/>
                <w:color w:val="auto"/>
              </w:rPr>
            </w:pPr>
            <w:r>
              <w:rPr>
                <w:rFonts w:ascii="Arial" w:cs="Arial" w:eastAsia="Arial" w:hAnsi="Arial"/>
                <w:sz w:val="16"/>
                <w:szCs w:val="16"/>
                <w:color w:val="auto"/>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7,627</w:t>
            </w:r>
          </w:p>
        </w:tc>
        <w:tc>
          <w:tcPr>
            <w:tcW w:w="80" w:type="dxa"/>
            <w:vAlign w:val="bottom"/>
          </w:tcPr>
          <w:p>
            <w:pPr>
              <w:spacing w:after="0"/>
              <w:rPr>
                <w:sz w:val="17"/>
                <w:szCs w:val="17"/>
                <w:color w:val="auto"/>
              </w:rPr>
            </w:pPr>
          </w:p>
        </w:tc>
        <w:tc>
          <w:tcPr>
            <w:tcW w:w="200" w:type="dxa"/>
            <w:vAlign w:val="bottom"/>
            <w:tcBorders>
              <w:top w:val="single" w:sz="8" w:color="auto"/>
            </w:tcBorders>
          </w:tcPr>
          <w:p>
            <w:pPr>
              <w:jc w:val="right"/>
              <w:ind w:right="2"/>
              <w:spacing w:after="0"/>
              <w:rPr>
                <w:sz w:val="20"/>
                <w:szCs w:val="20"/>
                <w:color w:val="auto"/>
              </w:rPr>
            </w:pPr>
            <w:r>
              <w:rPr>
                <w:rFonts w:ascii="Arial" w:cs="Arial" w:eastAsia="Arial" w:hAnsi="Arial"/>
                <w:sz w:val="16"/>
                <w:szCs w:val="16"/>
                <w:color w:val="auto"/>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84,938</w:t>
            </w:r>
          </w:p>
        </w:tc>
        <w:tc>
          <w:tcPr>
            <w:tcW w:w="60" w:type="dxa"/>
            <w:vAlign w:val="bottom"/>
          </w:tcPr>
          <w:p>
            <w:pPr>
              <w:spacing w:after="0"/>
              <w:rPr>
                <w:sz w:val="17"/>
                <w:szCs w:val="17"/>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2,698</w:t>
            </w:r>
          </w:p>
        </w:tc>
        <w:tc>
          <w:tcPr>
            <w:tcW w:w="80" w:type="dxa"/>
            <w:vAlign w:val="bottom"/>
          </w:tcPr>
          <w:p>
            <w:pPr>
              <w:spacing w:after="0"/>
              <w:rPr>
                <w:sz w:val="17"/>
                <w:szCs w:val="17"/>
                <w:color w:val="auto"/>
              </w:rPr>
            </w:pPr>
          </w:p>
        </w:tc>
        <w:tc>
          <w:tcPr>
            <w:tcW w:w="32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200" w:type="dxa"/>
            <w:vAlign w:val="bottom"/>
            <w:tcBorders>
              <w:top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95,263</w:t>
            </w:r>
          </w:p>
        </w:tc>
        <w:tc>
          <w:tcPr>
            <w:tcW w:w="0" w:type="dxa"/>
            <w:vAlign w:val="bottom"/>
          </w:tcPr>
          <w:p>
            <w:pPr>
              <w:spacing w:after="0"/>
              <w:rPr>
                <w:sz w:val="1"/>
                <w:szCs w:val="1"/>
                <w:color w:val="auto"/>
              </w:rPr>
            </w:pPr>
          </w:p>
        </w:tc>
      </w:tr>
      <w:tr>
        <w:trPr>
          <w:trHeight w:val="247"/>
        </w:trPr>
        <w:tc>
          <w:tcPr>
            <w:tcW w:w="6260" w:type="dxa"/>
            <w:vAlign w:val="bottom"/>
          </w:tcPr>
          <w:p>
            <w:pPr>
              <w:spacing w:after="0"/>
              <w:rPr>
                <w:sz w:val="20"/>
                <w:szCs w:val="20"/>
                <w:color w:val="auto"/>
              </w:rPr>
            </w:pPr>
            <w:r>
              <w:rPr>
                <w:rFonts w:ascii="Arial" w:cs="Arial" w:eastAsia="Arial" w:hAnsi="Arial"/>
                <w:sz w:val="16"/>
                <w:szCs w:val="16"/>
                <w:color w:val="auto"/>
              </w:rPr>
              <w:t>Goodwill</w:t>
            </w:r>
          </w:p>
        </w:tc>
        <w:tc>
          <w:tcPr>
            <w:tcW w:w="2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2,799</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2,179</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293</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6"/>
                <w:szCs w:val="16"/>
                <w:b w:val="1"/>
                <w:bCs w:val="1"/>
                <w:color w:val="auto"/>
              </w:rPr>
              <w:t>5,271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-48895</wp:posOffset>
            </wp:positionH>
            <wp:positionV relativeFrom="paragraph">
              <wp:posOffset>-4126865</wp:posOffset>
            </wp:positionV>
            <wp:extent cx="7007860" cy="415099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21">
                      <a:extLst>
                        <a:ext uri="{28A0092B-C50C-407E-A947-70E740481C1C}"/>
                      </a:extLst>
                    </a:blip>
                    <a:srcRect/>
                    <a:stretch>
                      <a:fillRect/>
                    </a:stretch>
                  </pic:blipFill>
                  <pic:spPr bwMode="auto">
                    <a:xfrm>
                      <a:off x="0" y="0"/>
                      <a:ext cx="7007860" cy="4150995"/>
                    </a:xfrm>
                    <a:prstGeom prst="rect">
                      <a:avLst/>
                    </a:prstGeom>
                    <a:noFill/>
                  </pic:spPr>
                </pic:pic>
              </a:graphicData>
            </a:graphic>
          </wp:anchor>
        </w:drawing>
      </w:r>
    </w:p>
    <w:p>
      <w:pPr>
        <w:sectPr>
          <w:pgSz w:w="11880" w:h="15480" w:orient="portrait"/>
          <w:cols w:equalWidth="0" w:num="1">
            <w:col w:w="10940"/>
          </w:cols>
          <w:pgMar w:left="500" w:top="772" w:right="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60"/>
        <w:spacing w:after="0"/>
        <w:rPr>
          <w:sz w:val="20"/>
          <w:szCs w:val="20"/>
          <w:color w:val="auto"/>
        </w:rPr>
      </w:pPr>
      <w:r>
        <w:rPr>
          <w:rFonts w:ascii="Arial" w:cs="Arial" w:eastAsia="Arial" w:hAnsi="Arial"/>
          <w:sz w:val="16"/>
          <w:szCs w:val="16"/>
          <w:color w:val="auto"/>
        </w:rPr>
        <w:t>156</w:t>
      </w:r>
    </w:p>
    <w:p>
      <w:pPr>
        <w:sectPr>
          <w:pgSz w:w="11880" w:h="15480" w:orient="portrait"/>
          <w:cols w:equalWidth="0" w:num="1">
            <w:col w:w="10940"/>
          </w:cols>
          <w:pgMar w:left="500" w:top="772" w:right="440" w:bottom="0" w:gutter="0" w:footer="0" w:header="0"/>
          <w:type w:val="continuous"/>
        </w:sectPr>
      </w:pPr>
    </w:p>
    <w:bookmarkStart w:id="168" w:name="page169"/>
    <w:bookmarkEnd w:id="168"/>
    <w:p>
      <w:pPr>
        <w:ind w:left="700"/>
        <w:spacing w:after="0"/>
        <w:rPr>
          <w:sz w:val="20"/>
          <w:szCs w:val="20"/>
          <w:color w:val="auto"/>
        </w:rPr>
      </w:pPr>
      <w:r>
        <w:rPr>
          <w:rFonts w:ascii="Arial" w:cs="Arial" w:eastAsia="Arial" w:hAnsi="Arial"/>
          <w:sz w:val="20"/>
          <w:szCs w:val="20"/>
          <w:color w:val="auto"/>
        </w:rPr>
        <w:t>As of and for the year ended December 31, 2023:</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vMerge w:val="restart"/>
          </w:tcPr>
          <w:p>
            <w:pPr>
              <w:jc w:val="right"/>
              <w:ind w:right="202"/>
              <w:spacing w:after="0"/>
              <w:rPr>
                <w:sz w:val="20"/>
                <w:szCs w:val="20"/>
                <w:color w:val="auto"/>
              </w:rPr>
            </w:pPr>
            <w:r>
              <w:rPr>
                <w:rFonts w:ascii="Arial" w:cs="Arial" w:eastAsia="Arial" w:hAnsi="Arial"/>
                <w:sz w:val="16"/>
                <w:szCs w:val="16"/>
                <w:color w:val="auto"/>
              </w:rPr>
              <w:t>Title</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vMerge w:val="restart"/>
          </w:tcPr>
          <w:p>
            <w:pPr>
              <w:jc w:val="right"/>
              <w:ind w:right="202"/>
              <w:spacing w:after="0"/>
              <w:rPr>
                <w:sz w:val="20"/>
                <w:szCs w:val="20"/>
                <w:color w:val="auto"/>
              </w:rPr>
            </w:pPr>
            <w:r>
              <w:rPr>
                <w:rFonts w:ascii="Arial" w:cs="Arial" w:eastAsia="Arial" w:hAnsi="Arial"/>
                <w:sz w:val="16"/>
                <w:szCs w:val="16"/>
                <w:color w:val="auto"/>
              </w:rPr>
              <w:t>F&amp;G</w:t>
            </w:r>
          </w:p>
        </w:tc>
        <w:tc>
          <w:tcPr>
            <w:tcW w:w="60" w:type="dxa"/>
            <w:vAlign w:val="bottom"/>
          </w:tcPr>
          <w:p>
            <w:pPr>
              <w:spacing w:after="0"/>
              <w:rPr>
                <w:sz w:val="16"/>
                <w:szCs w:val="16"/>
                <w:color w:val="auto"/>
              </w:rPr>
            </w:pPr>
          </w:p>
        </w:tc>
        <w:tc>
          <w:tcPr>
            <w:tcW w:w="880" w:type="dxa"/>
            <w:vAlign w:val="bottom"/>
            <w:gridSpan w:val="2"/>
          </w:tcPr>
          <w:p>
            <w:pPr>
              <w:jc w:val="right"/>
              <w:ind w:right="42"/>
              <w:spacing w:after="0"/>
              <w:rPr>
                <w:sz w:val="20"/>
                <w:szCs w:val="20"/>
                <w:color w:val="auto"/>
              </w:rPr>
            </w:pPr>
            <w:r>
              <w:rPr>
                <w:rFonts w:ascii="Arial" w:cs="Arial" w:eastAsia="Arial" w:hAnsi="Arial"/>
                <w:sz w:val="16"/>
                <w:szCs w:val="16"/>
                <w:color w:val="auto"/>
              </w:rPr>
              <w:t>Corporate</w:t>
            </w:r>
          </w:p>
        </w:tc>
        <w:tc>
          <w:tcPr>
            <w:tcW w:w="80" w:type="dxa"/>
            <w:vAlign w:val="bottom"/>
          </w:tcPr>
          <w:p>
            <w:pPr>
              <w:spacing w:after="0"/>
              <w:rPr>
                <w:sz w:val="16"/>
                <w:szCs w:val="16"/>
                <w:color w:val="auto"/>
              </w:rPr>
            </w:pPr>
          </w:p>
        </w:tc>
        <w:tc>
          <w:tcPr>
            <w:tcW w:w="880" w:type="dxa"/>
            <w:vAlign w:val="bottom"/>
            <w:gridSpan w:val="2"/>
            <w:vMerge w:val="restart"/>
          </w:tcPr>
          <w:p>
            <w:pPr>
              <w:ind w:left="60"/>
              <w:spacing w:after="0"/>
              <w:rPr>
                <w:sz w:val="20"/>
                <w:szCs w:val="20"/>
                <w:color w:val="auto"/>
              </w:rPr>
            </w:pPr>
            <w:r>
              <w:rPr>
                <w:rFonts w:ascii="Arial" w:cs="Arial" w:eastAsia="Arial" w:hAnsi="Arial"/>
                <w:sz w:val="16"/>
                <w:szCs w:val="16"/>
                <w:color w:val="auto"/>
              </w:rPr>
              <w:t>Elimination</w:t>
            </w: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vMerge w:val="restart"/>
          </w:tcPr>
          <w:p>
            <w:pPr>
              <w:jc w:val="right"/>
              <w:ind w:right="202"/>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0"/>
        </w:trPr>
        <w:tc>
          <w:tcPr>
            <w:tcW w:w="6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vMerge w:val="continue"/>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w w:val="87"/>
              </w:rPr>
              <w:t>and Other</w:t>
            </w:r>
          </w:p>
        </w:tc>
        <w:tc>
          <w:tcPr>
            <w:tcW w:w="80" w:type="dxa"/>
            <w:vAlign w:val="bottom"/>
          </w:tcPr>
          <w:p>
            <w:pPr>
              <w:spacing w:after="0"/>
              <w:rPr>
                <w:sz w:val="18"/>
                <w:szCs w:val="18"/>
                <w:color w:val="auto"/>
              </w:rPr>
            </w:pPr>
          </w:p>
        </w:tc>
        <w:tc>
          <w:tcPr>
            <w:tcW w:w="880" w:type="dxa"/>
            <w:vAlign w:val="bottom"/>
            <w:tcBorders>
              <w:bottom w:val="single" w:sz="8" w:color="auto"/>
            </w:tcBorders>
            <w:gridSpan w:val="2"/>
            <w:vMerge w:val="continue"/>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120" w:type="dxa"/>
            <w:vAlign w:val="bottom"/>
          </w:tcPr>
          <w:p>
            <w:pPr>
              <w:spacing w:after="0"/>
              <w:rPr>
                <w:sz w:val="20"/>
                <w:szCs w:val="20"/>
                <w:color w:val="auto"/>
              </w:rPr>
            </w:pPr>
            <w:r>
              <w:rPr>
                <w:rFonts w:ascii="Arial" w:cs="Arial" w:eastAsia="Arial" w:hAnsi="Arial"/>
                <w:sz w:val="16"/>
                <w:szCs w:val="16"/>
                <w:color w:val="auto"/>
              </w:rPr>
              <w:t>Segment revenues:</w:t>
            </w: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80" w:type="dxa"/>
            <w:vAlign w:val="bottom"/>
            <w:gridSpan w:val="2"/>
          </w:tcPr>
          <w:p>
            <w:pPr>
              <w:ind w:left="40"/>
              <w:spacing w:after="0"/>
              <w:rPr>
                <w:sz w:val="20"/>
                <w:szCs w:val="20"/>
                <w:color w:val="auto"/>
              </w:rPr>
            </w:pPr>
            <w:r>
              <w:rPr>
                <w:rFonts w:ascii="Arial" w:cs="Arial" w:eastAsia="Arial" w:hAnsi="Arial"/>
                <w:sz w:val="16"/>
                <w:szCs w:val="16"/>
                <w:b w:val="1"/>
                <w:bCs w:val="1"/>
                <w:color w:val="auto"/>
                <w:w w:val="91"/>
              </w:rPr>
              <w:t>(In millions)</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9"/>
        </w:trPr>
        <w:tc>
          <w:tcPr>
            <w:tcW w:w="6120" w:type="dxa"/>
            <w:vAlign w:val="bottom"/>
          </w:tcPr>
          <w:p>
            <w:pPr>
              <w:spacing w:after="0"/>
              <w:rPr>
                <w:sz w:val="20"/>
                <w:szCs w:val="20"/>
                <w:color w:val="auto"/>
              </w:rPr>
            </w:pPr>
            <w:r>
              <w:rPr>
                <w:rFonts w:ascii="Arial" w:cs="Arial" w:eastAsia="Arial" w:hAnsi="Arial"/>
                <w:sz w:val="16"/>
                <w:szCs w:val="16"/>
                <w:color w:val="auto"/>
              </w:rPr>
              <w:t>Direct title insurance premiums</w:t>
            </w:r>
          </w:p>
        </w:tc>
        <w:tc>
          <w:tcPr>
            <w:tcW w:w="22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1,982</w:t>
            </w:r>
          </w:p>
        </w:tc>
        <w:tc>
          <w:tcPr>
            <w:tcW w:w="280" w:type="dxa"/>
            <w:vAlign w:val="bottom"/>
            <w:gridSpan w:val="2"/>
          </w:tcPr>
          <w:p>
            <w:pPr>
              <w:jc w:val="right"/>
              <w:ind w:right="2"/>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gridSpan w:val="2"/>
          </w:tcPr>
          <w:p>
            <w:pPr>
              <w:ind w:left="120"/>
              <w:spacing w:after="0"/>
              <w:rPr>
                <w:sz w:val="20"/>
                <w:szCs w:val="20"/>
                <w:color w:val="auto"/>
              </w:rPr>
            </w:pPr>
            <w:r>
              <w:rPr>
                <w:rFonts w:ascii="Arial" w:cs="Arial" w:eastAsia="Arial" w:hAnsi="Arial"/>
                <w:sz w:val="10"/>
                <w:szCs w:val="10"/>
                <w:color w:val="auto"/>
                <w:w w:val="71"/>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440" w:type="dxa"/>
            <w:vAlign w:val="bottom"/>
            <w:gridSpan w:val="2"/>
          </w:tcPr>
          <w:p>
            <w:pPr>
              <w:ind w:left="120"/>
              <w:spacing w:after="0"/>
              <w:rPr>
                <w:sz w:val="20"/>
                <w:szCs w:val="20"/>
                <w:color w:val="auto"/>
              </w:rPr>
            </w:pPr>
            <w:r>
              <w:rPr>
                <w:rFonts w:ascii="Arial" w:cs="Arial" w:eastAsia="Arial" w:hAnsi="Arial"/>
                <w:sz w:val="16"/>
                <w:szCs w:val="16"/>
                <w:color w:val="auto"/>
              </w:rPr>
              <w:t>$</w:t>
            </w:r>
          </w:p>
        </w:tc>
        <w:tc>
          <w:tcPr>
            <w:tcW w:w="52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260" w:type="dxa"/>
            <w:vAlign w:val="bottom"/>
            <w:gridSpan w:val="2"/>
          </w:tcPr>
          <w:p>
            <w:pPr>
              <w:jc w:val="right"/>
              <w:spacing w:after="0"/>
              <w:rPr>
                <w:sz w:val="20"/>
                <w:szCs w:val="20"/>
                <w:color w:val="auto"/>
              </w:rPr>
            </w:pPr>
            <w:r>
              <w:rPr>
                <w:rFonts w:ascii="Arial" w:cs="Arial" w:eastAsia="Arial" w:hAnsi="Arial"/>
                <w:sz w:val="16"/>
                <w:szCs w:val="16"/>
                <w:b w:val="1"/>
                <w:bCs w:val="1"/>
                <w:color w:val="auto"/>
              </w:rPr>
              <w:t>$</w:t>
            </w:r>
          </w:p>
        </w:tc>
        <w:tc>
          <w:tcPr>
            <w:tcW w:w="700" w:type="dxa"/>
            <w:vAlign w:val="bottom"/>
          </w:tcPr>
          <w:p>
            <w:pPr>
              <w:jc w:val="right"/>
              <w:ind w:right="2"/>
              <w:spacing w:after="0"/>
              <w:rPr>
                <w:sz w:val="20"/>
                <w:szCs w:val="20"/>
                <w:color w:val="auto"/>
              </w:rPr>
            </w:pPr>
            <w:r>
              <w:rPr>
                <w:rFonts w:ascii="Arial" w:cs="Arial" w:eastAsia="Arial" w:hAnsi="Arial"/>
                <w:sz w:val="16"/>
                <w:szCs w:val="16"/>
                <w:b w:val="1"/>
                <w:bCs w:val="1"/>
                <w:color w:val="auto"/>
              </w:rPr>
              <w:t>1,982</w:t>
            </w:r>
          </w:p>
        </w:tc>
        <w:tc>
          <w:tcPr>
            <w:tcW w:w="0" w:type="dxa"/>
            <w:vAlign w:val="bottom"/>
          </w:tcPr>
          <w:p>
            <w:pPr>
              <w:spacing w:after="0"/>
              <w:rPr>
                <w:sz w:val="1"/>
                <w:szCs w:val="1"/>
                <w:color w:val="auto"/>
              </w:rPr>
            </w:pPr>
          </w:p>
        </w:tc>
      </w:tr>
      <w:tr>
        <w:trPr>
          <w:trHeight w:val="279"/>
        </w:trPr>
        <w:tc>
          <w:tcPr>
            <w:tcW w:w="6120" w:type="dxa"/>
            <w:vAlign w:val="bottom"/>
          </w:tcPr>
          <w:p>
            <w:pPr>
              <w:spacing w:after="0"/>
              <w:rPr>
                <w:sz w:val="20"/>
                <w:szCs w:val="20"/>
                <w:color w:val="auto"/>
              </w:rPr>
            </w:pPr>
            <w:r>
              <w:rPr>
                <w:rFonts w:ascii="Arial" w:cs="Arial" w:eastAsia="Arial" w:hAnsi="Arial"/>
                <w:sz w:val="16"/>
                <w:szCs w:val="16"/>
                <w:color w:val="auto"/>
              </w:rPr>
              <w:t>Agency title insurance premiums</w:t>
            </w:r>
          </w:p>
        </w:tc>
        <w:tc>
          <w:tcPr>
            <w:tcW w:w="22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2,610</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2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jc w:val="right"/>
              <w:ind w:right="2"/>
              <w:spacing w:after="0"/>
              <w:rPr>
                <w:sz w:val="20"/>
                <w:szCs w:val="20"/>
                <w:color w:val="auto"/>
              </w:rPr>
            </w:pPr>
            <w:r>
              <w:rPr>
                <w:rFonts w:ascii="Arial" w:cs="Arial" w:eastAsia="Arial" w:hAnsi="Arial"/>
                <w:sz w:val="16"/>
                <w:szCs w:val="16"/>
                <w:b w:val="1"/>
                <w:bCs w:val="1"/>
                <w:color w:val="auto"/>
              </w:rPr>
              <w:t>2,610</w:t>
            </w:r>
          </w:p>
        </w:tc>
        <w:tc>
          <w:tcPr>
            <w:tcW w:w="0" w:type="dxa"/>
            <w:vAlign w:val="bottom"/>
          </w:tcPr>
          <w:p>
            <w:pPr>
              <w:spacing w:after="0"/>
              <w:rPr>
                <w:sz w:val="1"/>
                <w:szCs w:val="1"/>
                <w:color w:val="auto"/>
              </w:rPr>
            </w:pPr>
          </w:p>
        </w:tc>
      </w:tr>
      <w:tr>
        <w:trPr>
          <w:trHeight w:val="279"/>
        </w:trPr>
        <w:tc>
          <w:tcPr>
            <w:tcW w:w="6120" w:type="dxa"/>
            <w:vAlign w:val="bottom"/>
          </w:tcPr>
          <w:p>
            <w:pPr>
              <w:spacing w:after="0"/>
              <w:rPr>
                <w:sz w:val="20"/>
                <w:szCs w:val="20"/>
                <w:color w:val="auto"/>
              </w:rPr>
            </w:pPr>
            <w:r>
              <w:rPr>
                <w:rFonts w:ascii="Arial" w:cs="Arial" w:eastAsia="Arial" w:hAnsi="Arial"/>
                <w:sz w:val="16"/>
                <w:szCs w:val="16"/>
                <w:color w:val="auto"/>
              </w:rPr>
              <w:t>Escrow, title related and other fees</w:t>
            </w:r>
          </w:p>
        </w:tc>
        <w:tc>
          <w:tcPr>
            <w:tcW w:w="22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2,117</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2,413</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187</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2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jc w:val="right"/>
              <w:ind w:right="2"/>
              <w:spacing w:after="0"/>
              <w:rPr>
                <w:sz w:val="20"/>
                <w:szCs w:val="20"/>
                <w:color w:val="auto"/>
              </w:rPr>
            </w:pPr>
            <w:r>
              <w:rPr>
                <w:rFonts w:ascii="Arial" w:cs="Arial" w:eastAsia="Arial" w:hAnsi="Arial"/>
                <w:sz w:val="16"/>
                <w:szCs w:val="16"/>
                <w:b w:val="1"/>
                <w:bCs w:val="1"/>
                <w:color w:val="auto"/>
              </w:rPr>
              <w:t>4,717</w:t>
            </w:r>
          </w:p>
        </w:tc>
        <w:tc>
          <w:tcPr>
            <w:tcW w:w="0" w:type="dxa"/>
            <w:vAlign w:val="bottom"/>
          </w:tcPr>
          <w:p>
            <w:pPr>
              <w:spacing w:after="0"/>
              <w:rPr>
                <w:sz w:val="1"/>
                <w:szCs w:val="1"/>
                <w:color w:val="auto"/>
              </w:rPr>
            </w:pPr>
          </w:p>
        </w:tc>
      </w:tr>
      <w:tr>
        <w:trPr>
          <w:trHeight w:val="250"/>
        </w:trPr>
        <w:tc>
          <w:tcPr>
            <w:tcW w:w="6120" w:type="dxa"/>
            <w:vAlign w:val="bottom"/>
          </w:tcPr>
          <w:p>
            <w:pPr>
              <w:spacing w:after="0"/>
              <w:rPr>
                <w:sz w:val="20"/>
                <w:szCs w:val="20"/>
                <w:color w:val="auto"/>
              </w:rPr>
            </w:pPr>
            <w:r>
              <w:rPr>
                <w:rFonts w:ascii="Arial" w:cs="Arial" w:eastAsia="Arial" w:hAnsi="Arial"/>
                <w:sz w:val="16"/>
                <w:szCs w:val="16"/>
                <w:color w:val="auto"/>
              </w:rPr>
              <w:t>Interest and investment income</w:t>
            </w:r>
          </w:p>
        </w:tc>
        <w:tc>
          <w:tcPr>
            <w:tcW w:w="2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338</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2,211</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123</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(65)</w:t>
            </w: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2"/>
              <w:spacing w:after="0"/>
              <w:rPr>
                <w:sz w:val="20"/>
                <w:szCs w:val="20"/>
                <w:color w:val="auto"/>
              </w:rPr>
            </w:pPr>
            <w:r>
              <w:rPr>
                <w:rFonts w:ascii="Arial" w:cs="Arial" w:eastAsia="Arial" w:hAnsi="Arial"/>
                <w:sz w:val="16"/>
                <w:szCs w:val="16"/>
                <w:b w:val="1"/>
                <w:bCs w:val="1"/>
                <w:color w:val="auto"/>
              </w:rPr>
              <w:t>2,607</w:t>
            </w:r>
          </w:p>
        </w:tc>
        <w:tc>
          <w:tcPr>
            <w:tcW w:w="0" w:type="dxa"/>
            <w:vAlign w:val="bottom"/>
          </w:tcPr>
          <w:p>
            <w:pPr>
              <w:spacing w:after="0"/>
              <w:rPr>
                <w:sz w:val="1"/>
                <w:szCs w:val="1"/>
                <w:color w:val="auto"/>
              </w:rPr>
            </w:pPr>
          </w:p>
        </w:tc>
      </w:tr>
      <w:tr>
        <w:trPr>
          <w:trHeight w:val="257"/>
        </w:trPr>
        <w:tc>
          <w:tcPr>
            <w:tcW w:w="6120" w:type="dxa"/>
            <w:vAlign w:val="bottom"/>
          </w:tcPr>
          <w:p>
            <w:pPr>
              <w:spacing w:after="0"/>
              <w:rPr>
                <w:sz w:val="20"/>
                <w:szCs w:val="20"/>
                <w:color w:val="auto"/>
              </w:rPr>
            </w:pPr>
            <w:r>
              <w:rPr>
                <w:rFonts w:ascii="Arial" w:cs="Arial" w:eastAsia="Arial" w:hAnsi="Arial"/>
                <w:sz w:val="16"/>
                <w:szCs w:val="16"/>
                <w:color w:val="auto"/>
              </w:rPr>
              <w:t>Recognized gains and losses, net</w:t>
            </w:r>
          </w:p>
        </w:tc>
        <w:tc>
          <w:tcPr>
            <w:tcW w:w="22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w:t>
            </w:r>
          </w:p>
        </w:tc>
        <w:tc>
          <w:tcPr>
            <w:tcW w:w="8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(124)</w:t>
            </w:r>
          </w:p>
        </w:tc>
        <w:tc>
          <w:tcPr>
            <w:tcW w:w="6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w:t>
            </w:r>
          </w:p>
        </w:tc>
        <w:tc>
          <w:tcPr>
            <w:tcW w:w="8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(164)</w:t>
            </w:r>
          </w:p>
        </w:tc>
        <w:tc>
          <w:tcPr>
            <w:tcW w:w="0" w:type="dxa"/>
            <w:vAlign w:val="bottom"/>
          </w:tcPr>
          <w:p>
            <w:pPr>
              <w:spacing w:after="0"/>
              <w:rPr>
                <w:sz w:val="1"/>
                <w:szCs w:val="1"/>
                <w:color w:val="auto"/>
              </w:rPr>
            </w:pPr>
          </w:p>
        </w:tc>
      </w:tr>
      <w:tr>
        <w:trPr>
          <w:trHeight w:val="230"/>
        </w:trPr>
        <w:tc>
          <w:tcPr>
            <w:tcW w:w="6120" w:type="dxa"/>
            <w:vAlign w:val="bottom"/>
          </w:tcPr>
          <w:p>
            <w:pPr>
              <w:spacing w:after="0"/>
              <w:rPr>
                <w:sz w:val="20"/>
                <w:szCs w:val="20"/>
                <w:color w:val="auto"/>
              </w:rPr>
            </w:pPr>
            <w:r>
              <w:rPr>
                <w:rFonts w:ascii="Arial" w:cs="Arial" w:eastAsia="Arial" w:hAnsi="Arial"/>
                <w:sz w:val="16"/>
                <w:szCs w:val="16"/>
                <w:color w:val="auto"/>
              </w:rPr>
              <w:t>Total segment revenues</w:t>
            </w:r>
          </w:p>
        </w:tc>
        <w:tc>
          <w:tcPr>
            <w:tcW w:w="2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7,038</w:t>
            </w:r>
          </w:p>
        </w:tc>
        <w:tc>
          <w:tcPr>
            <w:tcW w:w="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4,500</w:t>
            </w:r>
          </w:p>
        </w:tc>
        <w:tc>
          <w:tcPr>
            <w:tcW w:w="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279</w:t>
            </w:r>
          </w:p>
        </w:tc>
        <w:tc>
          <w:tcPr>
            <w:tcW w:w="8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w:t>
            </w:r>
          </w:p>
        </w:tc>
        <w:tc>
          <w:tcPr>
            <w:tcW w:w="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11,752</w:t>
            </w:r>
          </w:p>
        </w:tc>
        <w:tc>
          <w:tcPr>
            <w:tcW w:w="0" w:type="dxa"/>
            <w:vAlign w:val="bottom"/>
          </w:tcPr>
          <w:p>
            <w:pPr>
              <w:spacing w:after="0"/>
              <w:rPr>
                <w:sz w:val="1"/>
                <w:szCs w:val="1"/>
                <w:color w:val="auto"/>
              </w:rPr>
            </w:pPr>
          </w:p>
        </w:tc>
      </w:tr>
      <w:tr>
        <w:trPr>
          <w:trHeight w:val="223"/>
        </w:trPr>
        <w:tc>
          <w:tcPr>
            <w:tcW w:w="6120" w:type="dxa"/>
            <w:vAlign w:val="bottom"/>
          </w:tcPr>
          <w:p>
            <w:pPr>
              <w:spacing w:after="0"/>
              <w:rPr>
                <w:sz w:val="20"/>
                <w:szCs w:val="20"/>
                <w:color w:val="auto"/>
              </w:rPr>
            </w:pPr>
            <w:r>
              <w:rPr>
                <w:rFonts w:ascii="Arial" w:cs="Arial" w:eastAsia="Arial" w:hAnsi="Arial"/>
                <w:sz w:val="16"/>
                <w:szCs w:val="16"/>
                <w:color w:val="auto"/>
              </w:rPr>
              <w:t>Significant segment expenses:</w:t>
            </w: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6120" w:type="dxa"/>
            <w:vAlign w:val="bottom"/>
          </w:tcPr>
          <w:p>
            <w:pPr>
              <w:spacing w:after="0"/>
              <w:rPr>
                <w:sz w:val="20"/>
                <w:szCs w:val="20"/>
                <w:color w:val="auto"/>
              </w:rPr>
            </w:pPr>
            <w:r>
              <w:rPr>
                <w:rFonts w:ascii="Arial" w:cs="Arial" w:eastAsia="Arial" w:hAnsi="Arial"/>
                <w:sz w:val="16"/>
                <w:szCs w:val="16"/>
                <w:color w:val="auto"/>
              </w:rPr>
              <w:t>Personnel costs</w:t>
            </w:r>
          </w:p>
        </w:tc>
        <w:tc>
          <w:tcPr>
            <w:tcW w:w="2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2,544</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232</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132</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2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2"/>
              <w:spacing w:after="0"/>
              <w:rPr>
                <w:sz w:val="20"/>
                <w:szCs w:val="20"/>
                <w:color w:val="auto"/>
              </w:rPr>
            </w:pPr>
            <w:r>
              <w:rPr>
                <w:rFonts w:ascii="Arial" w:cs="Arial" w:eastAsia="Arial" w:hAnsi="Arial"/>
                <w:sz w:val="16"/>
                <w:szCs w:val="16"/>
                <w:b w:val="1"/>
                <w:bCs w:val="1"/>
                <w:color w:val="auto"/>
              </w:rPr>
              <w:t>2,908</w:t>
            </w:r>
          </w:p>
        </w:tc>
        <w:tc>
          <w:tcPr>
            <w:tcW w:w="0" w:type="dxa"/>
            <w:vAlign w:val="bottom"/>
          </w:tcPr>
          <w:p>
            <w:pPr>
              <w:spacing w:after="0"/>
              <w:rPr>
                <w:sz w:val="1"/>
                <w:szCs w:val="1"/>
                <w:color w:val="auto"/>
              </w:rPr>
            </w:pPr>
          </w:p>
        </w:tc>
      </w:tr>
      <w:tr>
        <w:trPr>
          <w:trHeight w:val="250"/>
        </w:trPr>
        <w:tc>
          <w:tcPr>
            <w:tcW w:w="6120" w:type="dxa"/>
            <w:vAlign w:val="bottom"/>
          </w:tcPr>
          <w:p>
            <w:pPr>
              <w:spacing w:after="0"/>
              <w:rPr>
                <w:sz w:val="20"/>
                <w:szCs w:val="20"/>
                <w:color w:val="auto"/>
              </w:rPr>
            </w:pPr>
            <w:r>
              <w:rPr>
                <w:rFonts w:ascii="Arial" w:cs="Arial" w:eastAsia="Arial" w:hAnsi="Arial"/>
                <w:sz w:val="16"/>
                <w:szCs w:val="16"/>
                <w:color w:val="auto"/>
              </w:rPr>
              <w:t>Agent commissions</w:t>
            </w:r>
          </w:p>
        </w:tc>
        <w:tc>
          <w:tcPr>
            <w:tcW w:w="2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2,008</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2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2"/>
              <w:spacing w:after="0"/>
              <w:rPr>
                <w:sz w:val="20"/>
                <w:szCs w:val="20"/>
                <w:color w:val="auto"/>
              </w:rPr>
            </w:pPr>
            <w:r>
              <w:rPr>
                <w:rFonts w:ascii="Arial" w:cs="Arial" w:eastAsia="Arial" w:hAnsi="Arial"/>
                <w:sz w:val="16"/>
                <w:szCs w:val="16"/>
                <w:b w:val="1"/>
                <w:bCs w:val="1"/>
                <w:color w:val="auto"/>
              </w:rPr>
              <w:t>2,008</w:t>
            </w:r>
          </w:p>
        </w:tc>
        <w:tc>
          <w:tcPr>
            <w:tcW w:w="0" w:type="dxa"/>
            <w:vAlign w:val="bottom"/>
          </w:tcPr>
          <w:p>
            <w:pPr>
              <w:spacing w:after="0"/>
              <w:rPr>
                <w:sz w:val="1"/>
                <w:szCs w:val="1"/>
                <w:color w:val="auto"/>
              </w:rPr>
            </w:pPr>
          </w:p>
        </w:tc>
      </w:tr>
      <w:tr>
        <w:trPr>
          <w:trHeight w:val="250"/>
        </w:trPr>
        <w:tc>
          <w:tcPr>
            <w:tcW w:w="6120" w:type="dxa"/>
            <w:vAlign w:val="bottom"/>
          </w:tcPr>
          <w:p>
            <w:pPr>
              <w:spacing w:after="0"/>
              <w:rPr>
                <w:sz w:val="20"/>
                <w:szCs w:val="20"/>
                <w:color w:val="auto"/>
              </w:rPr>
            </w:pPr>
            <w:r>
              <w:rPr>
                <w:rFonts w:ascii="Arial" w:cs="Arial" w:eastAsia="Arial" w:hAnsi="Arial"/>
                <w:sz w:val="16"/>
                <w:szCs w:val="16"/>
                <w:color w:val="auto"/>
              </w:rPr>
              <w:t>Other operating expenses</w:t>
            </w:r>
          </w:p>
        </w:tc>
        <w:tc>
          <w:tcPr>
            <w:tcW w:w="2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1,242</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146</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133</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2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2"/>
              <w:spacing w:after="0"/>
              <w:rPr>
                <w:sz w:val="20"/>
                <w:szCs w:val="20"/>
                <w:color w:val="auto"/>
              </w:rPr>
            </w:pPr>
            <w:r>
              <w:rPr>
                <w:rFonts w:ascii="Arial" w:cs="Arial" w:eastAsia="Arial" w:hAnsi="Arial"/>
                <w:sz w:val="16"/>
                <w:szCs w:val="16"/>
                <w:b w:val="1"/>
                <w:bCs w:val="1"/>
                <w:color w:val="auto"/>
              </w:rPr>
              <w:t>1,521</w:t>
            </w:r>
          </w:p>
        </w:tc>
        <w:tc>
          <w:tcPr>
            <w:tcW w:w="0" w:type="dxa"/>
            <w:vAlign w:val="bottom"/>
          </w:tcPr>
          <w:p>
            <w:pPr>
              <w:spacing w:after="0"/>
              <w:rPr>
                <w:sz w:val="1"/>
                <w:szCs w:val="1"/>
                <w:color w:val="auto"/>
              </w:rPr>
            </w:pPr>
          </w:p>
        </w:tc>
      </w:tr>
      <w:tr>
        <w:trPr>
          <w:trHeight w:val="257"/>
        </w:trPr>
        <w:tc>
          <w:tcPr>
            <w:tcW w:w="6120" w:type="dxa"/>
            <w:vAlign w:val="bottom"/>
          </w:tcPr>
          <w:p>
            <w:pPr>
              <w:spacing w:after="0"/>
              <w:rPr>
                <w:sz w:val="20"/>
                <w:szCs w:val="20"/>
                <w:color w:val="auto"/>
              </w:rPr>
            </w:pPr>
            <w:r>
              <w:rPr>
                <w:rFonts w:ascii="Arial" w:cs="Arial" w:eastAsia="Arial" w:hAnsi="Arial"/>
                <w:sz w:val="16"/>
                <w:szCs w:val="16"/>
                <w:color w:val="auto"/>
              </w:rPr>
              <w:t>Benefits and other changes in policy reserves</w:t>
            </w:r>
          </w:p>
        </w:tc>
        <w:tc>
          <w:tcPr>
            <w:tcW w:w="22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3,553</w:t>
            </w:r>
          </w:p>
        </w:tc>
        <w:tc>
          <w:tcPr>
            <w:tcW w:w="6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3,553</w:t>
            </w:r>
          </w:p>
        </w:tc>
        <w:tc>
          <w:tcPr>
            <w:tcW w:w="0" w:type="dxa"/>
            <w:vAlign w:val="bottom"/>
          </w:tcPr>
          <w:p>
            <w:pPr>
              <w:spacing w:after="0"/>
              <w:rPr>
                <w:sz w:val="1"/>
                <w:szCs w:val="1"/>
                <w:color w:val="auto"/>
              </w:rPr>
            </w:pPr>
          </w:p>
        </w:tc>
      </w:tr>
      <w:tr>
        <w:trPr>
          <w:trHeight w:val="230"/>
        </w:trPr>
        <w:tc>
          <w:tcPr>
            <w:tcW w:w="6120" w:type="dxa"/>
            <w:vAlign w:val="bottom"/>
          </w:tcPr>
          <w:p>
            <w:pPr>
              <w:spacing w:after="0"/>
              <w:rPr>
                <w:sz w:val="20"/>
                <w:szCs w:val="20"/>
                <w:color w:val="auto"/>
              </w:rPr>
            </w:pPr>
            <w:r>
              <w:rPr>
                <w:rFonts w:ascii="Arial" w:cs="Arial" w:eastAsia="Arial" w:hAnsi="Arial"/>
                <w:sz w:val="16"/>
                <w:szCs w:val="16"/>
                <w:color w:val="auto"/>
              </w:rPr>
              <w:t>Total significant segment expenses</w:t>
            </w:r>
          </w:p>
        </w:tc>
        <w:tc>
          <w:tcPr>
            <w:tcW w:w="2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5,794</w:t>
            </w:r>
          </w:p>
        </w:tc>
        <w:tc>
          <w:tcPr>
            <w:tcW w:w="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3,931</w:t>
            </w:r>
          </w:p>
        </w:tc>
        <w:tc>
          <w:tcPr>
            <w:tcW w:w="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265</w:t>
            </w:r>
          </w:p>
        </w:tc>
        <w:tc>
          <w:tcPr>
            <w:tcW w:w="8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9,990</w:t>
            </w:r>
          </w:p>
        </w:tc>
        <w:tc>
          <w:tcPr>
            <w:tcW w:w="0" w:type="dxa"/>
            <w:vAlign w:val="bottom"/>
          </w:tcPr>
          <w:p>
            <w:pPr>
              <w:spacing w:after="0"/>
              <w:rPr>
                <w:sz w:val="1"/>
                <w:szCs w:val="1"/>
                <w:color w:val="auto"/>
              </w:rPr>
            </w:pPr>
          </w:p>
        </w:tc>
      </w:tr>
      <w:tr>
        <w:trPr>
          <w:trHeight w:val="223"/>
        </w:trPr>
        <w:tc>
          <w:tcPr>
            <w:tcW w:w="6120" w:type="dxa"/>
            <w:vAlign w:val="bottom"/>
          </w:tcPr>
          <w:p>
            <w:pPr>
              <w:spacing w:after="0"/>
              <w:rPr>
                <w:sz w:val="20"/>
                <w:szCs w:val="20"/>
                <w:color w:val="auto"/>
              </w:rPr>
            </w:pPr>
            <w:r>
              <w:rPr>
                <w:rFonts w:ascii="Arial" w:cs="Arial" w:eastAsia="Arial" w:hAnsi="Arial"/>
                <w:sz w:val="16"/>
                <w:szCs w:val="16"/>
                <w:color w:val="auto"/>
              </w:rPr>
              <w:t>Other segment items:</w:t>
            </w: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6120" w:type="dxa"/>
            <w:vAlign w:val="bottom"/>
          </w:tcPr>
          <w:p>
            <w:pPr>
              <w:spacing w:after="0"/>
              <w:rPr>
                <w:sz w:val="20"/>
                <w:szCs w:val="20"/>
                <w:color w:val="auto"/>
              </w:rPr>
            </w:pPr>
            <w:r>
              <w:rPr>
                <w:rFonts w:ascii="Arial" w:cs="Arial" w:eastAsia="Arial" w:hAnsi="Arial"/>
                <w:sz w:val="16"/>
                <w:szCs w:val="16"/>
                <w:color w:val="auto"/>
              </w:rPr>
              <w:t>Depreciation and amortization</w:t>
            </w:r>
          </w:p>
        </w:tc>
        <w:tc>
          <w:tcPr>
            <w:tcW w:w="2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154</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412</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27</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2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2"/>
              <w:spacing w:after="0"/>
              <w:rPr>
                <w:sz w:val="20"/>
                <w:szCs w:val="20"/>
                <w:color w:val="auto"/>
              </w:rPr>
            </w:pPr>
            <w:r>
              <w:rPr>
                <w:rFonts w:ascii="Arial" w:cs="Arial" w:eastAsia="Arial" w:hAnsi="Arial"/>
                <w:sz w:val="16"/>
                <w:szCs w:val="16"/>
                <w:b w:val="1"/>
                <w:bCs w:val="1"/>
                <w:color w:val="auto"/>
              </w:rPr>
              <w:t>593</w:t>
            </w:r>
          </w:p>
        </w:tc>
        <w:tc>
          <w:tcPr>
            <w:tcW w:w="0" w:type="dxa"/>
            <w:vAlign w:val="bottom"/>
          </w:tcPr>
          <w:p>
            <w:pPr>
              <w:spacing w:after="0"/>
              <w:rPr>
                <w:sz w:val="1"/>
                <w:szCs w:val="1"/>
                <w:color w:val="auto"/>
              </w:rPr>
            </w:pPr>
          </w:p>
        </w:tc>
      </w:tr>
      <w:tr>
        <w:trPr>
          <w:trHeight w:val="250"/>
        </w:trPr>
        <w:tc>
          <w:tcPr>
            <w:tcW w:w="6120" w:type="dxa"/>
            <w:vAlign w:val="bottom"/>
          </w:tcPr>
          <w:p>
            <w:pPr>
              <w:spacing w:after="0"/>
              <w:rPr>
                <w:sz w:val="20"/>
                <w:szCs w:val="20"/>
                <w:color w:val="auto"/>
              </w:rPr>
            </w:pPr>
            <w:r>
              <w:rPr>
                <w:rFonts w:ascii="Arial" w:cs="Arial" w:eastAsia="Arial" w:hAnsi="Arial"/>
                <w:sz w:val="16"/>
                <w:szCs w:val="16"/>
                <w:color w:val="auto"/>
              </w:rPr>
              <w:t>Provision for title claims losses</w:t>
            </w:r>
          </w:p>
        </w:tc>
        <w:tc>
          <w:tcPr>
            <w:tcW w:w="2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207</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2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2"/>
              <w:spacing w:after="0"/>
              <w:rPr>
                <w:sz w:val="20"/>
                <w:szCs w:val="20"/>
                <w:color w:val="auto"/>
              </w:rPr>
            </w:pPr>
            <w:r>
              <w:rPr>
                <w:rFonts w:ascii="Arial" w:cs="Arial" w:eastAsia="Arial" w:hAnsi="Arial"/>
                <w:sz w:val="16"/>
                <w:szCs w:val="16"/>
                <w:b w:val="1"/>
                <w:bCs w:val="1"/>
                <w:color w:val="auto"/>
              </w:rPr>
              <w:t>207</w:t>
            </w:r>
          </w:p>
        </w:tc>
        <w:tc>
          <w:tcPr>
            <w:tcW w:w="0" w:type="dxa"/>
            <w:vAlign w:val="bottom"/>
          </w:tcPr>
          <w:p>
            <w:pPr>
              <w:spacing w:after="0"/>
              <w:rPr>
                <w:sz w:val="1"/>
                <w:szCs w:val="1"/>
                <w:color w:val="auto"/>
              </w:rPr>
            </w:pPr>
          </w:p>
        </w:tc>
      </w:tr>
      <w:tr>
        <w:trPr>
          <w:trHeight w:val="250"/>
        </w:trPr>
        <w:tc>
          <w:tcPr>
            <w:tcW w:w="6120" w:type="dxa"/>
            <w:vAlign w:val="bottom"/>
          </w:tcPr>
          <w:p>
            <w:pPr>
              <w:spacing w:after="0"/>
              <w:rPr>
                <w:sz w:val="20"/>
                <w:szCs w:val="20"/>
                <w:color w:val="auto"/>
              </w:rPr>
            </w:pPr>
            <w:r>
              <w:rPr>
                <w:rFonts w:ascii="Arial" w:cs="Arial" w:eastAsia="Arial" w:hAnsi="Arial"/>
                <w:sz w:val="16"/>
                <w:szCs w:val="16"/>
                <w:color w:val="auto"/>
              </w:rPr>
              <w:t>Market risk benefit gains</w:t>
            </w:r>
          </w:p>
        </w:tc>
        <w:tc>
          <w:tcPr>
            <w:tcW w:w="2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95</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2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2"/>
              <w:spacing w:after="0"/>
              <w:rPr>
                <w:sz w:val="20"/>
                <w:szCs w:val="20"/>
                <w:color w:val="auto"/>
              </w:rPr>
            </w:pPr>
            <w:r>
              <w:rPr>
                <w:rFonts w:ascii="Arial" w:cs="Arial" w:eastAsia="Arial" w:hAnsi="Arial"/>
                <w:sz w:val="16"/>
                <w:szCs w:val="16"/>
                <w:b w:val="1"/>
                <w:bCs w:val="1"/>
                <w:color w:val="auto"/>
              </w:rPr>
              <w:t>95</w:t>
            </w:r>
          </w:p>
        </w:tc>
        <w:tc>
          <w:tcPr>
            <w:tcW w:w="0" w:type="dxa"/>
            <w:vAlign w:val="bottom"/>
          </w:tcPr>
          <w:p>
            <w:pPr>
              <w:spacing w:after="0"/>
              <w:rPr>
                <w:sz w:val="1"/>
                <w:szCs w:val="1"/>
                <w:color w:val="auto"/>
              </w:rPr>
            </w:pPr>
          </w:p>
        </w:tc>
      </w:tr>
      <w:tr>
        <w:trPr>
          <w:trHeight w:val="257"/>
        </w:trPr>
        <w:tc>
          <w:tcPr>
            <w:tcW w:w="6120" w:type="dxa"/>
            <w:vAlign w:val="bottom"/>
          </w:tcPr>
          <w:p>
            <w:pPr>
              <w:spacing w:after="0"/>
              <w:rPr>
                <w:sz w:val="20"/>
                <w:szCs w:val="20"/>
                <w:color w:val="auto"/>
              </w:rPr>
            </w:pPr>
            <w:r>
              <w:rPr>
                <w:rFonts w:ascii="Arial" w:cs="Arial" w:eastAsia="Arial" w:hAnsi="Arial"/>
                <w:sz w:val="16"/>
                <w:szCs w:val="16"/>
                <w:color w:val="auto"/>
              </w:rPr>
              <w:t>Interest expense</w:t>
            </w:r>
          </w:p>
        </w:tc>
        <w:tc>
          <w:tcPr>
            <w:tcW w:w="22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97</w:t>
            </w:r>
          </w:p>
        </w:tc>
        <w:tc>
          <w:tcPr>
            <w:tcW w:w="6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w:t>
            </w:r>
          </w:p>
        </w:tc>
        <w:tc>
          <w:tcPr>
            <w:tcW w:w="8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174</w:t>
            </w:r>
          </w:p>
        </w:tc>
        <w:tc>
          <w:tcPr>
            <w:tcW w:w="0" w:type="dxa"/>
            <w:vAlign w:val="bottom"/>
          </w:tcPr>
          <w:p>
            <w:pPr>
              <w:spacing w:after="0"/>
              <w:rPr>
                <w:sz w:val="1"/>
                <w:szCs w:val="1"/>
                <w:color w:val="auto"/>
              </w:rPr>
            </w:pPr>
          </w:p>
        </w:tc>
      </w:tr>
      <w:tr>
        <w:trPr>
          <w:trHeight w:val="230"/>
        </w:trPr>
        <w:tc>
          <w:tcPr>
            <w:tcW w:w="6120" w:type="dxa"/>
            <w:vAlign w:val="bottom"/>
          </w:tcPr>
          <w:p>
            <w:pPr>
              <w:spacing w:after="0"/>
              <w:rPr>
                <w:sz w:val="20"/>
                <w:szCs w:val="20"/>
                <w:color w:val="auto"/>
              </w:rPr>
            </w:pPr>
            <w:r>
              <w:rPr>
                <w:rFonts w:ascii="Arial" w:cs="Arial" w:eastAsia="Arial" w:hAnsi="Arial"/>
                <w:sz w:val="16"/>
                <w:szCs w:val="16"/>
                <w:color w:val="auto"/>
              </w:rPr>
              <w:t>Total other segment items</w:t>
            </w:r>
          </w:p>
        </w:tc>
        <w:tc>
          <w:tcPr>
            <w:tcW w:w="2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361</w:t>
            </w:r>
          </w:p>
        </w:tc>
        <w:tc>
          <w:tcPr>
            <w:tcW w:w="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604</w:t>
            </w:r>
          </w:p>
        </w:tc>
        <w:tc>
          <w:tcPr>
            <w:tcW w:w="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104</w:t>
            </w:r>
          </w:p>
        </w:tc>
        <w:tc>
          <w:tcPr>
            <w:tcW w:w="8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1,069</w:t>
            </w:r>
          </w:p>
        </w:tc>
        <w:tc>
          <w:tcPr>
            <w:tcW w:w="0" w:type="dxa"/>
            <w:vAlign w:val="bottom"/>
          </w:tcPr>
          <w:p>
            <w:pPr>
              <w:spacing w:after="0"/>
              <w:rPr>
                <w:sz w:val="1"/>
                <w:szCs w:val="1"/>
                <w:color w:val="auto"/>
              </w:rPr>
            </w:pPr>
          </w:p>
        </w:tc>
      </w:tr>
      <w:tr>
        <w:trPr>
          <w:trHeight w:val="230"/>
        </w:trPr>
        <w:tc>
          <w:tcPr>
            <w:tcW w:w="6120" w:type="dxa"/>
            <w:vAlign w:val="bottom"/>
          </w:tcPr>
          <w:p>
            <w:pPr>
              <w:spacing w:after="0"/>
              <w:rPr>
                <w:sz w:val="20"/>
                <w:szCs w:val="20"/>
                <w:color w:val="auto"/>
              </w:rPr>
            </w:pPr>
            <w:r>
              <w:rPr>
                <w:rFonts w:ascii="Arial" w:cs="Arial" w:eastAsia="Arial" w:hAnsi="Arial"/>
                <w:sz w:val="16"/>
                <w:szCs w:val="16"/>
                <w:color w:val="auto"/>
              </w:rPr>
              <w:t>Total segment expenses</w:t>
            </w:r>
          </w:p>
        </w:tc>
        <w:tc>
          <w:tcPr>
            <w:tcW w:w="2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6,155</w:t>
            </w:r>
          </w:p>
        </w:tc>
        <w:tc>
          <w:tcPr>
            <w:tcW w:w="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4,535</w:t>
            </w:r>
          </w:p>
        </w:tc>
        <w:tc>
          <w:tcPr>
            <w:tcW w:w="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369</w:t>
            </w:r>
          </w:p>
        </w:tc>
        <w:tc>
          <w:tcPr>
            <w:tcW w:w="8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11,059</w:t>
            </w:r>
          </w:p>
        </w:tc>
        <w:tc>
          <w:tcPr>
            <w:tcW w:w="0" w:type="dxa"/>
            <w:vAlign w:val="bottom"/>
          </w:tcPr>
          <w:p>
            <w:pPr>
              <w:spacing w:after="0"/>
              <w:rPr>
                <w:sz w:val="1"/>
                <w:szCs w:val="1"/>
                <w:color w:val="auto"/>
              </w:rPr>
            </w:pPr>
          </w:p>
        </w:tc>
      </w:tr>
      <w:tr>
        <w:trPr>
          <w:trHeight w:val="223"/>
        </w:trPr>
        <w:tc>
          <w:tcPr>
            <w:tcW w:w="6120" w:type="dxa"/>
            <w:vAlign w:val="bottom"/>
          </w:tcPr>
          <w:p>
            <w:pPr>
              <w:spacing w:after="0"/>
              <w:rPr>
                <w:sz w:val="20"/>
                <w:szCs w:val="20"/>
                <w:color w:val="auto"/>
              </w:rPr>
            </w:pPr>
            <w:r>
              <w:rPr>
                <w:rFonts w:ascii="Arial" w:cs="Arial" w:eastAsia="Arial" w:hAnsi="Arial"/>
                <w:sz w:val="16"/>
                <w:szCs w:val="16"/>
                <w:color w:val="auto"/>
              </w:rPr>
              <w:t>Earnings (loss) before income taxes and equity in earnings of unconsolidated affiliates</w:t>
            </w:r>
          </w:p>
        </w:tc>
        <w:tc>
          <w:tcPr>
            <w:tcW w:w="2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883</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(35)</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(90)</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(65)</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ind w:right="2"/>
              <w:spacing w:after="0"/>
              <w:rPr>
                <w:sz w:val="20"/>
                <w:szCs w:val="20"/>
                <w:color w:val="auto"/>
              </w:rPr>
            </w:pPr>
            <w:r>
              <w:rPr>
                <w:rFonts w:ascii="Arial" w:cs="Arial" w:eastAsia="Arial" w:hAnsi="Arial"/>
                <w:sz w:val="16"/>
                <w:szCs w:val="16"/>
                <w:b w:val="1"/>
                <w:bCs w:val="1"/>
                <w:color w:val="auto"/>
              </w:rPr>
              <w:t>693</w:t>
            </w:r>
          </w:p>
        </w:tc>
        <w:tc>
          <w:tcPr>
            <w:tcW w:w="0" w:type="dxa"/>
            <w:vAlign w:val="bottom"/>
          </w:tcPr>
          <w:p>
            <w:pPr>
              <w:spacing w:after="0"/>
              <w:rPr>
                <w:sz w:val="1"/>
                <w:szCs w:val="1"/>
                <w:color w:val="auto"/>
              </w:rPr>
            </w:pPr>
          </w:p>
        </w:tc>
      </w:tr>
      <w:tr>
        <w:trPr>
          <w:trHeight w:val="257"/>
        </w:trPr>
        <w:tc>
          <w:tcPr>
            <w:tcW w:w="6120" w:type="dxa"/>
            <w:vAlign w:val="bottom"/>
          </w:tcPr>
          <w:p>
            <w:pPr>
              <w:spacing w:after="0"/>
              <w:rPr>
                <w:sz w:val="20"/>
                <w:szCs w:val="20"/>
                <w:color w:val="auto"/>
              </w:rPr>
            </w:pPr>
            <w:r>
              <w:rPr>
                <w:rFonts w:ascii="Arial" w:cs="Arial" w:eastAsia="Arial" w:hAnsi="Arial"/>
                <w:sz w:val="16"/>
                <w:szCs w:val="16"/>
                <w:color w:val="auto"/>
              </w:rPr>
              <w:t>Income tax expense (benefit)</w:t>
            </w:r>
          </w:p>
        </w:tc>
        <w:tc>
          <w:tcPr>
            <w:tcW w:w="22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181</w:t>
            </w:r>
          </w:p>
        </w:tc>
        <w:tc>
          <w:tcPr>
            <w:tcW w:w="8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w:t>
            </w:r>
          </w:p>
        </w:tc>
        <w:tc>
          <w:tcPr>
            <w:tcW w:w="6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w:t>
            </w:r>
          </w:p>
        </w:tc>
        <w:tc>
          <w:tcPr>
            <w:tcW w:w="8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192</w:t>
            </w:r>
          </w:p>
        </w:tc>
        <w:tc>
          <w:tcPr>
            <w:tcW w:w="0" w:type="dxa"/>
            <w:vAlign w:val="bottom"/>
          </w:tcPr>
          <w:p>
            <w:pPr>
              <w:spacing w:after="0"/>
              <w:rPr>
                <w:sz w:val="1"/>
                <w:szCs w:val="1"/>
                <w:color w:val="auto"/>
              </w:rPr>
            </w:pPr>
          </w:p>
        </w:tc>
      </w:tr>
      <w:tr>
        <w:trPr>
          <w:trHeight w:val="223"/>
        </w:trPr>
        <w:tc>
          <w:tcPr>
            <w:tcW w:w="6120" w:type="dxa"/>
            <w:vAlign w:val="bottom"/>
          </w:tcPr>
          <w:p>
            <w:pPr>
              <w:spacing w:after="0"/>
              <w:rPr>
                <w:sz w:val="20"/>
                <w:szCs w:val="20"/>
                <w:color w:val="auto"/>
              </w:rPr>
            </w:pPr>
            <w:r>
              <w:rPr>
                <w:rFonts w:ascii="Arial" w:cs="Arial" w:eastAsia="Arial" w:hAnsi="Arial"/>
                <w:sz w:val="16"/>
                <w:szCs w:val="16"/>
                <w:color w:val="auto"/>
              </w:rPr>
              <w:t>Earnings (loss) before equity in earnings of unconsolidated affiliates</w:t>
            </w:r>
          </w:p>
        </w:tc>
        <w:tc>
          <w:tcPr>
            <w:tcW w:w="2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702</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(58)</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(78)</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(65)</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ind w:right="2"/>
              <w:spacing w:after="0"/>
              <w:rPr>
                <w:sz w:val="20"/>
                <w:szCs w:val="20"/>
                <w:color w:val="auto"/>
              </w:rPr>
            </w:pPr>
            <w:r>
              <w:rPr>
                <w:rFonts w:ascii="Arial" w:cs="Arial" w:eastAsia="Arial" w:hAnsi="Arial"/>
                <w:sz w:val="16"/>
                <w:szCs w:val="16"/>
                <w:b w:val="1"/>
                <w:bCs w:val="1"/>
                <w:color w:val="auto"/>
              </w:rPr>
              <w:t>501</w:t>
            </w:r>
          </w:p>
        </w:tc>
        <w:tc>
          <w:tcPr>
            <w:tcW w:w="0" w:type="dxa"/>
            <w:vAlign w:val="bottom"/>
          </w:tcPr>
          <w:p>
            <w:pPr>
              <w:spacing w:after="0"/>
              <w:rPr>
                <w:sz w:val="1"/>
                <w:szCs w:val="1"/>
                <w:color w:val="auto"/>
              </w:rPr>
            </w:pPr>
          </w:p>
        </w:tc>
      </w:tr>
      <w:tr>
        <w:trPr>
          <w:trHeight w:val="257"/>
        </w:trPr>
        <w:tc>
          <w:tcPr>
            <w:tcW w:w="6120" w:type="dxa"/>
            <w:vAlign w:val="bottom"/>
          </w:tcPr>
          <w:p>
            <w:pPr>
              <w:spacing w:after="0"/>
              <w:rPr>
                <w:sz w:val="20"/>
                <w:szCs w:val="20"/>
                <w:color w:val="auto"/>
              </w:rPr>
            </w:pPr>
            <w:r>
              <w:rPr>
                <w:rFonts w:ascii="Arial" w:cs="Arial" w:eastAsia="Arial" w:hAnsi="Arial"/>
                <w:sz w:val="16"/>
                <w:szCs w:val="16"/>
                <w:color w:val="auto"/>
              </w:rPr>
              <w:t>Equity in earnings of unconsolidated affiliates</w:t>
            </w:r>
          </w:p>
        </w:tc>
        <w:tc>
          <w:tcPr>
            <w:tcW w:w="22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w:t>
            </w:r>
          </w:p>
        </w:tc>
        <w:tc>
          <w:tcPr>
            <w:tcW w:w="8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17</w:t>
            </w:r>
          </w:p>
        </w:tc>
        <w:tc>
          <w:tcPr>
            <w:tcW w:w="0" w:type="dxa"/>
            <w:vAlign w:val="bottom"/>
          </w:tcPr>
          <w:p>
            <w:pPr>
              <w:spacing w:after="0"/>
              <w:rPr>
                <w:sz w:val="1"/>
                <w:szCs w:val="1"/>
                <w:color w:val="auto"/>
              </w:rPr>
            </w:pPr>
          </w:p>
        </w:tc>
      </w:tr>
      <w:tr>
        <w:trPr>
          <w:trHeight w:val="210"/>
        </w:trPr>
        <w:tc>
          <w:tcPr>
            <w:tcW w:w="6120" w:type="dxa"/>
            <w:vAlign w:val="bottom"/>
          </w:tcPr>
          <w:p>
            <w:pPr>
              <w:spacing w:after="0"/>
              <w:rPr>
                <w:sz w:val="20"/>
                <w:szCs w:val="20"/>
                <w:color w:val="auto"/>
              </w:rPr>
            </w:pPr>
            <w:r>
              <w:rPr>
                <w:rFonts w:ascii="Arial" w:cs="Arial" w:eastAsia="Arial" w:hAnsi="Arial"/>
                <w:sz w:val="16"/>
                <w:szCs w:val="16"/>
                <w:color w:val="auto"/>
              </w:rPr>
              <w:t>Net earnings (loss)</w:t>
            </w:r>
          </w:p>
        </w:tc>
        <w:tc>
          <w:tcPr>
            <w:tcW w:w="2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719</w:t>
            </w:r>
          </w:p>
        </w:tc>
        <w:tc>
          <w:tcPr>
            <w:tcW w:w="80" w:type="dxa"/>
            <w:vAlign w:val="bottom"/>
          </w:tcPr>
          <w:p>
            <w:pPr>
              <w:spacing w:after="0"/>
              <w:rPr>
                <w:sz w:val="18"/>
                <w:szCs w:val="18"/>
                <w:color w:val="auto"/>
              </w:rPr>
            </w:pPr>
          </w:p>
        </w:tc>
        <w:tc>
          <w:tcPr>
            <w:tcW w:w="2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w:t>
            </w:r>
          </w:p>
        </w:tc>
        <w:tc>
          <w:tcPr>
            <w:tcW w:w="60" w:type="dxa"/>
            <w:vAlign w:val="bottom"/>
          </w:tcPr>
          <w:p>
            <w:pPr>
              <w:spacing w:after="0"/>
              <w:rPr>
                <w:sz w:val="18"/>
                <w:szCs w:val="18"/>
                <w:color w:val="auto"/>
              </w:rPr>
            </w:pPr>
          </w:p>
        </w:tc>
        <w:tc>
          <w:tcPr>
            <w:tcW w:w="120" w:type="dxa"/>
            <w:vAlign w:val="bottom"/>
            <w:tcBorders>
              <w:bottom w:val="single" w:sz="8" w:color="auto"/>
            </w:tcBorders>
          </w:tcPr>
          <w:p>
            <w:pPr>
              <w:ind w:left="60"/>
              <w:spacing w:after="0"/>
              <w:rPr>
                <w:sz w:val="20"/>
                <w:szCs w:val="20"/>
                <w:color w:val="auto"/>
              </w:rPr>
            </w:pPr>
            <w:r>
              <w:rPr>
                <w:rFonts w:ascii="Arial" w:cs="Arial" w:eastAsia="Arial" w:hAnsi="Arial"/>
                <w:sz w:val="10"/>
                <w:szCs w:val="10"/>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w:t>
            </w:r>
          </w:p>
        </w:tc>
        <w:tc>
          <w:tcPr>
            <w:tcW w:w="80" w:type="dxa"/>
            <w:vAlign w:val="bottom"/>
          </w:tcPr>
          <w:p>
            <w:pPr>
              <w:spacing w:after="0"/>
              <w:rPr>
                <w:sz w:val="18"/>
                <w:szCs w:val="18"/>
                <w:color w:val="auto"/>
              </w:rPr>
            </w:pPr>
          </w:p>
        </w:tc>
        <w:tc>
          <w:tcPr>
            <w:tcW w:w="36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w:t>
            </w:r>
          </w:p>
        </w:tc>
        <w:tc>
          <w:tcPr>
            <w:tcW w:w="60" w:type="dxa"/>
            <w:vAlign w:val="bottom"/>
          </w:tcPr>
          <w:p>
            <w:pPr>
              <w:spacing w:after="0"/>
              <w:rPr>
                <w:sz w:val="18"/>
                <w:szCs w:val="18"/>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7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518</w:t>
            </w:r>
          </w:p>
        </w:tc>
        <w:tc>
          <w:tcPr>
            <w:tcW w:w="0" w:type="dxa"/>
            <w:vAlign w:val="bottom"/>
          </w:tcPr>
          <w:p>
            <w:pPr>
              <w:spacing w:after="0"/>
              <w:rPr>
                <w:sz w:val="1"/>
                <w:szCs w:val="1"/>
                <w:color w:val="auto"/>
              </w:rPr>
            </w:pPr>
          </w:p>
        </w:tc>
      </w:tr>
      <w:tr>
        <w:trPr>
          <w:trHeight w:val="20"/>
        </w:trPr>
        <w:tc>
          <w:tcPr>
            <w:tcW w:w="6120" w:type="dxa"/>
            <w:vAlign w:val="bottom"/>
            <w:vMerge w:val="restart"/>
          </w:tcPr>
          <w:p>
            <w:pPr>
              <w:spacing w:after="0"/>
              <w:rPr>
                <w:sz w:val="20"/>
                <w:szCs w:val="20"/>
                <w:color w:val="auto"/>
              </w:rPr>
            </w:pPr>
            <w:r>
              <w:rPr>
                <w:rFonts w:ascii="Arial" w:cs="Arial" w:eastAsia="Arial" w:hAnsi="Arial"/>
                <w:sz w:val="16"/>
                <w:szCs w:val="16"/>
                <w:color w:val="auto"/>
              </w:rPr>
              <w:t>Assets</w:t>
            </w:r>
          </w:p>
        </w:tc>
        <w:tc>
          <w:tcPr>
            <w:tcW w:w="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6120" w:type="dxa"/>
            <w:vAlign w:val="bottom"/>
            <w:vMerge w:val="continue"/>
          </w:tcPr>
          <w:p>
            <w:pPr>
              <w:spacing w:after="0"/>
              <w:rPr>
                <w:sz w:val="17"/>
                <w:szCs w:val="17"/>
                <w:color w:val="auto"/>
              </w:rPr>
            </w:pPr>
          </w:p>
        </w:tc>
        <w:tc>
          <w:tcPr>
            <w:tcW w:w="220" w:type="dxa"/>
            <w:vAlign w:val="bottom"/>
            <w:tcBorders>
              <w:top w:val="single" w:sz="8" w:color="auto"/>
            </w:tcBorders>
          </w:tcPr>
          <w:p>
            <w:pPr>
              <w:jc w:val="right"/>
              <w:ind w:right="2"/>
              <w:spacing w:after="0"/>
              <w:rPr>
                <w:sz w:val="20"/>
                <w:szCs w:val="20"/>
                <w:color w:val="auto"/>
              </w:rPr>
            </w:pPr>
            <w:r>
              <w:rPr>
                <w:rFonts w:ascii="Arial" w:cs="Arial" w:eastAsia="Arial" w:hAnsi="Arial"/>
                <w:sz w:val="16"/>
                <w:szCs w:val="16"/>
                <w:color w:val="auto"/>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7,949</w:t>
            </w:r>
          </w:p>
        </w:tc>
        <w:tc>
          <w:tcPr>
            <w:tcW w:w="80" w:type="dxa"/>
            <w:vAlign w:val="bottom"/>
          </w:tcPr>
          <w:p>
            <w:pPr>
              <w:spacing w:after="0"/>
              <w:rPr>
                <w:sz w:val="17"/>
                <w:szCs w:val="17"/>
                <w:color w:val="auto"/>
              </w:rPr>
            </w:pPr>
          </w:p>
        </w:tc>
        <w:tc>
          <w:tcPr>
            <w:tcW w:w="200" w:type="dxa"/>
            <w:vAlign w:val="bottom"/>
            <w:tcBorders>
              <w:top w:val="single" w:sz="8" w:color="auto"/>
            </w:tcBorders>
          </w:tcPr>
          <w:p>
            <w:pPr>
              <w:jc w:val="right"/>
              <w:ind w:right="2"/>
              <w:spacing w:after="0"/>
              <w:rPr>
                <w:sz w:val="20"/>
                <w:szCs w:val="20"/>
                <w:color w:val="auto"/>
              </w:rPr>
            </w:pPr>
            <w:r>
              <w:rPr>
                <w:rFonts w:ascii="Arial" w:cs="Arial" w:eastAsia="Arial" w:hAnsi="Arial"/>
                <w:sz w:val="16"/>
                <w:szCs w:val="16"/>
                <w:color w:val="auto"/>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70,186</w:t>
            </w:r>
          </w:p>
        </w:tc>
        <w:tc>
          <w:tcPr>
            <w:tcW w:w="60" w:type="dxa"/>
            <w:vAlign w:val="bottom"/>
          </w:tcPr>
          <w:p>
            <w:pPr>
              <w:spacing w:after="0"/>
              <w:rPr>
                <w:sz w:val="17"/>
                <w:szCs w:val="17"/>
                <w:color w:val="auto"/>
              </w:rPr>
            </w:pPr>
          </w:p>
        </w:tc>
        <w:tc>
          <w:tcPr>
            <w:tcW w:w="120" w:type="dxa"/>
            <w:vAlign w:val="bottom"/>
            <w:tcBorders>
              <w:top w:val="single" w:sz="8" w:color="auto"/>
            </w:tcBorders>
          </w:tcPr>
          <w:p>
            <w:pPr>
              <w:ind w:left="60"/>
              <w:spacing w:after="0"/>
              <w:rPr>
                <w:sz w:val="20"/>
                <w:szCs w:val="20"/>
                <w:color w:val="auto"/>
              </w:rPr>
            </w:pPr>
            <w:r>
              <w:rPr>
                <w:rFonts w:ascii="Arial" w:cs="Arial" w:eastAsia="Arial" w:hAnsi="Arial"/>
                <w:sz w:val="10"/>
                <w:szCs w:val="10"/>
                <w:color w:val="auto"/>
                <w:w w:val="71"/>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2,479</w:t>
            </w:r>
          </w:p>
        </w:tc>
        <w:tc>
          <w:tcPr>
            <w:tcW w:w="80" w:type="dxa"/>
            <w:vAlign w:val="bottom"/>
          </w:tcPr>
          <w:p>
            <w:pPr>
              <w:spacing w:after="0"/>
              <w:rPr>
                <w:sz w:val="17"/>
                <w:szCs w:val="17"/>
                <w:color w:val="auto"/>
              </w:rPr>
            </w:pPr>
          </w:p>
        </w:tc>
        <w:tc>
          <w:tcPr>
            <w:tcW w:w="36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w:t>
            </w:r>
          </w:p>
        </w:tc>
        <w:tc>
          <w:tcPr>
            <w:tcW w:w="520" w:type="dxa"/>
            <w:vAlign w:val="bottom"/>
            <w:tcBorders>
              <w:top w:val="single" w:sz="8" w:color="auto"/>
            </w:tcBorders>
          </w:tcPr>
          <w:p>
            <w:pPr>
              <w:jc w:val="right"/>
              <w:ind w:right="2"/>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700" w:type="dxa"/>
            <w:vAlign w:val="bottom"/>
            <w:tcBorders>
              <w:top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80,614</w:t>
            </w:r>
          </w:p>
        </w:tc>
        <w:tc>
          <w:tcPr>
            <w:tcW w:w="0" w:type="dxa"/>
            <w:vAlign w:val="bottom"/>
          </w:tcPr>
          <w:p>
            <w:pPr>
              <w:spacing w:after="0"/>
              <w:rPr>
                <w:sz w:val="1"/>
                <w:szCs w:val="1"/>
                <w:color w:val="auto"/>
              </w:rPr>
            </w:pPr>
          </w:p>
        </w:tc>
      </w:tr>
      <w:tr>
        <w:trPr>
          <w:trHeight w:val="247"/>
        </w:trPr>
        <w:tc>
          <w:tcPr>
            <w:tcW w:w="6120" w:type="dxa"/>
            <w:vAlign w:val="bottom"/>
          </w:tcPr>
          <w:p>
            <w:pPr>
              <w:spacing w:after="0"/>
              <w:rPr>
                <w:sz w:val="20"/>
                <w:szCs w:val="20"/>
                <w:color w:val="auto"/>
              </w:rPr>
            </w:pPr>
            <w:r>
              <w:rPr>
                <w:rFonts w:ascii="Arial" w:cs="Arial" w:eastAsia="Arial" w:hAnsi="Arial"/>
                <w:sz w:val="16"/>
                <w:szCs w:val="16"/>
                <w:color w:val="auto"/>
              </w:rPr>
              <w:t>Goodwill</w:t>
            </w:r>
          </w:p>
        </w:tc>
        <w:tc>
          <w:tcPr>
            <w:tcW w:w="2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2,788</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1,749</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293</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2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2"/>
              <w:spacing w:after="0"/>
              <w:rPr>
                <w:sz w:val="20"/>
                <w:szCs w:val="20"/>
                <w:color w:val="auto"/>
              </w:rPr>
            </w:pPr>
            <w:r>
              <w:rPr>
                <w:rFonts w:ascii="Arial" w:cs="Arial" w:eastAsia="Arial" w:hAnsi="Arial"/>
                <w:sz w:val="16"/>
                <w:szCs w:val="16"/>
                <w:b w:val="1"/>
                <w:bCs w:val="1"/>
                <w:color w:val="auto"/>
              </w:rPr>
              <w:t>4,830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-4182745</wp:posOffset>
            </wp:positionV>
            <wp:extent cx="6923405" cy="420751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22">
                      <a:extLst>
                        <a:ext uri="{28A0092B-C50C-407E-A947-70E740481C1C}"/>
                      </a:extLst>
                    </a:blip>
                    <a:srcRect/>
                    <a:stretch>
                      <a:fillRect/>
                    </a:stretch>
                  </pic:blipFill>
                  <pic:spPr bwMode="auto">
                    <a:xfrm>
                      <a:off x="0" y="0"/>
                      <a:ext cx="6923405" cy="4207510"/>
                    </a:xfrm>
                    <a:prstGeom prst="rect">
                      <a:avLst/>
                    </a:prstGeom>
                    <a:noFill/>
                  </pic:spPr>
                </pic:pic>
              </a:graphicData>
            </a:graphic>
          </wp:anchor>
        </w:drawing>
      </w:r>
    </w:p>
    <w:p>
      <w:pPr>
        <w:spacing w:after="0" w:line="289" w:lineRule="exact"/>
        <w:rPr>
          <w:sz w:val="20"/>
          <w:szCs w:val="20"/>
          <w:color w:val="auto"/>
        </w:rPr>
      </w:pPr>
    </w:p>
    <w:p>
      <w:pPr>
        <w:ind w:left="700"/>
        <w:spacing w:after="0"/>
        <w:rPr>
          <w:sz w:val="20"/>
          <w:szCs w:val="20"/>
          <w:color w:val="auto"/>
        </w:rPr>
      </w:pPr>
      <w:r>
        <w:rPr>
          <w:rFonts w:ascii="Arial" w:cs="Arial" w:eastAsia="Arial" w:hAnsi="Arial"/>
          <w:sz w:val="20"/>
          <w:szCs w:val="20"/>
          <w:color w:val="auto"/>
        </w:rPr>
        <w:t>The activities in our segments include the following:</w:t>
      </w:r>
    </w:p>
    <w:p>
      <w:pPr>
        <w:spacing w:after="0" w:line="101" w:lineRule="exact"/>
        <w:rPr>
          <w:sz w:val="20"/>
          <w:szCs w:val="20"/>
          <w:color w:val="auto"/>
        </w:rPr>
      </w:pPr>
    </w:p>
    <w:p>
      <w:pPr>
        <w:jc w:val="both"/>
        <w:ind w:left="1060" w:right="420" w:hanging="27"/>
        <w:spacing w:after="0" w:line="259" w:lineRule="auto"/>
        <w:rPr>
          <w:sz w:val="20"/>
          <w:szCs w:val="20"/>
          <w:color w:val="auto"/>
        </w:rPr>
      </w:pPr>
      <w:r>
        <w:rPr>
          <w:rFonts w:ascii="Arial" w:cs="Arial" w:eastAsia="Arial" w:hAnsi="Arial"/>
          <w:sz w:val="20"/>
          <w:szCs w:val="20"/>
          <w:b w:val="1"/>
          <w:bCs w:val="1"/>
          <w:i w:val="1"/>
          <w:iCs w:val="1"/>
          <w:color w:val="auto"/>
        </w:rPr>
        <w:t xml:space="preserve">Title. </w:t>
      </w:r>
      <w:r>
        <w:rPr>
          <w:rFonts w:ascii="Arial" w:cs="Arial" w:eastAsia="Arial" w:hAnsi="Arial"/>
          <w:sz w:val="20"/>
          <w:szCs w:val="20"/>
          <w:color w:val="auto"/>
        </w:rPr>
        <w:t>This segment consists of the operations of our title insurance underwriters and related businesses. This segment</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provides core title insurance and escrow and other title-related services including loan sub-servicing, valuations, default services and home warranty.</w:t>
      </w:r>
    </w:p>
    <w:p>
      <w:pPr>
        <w:spacing w:after="0" w:line="79" w:lineRule="exact"/>
        <w:rPr>
          <w:sz w:val="20"/>
          <w:szCs w:val="20"/>
          <w:color w:val="auto"/>
        </w:rPr>
      </w:pPr>
    </w:p>
    <w:p>
      <w:pPr>
        <w:jc w:val="both"/>
        <w:ind w:left="1060" w:right="420" w:hanging="15"/>
        <w:spacing w:after="0" w:line="254" w:lineRule="auto"/>
        <w:rPr>
          <w:sz w:val="20"/>
          <w:szCs w:val="20"/>
          <w:color w:val="auto"/>
        </w:rPr>
      </w:pPr>
      <w:r>
        <w:rPr>
          <w:rFonts w:ascii="Arial" w:cs="Arial" w:eastAsia="Arial" w:hAnsi="Arial"/>
          <w:sz w:val="20"/>
          <w:szCs w:val="20"/>
          <w:b w:val="1"/>
          <w:bCs w:val="1"/>
          <w:i w:val="1"/>
          <w:iCs w:val="1"/>
          <w:color w:val="auto"/>
        </w:rPr>
        <w:t>F&amp;G</w:t>
      </w:r>
      <w:r>
        <w:rPr>
          <w:rFonts w:ascii="Arial" w:cs="Arial" w:eastAsia="Arial" w:hAnsi="Arial"/>
          <w:sz w:val="20"/>
          <w:szCs w:val="20"/>
          <w:color w:val="auto"/>
        </w:rPr>
        <w:t>. This segment primarily consists of the operations of our annuities and life insurance related businesses. This</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segment issues a broad portfolio of annuity and life products, including deferred annuities (fixed indexed and fixed rate annuities), immediate annuities and indexed universal life insurance. This segment also provides funding agreements and pension risk transfer solutions.</w:t>
      </w:r>
    </w:p>
    <w:p>
      <w:pPr>
        <w:spacing w:after="0" w:line="85" w:lineRule="exact"/>
        <w:rPr>
          <w:sz w:val="20"/>
          <w:szCs w:val="20"/>
          <w:color w:val="auto"/>
        </w:rPr>
      </w:pPr>
    </w:p>
    <w:p>
      <w:pPr>
        <w:jc w:val="both"/>
        <w:ind w:left="1060" w:right="420" w:firstLine="13"/>
        <w:spacing w:after="0" w:line="326" w:lineRule="auto"/>
        <w:rPr>
          <w:sz w:val="20"/>
          <w:szCs w:val="20"/>
          <w:color w:val="auto"/>
        </w:rPr>
      </w:pPr>
      <w:r>
        <w:rPr>
          <w:rFonts w:ascii="Arial" w:cs="Arial" w:eastAsia="Arial" w:hAnsi="Arial"/>
          <w:sz w:val="17"/>
          <w:szCs w:val="17"/>
          <w:b w:val="1"/>
          <w:bCs w:val="1"/>
          <w:i w:val="1"/>
          <w:iCs w:val="1"/>
          <w:color w:val="auto"/>
        </w:rPr>
        <w:t xml:space="preserve">Corporate and Other. </w:t>
      </w:r>
      <w:r>
        <w:rPr>
          <w:rFonts w:ascii="Arial" w:cs="Arial" w:eastAsia="Arial" w:hAnsi="Arial"/>
          <w:sz w:val="17"/>
          <w:szCs w:val="17"/>
          <w:color w:val="auto"/>
        </w:rPr>
        <w:t>This segment consists of the operations of the parent holding company, our real estate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technology subsidiaries and our remaining real estate brokerage businesses. This segment also includes certain other unallocated corporate overhead expenses and eliminations of revenues and expenses between it and our Title segment.</w:t>
      </w:r>
    </w:p>
    <w:p>
      <w:pPr>
        <w:spacing w:after="0" w:line="27" w:lineRule="exact"/>
        <w:rPr>
          <w:sz w:val="20"/>
          <w:szCs w:val="20"/>
          <w:color w:val="auto"/>
        </w:rPr>
      </w:pPr>
    </w:p>
    <w:p>
      <w:pPr>
        <w:ind w:left="700"/>
        <w:spacing w:after="0"/>
        <w:rPr>
          <w:sz w:val="20"/>
          <w:szCs w:val="20"/>
          <w:color w:val="auto"/>
        </w:rPr>
      </w:pPr>
      <w:r>
        <w:rPr>
          <w:rFonts w:ascii="Arial" w:cs="Arial" w:eastAsia="Arial" w:hAnsi="Arial"/>
          <w:sz w:val="20"/>
          <w:szCs w:val="20"/>
          <w:color w:val="auto"/>
        </w:rPr>
        <w:t xml:space="preserve">Refer to Note K </w:t>
      </w:r>
      <w:r>
        <w:rPr>
          <w:rFonts w:ascii="Arial" w:cs="Arial" w:eastAsia="Arial" w:hAnsi="Arial"/>
          <w:sz w:val="20"/>
          <w:szCs w:val="20"/>
          <w:b w:val="1"/>
          <w:bCs w:val="1"/>
          <w:i w:val="1"/>
          <w:iCs w:val="1"/>
          <w:color w:val="auto"/>
        </w:rPr>
        <w:t>Revenue Recognition</w:t>
      </w:r>
      <w:r>
        <w:rPr>
          <w:rFonts w:ascii="Arial" w:cs="Arial" w:eastAsia="Arial" w:hAnsi="Arial"/>
          <w:sz w:val="20"/>
          <w:szCs w:val="20"/>
          <w:color w:val="auto"/>
        </w:rPr>
        <w:t xml:space="preserve"> for a description of our accounting for our various revenue streams.</w:t>
      </w:r>
    </w:p>
    <w:p>
      <w:pPr>
        <w:sectPr>
          <w:pgSz w:w="11880" w:h="15480" w:orient="portrait"/>
          <w:cols w:equalWidth="0" w:num="1">
            <w:col w:w="10820"/>
          </w:cols>
          <w:pgMar w:left="560" w:top="772" w:right="5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60"/>
        <w:spacing w:after="0"/>
        <w:rPr>
          <w:sz w:val="20"/>
          <w:szCs w:val="20"/>
          <w:color w:val="auto"/>
        </w:rPr>
      </w:pPr>
      <w:r>
        <w:rPr>
          <w:rFonts w:ascii="Arial" w:cs="Arial" w:eastAsia="Arial" w:hAnsi="Arial"/>
          <w:sz w:val="16"/>
          <w:szCs w:val="16"/>
          <w:color w:val="auto"/>
        </w:rPr>
        <w:t>157</w:t>
      </w:r>
    </w:p>
    <w:p>
      <w:pPr>
        <w:sectPr>
          <w:pgSz w:w="11880" w:h="15480" w:orient="portrait"/>
          <w:cols w:equalWidth="0" w:num="1">
            <w:col w:w="10820"/>
          </w:cols>
          <w:pgMar w:left="560" w:top="772" w:right="500" w:bottom="0" w:gutter="0" w:footer="0" w:header="0"/>
          <w:type w:val="continuous"/>
        </w:sectPr>
      </w:pPr>
    </w:p>
    <w:bookmarkStart w:id="169" w:name="page170"/>
    <w:bookmarkEnd w:id="169"/>
    <w:p>
      <w:pPr>
        <w:spacing w:after="0"/>
        <w:rPr>
          <w:sz w:val="20"/>
          <w:szCs w:val="20"/>
          <w:color w:val="auto"/>
        </w:rPr>
      </w:pPr>
      <w:r>
        <w:rPr>
          <w:rFonts w:ascii="Arial" w:cs="Arial" w:eastAsia="Arial" w:hAnsi="Arial"/>
          <w:sz w:val="20"/>
          <w:szCs w:val="20"/>
          <w:b w:val="1"/>
          <w:bCs w:val="1"/>
          <w:color w:val="auto"/>
        </w:rPr>
        <w:t>Note J — Supplemental Cash Flow Information</w:t>
      </w:r>
    </w:p>
    <w:p>
      <w:pPr>
        <w:spacing w:after="0" w:line="130" w:lineRule="exact"/>
        <w:rPr>
          <w:sz w:val="20"/>
          <w:szCs w:val="20"/>
          <w:color w:val="auto"/>
        </w:rPr>
      </w:pPr>
    </w:p>
    <w:p>
      <w:pPr>
        <w:ind w:right="60" w:firstLine="353"/>
        <w:spacing w:after="0" w:line="271" w:lineRule="auto"/>
        <w:rPr>
          <w:sz w:val="20"/>
          <w:szCs w:val="20"/>
          <w:color w:val="auto"/>
        </w:rPr>
      </w:pPr>
      <w:r>
        <w:rPr>
          <w:rFonts w:ascii="Arial" w:cs="Arial" w:eastAsia="Arial" w:hAnsi="Arial"/>
          <w:sz w:val="20"/>
          <w:szCs w:val="20"/>
          <w:color w:val="auto"/>
        </w:rPr>
        <w:t>The following supplemental cash flow information is provided with respect to certain cash payment and non-cash investing and financing activities.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560" w:type="dxa"/>
            <w:vAlign w:val="bottom"/>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gridSpan w:val="6"/>
          </w:tcPr>
          <w:p>
            <w:pPr>
              <w:jc w:val="center"/>
              <w:spacing w:after="0"/>
              <w:rPr>
                <w:sz w:val="20"/>
                <w:szCs w:val="20"/>
                <w:color w:val="auto"/>
              </w:rPr>
            </w:pPr>
            <w:r>
              <w:rPr>
                <w:rFonts w:ascii="Arial" w:cs="Arial" w:eastAsia="Arial" w:hAnsi="Arial"/>
                <w:sz w:val="16"/>
                <w:szCs w:val="16"/>
                <w:b w:val="1"/>
                <w:bCs w:val="1"/>
                <w:color w:val="auto"/>
                <w:w w:val="89"/>
              </w:rPr>
              <w:t>Year Ended December 31,</w:t>
            </w:r>
          </w:p>
        </w:tc>
        <w:tc>
          <w:tcPr>
            <w:tcW w:w="820" w:type="dxa"/>
            <w:vAlign w:val="bottom"/>
            <w:tcBorders>
              <w:bottom w:val="single" w:sz="8" w:color="auto"/>
            </w:tcBorders>
          </w:tcPr>
          <w:p>
            <w:pPr>
              <w:spacing w:after="0"/>
              <w:rPr>
                <w:sz w:val="18"/>
                <w:szCs w:val="18"/>
                <w:color w:val="auto"/>
              </w:rPr>
            </w:pPr>
          </w:p>
        </w:tc>
      </w:tr>
      <w:tr>
        <w:trPr>
          <w:trHeight w:val="274"/>
        </w:trPr>
        <w:tc>
          <w:tcPr>
            <w:tcW w:w="6560" w:type="dxa"/>
            <w:vAlign w:val="bottom"/>
          </w:tcPr>
          <w:p>
            <w:pPr>
              <w:spacing w:after="0"/>
              <w:rPr>
                <w:sz w:val="23"/>
                <w:szCs w:val="23"/>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2025</w:t>
            </w:r>
          </w:p>
        </w:tc>
        <w:tc>
          <w:tcPr>
            <w:tcW w:w="380" w:type="dxa"/>
            <w:vAlign w:val="bottom"/>
            <w:tcBorders>
              <w:bottom w:val="single" w:sz="8" w:color="auto"/>
            </w:tcBorders>
          </w:tcPr>
          <w:p>
            <w:pPr>
              <w:spacing w:after="0"/>
              <w:rPr>
                <w:sz w:val="23"/>
                <w:szCs w:val="23"/>
                <w:color w:val="auto"/>
              </w:rPr>
            </w:pPr>
          </w:p>
        </w:tc>
        <w:tc>
          <w:tcPr>
            <w:tcW w:w="6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center"/>
              <w:ind w:right="42"/>
              <w:spacing w:after="0"/>
              <w:rPr>
                <w:sz w:val="20"/>
                <w:szCs w:val="20"/>
                <w:color w:val="auto"/>
              </w:rPr>
            </w:pPr>
            <w:r>
              <w:rPr>
                <w:rFonts w:ascii="Arial" w:cs="Arial" w:eastAsia="Arial" w:hAnsi="Arial"/>
                <w:sz w:val="16"/>
                <w:szCs w:val="16"/>
                <w:b w:val="1"/>
                <w:bCs w:val="1"/>
                <w:color w:val="auto"/>
                <w:w w:val="89"/>
              </w:rPr>
              <w:t>2024</w:t>
            </w:r>
          </w:p>
        </w:tc>
        <w:tc>
          <w:tcPr>
            <w:tcW w:w="6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ind w:right="342"/>
              <w:spacing w:after="0"/>
              <w:rPr>
                <w:sz w:val="20"/>
                <w:szCs w:val="20"/>
                <w:color w:val="auto"/>
              </w:rPr>
            </w:pPr>
            <w:r>
              <w:rPr>
                <w:rFonts w:ascii="Arial" w:cs="Arial" w:eastAsia="Arial" w:hAnsi="Arial"/>
                <w:sz w:val="16"/>
                <w:szCs w:val="16"/>
                <w:b w:val="1"/>
                <w:bCs w:val="1"/>
                <w:color w:val="auto"/>
              </w:rPr>
              <w:t>2023</w:t>
            </w:r>
          </w:p>
        </w:tc>
      </w:tr>
      <w:tr>
        <w:trPr>
          <w:trHeight w:val="208"/>
        </w:trPr>
        <w:tc>
          <w:tcPr>
            <w:tcW w:w="6560" w:type="dxa"/>
            <w:vAlign w:val="bottom"/>
          </w:tcPr>
          <w:p>
            <w:pPr>
              <w:spacing w:after="0"/>
              <w:rPr>
                <w:sz w:val="20"/>
                <w:szCs w:val="20"/>
                <w:color w:val="auto"/>
              </w:rPr>
            </w:pPr>
            <w:r>
              <w:rPr>
                <w:rFonts w:ascii="Arial" w:cs="Arial" w:eastAsia="Arial" w:hAnsi="Arial"/>
                <w:sz w:val="16"/>
                <w:szCs w:val="16"/>
                <w:color w:val="auto"/>
              </w:rPr>
              <w:t>Cash paid for:</w:t>
            </w: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center"/>
              <w:ind w:right="62"/>
              <w:spacing w:after="0"/>
              <w:rPr>
                <w:sz w:val="20"/>
                <w:szCs w:val="20"/>
                <w:color w:val="auto"/>
              </w:rPr>
            </w:pPr>
            <w:r>
              <w:rPr>
                <w:rFonts w:ascii="Arial" w:cs="Arial" w:eastAsia="Arial" w:hAnsi="Arial"/>
                <w:sz w:val="16"/>
                <w:szCs w:val="16"/>
                <w:b w:val="1"/>
                <w:bCs w:val="1"/>
                <w:color w:val="auto"/>
                <w:w w:val="91"/>
              </w:rPr>
              <w:t>(In millions)</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35"/>
        </w:trPr>
        <w:tc>
          <w:tcPr>
            <w:tcW w:w="6560" w:type="dxa"/>
            <w:vAlign w:val="bottom"/>
          </w:tcPr>
          <w:p>
            <w:pPr>
              <w:ind w:left="140"/>
              <w:spacing w:after="0"/>
              <w:rPr>
                <w:sz w:val="20"/>
                <w:szCs w:val="20"/>
                <w:color w:val="auto"/>
              </w:rPr>
            </w:pPr>
            <w:r>
              <w:rPr>
                <w:rFonts w:ascii="Arial" w:cs="Arial" w:eastAsia="Arial" w:hAnsi="Arial"/>
                <w:sz w:val="16"/>
                <w:szCs w:val="16"/>
                <w:color w:val="auto"/>
              </w:rPr>
              <w:t>Interest</w:t>
            </w:r>
          </w:p>
        </w:tc>
        <w:tc>
          <w:tcPr>
            <w:tcW w:w="760" w:type="dxa"/>
            <w:vAlign w:val="bottom"/>
          </w:tcPr>
          <w:p>
            <w:pPr>
              <w:jc w:val="right"/>
              <w:ind w:right="542"/>
              <w:spacing w:after="0"/>
              <w:rPr>
                <w:sz w:val="20"/>
                <w:szCs w:val="20"/>
                <w:color w:val="auto"/>
              </w:rPr>
            </w:pPr>
            <w:r>
              <w:rPr>
                <w:rFonts w:ascii="Arial" w:cs="Arial" w:eastAsia="Arial" w:hAnsi="Arial"/>
                <w:sz w:val="16"/>
                <w:szCs w:val="16"/>
                <w:color w:val="auto"/>
              </w:rPr>
              <w:t>$</w:t>
            </w:r>
          </w:p>
        </w:tc>
        <w:tc>
          <w:tcPr>
            <w:tcW w:w="380" w:type="dxa"/>
            <w:vAlign w:val="bottom"/>
          </w:tcPr>
          <w:p>
            <w:pPr>
              <w:jc w:val="right"/>
              <w:ind w:right="2"/>
              <w:spacing w:after="0"/>
              <w:rPr>
                <w:sz w:val="20"/>
                <w:szCs w:val="20"/>
                <w:color w:val="auto"/>
              </w:rPr>
            </w:pPr>
            <w:r>
              <w:rPr>
                <w:rFonts w:ascii="Arial" w:cs="Arial" w:eastAsia="Arial" w:hAnsi="Arial"/>
                <w:sz w:val="16"/>
                <w:szCs w:val="16"/>
                <w:color w:val="auto"/>
              </w:rPr>
              <w:t>229</w:t>
            </w: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200</w:t>
            </w:r>
          </w:p>
        </w:tc>
        <w:tc>
          <w:tcPr>
            <w:tcW w:w="3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2"/>
              <w:spacing w:after="0"/>
              <w:rPr>
                <w:sz w:val="20"/>
                <w:szCs w:val="20"/>
                <w:color w:val="auto"/>
              </w:rPr>
            </w:pPr>
            <w:r>
              <w:rPr>
                <w:rFonts w:ascii="Arial" w:cs="Arial" w:eastAsia="Arial" w:hAnsi="Arial"/>
                <w:sz w:val="16"/>
                <w:szCs w:val="16"/>
                <w:color w:val="auto"/>
              </w:rPr>
              <w:t>157</w:t>
            </w:r>
          </w:p>
        </w:tc>
      </w:tr>
      <w:tr>
        <w:trPr>
          <w:trHeight w:val="235"/>
        </w:trPr>
        <w:tc>
          <w:tcPr>
            <w:tcW w:w="6560" w:type="dxa"/>
            <w:vAlign w:val="bottom"/>
          </w:tcPr>
          <w:p>
            <w:pPr>
              <w:ind w:left="140"/>
              <w:spacing w:after="0"/>
              <w:rPr>
                <w:sz w:val="20"/>
                <w:szCs w:val="20"/>
                <w:color w:val="auto"/>
              </w:rPr>
            </w:pPr>
            <w:r>
              <w:rPr>
                <w:rFonts w:ascii="Arial" w:cs="Arial" w:eastAsia="Arial" w:hAnsi="Arial"/>
                <w:sz w:val="16"/>
                <w:szCs w:val="16"/>
                <w:color w:val="auto"/>
              </w:rPr>
              <w:t>Income taxes</w:t>
            </w:r>
          </w:p>
        </w:tc>
        <w:tc>
          <w:tcPr>
            <w:tcW w:w="760" w:type="dxa"/>
            <w:vAlign w:val="bottom"/>
          </w:tcPr>
          <w:p>
            <w:pPr>
              <w:spacing w:after="0"/>
              <w:rPr>
                <w:sz w:val="20"/>
                <w:szCs w:val="20"/>
                <w:color w:val="auto"/>
              </w:rPr>
            </w:pPr>
          </w:p>
        </w:tc>
        <w:tc>
          <w:tcPr>
            <w:tcW w:w="380" w:type="dxa"/>
            <w:vAlign w:val="bottom"/>
          </w:tcPr>
          <w:p>
            <w:pPr>
              <w:jc w:val="right"/>
              <w:ind w:right="2"/>
              <w:spacing w:after="0"/>
              <w:rPr>
                <w:sz w:val="20"/>
                <w:szCs w:val="20"/>
                <w:color w:val="auto"/>
              </w:rPr>
            </w:pPr>
            <w:r>
              <w:rPr>
                <w:rFonts w:ascii="Arial" w:cs="Arial" w:eastAsia="Arial" w:hAnsi="Arial"/>
                <w:sz w:val="16"/>
                <w:szCs w:val="16"/>
                <w:color w:val="auto"/>
              </w:rPr>
              <w:t>250</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237</w:t>
            </w: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jc w:val="right"/>
              <w:ind w:right="2"/>
              <w:spacing w:after="0"/>
              <w:rPr>
                <w:sz w:val="20"/>
                <w:szCs w:val="20"/>
                <w:color w:val="auto"/>
              </w:rPr>
            </w:pPr>
            <w:r>
              <w:rPr>
                <w:rFonts w:ascii="Arial" w:cs="Arial" w:eastAsia="Arial" w:hAnsi="Arial"/>
                <w:sz w:val="16"/>
                <w:szCs w:val="16"/>
                <w:color w:val="auto"/>
              </w:rPr>
              <w:t>216</w:t>
            </w:r>
          </w:p>
        </w:tc>
      </w:tr>
      <w:tr>
        <w:trPr>
          <w:trHeight w:val="235"/>
        </w:trPr>
        <w:tc>
          <w:tcPr>
            <w:tcW w:w="6560" w:type="dxa"/>
            <w:vAlign w:val="bottom"/>
          </w:tcPr>
          <w:p>
            <w:pPr>
              <w:ind w:left="140"/>
              <w:spacing w:after="0"/>
              <w:rPr>
                <w:sz w:val="20"/>
                <w:szCs w:val="20"/>
                <w:color w:val="auto"/>
              </w:rPr>
            </w:pPr>
            <w:r>
              <w:rPr>
                <w:rFonts w:ascii="Arial" w:cs="Arial" w:eastAsia="Arial" w:hAnsi="Arial"/>
                <w:sz w:val="16"/>
                <w:szCs w:val="16"/>
                <w:color w:val="auto"/>
              </w:rPr>
              <w:t>Deferred sales inducements</w:t>
            </w:r>
          </w:p>
        </w:tc>
        <w:tc>
          <w:tcPr>
            <w:tcW w:w="760" w:type="dxa"/>
            <w:vAlign w:val="bottom"/>
          </w:tcPr>
          <w:p>
            <w:pPr>
              <w:spacing w:after="0"/>
              <w:rPr>
                <w:sz w:val="20"/>
                <w:szCs w:val="20"/>
                <w:color w:val="auto"/>
              </w:rPr>
            </w:pPr>
          </w:p>
        </w:tc>
        <w:tc>
          <w:tcPr>
            <w:tcW w:w="380" w:type="dxa"/>
            <w:vAlign w:val="bottom"/>
          </w:tcPr>
          <w:p>
            <w:pPr>
              <w:jc w:val="right"/>
              <w:ind w:right="2"/>
              <w:spacing w:after="0"/>
              <w:rPr>
                <w:sz w:val="20"/>
                <w:szCs w:val="20"/>
                <w:color w:val="auto"/>
              </w:rPr>
            </w:pPr>
            <w:r>
              <w:rPr>
                <w:rFonts w:ascii="Arial" w:cs="Arial" w:eastAsia="Arial" w:hAnsi="Arial"/>
                <w:sz w:val="16"/>
                <w:szCs w:val="16"/>
                <w:color w:val="auto"/>
              </w:rPr>
              <w:t>332</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319</w:t>
            </w: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jc w:val="right"/>
              <w:ind w:right="2"/>
              <w:spacing w:after="0"/>
              <w:rPr>
                <w:sz w:val="20"/>
                <w:szCs w:val="20"/>
                <w:color w:val="auto"/>
              </w:rPr>
            </w:pPr>
            <w:r>
              <w:rPr>
                <w:rFonts w:ascii="Arial" w:cs="Arial" w:eastAsia="Arial" w:hAnsi="Arial"/>
                <w:sz w:val="16"/>
                <w:szCs w:val="16"/>
                <w:color w:val="auto"/>
              </w:rPr>
              <w:t>168</w:t>
            </w:r>
          </w:p>
        </w:tc>
      </w:tr>
      <w:tr>
        <w:trPr>
          <w:trHeight w:val="235"/>
        </w:trPr>
        <w:tc>
          <w:tcPr>
            <w:tcW w:w="6560" w:type="dxa"/>
            <w:vAlign w:val="bottom"/>
          </w:tcPr>
          <w:p>
            <w:pPr>
              <w:spacing w:after="0"/>
              <w:rPr>
                <w:sz w:val="20"/>
                <w:szCs w:val="20"/>
                <w:color w:val="auto"/>
              </w:rPr>
            </w:pPr>
            <w:r>
              <w:rPr>
                <w:rFonts w:ascii="Arial" w:cs="Arial" w:eastAsia="Arial" w:hAnsi="Arial"/>
                <w:sz w:val="16"/>
                <w:szCs w:val="16"/>
                <w:color w:val="auto"/>
              </w:rPr>
              <w:t>Non-cash investing and financing activities:</w:t>
            </w:r>
          </w:p>
        </w:tc>
        <w:tc>
          <w:tcPr>
            <w:tcW w:w="7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235"/>
        </w:trPr>
        <w:tc>
          <w:tcPr>
            <w:tcW w:w="6560" w:type="dxa"/>
            <w:vAlign w:val="bottom"/>
          </w:tcPr>
          <w:p>
            <w:pPr>
              <w:ind w:left="220"/>
              <w:spacing w:after="0"/>
              <w:rPr>
                <w:sz w:val="20"/>
                <w:szCs w:val="20"/>
                <w:color w:val="auto"/>
              </w:rPr>
            </w:pPr>
            <w:r>
              <w:rPr>
                <w:rFonts w:ascii="Arial" w:cs="Arial" w:eastAsia="Arial" w:hAnsi="Arial"/>
                <w:sz w:val="16"/>
                <w:szCs w:val="16"/>
                <w:color w:val="auto"/>
              </w:rPr>
              <w:t>Investments transferred subject to reinsurance agreement</w:t>
            </w:r>
          </w:p>
        </w:tc>
        <w:tc>
          <w:tcPr>
            <w:tcW w:w="76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w w:val="90"/>
              </w:rPr>
              <w:t>(500)</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jc w:val="right"/>
              <w:ind w:right="2"/>
              <w:spacing w:after="0"/>
              <w:rPr>
                <w:sz w:val="20"/>
                <w:szCs w:val="20"/>
                <w:color w:val="auto"/>
              </w:rPr>
            </w:pPr>
            <w:r>
              <w:rPr>
                <w:rFonts w:ascii="Arial" w:cs="Arial" w:eastAsia="Arial" w:hAnsi="Arial"/>
                <w:sz w:val="16"/>
                <w:szCs w:val="16"/>
                <w:color w:val="auto"/>
              </w:rPr>
              <w:t>—</w:t>
            </w:r>
          </w:p>
        </w:tc>
      </w:tr>
      <w:tr>
        <w:trPr>
          <w:trHeight w:val="235"/>
        </w:trPr>
        <w:tc>
          <w:tcPr>
            <w:tcW w:w="6560" w:type="dxa"/>
            <w:vAlign w:val="bottom"/>
          </w:tcPr>
          <w:p>
            <w:pPr>
              <w:ind w:left="220"/>
              <w:spacing w:after="0"/>
              <w:rPr>
                <w:sz w:val="20"/>
                <w:szCs w:val="20"/>
                <w:color w:val="auto"/>
              </w:rPr>
            </w:pPr>
            <w:r>
              <w:rPr>
                <w:rFonts w:ascii="Arial" w:cs="Arial" w:eastAsia="Arial" w:hAnsi="Arial"/>
                <w:sz w:val="16"/>
                <w:szCs w:val="16"/>
                <w:color w:val="auto"/>
              </w:rPr>
              <w:t>Investments received from pension risk transfer premiums</w:t>
            </w:r>
          </w:p>
        </w:tc>
        <w:tc>
          <w:tcPr>
            <w:tcW w:w="760" w:type="dxa"/>
            <w:vAlign w:val="bottom"/>
          </w:tcPr>
          <w:p>
            <w:pPr>
              <w:spacing w:after="0"/>
              <w:rPr>
                <w:sz w:val="20"/>
                <w:szCs w:val="20"/>
                <w:color w:val="auto"/>
              </w:rPr>
            </w:pPr>
          </w:p>
        </w:tc>
        <w:tc>
          <w:tcPr>
            <w:tcW w:w="38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129</w:t>
            </w: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jc w:val="right"/>
              <w:ind w:right="2"/>
              <w:spacing w:after="0"/>
              <w:rPr>
                <w:sz w:val="20"/>
                <w:szCs w:val="20"/>
                <w:color w:val="auto"/>
              </w:rPr>
            </w:pPr>
            <w:r>
              <w:rPr>
                <w:rFonts w:ascii="Arial" w:cs="Arial" w:eastAsia="Arial" w:hAnsi="Arial"/>
                <w:sz w:val="16"/>
                <w:szCs w:val="16"/>
                <w:color w:val="auto"/>
              </w:rPr>
              <w:t>464</w:t>
            </w:r>
          </w:p>
        </w:tc>
      </w:tr>
      <w:tr>
        <w:trPr>
          <w:trHeight w:val="235"/>
        </w:trPr>
        <w:tc>
          <w:tcPr>
            <w:tcW w:w="6560" w:type="dxa"/>
            <w:vAlign w:val="bottom"/>
          </w:tcPr>
          <w:p>
            <w:pPr>
              <w:ind w:left="220"/>
              <w:spacing w:after="0"/>
              <w:rPr>
                <w:sz w:val="20"/>
                <w:szCs w:val="20"/>
                <w:color w:val="auto"/>
              </w:rPr>
            </w:pPr>
            <w:r>
              <w:rPr>
                <w:rFonts w:ascii="Arial" w:cs="Arial" w:eastAsia="Arial" w:hAnsi="Arial"/>
                <w:sz w:val="16"/>
                <w:szCs w:val="16"/>
                <w:color w:val="auto"/>
              </w:rPr>
              <w:t>Change in proceeds of sales of investments available for sale receivable in period</w:t>
            </w:r>
          </w:p>
        </w:tc>
        <w:tc>
          <w:tcPr>
            <w:tcW w:w="760" w:type="dxa"/>
            <w:vAlign w:val="bottom"/>
          </w:tcPr>
          <w:p>
            <w:pPr>
              <w:spacing w:after="0"/>
              <w:rPr>
                <w:sz w:val="20"/>
                <w:szCs w:val="20"/>
                <w:color w:val="auto"/>
              </w:rPr>
            </w:pPr>
          </w:p>
        </w:tc>
        <w:tc>
          <w:tcPr>
            <w:tcW w:w="380" w:type="dxa"/>
            <w:vAlign w:val="bottom"/>
          </w:tcPr>
          <w:p>
            <w:pPr>
              <w:jc w:val="right"/>
              <w:ind w:right="2"/>
              <w:spacing w:after="0"/>
              <w:rPr>
                <w:sz w:val="20"/>
                <w:szCs w:val="20"/>
                <w:color w:val="auto"/>
              </w:rPr>
            </w:pPr>
            <w:r>
              <w:rPr>
                <w:rFonts w:ascii="Arial" w:cs="Arial" w:eastAsia="Arial" w:hAnsi="Arial"/>
                <w:sz w:val="16"/>
                <w:szCs w:val="16"/>
                <w:color w:val="auto"/>
              </w:rPr>
              <w:t>20</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(59)</w:t>
            </w: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jc w:val="right"/>
              <w:ind w:right="2"/>
              <w:spacing w:after="0"/>
              <w:rPr>
                <w:sz w:val="20"/>
                <w:szCs w:val="20"/>
                <w:color w:val="auto"/>
              </w:rPr>
            </w:pPr>
            <w:r>
              <w:rPr>
                <w:rFonts w:ascii="Arial" w:cs="Arial" w:eastAsia="Arial" w:hAnsi="Arial"/>
                <w:sz w:val="16"/>
                <w:szCs w:val="16"/>
                <w:color w:val="auto"/>
              </w:rPr>
              <w:t>32</w:t>
            </w:r>
          </w:p>
        </w:tc>
      </w:tr>
      <w:tr>
        <w:trPr>
          <w:trHeight w:val="235"/>
        </w:trPr>
        <w:tc>
          <w:tcPr>
            <w:tcW w:w="6560" w:type="dxa"/>
            <w:vAlign w:val="bottom"/>
          </w:tcPr>
          <w:p>
            <w:pPr>
              <w:ind w:left="220"/>
              <w:spacing w:after="0"/>
              <w:rPr>
                <w:sz w:val="20"/>
                <w:szCs w:val="20"/>
                <w:color w:val="auto"/>
              </w:rPr>
            </w:pPr>
            <w:r>
              <w:rPr>
                <w:rFonts w:ascii="Arial" w:cs="Arial" w:eastAsia="Arial" w:hAnsi="Arial"/>
                <w:sz w:val="16"/>
                <w:szCs w:val="16"/>
                <w:color w:val="auto"/>
              </w:rPr>
              <w:t>Change in purchases of investments available for sale payable in period</w:t>
            </w:r>
          </w:p>
        </w:tc>
        <w:tc>
          <w:tcPr>
            <w:tcW w:w="760" w:type="dxa"/>
            <w:vAlign w:val="bottom"/>
          </w:tcPr>
          <w:p>
            <w:pPr>
              <w:spacing w:after="0"/>
              <w:rPr>
                <w:sz w:val="20"/>
                <w:szCs w:val="20"/>
                <w:color w:val="auto"/>
              </w:rPr>
            </w:pPr>
          </w:p>
        </w:tc>
        <w:tc>
          <w:tcPr>
            <w:tcW w:w="380" w:type="dxa"/>
            <w:vAlign w:val="bottom"/>
          </w:tcPr>
          <w:p>
            <w:pPr>
              <w:jc w:val="right"/>
              <w:ind w:right="2"/>
              <w:spacing w:after="0"/>
              <w:rPr>
                <w:sz w:val="20"/>
                <w:szCs w:val="20"/>
                <w:color w:val="auto"/>
              </w:rPr>
            </w:pPr>
            <w:r>
              <w:rPr>
                <w:rFonts w:ascii="Arial" w:cs="Arial" w:eastAsia="Arial" w:hAnsi="Arial"/>
                <w:sz w:val="16"/>
                <w:szCs w:val="16"/>
                <w:color w:val="auto"/>
              </w:rPr>
              <w:t>9</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82</w:t>
            </w: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jc w:val="right"/>
              <w:ind w:right="2"/>
              <w:spacing w:after="0"/>
              <w:rPr>
                <w:sz w:val="20"/>
                <w:szCs w:val="20"/>
                <w:color w:val="auto"/>
              </w:rPr>
            </w:pPr>
            <w:r>
              <w:rPr>
                <w:rFonts w:ascii="Arial" w:cs="Arial" w:eastAsia="Arial" w:hAnsi="Arial"/>
                <w:sz w:val="16"/>
                <w:szCs w:val="16"/>
                <w:color w:val="auto"/>
              </w:rPr>
              <w:t>20</w:t>
            </w:r>
          </w:p>
        </w:tc>
      </w:tr>
      <w:tr>
        <w:trPr>
          <w:trHeight w:val="235"/>
        </w:trPr>
        <w:tc>
          <w:tcPr>
            <w:tcW w:w="6560" w:type="dxa"/>
            <w:vAlign w:val="bottom"/>
          </w:tcPr>
          <w:p>
            <w:pPr>
              <w:ind w:left="220"/>
              <w:spacing w:after="0"/>
              <w:rPr>
                <w:sz w:val="20"/>
                <w:szCs w:val="20"/>
                <w:color w:val="auto"/>
              </w:rPr>
            </w:pPr>
            <w:r>
              <w:rPr>
                <w:rFonts w:ascii="Arial" w:cs="Arial" w:eastAsia="Arial" w:hAnsi="Arial"/>
                <w:sz w:val="16"/>
                <w:szCs w:val="16"/>
                <w:color w:val="auto"/>
              </w:rPr>
              <w:t>Lease liabilities recognized in exchange for lease right-of-use assets</w:t>
            </w:r>
          </w:p>
        </w:tc>
        <w:tc>
          <w:tcPr>
            <w:tcW w:w="760" w:type="dxa"/>
            <w:vAlign w:val="bottom"/>
          </w:tcPr>
          <w:p>
            <w:pPr>
              <w:spacing w:after="0"/>
              <w:rPr>
                <w:sz w:val="20"/>
                <w:szCs w:val="20"/>
                <w:color w:val="auto"/>
              </w:rPr>
            </w:pPr>
          </w:p>
        </w:tc>
        <w:tc>
          <w:tcPr>
            <w:tcW w:w="380" w:type="dxa"/>
            <w:vAlign w:val="bottom"/>
          </w:tcPr>
          <w:p>
            <w:pPr>
              <w:jc w:val="right"/>
              <w:ind w:right="2"/>
              <w:spacing w:after="0"/>
              <w:rPr>
                <w:sz w:val="20"/>
                <w:szCs w:val="20"/>
                <w:color w:val="auto"/>
              </w:rPr>
            </w:pPr>
            <w:r>
              <w:rPr>
                <w:rFonts w:ascii="Arial" w:cs="Arial" w:eastAsia="Arial" w:hAnsi="Arial"/>
                <w:sz w:val="16"/>
                <w:szCs w:val="16"/>
                <w:color w:val="auto"/>
              </w:rPr>
              <w:t>45</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55</w:t>
            </w: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jc w:val="right"/>
              <w:ind w:right="2"/>
              <w:spacing w:after="0"/>
              <w:rPr>
                <w:sz w:val="20"/>
                <w:szCs w:val="20"/>
                <w:color w:val="auto"/>
              </w:rPr>
            </w:pPr>
            <w:r>
              <w:rPr>
                <w:rFonts w:ascii="Arial" w:cs="Arial" w:eastAsia="Arial" w:hAnsi="Arial"/>
                <w:sz w:val="16"/>
                <w:szCs w:val="16"/>
                <w:color w:val="auto"/>
              </w:rPr>
              <w:t>40</w:t>
            </w:r>
          </w:p>
        </w:tc>
      </w:tr>
      <w:tr>
        <w:trPr>
          <w:trHeight w:val="235"/>
        </w:trPr>
        <w:tc>
          <w:tcPr>
            <w:tcW w:w="6560" w:type="dxa"/>
            <w:vAlign w:val="bottom"/>
          </w:tcPr>
          <w:p>
            <w:pPr>
              <w:ind w:left="220"/>
              <w:spacing w:after="0"/>
              <w:rPr>
                <w:sz w:val="20"/>
                <w:szCs w:val="20"/>
                <w:color w:val="auto"/>
              </w:rPr>
            </w:pPr>
            <w:r>
              <w:rPr>
                <w:rFonts w:ascii="Arial" w:cs="Arial" w:eastAsia="Arial" w:hAnsi="Arial"/>
                <w:sz w:val="16"/>
                <w:szCs w:val="16"/>
                <w:color w:val="auto"/>
              </w:rPr>
              <w:t>Remeasurement of lease liabilities</w:t>
            </w:r>
          </w:p>
        </w:tc>
        <w:tc>
          <w:tcPr>
            <w:tcW w:w="760" w:type="dxa"/>
            <w:vAlign w:val="bottom"/>
          </w:tcPr>
          <w:p>
            <w:pPr>
              <w:spacing w:after="0"/>
              <w:rPr>
                <w:sz w:val="20"/>
                <w:szCs w:val="20"/>
                <w:color w:val="auto"/>
              </w:rPr>
            </w:pPr>
          </w:p>
        </w:tc>
        <w:tc>
          <w:tcPr>
            <w:tcW w:w="380" w:type="dxa"/>
            <w:vAlign w:val="bottom"/>
          </w:tcPr>
          <w:p>
            <w:pPr>
              <w:jc w:val="right"/>
              <w:ind w:right="2"/>
              <w:spacing w:after="0"/>
              <w:rPr>
                <w:sz w:val="20"/>
                <w:szCs w:val="20"/>
                <w:color w:val="auto"/>
              </w:rPr>
            </w:pPr>
            <w:r>
              <w:rPr>
                <w:rFonts w:ascii="Arial" w:cs="Arial" w:eastAsia="Arial" w:hAnsi="Arial"/>
                <w:sz w:val="16"/>
                <w:szCs w:val="16"/>
                <w:color w:val="auto"/>
              </w:rPr>
              <w:t>54</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67</w:t>
            </w: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jc w:val="right"/>
              <w:ind w:right="2"/>
              <w:spacing w:after="0"/>
              <w:rPr>
                <w:sz w:val="20"/>
                <w:szCs w:val="20"/>
                <w:color w:val="auto"/>
              </w:rPr>
            </w:pPr>
            <w:r>
              <w:rPr>
                <w:rFonts w:ascii="Arial" w:cs="Arial" w:eastAsia="Arial" w:hAnsi="Arial"/>
                <w:sz w:val="16"/>
                <w:szCs w:val="16"/>
                <w:color w:val="auto"/>
              </w:rPr>
              <w:t>75</w:t>
            </w:r>
          </w:p>
        </w:tc>
      </w:tr>
      <w:tr>
        <w:trPr>
          <w:trHeight w:val="235"/>
        </w:trPr>
        <w:tc>
          <w:tcPr>
            <w:tcW w:w="6560" w:type="dxa"/>
            <w:vAlign w:val="bottom"/>
          </w:tcPr>
          <w:p>
            <w:pPr>
              <w:ind w:left="120"/>
              <w:spacing w:after="0"/>
              <w:rPr>
                <w:sz w:val="20"/>
                <w:szCs w:val="20"/>
                <w:color w:val="auto"/>
              </w:rPr>
            </w:pPr>
            <w:r>
              <w:rPr>
                <w:rFonts w:ascii="Arial" w:cs="Arial" w:eastAsia="Arial" w:hAnsi="Arial"/>
                <w:sz w:val="16"/>
                <w:szCs w:val="16"/>
                <w:color w:val="auto"/>
              </w:rPr>
              <w:t>Liabilities assumed in connection with acquisitions</w:t>
            </w:r>
          </w:p>
        </w:tc>
        <w:tc>
          <w:tcPr>
            <w:tcW w:w="7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235"/>
        </w:trPr>
        <w:tc>
          <w:tcPr>
            <w:tcW w:w="6560" w:type="dxa"/>
            <w:vAlign w:val="bottom"/>
          </w:tcPr>
          <w:p>
            <w:pPr>
              <w:ind w:left="220"/>
              <w:spacing w:after="0"/>
              <w:rPr>
                <w:sz w:val="20"/>
                <w:szCs w:val="20"/>
                <w:color w:val="auto"/>
              </w:rPr>
            </w:pPr>
            <w:r>
              <w:rPr>
                <w:rFonts w:ascii="Arial" w:cs="Arial" w:eastAsia="Arial" w:hAnsi="Arial"/>
                <w:sz w:val="16"/>
                <w:szCs w:val="16"/>
                <w:color w:val="auto"/>
              </w:rPr>
              <w:t>Fair value of assets acquired</w:t>
            </w:r>
          </w:p>
        </w:tc>
        <w:tc>
          <w:tcPr>
            <w:tcW w:w="760" w:type="dxa"/>
            <w:vAlign w:val="bottom"/>
          </w:tcPr>
          <w:p>
            <w:pPr>
              <w:spacing w:after="0"/>
              <w:rPr>
                <w:sz w:val="20"/>
                <w:szCs w:val="20"/>
                <w:color w:val="auto"/>
              </w:rPr>
            </w:pPr>
          </w:p>
        </w:tc>
        <w:tc>
          <w:tcPr>
            <w:tcW w:w="380" w:type="dxa"/>
            <w:vAlign w:val="bottom"/>
          </w:tcPr>
          <w:p>
            <w:pPr>
              <w:jc w:val="right"/>
              <w:ind w:right="2"/>
              <w:spacing w:after="0"/>
              <w:rPr>
                <w:sz w:val="20"/>
                <w:szCs w:val="20"/>
                <w:color w:val="auto"/>
              </w:rPr>
            </w:pPr>
            <w:r>
              <w:rPr>
                <w:rFonts w:ascii="Arial" w:cs="Arial" w:eastAsia="Arial" w:hAnsi="Arial"/>
                <w:sz w:val="16"/>
                <w:szCs w:val="16"/>
                <w:color w:val="auto"/>
              </w:rPr>
              <w:t>6</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789</w:t>
            </w: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jc w:val="right"/>
              <w:ind w:right="2"/>
              <w:spacing w:after="0"/>
              <w:rPr>
                <w:sz w:val="20"/>
                <w:szCs w:val="20"/>
                <w:color w:val="auto"/>
              </w:rPr>
            </w:pPr>
            <w:r>
              <w:rPr>
                <w:rFonts w:ascii="Arial" w:cs="Arial" w:eastAsia="Arial" w:hAnsi="Arial"/>
                <w:sz w:val="16"/>
                <w:szCs w:val="16"/>
                <w:color w:val="auto"/>
              </w:rPr>
              <w:t>304</w:t>
            </w:r>
          </w:p>
        </w:tc>
      </w:tr>
      <w:tr>
        <w:trPr>
          <w:trHeight w:val="242"/>
        </w:trPr>
        <w:tc>
          <w:tcPr>
            <w:tcW w:w="6560" w:type="dxa"/>
            <w:vAlign w:val="bottom"/>
          </w:tcPr>
          <w:p>
            <w:pPr>
              <w:ind w:left="280"/>
              <w:spacing w:after="0"/>
              <w:rPr>
                <w:sz w:val="20"/>
                <w:szCs w:val="20"/>
                <w:color w:val="auto"/>
              </w:rPr>
            </w:pPr>
            <w:r>
              <w:rPr>
                <w:rFonts w:ascii="Arial" w:cs="Arial" w:eastAsia="Arial" w:hAnsi="Arial"/>
                <w:sz w:val="16"/>
                <w:szCs w:val="16"/>
                <w:color w:val="auto"/>
              </w:rPr>
              <w:t>Less: Total Purchase price</w:t>
            </w:r>
          </w:p>
        </w:tc>
        <w:tc>
          <w:tcPr>
            <w:tcW w:w="760" w:type="dxa"/>
            <w:vAlign w:val="bottom"/>
            <w:tcBorders>
              <w:bottom w:val="single" w:sz="8" w:color="auto"/>
            </w:tcBorders>
          </w:tcPr>
          <w:p>
            <w:pPr>
              <w:spacing w:after="0"/>
              <w:rPr>
                <w:sz w:val="21"/>
                <w:szCs w:val="21"/>
                <w:color w:val="auto"/>
              </w:rPr>
            </w:pPr>
          </w:p>
        </w:tc>
        <w:tc>
          <w:tcPr>
            <w:tcW w:w="3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3</w:t>
            </w:r>
          </w:p>
        </w:tc>
        <w:tc>
          <w:tcPr>
            <w:tcW w:w="6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586</w:t>
            </w:r>
          </w:p>
        </w:tc>
        <w:tc>
          <w:tcPr>
            <w:tcW w:w="6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299</w:t>
            </w:r>
          </w:p>
        </w:tc>
      </w:tr>
      <w:tr>
        <w:trPr>
          <w:trHeight w:val="196"/>
        </w:trPr>
        <w:tc>
          <w:tcPr>
            <w:tcW w:w="6560" w:type="dxa"/>
            <w:vAlign w:val="bottom"/>
          </w:tcPr>
          <w:p>
            <w:pPr>
              <w:ind w:left="220"/>
              <w:spacing w:after="0"/>
              <w:rPr>
                <w:sz w:val="20"/>
                <w:szCs w:val="20"/>
                <w:color w:val="auto"/>
              </w:rPr>
            </w:pPr>
            <w:r>
              <w:rPr>
                <w:rFonts w:ascii="Arial" w:cs="Arial" w:eastAsia="Arial" w:hAnsi="Arial"/>
                <w:sz w:val="16"/>
                <w:szCs w:val="16"/>
                <w:color w:val="auto"/>
              </w:rPr>
              <w:t>Liabilities and noncontrolling interests assumed</w:t>
            </w:r>
          </w:p>
        </w:tc>
        <w:tc>
          <w:tcPr>
            <w:tcW w:w="760" w:type="dxa"/>
            <w:vAlign w:val="bottom"/>
          </w:tcPr>
          <w:p>
            <w:pPr>
              <w:jc w:val="right"/>
              <w:ind w:right="542"/>
              <w:spacing w:after="0"/>
              <w:rPr>
                <w:sz w:val="20"/>
                <w:szCs w:val="20"/>
                <w:color w:val="auto"/>
              </w:rPr>
            </w:pPr>
            <w:r>
              <w:rPr>
                <w:rFonts w:ascii="Arial" w:cs="Arial" w:eastAsia="Arial" w:hAnsi="Arial"/>
                <w:sz w:val="16"/>
                <w:szCs w:val="16"/>
                <w:color w:val="auto"/>
              </w:rPr>
              <w:t>$</w:t>
            </w:r>
          </w:p>
        </w:tc>
        <w:tc>
          <w:tcPr>
            <w:tcW w:w="380" w:type="dxa"/>
            <w:vAlign w:val="bottom"/>
          </w:tcPr>
          <w:p>
            <w:pPr>
              <w:jc w:val="right"/>
              <w:ind w:right="2"/>
              <w:spacing w:after="0"/>
              <w:rPr>
                <w:sz w:val="20"/>
                <w:szCs w:val="20"/>
                <w:color w:val="auto"/>
              </w:rPr>
            </w:pPr>
            <w:r>
              <w:rPr>
                <w:rFonts w:ascii="Arial" w:cs="Arial" w:eastAsia="Arial" w:hAnsi="Arial"/>
                <w:sz w:val="16"/>
                <w:szCs w:val="16"/>
                <w:color w:val="auto"/>
              </w:rPr>
              <w:t>3</w:t>
            </w: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203</w:t>
            </w:r>
          </w:p>
        </w:tc>
        <w:tc>
          <w:tcPr>
            <w:tcW w:w="3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2"/>
              <w:spacing w:after="0"/>
              <w:rPr>
                <w:sz w:val="20"/>
                <w:szCs w:val="20"/>
                <w:color w:val="auto"/>
              </w:rPr>
            </w:pPr>
            <w:r>
              <w:rPr>
                <w:rFonts w:ascii="Arial" w:cs="Arial" w:eastAsia="Arial" w:hAnsi="Arial"/>
                <w:sz w:val="16"/>
                <w:szCs w:val="16"/>
                <w:color w:val="auto"/>
              </w:rPr>
              <w:t>5</w:t>
            </w:r>
          </w:p>
        </w:tc>
      </w:tr>
      <w:tr>
        <w:trPr>
          <w:trHeight w:val="20"/>
        </w:trPr>
        <w:tc>
          <w:tcPr>
            <w:tcW w:w="65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-2271395</wp:posOffset>
            </wp:positionV>
            <wp:extent cx="6466205" cy="227838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23">
                      <a:extLst>
                        <a:ext uri="{28A0092B-C50C-407E-A947-70E740481C1C}"/>
                      </a:extLst>
                    </a:blip>
                    <a:srcRect/>
                    <a:stretch>
                      <a:fillRect/>
                    </a:stretch>
                  </pic:blipFill>
                  <pic:spPr bwMode="auto">
                    <a:xfrm>
                      <a:off x="0" y="0"/>
                      <a:ext cx="6466205" cy="2278380"/>
                    </a:xfrm>
                    <a:prstGeom prst="rect">
                      <a:avLst/>
                    </a:prstGeom>
                    <a:noFill/>
                  </pic:spPr>
                </pic:pic>
              </a:graphicData>
            </a:graphic>
          </wp:anchor>
        </w:drawing>
      </w:r>
    </w:p>
    <w:p>
      <w:pPr>
        <w:sectPr>
          <w:pgSz w:w="11880" w:h="15480" w:orient="portrait"/>
          <w:cols w:equalWidth="0" w:num="1">
            <w:col w:w="10100"/>
          </w:cols>
          <w:pgMar w:left="920" w:top="765" w:right="8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60"/>
        <w:spacing w:after="0"/>
        <w:rPr>
          <w:sz w:val="20"/>
          <w:szCs w:val="20"/>
          <w:color w:val="auto"/>
        </w:rPr>
      </w:pPr>
      <w:r>
        <w:rPr>
          <w:rFonts w:ascii="Arial" w:cs="Arial" w:eastAsia="Arial" w:hAnsi="Arial"/>
          <w:sz w:val="16"/>
          <w:szCs w:val="16"/>
          <w:color w:val="auto"/>
        </w:rPr>
        <w:t>158</w:t>
      </w:r>
    </w:p>
    <w:p>
      <w:pPr>
        <w:sectPr>
          <w:pgSz w:w="11880" w:h="15480" w:orient="portrait"/>
          <w:cols w:equalWidth="0" w:num="1">
            <w:col w:w="10100"/>
          </w:cols>
          <w:pgMar w:left="920" w:top="765" w:right="860" w:bottom="0" w:gutter="0" w:footer="0" w:header="0"/>
          <w:type w:val="continuous"/>
        </w:sectPr>
      </w:pPr>
    </w:p>
    <w:bookmarkStart w:id="170" w:name="page171"/>
    <w:bookmarkEnd w:id="170"/>
    <w:p>
      <w:pPr>
        <w:ind w:left="80"/>
        <w:spacing w:after="0"/>
        <w:rPr>
          <w:sz w:val="20"/>
          <w:szCs w:val="20"/>
          <w:color w:val="auto"/>
        </w:rPr>
      </w:pPr>
      <w:r>
        <w:rPr>
          <w:rFonts w:ascii="Arial" w:cs="Arial" w:eastAsia="Arial" w:hAnsi="Arial"/>
          <w:sz w:val="20"/>
          <w:szCs w:val="20"/>
          <w:b w:val="1"/>
          <w:bCs w:val="1"/>
          <w:color w:val="auto"/>
        </w:rPr>
        <w:t>Note K — Revenue Recognition</w:t>
      </w:r>
    </w:p>
    <w:p>
      <w:pPr>
        <w:spacing w:after="0" w:line="123" w:lineRule="exact"/>
        <w:rPr>
          <w:sz w:val="20"/>
          <w:szCs w:val="20"/>
          <w:color w:val="auto"/>
        </w:rPr>
      </w:pPr>
    </w:p>
    <w:p>
      <w:pPr>
        <w:ind w:left="80"/>
        <w:spacing w:after="0"/>
        <w:rPr>
          <w:sz w:val="20"/>
          <w:szCs w:val="20"/>
          <w:color w:val="auto"/>
        </w:rPr>
      </w:pPr>
      <w:r>
        <w:rPr>
          <w:rFonts w:ascii="Arial" w:cs="Arial" w:eastAsia="Arial" w:hAnsi="Arial"/>
          <w:sz w:val="20"/>
          <w:szCs w:val="20"/>
          <w:b w:val="1"/>
          <w:bCs w:val="1"/>
          <w:i w:val="1"/>
          <w:iCs w:val="1"/>
          <w:color w:val="auto"/>
        </w:rPr>
        <w:t>Disaggregation of Revenue</w:t>
      </w:r>
    </w:p>
    <w:p>
      <w:pPr>
        <w:spacing w:after="0" w:line="130" w:lineRule="exact"/>
        <w:rPr>
          <w:sz w:val="20"/>
          <w:szCs w:val="20"/>
          <w:color w:val="auto"/>
        </w:rPr>
      </w:pPr>
    </w:p>
    <w:p>
      <w:pPr>
        <w:ind w:left="420"/>
        <w:spacing w:after="0"/>
        <w:rPr>
          <w:sz w:val="20"/>
          <w:szCs w:val="20"/>
          <w:color w:val="auto"/>
        </w:rPr>
      </w:pPr>
      <w:r>
        <w:rPr>
          <w:rFonts w:ascii="Arial" w:cs="Arial" w:eastAsia="Arial" w:hAnsi="Arial"/>
          <w:sz w:val="20"/>
          <w:szCs w:val="20"/>
          <w:color w:val="auto"/>
        </w:rPr>
        <w:t>Our revenue consists of:</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080" w:type="dxa"/>
            <w:vAlign w:val="bottom"/>
            <w:tcBorders>
              <w:bottom w:val="single" w:sz="8" w:color="auto"/>
            </w:tcBorders>
            <w:gridSpan w:val="8"/>
          </w:tcPr>
          <w:p>
            <w:pPr>
              <w:jc w:val="center"/>
              <w:ind w:right="82"/>
              <w:spacing w:after="0"/>
              <w:rPr>
                <w:sz w:val="20"/>
                <w:szCs w:val="20"/>
                <w:color w:val="auto"/>
              </w:rPr>
            </w:pPr>
            <w:r>
              <w:rPr>
                <w:rFonts w:ascii="Arial" w:cs="Arial" w:eastAsia="Arial" w:hAnsi="Arial"/>
                <w:sz w:val="16"/>
                <w:szCs w:val="16"/>
                <w:b w:val="1"/>
                <w:bCs w:val="1"/>
                <w:color w:val="auto"/>
                <w:w w:val="89"/>
              </w:rPr>
              <w:t>Year Ended December 31,</w:t>
            </w:r>
          </w:p>
        </w:tc>
        <w:tc>
          <w:tcPr>
            <w:tcW w:w="0" w:type="dxa"/>
            <w:vAlign w:val="bottom"/>
          </w:tcPr>
          <w:p>
            <w:pPr>
              <w:spacing w:after="0"/>
              <w:rPr>
                <w:sz w:val="1"/>
                <w:szCs w:val="1"/>
                <w:color w:val="auto"/>
              </w:rPr>
            </w:pPr>
          </w:p>
        </w:tc>
      </w:tr>
      <w:tr>
        <w:trPr>
          <w:trHeight w:val="208"/>
        </w:trPr>
        <w:tc>
          <w:tcPr>
            <w:tcW w:w="3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jc w:val="right"/>
              <w:ind w:right="62"/>
              <w:spacing w:after="0"/>
              <w:rPr>
                <w:sz w:val="20"/>
                <w:szCs w:val="20"/>
                <w:color w:val="auto"/>
              </w:rPr>
            </w:pPr>
            <w:r>
              <w:rPr>
                <w:rFonts w:ascii="Arial" w:cs="Arial" w:eastAsia="Arial" w:hAnsi="Arial"/>
                <w:sz w:val="16"/>
                <w:szCs w:val="16"/>
                <w:b w:val="1"/>
                <w:bCs w:val="1"/>
                <w:color w:val="auto"/>
                <w:w w:val="89"/>
              </w:rPr>
              <w:t>2025</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center"/>
              <w:ind w:right="102"/>
              <w:spacing w:after="0"/>
              <w:rPr>
                <w:sz w:val="20"/>
                <w:szCs w:val="20"/>
                <w:color w:val="auto"/>
              </w:rPr>
            </w:pPr>
            <w:r>
              <w:rPr>
                <w:rFonts w:ascii="Arial" w:cs="Arial" w:eastAsia="Arial" w:hAnsi="Arial"/>
                <w:sz w:val="16"/>
                <w:szCs w:val="16"/>
                <w:b w:val="1"/>
                <w:bCs w:val="1"/>
                <w:color w:val="auto"/>
                <w:w w:val="89"/>
              </w:rPr>
              <w:t>2024</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ind w:right="122"/>
              <w:spacing w:after="0"/>
              <w:rPr>
                <w:sz w:val="20"/>
                <w:szCs w:val="20"/>
                <w:color w:val="auto"/>
              </w:rPr>
            </w:pPr>
            <w:r>
              <w:rPr>
                <w:rFonts w:ascii="Arial" w:cs="Arial" w:eastAsia="Arial" w:hAnsi="Arial"/>
                <w:sz w:val="16"/>
                <w:szCs w:val="16"/>
                <w:b w:val="1"/>
                <w:bCs w:val="1"/>
                <w:color w:val="auto"/>
                <w:w w:val="89"/>
              </w:rPr>
              <w:t>2023</w:t>
            </w:r>
          </w:p>
        </w:tc>
        <w:tc>
          <w:tcPr>
            <w:tcW w:w="0" w:type="dxa"/>
            <w:vAlign w:val="bottom"/>
          </w:tcPr>
          <w:p>
            <w:pPr>
              <w:spacing w:after="0"/>
              <w:rPr>
                <w:sz w:val="1"/>
                <w:szCs w:val="1"/>
                <w:color w:val="auto"/>
              </w:rPr>
            </w:pPr>
          </w:p>
        </w:tc>
      </w:tr>
      <w:tr>
        <w:trPr>
          <w:trHeight w:val="316"/>
        </w:trPr>
        <w:tc>
          <w:tcPr>
            <w:tcW w:w="3700" w:type="dxa"/>
            <w:vAlign w:val="bottom"/>
            <w:tcBorders>
              <w:bottom w:val="single" w:sz="8" w:color="auto"/>
            </w:tcBorders>
          </w:tcPr>
          <w:p>
            <w:pPr>
              <w:ind w:left="1300"/>
              <w:spacing w:after="0"/>
              <w:rPr>
                <w:sz w:val="20"/>
                <w:szCs w:val="20"/>
                <w:color w:val="auto"/>
              </w:rPr>
            </w:pPr>
            <w:r>
              <w:rPr>
                <w:rFonts w:ascii="Arial" w:cs="Arial" w:eastAsia="Arial" w:hAnsi="Arial"/>
                <w:sz w:val="16"/>
                <w:szCs w:val="16"/>
                <w:b w:val="1"/>
                <w:bCs w:val="1"/>
                <w:color w:val="auto"/>
              </w:rPr>
              <w:t>Revenue Stream</w:t>
            </w:r>
          </w:p>
        </w:tc>
        <w:tc>
          <w:tcPr>
            <w:tcW w:w="80" w:type="dxa"/>
            <w:vAlign w:val="bottom"/>
          </w:tcPr>
          <w:p>
            <w:pPr>
              <w:spacing w:after="0"/>
              <w:rPr>
                <w:sz w:val="24"/>
                <w:szCs w:val="24"/>
                <w:color w:val="auto"/>
              </w:rPr>
            </w:pPr>
          </w:p>
        </w:tc>
        <w:tc>
          <w:tcPr>
            <w:tcW w:w="2340" w:type="dxa"/>
            <w:vAlign w:val="bottom"/>
            <w:tcBorders>
              <w:bottom w:val="single" w:sz="8" w:color="auto"/>
            </w:tcBorders>
          </w:tcPr>
          <w:p>
            <w:pPr>
              <w:ind w:left="80"/>
              <w:spacing w:after="0"/>
              <w:rPr>
                <w:sz w:val="20"/>
                <w:szCs w:val="20"/>
                <w:color w:val="auto"/>
              </w:rPr>
            </w:pPr>
            <w:r>
              <w:rPr>
                <w:rFonts w:ascii="Arial" w:cs="Arial" w:eastAsia="Arial" w:hAnsi="Arial"/>
                <w:sz w:val="16"/>
                <w:szCs w:val="16"/>
                <w:b w:val="1"/>
                <w:bCs w:val="1"/>
                <w:color w:val="auto"/>
                <w:w w:val="90"/>
              </w:rPr>
              <w:t>Income Statement Classification</w:t>
            </w:r>
          </w:p>
        </w:tc>
        <w:tc>
          <w:tcPr>
            <w:tcW w:w="60" w:type="dxa"/>
            <w:vAlign w:val="bottom"/>
          </w:tcPr>
          <w:p>
            <w:pPr>
              <w:spacing w:after="0"/>
              <w:rPr>
                <w:sz w:val="24"/>
                <w:szCs w:val="24"/>
                <w:color w:val="auto"/>
              </w:rPr>
            </w:pPr>
          </w:p>
        </w:tc>
        <w:tc>
          <w:tcPr>
            <w:tcW w:w="17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5"/>
              </w:rPr>
              <w:t>Segment</w:t>
            </w:r>
          </w:p>
        </w:tc>
        <w:tc>
          <w:tcPr>
            <w:tcW w:w="16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gridSpan w:val="6"/>
          </w:tcPr>
          <w:p>
            <w:pPr>
              <w:jc w:val="center"/>
              <w:ind w:right="22"/>
              <w:spacing w:after="0"/>
              <w:rPr>
                <w:sz w:val="20"/>
                <w:szCs w:val="20"/>
                <w:color w:val="auto"/>
              </w:rPr>
            </w:pPr>
            <w:r>
              <w:rPr>
                <w:rFonts w:ascii="Arial" w:cs="Arial" w:eastAsia="Arial" w:hAnsi="Arial"/>
                <w:sz w:val="16"/>
                <w:szCs w:val="16"/>
                <w:b w:val="1"/>
                <w:bCs w:val="1"/>
                <w:color w:val="auto"/>
                <w:w w:val="87"/>
              </w:rPr>
              <w:t>Total Revenue</w:t>
            </w:r>
          </w:p>
        </w:tc>
        <w:tc>
          <w:tcPr>
            <w:tcW w:w="5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3700" w:type="dxa"/>
            <w:vAlign w:val="bottom"/>
          </w:tcPr>
          <w:p>
            <w:pPr>
              <w:ind w:left="60"/>
              <w:spacing w:after="0"/>
              <w:rPr>
                <w:sz w:val="20"/>
                <w:szCs w:val="20"/>
                <w:color w:val="auto"/>
              </w:rPr>
            </w:pPr>
            <w:r>
              <w:rPr>
                <w:rFonts w:ascii="Arial" w:cs="Arial" w:eastAsia="Arial" w:hAnsi="Arial"/>
                <w:sz w:val="16"/>
                <w:szCs w:val="16"/>
                <w:color w:val="auto"/>
              </w:rPr>
              <w:t>Revenue from insurance contracts:</w:t>
            </w:r>
          </w:p>
        </w:tc>
        <w:tc>
          <w:tcPr>
            <w:tcW w:w="80" w:type="dxa"/>
            <w:vAlign w:val="bottom"/>
          </w:tcPr>
          <w:p>
            <w:pPr>
              <w:spacing w:after="0"/>
              <w:rPr>
                <w:sz w:val="21"/>
                <w:szCs w:val="21"/>
                <w:color w:val="auto"/>
              </w:rPr>
            </w:pPr>
          </w:p>
        </w:tc>
        <w:tc>
          <w:tcPr>
            <w:tcW w:w="23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40" w:type="dxa"/>
            <w:vAlign w:val="bottom"/>
            <w:gridSpan w:val="4"/>
          </w:tcPr>
          <w:p>
            <w:pPr>
              <w:jc w:val="center"/>
              <w:ind w:right="20"/>
              <w:spacing w:after="0"/>
              <w:rPr>
                <w:sz w:val="20"/>
                <w:szCs w:val="20"/>
                <w:color w:val="auto"/>
              </w:rPr>
            </w:pPr>
            <w:r>
              <w:rPr>
                <w:rFonts w:ascii="Arial" w:cs="Arial" w:eastAsia="Arial" w:hAnsi="Arial"/>
                <w:sz w:val="16"/>
                <w:szCs w:val="16"/>
                <w:b w:val="1"/>
                <w:bCs w:val="1"/>
                <w:color w:val="auto"/>
                <w:w w:val="91"/>
              </w:rPr>
              <w:t>(In millions)</w:t>
            </w:r>
          </w:p>
        </w:tc>
        <w:tc>
          <w:tcPr>
            <w:tcW w:w="1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9"/>
        </w:trPr>
        <w:tc>
          <w:tcPr>
            <w:tcW w:w="3700" w:type="dxa"/>
            <w:vAlign w:val="bottom"/>
          </w:tcPr>
          <w:p>
            <w:pPr>
              <w:ind w:left="180"/>
              <w:spacing w:after="0"/>
              <w:rPr>
                <w:sz w:val="20"/>
                <w:szCs w:val="20"/>
                <w:color w:val="auto"/>
              </w:rPr>
            </w:pPr>
            <w:r>
              <w:rPr>
                <w:rFonts w:ascii="Arial" w:cs="Arial" w:eastAsia="Arial" w:hAnsi="Arial"/>
                <w:sz w:val="16"/>
                <w:szCs w:val="16"/>
                <w:color w:val="auto"/>
              </w:rPr>
              <w:t>Direct title insurance premiums</w:t>
            </w:r>
          </w:p>
        </w:tc>
        <w:tc>
          <w:tcPr>
            <w:tcW w:w="80" w:type="dxa"/>
            <w:vAlign w:val="bottom"/>
          </w:tcPr>
          <w:p>
            <w:pPr>
              <w:spacing w:after="0"/>
              <w:rPr>
                <w:sz w:val="24"/>
                <w:szCs w:val="24"/>
                <w:color w:val="auto"/>
              </w:rPr>
            </w:pPr>
          </w:p>
        </w:tc>
        <w:tc>
          <w:tcPr>
            <w:tcW w:w="2340" w:type="dxa"/>
            <w:vAlign w:val="bottom"/>
          </w:tcPr>
          <w:p>
            <w:pPr>
              <w:ind w:left="40"/>
              <w:spacing w:after="0"/>
              <w:rPr>
                <w:sz w:val="20"/>
                <w:szCs w:val="20"/>
                <w:color w:val="auto"/>
              </w:rPr>
            </w:pPr>
            <w:r>
              <w:rPr>
                <w:rFonts w:ascii="Arial" w:cs="Arial" w:eastAsia="Arial" w:hAnsi="Arial"/>
                <w:sz w:val="16"/>
                <w:szCs w:val="16"/>
                <w:color w:val="auto"/>
              </w:rPr>
              <w:t>Direct title insurance premiums</w:t>
            </w:r>
          </w:p>
        </w:tc>
        <w:tc>
          <w:tcPr>
            <w:tcW w:w="60" w:type="dxa"/>
            <w:vAlign w:val="bottom"/>
          </w:tcPr>
          <w:p>
            <w:pPr>
              <w:spacing w:after="0"/>
              <w:rPr>
                <w:sz w:val="24"/>
                <w:szCs w:val="24"/>
                <w:color w:val="auto"/>
              </w:rPr>
            </w:pPr>
          </w:p>
        </w:tc>
        <w:tc>
          <w:tcPr>
            <w:tcW w:w="1780" w:type="dxa"/>
            <w:vAlign w:val="bottom"/>
          </w:tcPr>
          <w:p>
            <w:pPr>
              <w:jc w:val="center"/>
              <w:spacing w:after="0"/>
              <w:rPr>
                <w:sz w:val="20"/>
                <w:szCs w:val="20"/>
                <w:color w:val="auto"/>
              </w:rPr>
            </w:pPr>
            <w:r>
              <w:rPr>
                <w:rFonts w:ascii="Arial" w:cs="Arial" w:eastAsia="Arial" w:hAnsi="Arial"/>
                <w:sz w:val="16"/>
                <w:szCs w:val="16"/>
                <w:color w:val="auto"/>
                <w:w w:val="99"/>
              </w:rPr>
              <w:t>Title</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480" w:type="dxa"/>
            <w:vAlign w:val="bottom"/>
          </w:tcPr>
          <w:p>
            <w:pPr>
              <w:jc w:val="right"/>
              <w:spacing w:after="0"/>
              <w:rPr>
                <w:sz w:val="20"/>
                <w:szCs w:val="20"/>
                <w:color w:val="auto"/>
              </w:rPr>
            </w:pPr>
            <w:r>
              <w:rPr>
                <w:rFonts w:ascii="Arial" w:cs="Arial" w:eastAsia="Arial" w:hAnsi="Arial"/>
                <w:sz w:val="16"/>
                <w:szCs w:val="16"/>
                <w:color w:val="auto"/>
              </w:rPr>
              <w:t>2,574</w:t>
            </w:r>
          </w:p>
        </w:tc>
        <w:tc>
          <w:tcPr>
            <w:tcW w:w="300" w:type="dxa"/>
            <w:vAlign w:val="bottom"/>
            <w:gridSpan w:val="3"/>
          </w:tcPr>
          <w:p>
            <w:pPr>
              <w:jc w:val="right"/>
              <w:ind w:right="40"/>
              <w:spacing w:after="0"/>
              <w:rPr>
                <w:sz w:val="20"/>
                <w:szCs w:val="20"/>
                <w:color w:val="auto"/>
              </w:rPr>
            </w:pPr>
            <w:r>
              <w:rPr>
                <w:rFonts w:ascii="Arial" w:cs="Arial" w:eastAsia="Arial" w:hAnsi="Arial"/>
                <w:sz w:val="16"/>
                <w:szCs w:val="16"/>
                <w:color w:val="auto"/>
              </w:rPr>
              <w:t>$</w:t>
            </w:r>
          </w:p>
        </w:tc>
        <w:tc>
          <w:tcPr>
            <w:tcW w:w="540" w:type="dxa"/>
            <w:vAlign w:val="bottom"/>
          </w:tcPr>
          <w:p>
            <w:pPr>
              <w:jc w:val="right"/>
              <w:ind w:right="2"/>
              <w:spacing w:after="0"/>
              <w:rPr>
                <w:sz w:val="20"/>
                <w:szCs w:val="20"/>
                <w:color w:val="auto"/>
              </w:rPr>
            </w:pPr>
            <w:r>
              <w:rPr>
                <w:rFonts w:ascii="Arial" w:cs="Arial" w:eastAsia="Arial" w:hAnsi="Arial"/>
                <w:sz w:val="16"/>
                <w:szCs w:val="16"/>
                <w:color w:val="auto"/>
              </w:rPr>
              <w:t>2,200</w:t>
            </w:r>
          </w:p>
        </w:tc>
        <w:tc>
          <w:tcPr>
            <w:tcW w:w="6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1,982</w:t>
            </w:r>
          </w:p>
        </w:tc>
        <w:tc>
          <w:tcPr>
            <w:tcW w:w="0" w:type="dxa"/>
            <w:vAlign w:val="bottom"/>
          </w:tcPr>
          <w:p>
            <w:pPr>
              <w:spacing w:after="0"/>
              <w:rPr>
                <w:sz w:val="1"/>
                <w:szCs w:val="1"/>
                <w:color w:val="auto"/>
              </w:rPr>
            </w:pPr>
          </w:p>
        </w:tc>
      </w:tr>
      <w:tr>
        <w:trPr>
          <w:trHeight w:val="279"/>
        </w:trPr>
        <w:tc>
          <w:tcPr>
            <w:tcW w:w="3700" w:type="dxa"/>
            <w:vAlign w:val="bottom"/>
          </w:tcPr>
          <w:p>
            <w:pPr>
              <w:ind w:left="180"/>
              <w:spacing w:after="0"/>
              <w:rPr>
                <w:sz w:val="20"/>
                <w:szCs w:val="20"/>
                <w:color w:val="auto"/>
              </w:rPr>
            </w:pPr>
            <w:r>
              <w:rPr>
                <w:rFonts w:ascii="Arial" w:cs="Arial" w:eastAsia="Arial" w:hAnsi="Arial"/>
                <w:sz w:val="16"/>
                <w:szCs w:val="16"/>
                <w:color w:val="auto"/>
              </w:rPr>
              <w:t>Agency title insurance premiums</w:t>
            </w:r>
          </w:p>
        </w:tc>
        <w:tc>
          <w:tcPr>
            <w:tcW w:w="80" w:type="dxa"/>
            <w:vAlign w:val="bottom"/>
          </w:tcPr>
          <w:p>
            <w:pPr>
              <w:spacing w:after="0"/>
              <w:rPr>
                <w:sz w:val="24"/>
                <w:szCs w:val="24"/>
                <w:color w:val="auto"/>
              </w:rPr>
            </w:pPr>
          </w:p>
        </w:tc>
        <w:tc>
          <w:tcPr>
            <w:tcW w:w="2340" w:type="dxa"/>
            <w:vAlign w:val="bottom"/>
          </w:tcPr>
          <w:p>
            <w:pPr>
              <w:ind w:left="40"/>
              <w:spacing w:after="0"/>
              <w:rPr>
                <w:sz w:val="20"/>
                <w:szCs w:val="20"/>
                <w:color w:val="auto"/>
              </w:rPr>
            </w:pPr>
            <w:r>
              <w:rPr>
                <w:rFonts w:ascii="Arial" w:cs="Arial" w:eastAsia="Arial" w:hAnsi="Arial"/>
                <w:sz w:val="16"/>
                <w:szCs w:val="16"/>
                <w:color w:val="auto"/>
                <w:w w:val="98"/>
              </w:rPr>
              <w:t>Agency title insurance premiums</w:t>
            </w:r>
          </w:p>
        </w:tc>
        <w:tc>
          <w:tcPr>
            <w:tcW w:w="60" w:type="dxa"/>
            <w:vAlign w:val="bottom"/>
          </w:tcPr>
          <w:p>
            <w:pPr>
              <w:spacing w:after="0"/>
              <w:rPr>
                <w:sz w:val="24"/>
                <w:szCs w:val="24"/>
                <w:color w:val="auto"/>
              </w:rPr>
            </w:pPr>
          </w:p>
        </w:tc>
        <w:tc>
          <w:tcPr>
            <w:tcW w:w="1780" w:type="dxa"/>
            <w:vAlign w:val="bottom"/>
          </w:tcPr>
          <w:p>
            <w:pPr>
              <w:jc w:val="center"/>
              <w:spacing w:after="0"/>
              <w:rPr>
                <w:sz w:val="20"/>
                <w:szCs w:val="20"/>
                <w:color w:val="auto"/>
              </w:rPr>
            </w:pPr>
            <w:r>
              <w:rPr>
                <w:rFonts w:ascii="Arial" w:cs="Arial" w:eastAsia="Arial" w:hAnsi="Arial"/>
                <w:sz w:val="16"/>
                <w:szCs w:val="16"/>
                <w:color w:val="auto"/>
                <w:w w:val="99"/>
              </w:rPr>
              <w:t>Title</w:t>
            </w:r>
          </w:p>
        </w:tc>
        <w:tc>
          <w:tcPr>
            <w:tcW w:w="16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3,250</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jc w:val="right"/>
              <w:ind w:right="2"/>
              <w:spacing w:after="0"/>
              <w:rPr>
                <w:sz w:val="20"/>
                <w:szCs w:val="20"/>
                <w:color w:val="auto"/>
              </w:rPr>
            </w:pPr>
            <w:r>
              <w:rPr>
                <w:rFonts w:ascii="Arial" w:cs="Arial" w:eastAsia="Arial" w:hAnsi="Arial"/>
                <w:sz w:val="16"/>
                <w:szCs w:val="16"/>
                <w:color w:val="auto"/>
              </w:rPr>
              <w:t>2,953</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2,610</w:t>
            </w:r>
          </w:p>
        </w:tc>
        <w:tc>
          <w:tcPr>
            <w:tcW w:w="0" w:type="dxa"/>
            <w:vAlign w:val="bottom"/>
          </w:tcPr>
          <w:p>
            <w:pPr>
              <w:spacing w:after="0"/>
              <w:rPr>
                <w:sz w:val="1"/>
                <w:szCs w:val="1"/>
                <w:color w:val="auto"/>
              </w:rPr>
            </w:pPr>
          </w:p>
        </w:tc>
      </w:tr>
      <w:tr>
        <w:trPr>
          <w:trHeight w:val="253"/>
        </w:trPr>
        <w:tc>
          <w:tcPr>
            <w:tcW w:w="3700" w:type="dxa"/>
            <w:vAlign w:val="bottom"/>
          </w:tcPr>
          <w:p>
            <w:pPr>
              <w:ind w:left="180"/>
              <w:spacing w:after="0"/>
              <w:rPr>
                <w:sz w:val="20"/>
                <w:szCs w:val="20"/>
                <w:color w:val="auto"/>
              </w:rPr>
            </w:pPr>
            <w:r>
              <w:rPr>
                <w:rFonts w:ascii="Arial" w:cs="Arial" w:eastAsia="Arial" w:hAnsi="Arial"/>
                <w:sz w:val="16"/>
                <w:szCs w:val="16"/>
                <w:color w:val="auto"/>
                <w:w w:val="95"/>
              </w:rPr>
              <w:t>Life insurance premiums, insurance and investment</w:t>
            </w:r>
          </w:p>
        </w:tc>
        <w:tc>
          <w:tcPr>
            <w:tcW w:w="80" w:type="dxa"/>
            <w:vAlign w:val="bottom"/>
          </w:tcPr>
          <w:p>
            <w:pPr>
              <w:spacing w:after="0"/>
              <w:rPr>
                <w:sz w:val="21"/>
                <w:szCs w:val="21"/>
                <w:color w:val="auto"/>
              </w:rPr>
            </w:pPr>
          </w:p>
        </w:tc>
        <w:tc>
          <w:tcPr>
            <w:tcW w:w="2340" w:type="dxa"/>
            <w:vAlign w:val="bottom"/>
            <w:vMerge w:val="restart"/>
          </w:tcPr>
          <w:p>
            <w:pPr>
              <w:ind w:left="40"/>
              <w:spacing w:after="0"/>
              <w:rPr>
                <w:sz w:val="20"/>
                <w:szCs w:val="20"/>
                <w:color w:val="auto"/>
              </w:rPr>
            </w:pPr>
            <w:r>
              <w:rPr>
                <w:rFonts w:ascii="Arial" w:cs="Arial" w:eastAsia="Arial" w:hAnsi="Arial"/>
                <w:sz w:val="16"/>
                <w:szCs w:val="16"/>
                <w:color w:val="auto"/>
                <w:w w:val="92"/>
              </w:rPr>
              <w:t>Escrow, title-related and other fees</w:t>
            </w:r>
          </w:p>
        </w:tc>
        <w:tc>
          <w:tcPr>
            <w:tcW w:w="60" w:type="dxa"/>
            <w:vAlign w:val="bottom"/>
          </w:tcPr>
          <w:p>
            <w:pPr>
              <w:spacing w:after="0"/>
              <w:rPr>
                <w:sz w:val="21"/>
                <w:szCs w:val="21"/>
                <w:color w:val="auto"/>
              </w:rPr>
            </w:pPr>
          </w:p>
        </w:tc>
        <w:tc>
          <w:tcPr>
            <w:tcW w:w="1780" w:type="dxa"/>
            <w:vAlign w:val="bottom"/>
            <w:vMerge w:val="restart"/>
          </w:tcPr>
          <w:p>
            <w:pPr>
              <w:jc w:val="center"/>
              <w:spacing w:after="0"/>
              <w:rPr>
                <w:sz w:val="20"/>
                <w:szCs w:val="20"/>
                <w:color w:val="auto"/>
              </w:rPr>
            </w:pPr>
            <w:r>
              <w:rPr>
                <w:rFonts w:ascii="Arial" w:cs="Arial" w:eastAsia="Arial" w:hAnsi="Arial"/>
                <w:sz w:val="16"/>
                <w:szCs w:val="16"/>
                <w:color w:val="auto"/>
                <w:w w:val="97"/>
              </w:rPr>
              <w:t>F&amp;G</w:t>
            </w:r>
          </w:p>
        </w:tc>
        <w:tc>
          <w:tcPr>
            <w:tcW w:w="160" w:type="dxa"/>
            <w:vAlign w:val="bottom"/>
          </w:tcPr>
          <w:p>
            <w:pPr>
              <w:spacing w:after="0"/>
              <w:rPr>
                <w:sz w:val="21"/>
                <w:szCs w:val="21"/>
                <w:color w:val="auto"/>
              </w:rPr>
            </w:pPr>
          </w:p>
        </w:tc>
        <w:tc>
          <w:tcPr>
            <w:tcW w:w="480" w:type="dxa"/>
            <w:vAlign w:val="bottom"/>
            <w:vMerge w:val="restart"/>
          </w:tcPr>
          <w:p>
            <w:pPr>
              <w:jc w:val="right"/>
              <w:spacing w:after="0"/>
              <w:rPr>
                <w:sz w:val="20"/>
                <w:szCs w:val="20"/>
                <w:color w:val="auto"/>
              </w:rPr>
            </w:pPr>
            <w:r>
              <w:rPr>
                <w:rFonts w:ascii="Arial" w:cs="Arial" w:eastAsia="Arial" w:hAnsi="Arial"/>
                <w:sz w:val="16"/>
                <w:szCs w:val="16"/>
                <w:color w:val="auto"/>
              </w:rPr>
              <w:t>2,884</w:t>
            </w: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40" w:type="dxa"/>
            <w:vAlign w:val="bottom"/>
            <w:vMerge w:val="restart"/>
          </w:tcPr>
          <w:p>
            <w:pPr>
              <w:jc w:val="right"/>
              <w:ind w:right="2"/>
              <w:spacing w:after="0"/>
              <w:rPr>
                <w:sz w:val="20"/>
                <w:szCs w:val="20"/>
                <w:color w:val="auto"/>
              </w:rPr>
            </w:pPr>
            <w:r>
              <w:rPr>
                <w:rFonts w:ascii="Arial" w:cs="Arial" w:eastAsia="Arial" w:hAnsi="Arial"/>
                <w:sz w:val="16"/>
                <w:szCs w:val="16"/>
                <w:color w:val="auto"/>
              </w:rPr>
              <w:t>2,941</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40" w:type="dxa"/>
            <w:vAlign w:val="bottom"/>
            <w:vMerge w:val="restart"/>
          </w:tcPr>
          <w:p>
            <w:pPr>
              <w:jc w:val="right"/>
              <w:spacing w:after="0"/>
              <w:rPr>
                <w:sz w:val="20"/>
                <w:szCs w:val="20"/>
                <w:color w:val="auto"/>
              </w:rPr>
            </w:pPr>
            <w:r>
              <w:rPr>
                <w:rFonts w:ascii="Arial" w:cs="Arial" w:eastAsia="Arial" w:hAnsi="Arial"/>
                <w:sz w:val="16"/>
                <w:szCs w:val="16"/>
                <w:color w:val="auto"/>
              </w:rPr>
              <w:t>2,413</w:t>
            </w:r>
          </w:p>
        </w:tc>
        <w:tc>
          <w:tcPr>
            <w:tcW w:w="0" w:type="dxa"/>
            <w:vAlign w:val="bottom"/>
          </w:tcPr>
          <w:p>
            <w:pPr>
              <w:spacing w:after="0"/>
              <w:rPr>
                <w:sz w:val="1"/>
                <w:szCs w:val="1"/>
                <w:color w:val="auto"/>
              </w:rPr>
            </w:pPr>
          </w:p>
        </w:tc>
      </w:tr>
      <w:tr>
        <w:trPr>
          <w:trHeight w:val="204"/>
        </w:trPr>
        <w:tc>
          <w:tcPr>
            <w:tcW w:w="3700" w:type="dxa"/>
            <w:vAlign w:val="bottom"/>
          </w:tcPr>
          <w:p>
            <w:pPr>
              <w:ind w:left="180"/>
              <w:spacing w:after="0"/>
              <w:rPr>
                <w:sz w:val="20"/>
                <w:szCs w:val="20"/>
                <w:color w:val="auto"/>
              </w:rPr>
            </w:pPr>
            <w:r>
              <w:rPr>
                <w:rFonts w:ascii="Arial" w:cs="Arial" w:eastAsia="Arial" w:hAnsi="Arial"/>
                <w:sz w:val="16"/>
                <w:szCs w:val="16"/>
                <w:color w:val="auto"/>
              </w:rPr>
              <w:t>product fees, and other (1)</w:t>
            </w:r>
          </w:p>
        </w:tc>
        <w:tc>
          <w:tcPr>
            <w:tcW w:w="80" w:type="dxa"/>
            <w:vAlign w:val="bottom"/>
          </w:tcPr>
          <w:p>
            <w:pPr>
              <w:spacing w:after="0"/>
              <w:rPr>
                <w:sz w:val="17"/>
                <w:szCs w:val="17"/>
                <w:color w:val="auto"/>
              </w:rPr>
            </w:pPr>
          </w:p>
        </w:tc>
        <w:tc>
          <w:tcPr>
            <w:tcW w:w="234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178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86"/>
        </w:trPr>
        <w:tc>
          <w:tcPr>
            <w:tcW w:w="3700" w:type="dxa"/>
            <w:vAlign w:val="bottom"/>
          </w:tcPr>
          <w:p>
            <w:pPr>
              <w:ind w:left="180"/>
              <w:spacing w:after="0"/>
              <w:rPr>
                <w:sz w:val="20"/>
                <w:szCs w:val="20"/>
                <w:color w:val="auto"/>
              </w:rPr>
            </w:pPr>
            <w:r>
              <w:rPr>
                <w:rFonts w:ascii="Arial" w:cs="Arial" w:eastAsia="Arial" w:hAnsi="Arial"/>
                <w:sz w:val="16"/>
                <w:szCs w:val="16"/>
                <w:color w:val="auto"/>
              </w:rPr>
              <w:t>Home warranty</w:t>
            </w:r>
          </w:p>
        </w:tc>
        <w:tc>
          <w:tcPr>
            <w:tcW w:w="80" w:type="dxa"/>
            <w:vAlign w:val="bottom"/>
          </w:tcPr>
          <w:p>
            <w:pPr>
              <w:spacing w:after="0"/>
              <w:rPr>
                <w:sz w:val="24"/>
                <w:szCs w:val="24"/>
                <w:color w:val="auto"/>
              </w:rPr>
            </w:pPr>
          </w:p>
        </w:tc>
        <w:tc>
          <w:tcPr>
            <w:tcW w:w="2340" w:type="dxa"/>
            <w:vAlign w:val="bottom"/>
          </w:tcPr>
          <w:p>
            <w:pPr>
              <w:ind w:left="40"/>
              <w:spacing w:after="0"/>
              <w:rPr>
                <w:sz w:val="20"/>
                <w:szCs w:val="20"/>
                <w:color w:val="auto"/>
              </w:rPr>
            </w:pPr>
            <w:r>
              <w:rPr>
                <w:rFonts w:ascii="Arial" w:cs="Arial" w:eastAsia="Arial" w:hAnsi="Arial"/>
                <w:sz w:val="16"/>
                <w:szCs w:val="16"/>
                <w:color w:val="auto"/>
                <w:w w:val="92"/>
              </w:rPr>
              <w:t>Escrow, title-related and other fees</w:t>
            </w:r>
          </w:p>
        </w:tc>
        <w:tc>
          <w:tcPr>
            <w:tcW w:w="60" w:type="dxa"/>
            <w:vAlign w:val="bottom"/>
          </w:tcPr>
          <w:p>
            <w:pPr>
              <w:spacing w:after="0"/>
              <w:rPr>
                <w:sz w:val="24"/>
                <w:szCs w:val="24"/>
                <w:color w:val="auto"/>
              </w:rPr>
            </w:pPr>
          </w:p>
        </w:tc>
        <w:tc>
          <w:tcPr>
            <w:tcW w:w="1780" w:type="dxa"/>
            <w:vAlign w:val="bottom"/>
          </w:tcPr>
          <w:p>
            <w:pPr>
              <w:jc w:val="center"/>
              <w:spacing w:after="0"/>
              <w:rPr>
                <w:sz w:val="20"/>
                <w:szCs w:val="20"/>
                <w:color w:val="auto"/>
              </w:rPr>
            </w:pPr>
            <w:r>
              <w:rPr>
                <w:rFonts w:ascii="Arial" w:cs="Arial" w:eastAsia="Arial" w:hAnsi="Arial"/>
                <w:sz w:val="16"/>
                <w:szCs w:val="16"/>
                <w:color w:val="auto"/>
                <w:w w:val="99"/>
              </w:rPr>
              <w:t>Title</w:t>
            </w:r>
          </w:p>
        </w:tc>
        <w:tc>
          <w:tcPr>
            <w:tcW w:w="16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151</w:t>
            </w:r>
          </w:p>
        </w:tc>
        <w:tc>
          <w:tcPr>
            <w:tcW w:w="6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146</w:t>
            </w:r>
          </w:p>
        </w:tc>
        <w:tc>
          <w:tcPr>
            <w:tcW w:w="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143</w:t>
            </w:r>
          </w:p>
        </w:tc>
        <w:tc>
          <w:tcPr>
            <w:tcW w:w="0" w:type="dxa"/>
            <w:vAlign w:val="bottom"/>
          </w:tcPr>
          <w:p>
            <w:pPr>
              <w:spacing w:after="0"/>
              <w:rPr>
                <w:sz w:val="1"/>
                <w:szCs w:val="1"/>
                <w:color w:val="auto"/>
              </w:rPr>
            </w:pPr>
          </w:p>
        </w:tc>
      </w:tr>
      <w:tr>
        <w:trPr>
          <w:trHeight w:val="223"/>
        </w:trPr>
        <w:tc>
          <w:tcPr>
            <w:tcW w:w="3700" w:type="dxa"/>
            <w:vAlign w:val="bottom"/>
          </w:tcPr>
          <w:p>
            <w:pPr>
              <w:ind w:left="280"/>
              <w:spacing w:after="0"/>
              <w:rPr>
                <w:sz w:val="20"/>
                <w:szCs w:val="20"/>
                <w:color w:val="auto"/>
              </w:rPr>
            </w:pPr>
            <w:r>
              <w:rPr>
                <w:rFonts w:ascii="Arial" w:cs="Arial" w:eastAsia="Arial" w:hAnsi="Arial"/>
                <w:sz w:val="16"/>
                <w:szCs w:val="16"/>
                <w:color w:val="auto"/>
              </w:rPr>
              <w:t>Total revenue from insurance contracts</w:t>
            </w:r>
          </w:p>
        </w:tc>
        <w:tc>
          <w:tcPr>
            <w:tcW w:w="8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8,859</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jc w:val="right"/>
              <w:ind w:right="2"/>
              <w:spacing w:after="0"/>
              <w:rPr>
                <w:sz w:val="20"/>
                <w:szCs w:val="20"/>
                <w:color w:val="auto"/>
              </w:rPr>
            </w:pPr>
            <w:r>
              <w:rPr>
                <w:rFonts w:ascii="Arial" w:cs="Arial" w:eastAsia="Arial" w:hAnsi="Arial"/>
                <w:sz w:val="16"/>
                <w:szCs w:val="16"/>
                <w:color w:val="auto"/>
              </w:rPr>
              <w:t>8,240</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7,148</w:t>
            </w:r>
          </w:p>
        </w:tc>
        <w:tc>
          <w:tcPr>
            <w:tcW w:w="0" w:type="dxa"/>
            <w:vAlign w:val="bottom"/>
          </w:tcPr>
          <w:p>
            <w:pPr>
              <w:spacing w:after="0"/>
              <w:rPr>
                <w:sz w:val="1"/>
                <w:szCs w:val="1"/>
                <w:color w:val="auto"/>
              </w:rPr>
            </w:pPr>
          </w:p>
        </w:tc>
      </w:tr>
      <w:tr>
        <w:trPr>
          <w:trHeight w:val="279"/>
        </w:trPr>
        <w:tc>
          <w:tcPr>
            <w:tcW w:w="3700" w:type="dxa"/>
            <w:vAlign w:val="bottom"/>
          </w:tcPr>
          <w:p>
            <w:pPr>
              <w:ind w:left="60"/>
              <w:spacing w:after="0"/>
              <w:rPr>
                <w:sz w:val="20"/>
                <w:szCs w:val="20"/>
                <w:color w:val="auto"/>
              </w:rPr>
            </w:pPr>
            <w:r>
              <w:rPr>
                <w:rFonts w:ascii="Arial" w:cs="Arial" w:eastAsia="Arial" w:hAnsi="Arial"/>
                <w:sz w:val="16"/>
                <w:szCs w:val="16"/>
                <w:color w:val="auto"/>
              </w:rPr>
              <w:t>Revenue from contracts with customers:</w:t>
            </w:r>
          </w:p>
        </w:tc>
        <w:tc>
          <w:tcPr>
            <w:tcW w:w="8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3700" w:type="dxa"/>
            <w:vAlign w:val="bottom"/>
          </w:tcPr>
          <w:p>
            <w:pPr>
              <w:ind w:left="180"/>
              <w:spacing w:after="0"/>
              <w:rPr>
                <w:sz w:val="20"/>
                <w:szCs w:val="20"/>
                <w:color w:val="auto"/>
              </w:rPr>
            </w:pPr>
            <w:r>
              <w:rPr>
                <w:rFonts w:ascii="Arial" w:cs="Arial" w:eastAsia="Arial" w:hAnsi="Arial"/>
                <w:sz w:val="16"/>
                <w:szCs w:val="16"/>
                <w:color w:val="auto"/>
              </w:rPr>
              <w:t>Escrow fees</w:t>
            </w:r>
          </w:p>
        </w:tc>
        <w:tc>
          <w:tcPr>
            <w:tcW w:w="80" w:type="dxa"/>
            <w:vAlign w:val="bottom"/>
          </w:tcPr>
          <w:p>
            <w:pPr>
              <w:spacing w:after="0"/>
              <w:rPr>
                <w:sz w:val="24"/>
                <w:szCs w:val="24"/>
                <w:color w:val="auto"/>
              </w:rPr>
            </w:pPr>
          </w:p>
        </w:tc>
        <w:tc>
          <w:tcPr>
            <w:tcW w:w="2340" w:type="dxa"/>
            <w:vAlign w:val="bottom"/>
          </w:tcPr>
          <w:p>
            <w:pPr>
              <w:ind w:left="40"/>
              <w:spacing w:after="0"/>
              <w:rPr>
                <w:sz w:val="20"/>
                <w:szCs w:val="20"/>
                <w:color w:val="auto"/>
              </w:rPr>
            </w:pPr>
            <w:r>
              <w:rPr>
                <w:rFonts w:ascii="Arial" w:cs="Arial" w:eastAsia="Arial" w:hAnsi="Arial"/>
                <w:sz w:val="16"/>
                <w:szCs w:val="16"/>
                <w:color w:val="auto"/>
                <w:w w:val="92"/>
              </w:rPr>
              <w:t>Escrow, title-related and other fees</w:t>
            </w:r>
          </w:p>
        </w:tc>
        <w:tc>
          <w:tcPr>
            <w:tcW w:w="60" w:type="dxa"/>
            <w:vAlign w:val="bottom"/>
          </w:tcPr>
          <w:p>
            <w:pPr>
              <w:spacing w:after="0"/>
              <w:rPr>
                <w:sz w:val="24"/>
                <w:szCs w:val="24"/>
                <w:color w:val="auto"/>
              </w:rPr>
            </w:pPr>
          </w:p>
        </w:tc>
        <w:tc>
          <w:tcPr>
            <w:tcW w:w="1780" w:type="dxa"/>
            <w:vAlign w:val="bottom"/>
          </w:tcPr>
          <w:p>
            <w:pPr>
              <w:jc w:val="center"/>
              <w:spacing w:after="0"/>
              <w:rPr>
                <w:sz w:val="20"/>
                <w:szCs w:val="20"/>
                <w:color w:val="auto"/>
              </w:rPr>
            </w:pPr>
            <w:r>
              <w:rPr>
                <w:rFonts w:ascii="Arial" w:cs="Arial" w:eastAsia="Arial" w:hAnsi="Arial"/>
                <w:sz w:val="16"/>
                <w:szCs w:val="16"/>
                <w:color w:val="auto"/>
                <w:w w:val="99"/>
              </w:rPr>
              <w:t>Title</w:t>
            </w:r>
          </w:p>
        </w:tc>
        <w:tc>
          <w:tcPr>
            <w:tcW w:w="16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915</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jc w:val="right"/>
              <w:ind w:right="2"/>
              <w:spacing w:after="0"/>
              <w:rPr>
                <w:sz w:val="20"/>
                <w:szCs w:val="20"/>
                <w:color w:val="auto"/>
              </w:rPr>
            </w:pPr>
            <w:r>
              <w:rPr>
                <w:rFonts w:ascii="Arial" w:cs="Arial" w:eastAsia="Arial" w:hAnsi="Arial"/>
                <w:sz w:val="16"/>
                <w:szCs w:val="16"/>
                <w:color w:val="auto"/>
              </w:rPr>
              <w:t>824</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766</w:t>
            </w:r>
          </w:p>
        </w:tc>
        <w:tc>
          <w:tcPr>
            <w:tcW w:w="0" w:type="dxa"/>
            <w:vAlign w:val="bottom"/>
          </w:tcPr>
          <w:p>
            <w:pPr>
              <w:spacing w:after="0"/>
              <w:rPr>
                <w:sz w:val="1"/>
                <w:szCs w:val="1"/>
                <w:color w:val="auto"/>
              </w:rPr>
            </w:pPr>
          </w:p>
        </w:tc>
      </w:tr>
      <w:tr>
        <w:trPr>
          <w:trHeight w:val="279"/>
        </w:trPr>
        <w:tc>
          <w:tcPr>
            <w:tcW w:w="3700" w:type="dxa"/>
            <w:vAlign w:val="bottom"/>
          </w:tcPr>
          <w:p>
            <w:pPr>
              <w:ind w:left="180"/>
              <w:spacing w:after="0"/>
              <w:rPr>
                <w:sz w:val="20"/>
                <w:szCs w:val="20"/>
                <w:color w:val="auto"/>
              </w:rPr>
            </w:pPr>
            <w:r>
              <w:rPr>
                <w:rFonts w:ascii="Arial" w:cs="Arial" w:eastAsia="Arial" w:hAnsi="Arial"/>
                <w:sz w:val="16"/>
                <w:szCs w:val="16"/>
                <w:color w:val="auto"/>
              </w:rPr>
              <w:t>Other title-related fees and income</w:t>
            </w:r>
          </w:p>
        </w:tc>
        <w:tc>
          <w:tcPr>
            <w:tcW w:w="80" w:type="dxa"/>
            <w:vAlign w:val="bottom"/>
          </w:tcPr>
          <w:p>
            <w:pPr>
              <w:spacing w:after="0"/>
              <w:rPr>
                <w:sz w:val="24"/>
                <w:szCs w:val="24"/>
                <w:color w:val="auto"/>
              </w:rPr>
            </w:pPr>
          </w:p>
        </w:tc>
        <w:tc>
          <w:tcPr>
            <w:tcW w:w="2340" w:type="dxa"/>
            <w:vAlign w:val="bottom"/>
          </w:tcPr>
          <w:p>
            <w:pPr>
              <w:ind w:left="40"/>
              <w:spacing w:after="0"/>
              <w:rPr>
                <w:sz w:val="20"/>
                <w:szCs w:val="20"/>
                <w:color w:val="auto"/>
              </w:rPr>
            </w:pPr>
            <w:r>
              <w:rPr>
                <w:rFonts w:ascii="Arial" w:cs="Arial" w:eastAsia="Arial" w:hAnsi="Arial"/>
                <w:sz w:val="16"/>
                <w:szCs w:val="16"/>
                <w:color w:val="auto"/>
                <w:w w:val="92"/>
              </w:rPr>
              <w:t>Escrow, title-related and other fees</w:t>
            </w:r>
          </w:p>
        </w:tc>
        <w:tc>
          <w:tcPr>
            <w:tcW w:w="60" w:type="dxa"/>
            <w:vAlign w:val="bottom"/>
          </w:tcPr>
          <w:p>
            <w:pPr>
              <w:spacing w:after="0"/>
              <w:rPr>
                <w:sz w:val="24"/>
                <w:szCs w:val="24"/>
                <w:color w:val="auto"/>
              </w:rPr>
            </w:pPr>
          </w:p>
        </w:tc>
        <w:tc>
          <w:tcPr>
            <w:tcW w:w="1780" w:type="dxa"/>
            <w:vAlign w:val="bottom"/>
          </w:tcPr>
          <w:p>
            <w:pPr>
              <w:jc w:val="center"/>
              <w:spacing w:after="0"/>
              <w:rPr>
                <w:sz w:val="20"/>
                <w:szCs w:val="20"/>
                <w:color w:val="auto"/>
              </w:rPr>
            </w:pPr>
            <w:r>
              <w:rPr>
                <w:rFonts w:ascii="Arial" w:cs="Arial" w:eastAsia="Arial" w:hAnsi="Arial"/>
                <w:sz w:val="16"/>
                <w:szCs w:val="16"/>
                <w:color w:val="auto"/>
                <w:w w:val="99"/>
              </w:rPr>
              <w:t>Title</w:t>
            </w:r>
          </w:p>
        </w:tc>
        <w:tc>
          <w:tcPr>
            <w:tcW w:w="16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695</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jc w:val="right"/>
              <w:ind w:right="2"/>
              <w:spacing w:after="0"/>
              <w:rPr>
                <w:sz w:val="20"/>
                <w:szCs w:val="20"/>
                <w:color w:val="auto"/>
              </w:rPr>
            </w:pPr>
            <w:r>
              <w:rPr>
                <w:rFonts w:ascii="Arial" w:cs="Arial" w:eastAsia="Arial" w:hAnsi="Arial"/>
                <w:sz w:val="16"/>
                <w:szCs w:val="16"/>
                <w:color w:val="auto"/>
              </w:rPr>
              <w:t>642</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633</w:t>
            </w:r>
          </w:p>
        </w:tc>
        <w:tc>
          <w:tcPr>
            <w:tcW w:w="0" w:type="dxa"/>
            <w:vAlign w:val="bottom"/>
          </w:tcPr>
          <w:p>
            <w:pPr>
              <w:spacing w:after="0"/>
              <w:rPr>
                <w:sz w:val="1"/>
                <w:szCs w:val="1"/>
                <w:color w:val="auto"/>
              </w:rPr>
            </w:pPr>
          </w:p>
        </w:tc>
      </w:tr>
      <w:tr>
        <w:trPr>
          <w:trHeight w:val="253"/>
        </w:trPr>
        <w:tc>
          <w:tcPr>
            <w:tcW w:w="3700" w:type="dxa"/>
            <w:vAlign w:val="bottom"/>
          </w:tcPr>
          <w:p>
            <w:pPr>
              <w:ind w:left="180"/>
              <w:spacing w:after="0"/>
              <w:rPr>
                <w:sz w:val="20"/>
                <w:szCs w:val="20"/>
                <w:color w:val="auto"/>
              </w:rPr>
            </w:pPr>
            <w:r>
              <w:rPr>
                <w:rFonts w:ascii="Arial" w:cs="Arial" w:eastAsia="Arial" w:hAnsi="Arial"/>
                <w:sz w:val="16"/>
                <w:szCs w:val="16"/>
                <w:color w:val="auto"/>
                <w:w w:val="96"/>
              </w:rPr>
              <w:t>ServiceLink, excluding title premiums, escrow fees,</w:t>
            </w:r>
          </w:p>
        </w:tc>
        <w:tc>
          <w:tcPr>
            <w:tcW w:w="80" w:type="dxa"/>
            <w:vAlign w:val="bottom"/>
          </w:tcPr>
          <w:p>
            <w:pPr>
              <w:spacing w:after="0"/>
              <w:rPr>
                <w:sz w:val="21"/>
                <w:szCs w:val="21"/>
                <w:color w:val="auto"/>
              </w:rPr>
            </w:pPr>
          </w:p>
        </w:tc>
        <w:tc>
          <w:tcPr>
            <w:tcW w:w="2340" w:type="dxa"/>
            <w:vAlign w:val="bottom"/>
            <w:vMerge w:val="restart"/>
          </w:tcPr>
          <w:p>
            <w:pPr>
              <w:ind w:left="40"/>
              <w:spacing w:after="0"/>
              <w:rPr>
                <w:sz w:val="20"/>
                <w:szCs w:val="20"/>
                <w:color w:val="auto"/>
              </w:rPr>
            </w:pPr>
            <w:r>
              <w:rPr>
                <w:rFonts w:ascii="Arial" w:cs="Arial" w:eastAsia="Arial" w:hAnsi="Arial"/>
                <w:sz w:val="16"/>
                <w:szCs w:val="16"/>
                <w:color w:val="auto"/>
                <w:w w:val="92"/>
              </w:rPr>
              <w:t>Escrow, title-related and other fees</w:t>
            </w:r>
          </w:p>
        </w:tc>
        <w:tc>
          <w:tcPr>
            <w:tcW w:w="60" w:type="dxa"/>
            <w:vAlign w:val="bottom"/>
          </w:tcPr>
          <w:p>
            <w:pPr>
              <w:spacing w:after="0"/>
              <w:rPr>
                <w:sz w:val="21"/>
                <w:szCs w:val="21"/>
                <w:color w:val="auto"/>
              </w:rPr>
            </w:pPr>
          </w:p>
        </w:tc>
        <w:tc>
          <w:tcPr>
            <w:tcW w:w="1780" w:type="dxa"/>
            <w:vAlign w:val="bottom"/>
            <w:vMerge w:val="restart"/>
          </w:tcPr>
          <w:p>
            <w:pPr>
              <w:jc w:val="center"/>
              <w:spacing w:after="0"/>
              <w:rPr>
                <w:sz w:val="20"/>
                <w:szCs w:val="20"/>
                <w:color w:val="auto"/>
              </w:rPr>
            </w:pPr>
            <w:r>
              <w:rPr>
                <w:rFonts w:ascii="Arial" w:cs="Arial" w:eastAsia="Arial" w:hAnsi="Arial"/>
                <w:sz w:val="16"/>
                <w:szCs w:val="16"/>
                <w:color w:val="auto"/>
                <w:w w:val="99"/>
              </w:rPr>
              <w:t>Title</w:t>
            </w:r>
          </w:p>
        </w:tc>
        <w:tc>
          <w:tcPr>
            <w:tcW w:w="160" w:type="dxa"/>
            <w:vAlign w:val="bottom"/>
          </w:tcPr>
          <w:p>
            <w:pPr>
              <w:spacing w:after="0"/>
              <w:rPr>
                <w:sz w:val="21"/>
                <w:szCs w:val="21"/>
                <w:color w:val="auto"/>
              </w:rPr>
            </w:pPr>
          </w:p>
        </w:tc>
        <w:tc>
          <w:tcPr>
            <w:tcW w:w="480" w:type="dxa"/>
            <w:vAlign w:val="bottom"/>
            <w:vMerge w:val="restart"/>
          </w:tcPr>
          <w:p>
            <w:pPr>
              <w:jc w:val="right"/>
              <w:spacing w:after="0"/>
              <w:rPr>
                <w:sz w:val="20"/>
                <w:szCs w:val="20"/>
                <w:color w:val="auto"/>
              </w:rPr>
            </w:pPr>
            <w:r>
              <w:rPr>
                <w:rFonts w:ascii="Arial" w:cs="Arial" w:eastAsia="Arial" w:hAnsi="Arial"/>
                <w:sz w:val="16"/>
                <w:szCs w:val="16"/>
                <w:color w:val="auto"/>
              </w:rPr>
              <w:t>354</w:t>
            </w: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40" w:type="dxa"/>
            <w:vAlign w:val="bottom"/>
            <w:vMerge w:val="restart"/>
          </w:tcPr>
          <w:p>
            <w:pPr>
              <w:jc w:val="right"/>
              <w:ind w:right="2"/>
              <w:spacing w:after="0"/>
              <w:rPr>
                <w:sz w:val="20"/>
                <w:szCs w:val="20"/>
                <w:color w:val="auto"/>
              </w:rPr>
            </w:pPr>
            <w:r>
              <w:rPr>
                <w:rFonts w:ascii="Arial" w:cs="Arial" w:eastAsia="Arial" w:hAnsi="Arial"/>
                <w:sz w:val="16"/>
                <w:szCs w:val="16"/>
                <w:color w:val="auto"/>
              </w:rPr>
              <w:t>318</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40" w:type="dxa"/>
            <w:vAlign w:val="bottom"/>
            <w:vMerge w:val="restart"/>
          </w:tcPr>
          <w:p>
            <w:pPr>
              <w:jc w:val="right"/>
              <w:spacing w:after="0"/>
              <w:rPr>
                <w:sz w:val="20"/>
                <w:szCs w:val="20"/>
                <w:color w:val="auto"/>
              </w:rPr>
            </w:pPr>
            <w:r>
              <w:rPr>
                <w:rFonts w:ascii="Arial" w:cs="Arial" w:eastAsia="Arial" w:hAnsi="Arial"/>
                <w:sz w:val="16"/>
                <w:szCs w:val="16"/>
                <w:color w:val="auto"/>
              </w:rPr>
              <w:t>313</w:t>
            </w:r>
          </w:p>
        </w:tc>
        <w:tc>
          <w:tcPr>
            <w:tcW w:w="0" w:type="dxa"/>
            <w:vAlign w:val="bottom"/>
          </w:tcPr>
          <w:p>
            <w:pPr>
              <w:spacing w:after="0"/>
              <w:rPr>
                <w:sz w:val="1"/>
                <w:szCs w:val="1"/>
                <w:color w:val="auto"/>
              </w:rPr>
            </w:pPr>
          </w:p>
        </w:tc>
      </w:tr>
      <w:tr>
        <w:trPr>
          <w:trHeight w:val="204"/>
        </w:trPr>
        <w:tc>
          <w:tcPr>
            <w:tcW w:w="3700" w:type="dxa"/>
            <w:vAlign w:val="bottom"/>
          </w:tcPr>
          <w:p>
            <w:pPr>
              <w:ind w:left="180"/>
              <w:spacing w:after="0"/>
              <w:rPr>
                <w:sz w:val="20"/>
                <w:szCs w:val="20"/>
                <w:color w:val="auto"/>
              </w:rPr>
            </w:pPr>
            <w:r>
              <w:rPr>
                <w:rFonts w:ascii="Arial" w:cs="Arial" w:eastAsia="Arial" w:hAnsi="Arial"/>
                <w:sz w:val="16"/>
                <w:szCs w:val="16"/>
                <w:color w:val="auto"/>
              </w:rPr>
              <w:t>and subservicing fees</w:t>
            </w:r>
          </w:p>
        </w:tc>
        <w:tc>
          <w:tcPr>
            <w:tcW w:w="80" w:type="dxa"/>
            <w:vAlign w:val="bottom"/>
          </w:tcPr>
          <w:p>
            <w:pPr>
              <w:spacing w:after="0"/>
              <w:rPr>
                <w:sz w:val="17"/>
                <w:szCs w:val="17"/>
                <w:color w:val="auto"/>
              </w:rPr>
            </w:pPr>
          </w:p>
        </w:tc>
        <w:tc>
          <w:tcPr>
            <w:tcW w:w="234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178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86"/>
        </w:trPr>
        <w:tc>
          <w:tcPr>
            <w:tcW w:w="3700" w:type="dxa"/>
            <w:vAlign w:val="bottom"/>
          </w:tcPr>
          <w:p>
            <w:pPr>
              <w:ind w:left="180"/>
              <w:spacing w:after="0"/>
              <w:rPr>
                <w:sz w:val="20"/>
                <w:szCs w:val="20"/>
                <w:color w:val="auto"/>
              </w:rPr>
            </w:pPr>
            <w:r>
              <w:rPr>
                <w:rFonts w:ascii="Arial" w:cs="Arial" w:eastAsia="Arial" w:hAnsi="Arial"/>
                <w:sz w:val="16"/>
                <w:szCs w:val="16"/>
                <w:color w:val="auto"/>
              </w:rPr>
              <w:t>Real estate technology</w:t>
            </w:r>
          </w:p>
        </w:tc>
        <w:tc>
          <w:tcPr>
            <w:tcW w:w="80" w:type="dxa"/>
            <w:vAlign w:val="bottom"/>
          </w:tcPr>
          <w:p>
            <w:pPr>
              <w:spacing w:after="0"/>
              <w:rPr>
                <w:sz w:val="24"/>
                <w:szCs w:val="24"/>
                <w:color w:val="auto"/>
              </w:rPr>
            </w:pPr>
          </w:p>
        </w:tc>
        <w:tc>
          <w:tcPr>
            <w:tcW w:w="2340" w:type="dxa"/>
            <w:vAlign w:val="bottom"/>
          </w:tcPr>
          <w:p>
            <w:pPr>
              <w:ind w:left="40"/>
              <w:spacing w:after="0"/>
              <w:rPr>
                <w:sz w:val="20"/>
                <w:szCs w:val="20"/>
                <w:color w:val="auto"/>
              </w:rPr>
            </w:pPr>
            <w:r>
              <w:rPr>
                <w:rFonts w:ascii="Arial" w:cs="Arial" w:eastAsia="Arial" w:hAnsi="Arial"/>
                <w:sz w:val="16"/>
                <w:szCs w:val="16"/>
                <w:color w:val="auto"/>
                <w:w w:val="92"/>
              </w:rPr>
              <w:t>Escrow, title-related and other fees</w:t>
            </w:r>
          </w:p>
        </w:tc>
        <w:tc>
          <w:tcPr>
            <w:tcW w:w="60" w:type="dxa"/>
            <w:vAlign w:val="bottom"/>
          </w:tcPr>
          <w:p>
            <w:pPr>
              <w:spacing w:after="0"/>
              <w:rPr>
                <w:sz w:val="24"/>
                <w:szCs w:val="24"/>
                <w:color w:val="auto"/>
              </w:rPr>
            </w:pPr>
          </w:p>
        </w:tc>
        <w:tc>
          <w:tcPr>
            <w:tcW w:w="1780" w:type="dxa"/>
            <w:vAlign w:val="bottom"/>
          </w:tcPr>
          <w:p>
            <w:pPr>
              <w:jc w:val="center"/>
              <w:spacing w:after="0"/>
              <w:rPr>
                <w:sz w:val="20"/>
                <w:szCs w:val="20"/>
                <w:color w:val="auto"/>
              </w:rPr>
            </w:pPr>
            <w:r>
              <w:rPr>
                <w:rFonts w:ascii="Arial" w:cs="Arial" w:eastAsia="Arial" w:hAnsi="Arial"/>
                <w:sz w:val="16"/>
                <w:szCs w:val="16"/>
                <w:color w:val="auto"/>
                <w:w w:val="87"/>
              </w:rPr>
              <w:t>Corporate and other</w:t>
            </w:r>
          </w:p>
        </w:tc>
        <w:tc>
          <w:tcPr>
            <w:tcW w:w="16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135</w:t>
            </w:r>
          </w:p>
        </w:tc>
        <w:tc>
          <w:tcPr>
            <w:tcW w:w="6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140</w:t>
            </w:r>
          </w:p>
        </w:tc>
        <w:tc>
          <w:tcPr>
            <w:tcW w:w="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151</w:t>
            </w:r>
          </w:p>
        </w:tc>
        <w:tc>
          <w:tcPr>
            <w:tcW w:w="0" w:type="dxa"/>
            <w:vAlign w:val="bottom"/>
          </w:tcPr>
          <w:p>
            <w:pPr>
              <w:spacing w:after="0"/>
              <w:rPr>
                <w:sz w:val="1"/>
                <w:szCs w:val="1"/>
                <w:color w:val="auto"/>
              </w:rPr>
            </w:pPr>
          </w:p>
        </w:tc>
      </w:tr>
      <w:tr>
        <w:trPr>
          <w:trHeight w:val="223"/>
        </w:trPr>
        <w:tc>
          <w:tcPr>
            <w:tcW w:w="3700" w:type="dxa"/>
            <w:vAlign w:val="bottom"/>
          </w:tcPr>
          <w:p>
            <w:pPr>
              <w:ind w:left="280"/>
              <w:spacing w:after="0"/>
              <w:rPr>
                <w:sz w:val="20"/>
                <w:szCs w:val="20"/>
                <w:color w:val="auto"/>
              </w:rPr>
            </w:pPr>
            <w:r>
              <w:rPr>
                <w:rFonts w:ascii="Arial" w:cs="Arial" w:eastAsia="Arial" w:hAnsi="Arial"/>
                <w:sz w:val="16"/>
                <w:szCs w:val="16"/>
                <w:color w:val="auto"/>
              </w:rPr>
              <w:t>Total revenue from contracts with customers</w:t>
            </w:r>
          </w:p>
        </w:tc>
        <w:tc>
          <w:tcPr>
            <w:tcW w:w="8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2,099</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jc w:val="right"/>
              <w:ind w:right="2"/>
              <w:spacing w:after="0"/>
              <w:rPr>
                <w:sz w:val="20"/>
                <w:szCs w:val="20"/>
                <w:color w:val="auto"/>
              </w:rPr>
            </w:pPr>
            <w:r>
              <w:rPr>
                <w:rFonts w:ascii="Arial" w:cs="Arial" w:eastAsia="Arial" w:hAnsi="Arial"/>
                <w:sz w:val="16"/>
                <w:szCs w:val="16"/>
                <w:color w:val="auto"/>
              </w:rPr>
              <w:t>1,924</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1,863</w:t>
            </w:r>
          </w:p>
        </w:tc>
        <w:tc>
          <w:tcPr>
            <w:tcW w:w="0" w:type="dxa"/>
            <w:vAlign w:val="bottom"/>
          </w:tcPr>
          <w:p>
            <w:pPr>
              <w:spacing w:after="0"/>
              <w:rPr>
                <w:sz w:val="1"/>
                <w:szCs w:val="1"/>
                <w:color w:val="auto"/>
              </w:rPr>
            </w:pPr>
          </w:p>
        </w:tc>
      </w:tr>
      <w:tr>
        <w:trPr>
          <w:trHeight w:val="279"/>
        </w:trPr>
        <w:tc>
          <w:tcPr>
            <w:tcW w:w="3700" w:type="dxa"/>
            <w:vAlign w:val="bottom"/>
          </w:tcPr>
          <w:p>
            <w:pPr>
              <w:ind w:left="60"/>
              <w:spacing w:after="0"/>
              <w:rPr>
                <w:sz w:val="20"/>
                <w:szCs w:val="20"/>
                <w:color w:val="auto"/>
              </w:rPr>
            </w:pPr>
            <w:r>
              <w:rPr>
                <w:rFonts w:ascii="Arial" w:cs="Arial" w:eastAsia="Arial" w:hAnsi="Arial"/>
                <w:sz w:val="16"/>
                <w:szCs w:val="16"/>
                <w:color w:val="auto"/>
              </w:rPr>
              <w:t>Other revenue:</w:t>
            </w:r>
          </w:p>
        </w:tc>
        <w:tc>
          <w:tcPr>
            <w:tcW w:w="8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3700" w:type="dxa"/>
            <w:vAlign w:val="bottom"/>
          </w:tcPr>
          <w:p>
            <w:pPr>
              <w:ind w:left="180"/>
              <w:spacing w:after="0"/>
              <w:rPr>
                <w:sz w:val="20"/>
                <w:szCs w:val="20"/>
                <w:color w:val="auto"/>
              </w:rPr>
            </w:pPr>
            <w:r>
              <w:rPr>
                <w:rFonts w:ascii="Arial" w:cs="Arial" w:eastAsia="Arial" w:hAnsi="Arial"/>
                <w:sz w:val="16"/>
                <w:szCs w:val="16"/>
                <w:color w:val="auto"/>
              </w:rPr>
              <w:t>Loan subservicing revenue</w:t>
            </w:r>
          </w:p>
        </w:tc>
        <w:tc>
          <w:tcPr>
            <w:tcW w:w="80" w:type="dxa"/>
            <w:vAlign w:val="bottom"/>
          </w:tcPr>
          <w:p>
            <w:pPr>
              <w:spacing w:after="0"/>
              <w:rPr>
                <w:sz w:val="24"/>
                <w:szCs w:val="24"/>
                <w:color w:val="auto"/>
              </w:rPr>
            </w:pPr>
          </w:p>
        </w:tc>
        <w:tc>
          <w:tcPr>
            <w:tcW w:w="2340" w:type="dxa"/>
            <w:vAlign w:val="bottom"/>
          </w:tcPr>
          <w:p>
            <w:pPr>
              <w:ind w:left="40"/>
              <w:spacing w:after="0"/>
              <w:rPr>
                <w:sz w:val="20"/>
                <w:szCs w:val="20"/>
                <w:color w:val="auto"/>
              </w:rPr>
            </w:pPr>
            <w:r>
              <w:rPr>
                <w:rFonts w:ascii="Arial" w:cs="Arial" w:eastAsia="Arial" w:hAnsi="Arial"/>
                <w:sz w:val="16"/>
                <w:szCs w:val="16"/>
                <w:color w:val="auto"/>
                <w:w w:val="92"/>
              </w:rPr>
              <w:t>Escrow, title-related and other fees</w:t>
            </w:r>
          </w:p>
        </w:tc>
        <w:tc>
          <w:tcPr>
            <w:tcW w:w="60" w:type="dxa"/>
            <w:vAlign w:val="bottom"/>
          </w:tcPr>
          <w:p>
            <w:pPr>
              <w:spacing w:after="0"/>
              <w:rPr>
                <w:sz w:val="24"/>
                <w:szCs w:val="24"/>
                <w:color w:val="auto"/>
              </w:rPr>
            </w:pPr>
          </w:p>
        </w:tc>
        <w:tc>
          <w:tcPr>
            <w:tcW w:w="1780" w:type="dxa"/>
            <w:vAlign w:val="bottom"/>
          </w:tcPr>
          <w:p>
            <w:pPr>
              <w:jc w:val="center"/>
              <w:spacing w:after="0"/>
              <w:rPr>
                <w:sz w:val="20"/>
                <w:szCs w:val="20"/>
                <w:color w:val="auto"/>
              </w:rPr>
            </w:pPr>
            <w:r>
              <w:rPr>
                <w:rFonts w:ascii="Arial" w:cs="Arial" w:eastAsia="Arial" w:hAnsi="Arial"/>
                <w:sz w:val="16"/>
                <w:szCs w:val="16"/>
                <w:color w:val="auto"/>
                <w:w w:val="99"/>
              </w:rPr>
              <w:t>Title</w:t>
            </w:r>
          </w:p>
        </w:tc>
        <w:tc>
          <w:tcPr>
            <w:tcW w:w="16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266</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jc w:val="right"/>
              <w:ind w:right="2"/>
              <w:spacing w:after="0"/>
              <w:rPr>
                <w:sz w:val="20"/>
                <w:szCs w:val="20"/>
                <w:color w:val="auto"/>
              </w:rPr>
            </w:pPr>
            <w:r>
              <w:rPr>
                <w:rFonts w:ascii="Arial" w:cs="Arial" w:eastAsia="Arial" w:hAnsi="Arial"/>
                <w:sz w:val="16"/>
                <w:szCs w:val="16"/>
                <w:color w:val="auto"/>
              </w:rPr>
              <w:t>266</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262</w:t>
            </w:r>
          </w:p>
        </w:tc>
        <w:tc>
          <w:tcPr>
            <w:tcW w:w="0" w:type="dxa"/>
            <w:vAlign w:val="bottom"/>
          </w:tcPr>
          <w:p>
            <w:pPr>
              <w:spacing w:after="0"/>
              <w:rPr>
                <w:sz w:val="1"/>
                <w:szCs w:val="1"/>
                <w:color w:val="auto"/>
              </w:rPr>
            </w:pPr>
          </w:p>
        </w:tc>
      </w:tr>
      <w:tr>
        <w:trPr>
          <w:trHeight w:val="279"/>
        </w:trPr>
        <w:tc>
          <w:tcPr>
            <w:tcW w:w="3700" w:type="dxa"/>
            <w:vAlign w:val="bottom"/>
          </w:tcPr>
          <w:p>
            <w:pPr>
              <w:ind w:left="180"/>
              <w:spacing w:after="0"/>
              <w:rPr>
                <w:sz w:val="20"/>
                <w:szCs w:val="20"/>
                <w:color w:val="auto"/>
              </w:rPr>
            </w:pPr>
            <w:r>
              <w:rPr>
                <w:rFonts w:ascii="Arial" w:cs="Arial" w:eastAsia="Arial" w:hAnsi="Arial"/>
                <w:sz w:val="16"/>
                <w:szCs w:val="16"/>
                <w:color w:val="auto"/>
              </w:rPr>
              <w:t>Other</w:t>
            </w:r>
          </w:p>
        </w:tc>
        <w:tc>
          <w:tcPr>
            <w:tcW w:w="80" w:type="dxa"/>
            <w:vAlign w:val="bottom"/>
          </w:tcPr>
          <w:p>
            <w:pPr>
              <w:spacing w:after="0"/>
              <w:rPr>
                <w:sz w:val="24"/>
                <w:szCs w:val="24"/>
                <w:color w:val="auto"/>
              </w:rPr>
            </w:pPr>
          </w:p>
        </w:tc>
        <w:tc>
          <w:tcPr>
            <w:tcW w:w="2340" w:type="dxa"/>
            <w:vAlign w:val="bottom"/>
          </w:tcPr>
          <w:p>
            <w:pPr>
              <w:ind w:left="40"/>
              <w:spacing w:after="0"/>
              <w:rPr>
                <w:sz w:val="20"/>
                <w:szCs w:val="20"/>
                <w:color w:val="auto"/>
              </w:rPr>
            </w:pPr>
            <w:r>
              <w:rPr>
                <w:rFonts w:ascii="Arial" w:cs="Arial" w:eastAsia="Arial" w:hAnsi="Arial"/>
                <w:sz w:val="16"/>
                <w:szCs w:val="16"/>
                <w:color w:val="auto"/>
                <w:w w:val="92"/>
              </w:rPr>
              <w:t>Escrow, title-related and other fees</w:t>
            </w:r>
          </w:p>
        </w:tc>
        <w:tc>
          <w:tcPr>
            <w:tcW w:w="60" w:type="dxa"/>
            <w:vAlign w:val="bottom"/>
          </w:tcPr>
          <w:p>
            <w:pPr>
              <w:spacing w:after="0"/>
              <w:rPr>
                <w:sz w:val="24"/>
                <w:szCs w:val="24"/>
                <w:color w:val="auto"/>
              </w:rPr>
            </w:pPr>
          </w:p>
        </w:tc>
        <w:tc>
          <w:tcPr>
            <w:tcW w:w="1780" w:type="dxa"/>
            <w:vAlign w:val="bottom"/>
          </w:tcPr>
          <w:p>
            <w:pPr>
              <w:jc w:val="center"/>
              <w:spacing w:after="0"/>
              <w:rPr>
                <w:sz w:val="20"/>
                <w:szCs w:val="20"/>
                <w:color w:val="auto"/>
              </w:rPr>
            </w:pPr>
            <w:r>
              <w:rPr>
                <w:rFonts w:ascii="Arial" w:cs="Arial" w:eastAsia="Arial" w:hAnsi="Arial"/>
                <w:sz w:val="16"/>
                <w:szCs w:val="16"/>
                <w:color w:val="auto"/>
                <w:w w:val="87"/>
              </w:rPr>
              <w:t>Corporate and other</w:t>
            </w:r>
          </w:p>
        </w:tc>
        <w:tc>
          <w:tcPr>
            <w:tcW w:w="16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44</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jc w:val="right"/>
              <w:ind w:right="2"/>
              <w:spacing w:after="0"/>
              <w:rPr>
                <w:sz w:val="20"/>
                <w:szCs w:val="20"/>
                <w:color w:val="auto"/>
              </w:rPr>
            </w:pPr>
            <w:r>
              <w:rPr>
                <w:rFonts w:ascii="Arial" w:cs="Arial" w:eastAsia="Arial" w:hAnsi="Arial"/>
                <w:sz w:val="16"/>
                <w:szCs w:val="16"/>
                <w:color w:val="auto"/>
              </w:rPr>
              <w:t>44</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36</w:t>
            </w:r>
          </w:p>
        </w:tc>
        <w:tc>
          <w:tcPr>
            <w:tcW w:w="0" w:type="dxa"/>
            <w:vAlign w:val="bottom"/>
          </w:tcPr>
          <w:p>
            <w:pPr>
              <w:spacing w:after="0"/>
              <w:rPr>
                <w:sz w:val="1"/>
                <w:szCs w:val="1"/>
                <w:color w:val="auto"/>
              </w:rPr>
            </w:pPr>
          </w:p>
        </w:tc>
      </w:tr>
      <w:tr>
        <w:trPr>
          <w:trHeight w:val="279"/>
        </w:trPr>
        <w:tc>
          <w:tcPr>
            <w:tcW w:w="3700" w:type="dxa"/>
            <w:vAlign w:val="bottom"/>
          </w:tcPr>
          <w:p>
            <w:pPr>
              <w:ind w:left="180"/>
              <w:spacing w:after="0"/>
              <w:rPr>
                <w:sz w:val="20"/>
                <w:szCs w:val="20"/>
                <w:color w:val="auto"/>
              </w:rPr>
            </w:pPr>
            <w:r>
              <w:rPr>
                <w:rFonts w:ascii="Arial" w:cs="Arial" w:eastAsia="Arial" w:hAnsi="Arial"/>
                <w:sz w:val="16"/>
                <w:szCs w:val="16"/>
                <w:color w:val="auto"/>
              </w:rPr>
              <w:t>Interest and investment income</w:t>
            </w:r>
          </w:p>
        </w:tc>
        <w:tc>
          <w:tcPr>
            <w:tcW w:w="80" w:type="dxa"/>
            <w:vAlign w:val="bottom"/>
          </w:tcPr>
          <w:p>
            <w:pPr>
              <w:spacing w:after="0"/>
              <w:rPr>
                <w:sz w:val="24"/>
                <w:szCs w:val="24"/>
                <w:color w:val="auto"/>
              </w:rPr>
            </w:pPr>
          </w:p>
        </w:tc>
        <w:tc>
          <w:tcPr>
            <w:tcW w:w="2340" w:type="dxa"/>
            <w:vAlign w:val="bottom"/>
          </w:tcPr>
          <w:p>
            <w:pPr>
              <w:ind w:left="40"/>
              <w:spacing w:after="0"/>
              <w:rPr>
                <w:sz w:val="20"/>
                <w:szCs w:val="20"/>
                <w:color w:val="auto"/>
              </w:rPr>
            </w:pPr>
            <w:r>
              <w:rPr>
                <w:rFonts w:ascii="Arial" w:cs="Arial" w:eastAsia="Arial" w:hAnsi="Arial"/>
                <w:sz w:val="16"/>
                <w:szCs w:val="16"/>
                <w:color w:val="auto"/>
              </w:rPr>
              <w:t>Interest and investment income</w:t>
            </w:r>
          </w:p>
        </w:tc>
        <w:tc>
          <w:tcPr>
            <w:tcW w:w="60" w:type="dxa"/>
            <w:vAlign w:val="bottom"/>
          </w:tcPr>
          <w:p>
            <w:pPr>
              <w:spacing w:after="0"/>
              <w:rPr>
                <w:sz w:val="24"/>
                <w:szCs w:val="24"/>
                <w:color w:val="auto"/>
              </w:rPr>
            </w:pPr>
          </w:p>
        </w:tc>
        <w:tc>
          <w:tcPr>
            <w:tcW w:w="1780" w:type="dxa"/>
            <w:vAlign w:val="bottom"/>
          </w:tcPr>
          <w:p>
            <w:pPr>
              <w:jc w:val="center"/>
              <w:spacing w:after="0"/>
              <w:rPr>
                <w:sz w:val="20"/>
                <w:szCs w:val="20"/>
                <w:color w:val="auto"/>
              </w:rPr>
            </w:pPr>
            <w:r>
              <w:rPr>
                <w:rFonts w:ascii="Arial" w:cs="Arial" w:eastAsia="Arial" w:hAnsi="Arial"/>
                <w:sz w:val="16"/>
                <w:szCs w:val="16"/>
                <w:color w:val="auto"/>
                <w:w w:val="92"/>
              </w:rPr>
              <w:t>Various</w:t>
            </w:r>
          </w:p>
        </w:tc>
        <w:tc>
          <w:tcPr>
            <w:tcW w:w="16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3,237</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jc w:val="right"/>
              <w:ind w:right="2"/>
              <w:spacing w:after="0"/>
              <w:rPr>
                <w:sz w:val="20"/>
                <w:szCs w:val="20"/>
                <w:color w:val="auto"/>
              </w:rPr>
            </w:pPr>
            <w:r>
              <w:rPr>
                <w:rFonts w:ascii="Arial" w:cs="Arial" w:eastAsia="Arial" w:hAnsi="Arial"/>
                <w:sz w:val="16"/>
                <w:szCs w:val="16"/>
                <w:color w:val="auto"/>
              </w:rPr>
              <w:t>3,124</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2,607</w:t>
            </w:r>
          </w:p>
        </w:tc>
        <w:tc>
          <w:tcPr>
            <w:tcW w:w="0" w:type="dxa"/>
            <w:vAlign w:val="bottom"/>
          </w:tcPr>
          <w:p>
            <w:pPr>
              <w:spacing w:after="0"/>
              <w:rPr>
                <w:sz w:val="1"/>
                <w:szCs w:val="1"/>
                <w:color w:val="auto"/>
              </w:rPr>
            </w:pPr>
          </w:p>
        </w:tc>
      </w:tr>
      <w:tr>
        <w:trPr>
          <w:trHeight w:val="286"/>
        </w:trPr>
        <w:tc>
          <w:tcPr>
            <w:tcW w:w="3700" w:type="dxa"/>
            <w:vAlign w:val="bottom"/>
          </w:tcPr>
          <w:p>
            <w:pPr>
              <w:ind w:left="180"/>
              <w:spacing w:after="0"/>
              <w:rPr>
                <w:sz w:val="20"/>
                <w:szCs w:val="20"/>
                <w:color w:val="auto"/>
              </w:rPr>
            </w:pPr>
            <w:r>
              <w:rPr>
                <w:rFonts w:ascii="Arial" w:cs="Arial" w:eastAsia="Arial" w:hAnsi="Arial"/>
                <w:sz w:val="16"/>
                <w:szCs w:val="16"/>
                <w:color w:val="auto"/>
              </w:rPr>
              <w:t>Recognized gains and losses, net</w:t>
            </w:r>
          </w:p>
        </w:tc>
        <w:tc>
          <w:tcPr>
            <w:tcW w:w="80" w:type="dxa"/>
            <w:vAlign w:val="bottom"/>
          </w:tcPr>
          <w:p>
            <w:pPr>
              <w:spacing w:after="0"/>
              <w:rPr>
                <w:sz w:val="24"/>
                <w:szCs w:val="24"/>
                <w:color w:val="auto"/>
              </w:rPr>
            </w:pPr>
          </w:p>
        </w:tc>
        <w:tc>
          <w:tcPr>
            <w:tcW w:w="2340" w:type="dxa"/>
            <w:vAlign w:val="bottom"/>
          </w:tcPr>
          <w:p>
            <w:pPr>
              <w:ind w:left="40"/>
              <w:spacing w:after="0"/>
              <w:rPr>
                <w:sz w:val="20"/>
                <w:szCs w:val="20"/>
                <w:color w:val="auto"/>
              </w:rPr>
            </w:pPr>
            <w:r>
              <w:rPr>
                <w:rFonts w:ascii="Arial" w:cs="Arial" w:eastAsia="Arial" w:hAnsi="Arial"/>
                <w:sz w:val="16"/>
                <w:szCs w:val="16"/>
                <w:color w:val="auto"/>
                <w:w w:val="95"/>
              </w:rPr>
              <w:t>Recognized gains and losses, net</w:t>
            </w:r>
          </w:p>
        </w:tc>
        <w:tc>
          <w:tcPr>
            <w:tcW w:w="60" w:type="dxa"/>
            <w:vAlign w:val="bottom"/>
          </w:tcPr>
          <w:p>
            <w:pPr>
              <w:spacing w:after="0"/>
              <w:rPr>
                <w:sz w:val="24"/>
                <w:szCs w:val="24"/>
                <w:color w:val="auto"/>
              </w:rPr>
            </w:pPr>
          </w:p>
        </w:tc>
        <w:tc>
          <w:tcPr>
            <w:tcW w:w="1780" w:type="dxa"/>
            <w:vAlign w:val="bottom"/>
          </w:tcPr>
          <w:p>
            <w:pPr>
              <w:jc w:val="center"/>
              <w:spacing w:after="0"/>
              <w:rPr>
                <w:sz w:val="20"/>
                <w:szCs w:val="20"/>
                <w:color w:val="auto"/>
              </w:rPr>
            </w:pPr>
            <w:r>
              <w:rPr>
                <w:rFonts w:ascii="Arial" w:cs="Arial" w:eastAsia="Arial" w:hAnsi="Arial"/>
                <w:sz w:val="16"/>
                <w:szCs w:val="16"/>
                <w:color w:val="auto"/>
                <w:w w:val="92"/>
              </w:rPr>
              <w:t>Various</w:t>
            </w:r>
          </w:p>
        </w:tc>
        <w:tc>
          <w:tcPr>
            <w:tcW w:w="16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(60)</w:t>
            </w:r>
          </w:p>
        </w:tc>
        <w:tc>
          <w:tcPr>
            <w:tcW w:w="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83</w:t>
            </w:r>
          </w:p>
        </w:tc>
        <w:tc>
          <w:tcPr>
            <w:tcW w:w="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(164)</w:t>
            </w:r>
          </w:p>
        </w:tc>
        <w:tc>
          <w:tcPr>
            <w:tcW w:w="0" w:type="dxa"/>
            <w:vAlign w:val="bottom"/>
          </w:tcPr>
          <w:p>
            <w:pPr>
              <w:spacing w:after="0"/>
              <w:rPr>
                <w:sz w:val="1"/>
                <w:szCs w:val="1"/>
                <w:color w:val="auto"/>
              </w:rPr>
            </w:pPr>
          </w:p>
        </w:tc>
      </w:tr>
      <w:tr>
        <w:trPr>
          <w:trHeight w:val="240"/>
        </w:trPr>
        <w:tc>
          <w:tcPr>
            <w:tcW w:w="3700" w:type="dxa"/>
            <w:vAlign w:val="bottom"/>
          </w:tcPr>
          <w:p>
            <w:pPr>
              <w:ind w:left="400"/>
              <w:spacing w:after="0"/>
              <w:rPr>
                <w:sz w:val="20"/>
                <w:szCs w:val="20"/>
                <w:color w:val="auto"/>
              </w:rPr>
            </w:pPr>
            <w:r>
              <w:rPr>
                <w:rFonts w:ascii="Arial" w:cs="Arial" w:eastAsia="Arial" w:hAnsi="Arial"/>
                <w:sz w:val="16"/>
                <w:szCs w:val="16"/>
                <w:color w:val="auto"/>
              </w:rPr>
              <w:t>Total revenues</w:t>
            </w:r>
          </w:p>
        </w:tc>
        <w:tc>
          <w:tcPr>
            <w:tcW w:w="80" w:type="dxa"/>
            <w:vAlign w:val="bottom"/>
          </w:tcPr>
          <w:p>
            <w:pPr>
              <w:spacing w:after="0"/>
              <w:rPr>
                <w:sz w:val="20"/>
                <w:szCs w:val="20"/>
                <w:color w:val="auto"/>
              </w:rPr>
            </w:pPr>
          </w:p>
        </w:tc>
        <w:tc>
          <w:tcPr>
            <w:tcW w:w="2340" w:type="dxa"/>
            <w:vAlign w:val="bottom"/>
          </w:tcPr>
          <w:p>
            <w:pPr>
              <w:ind w:left="40"/>
              <w:spacing w:after="0"/>
              <w:rPr>
                <w:sz w:val="20"/>
                <w:szCs w:val="20"/>
                <w:color w:val="auto"/>
              </w:rPr>
            </w:pPr>
            <w:r>
              <w:rPr>
                <w:rFonts w:ascii="Arial" w:cs="Arial" w:eastAsia="Arial" w:hAnsi="Arial"/>
                <w:sz w:val="16"/>
                <w:szCs w:val="16"/>
                <w:color w:val="auto"/>
              </w:rPr>
              <w:t>Total revenues</w:t>
            </w:r>
          </w:p>
        </w:tc>
        <w:tc>
          <w:tcPr>
            <w:tcW w:w="6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480" w:type="dxa"/>
            <w:vAlign w:val="bottom"/>
          </w:tcPr>
          <w:p>
            <w:pPr>
              <w:jc w:val="right"/>
              <w:spacing w:after="0"/>
              <w:rPr>
                <w:sz w:val="20"/>
                <w:szCs w:val="20"/>
                <w:color w:val="auto"/>
              </w:rPr>
            </w:pPr>
            <w:r>
              <w:rPr>
                <w:rFonts w:ascii="Arial" w:cs="Arial" w:eastAsia="Arial" w:hAnsi="Arial"/>
                <w:sz w:val="16"/>
                <w:szCs w:val="16"/>
                <w:color w:val="auto"/>
                <w:w w:val="93"/>
              </w:rPr>
              <w:t>14,445</w:t>
            </w:r>
          </w:p>
        </w:tc>
        <w:tc>
          <w:tcPr>
            <w:tcW w:w="300" w:type="dxa"/>
            <w:vAlign w:val="bottom"/>
            <w:gridSpan w:val="3"/>
          </w:tcPr>
          <w:p>
            <w:pPr>
              <w:jc w:val="right"/>
              <w:ind w:right="40"/>
              <w:spacing w:after="0"/>
              <w:rPr>
                <w:sz w:val="20"/>
                <w:szCs w:val="20"/>
                <w:color w:val="auto"/>
              </w:rPr>
            </w:pPr>
            <w:r>
              <w:rPr>
                <w:rFonts w:ascii="Arial" w:cs="Arial" w:eastAsia="Arial" w:hAnsi="Arial"/>
                <w:sz w:val="16"/>
                <w:szCs w:val="16"/>
                <w:color w:val="auto"/>
              </w:rPr>
              <w:t>$</w:t>
            </w:r>
          </w:p>
        </w:tc>
        <w:tc>
          <w:tcPr>
            <w:tcW w:w="540" w:type="dxa"/>
            <w:vAlign w:val="bottom"/>
          </w:tcPr>
          <w:p>
            <w:pPr>
              <w:jc w:val="right"/>
              <w:ind w:right="2"/>
              <w:spacing w:after="0"/>
              <w:rPr>
                <w:sz w:val="20"/>
                <w:szCs w:val="20"/>
                <w:color w:val="auto"/>
              </w:rPr>
            </w:pPr>
            <w:r>
              <w:rPr>
                <w:rFonts w:ascii="Arial" w:cs="Arial" w:eastAsia="Arial" w:hAnsi="Arial"/>
                <w:sz w:val="16"/>
                <w:szCs w:val="16"/>
                <w:color w:val="auto"/>
                <w:w w:val="89"/>
              </w:rPr>
              <w:t>13,681</w:t>
            </w:r>
          </w:p>
        </w:tc>
        <w:tc>
          <w:tcPr>
            <w:tcW w:w="6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540" w:type="dxa"/>
            <w:vAlign w:val="bottom"/>
          </w:tcPr>
          <w:p>
            <w:pPr>
              <w:jc w:val="right"/>
              <w:spacing w:after="0"/>
              <w:rPr>
                <w:sz w:val="20"/>
                <w:szCs w:val="20"/>
                <w:color w:val="auto"/>
              </w:rPr>
            </w:pPr>
            <w:r>
              <w:rPr>
                <w:rFonts w:ascii="Arial" w:cs="Arial" w:eastAsia="Arial" w:hAnsi="Arial"/>
                <w:sz w:val="16"/>
                <w:szCs w:val="16"/>
                <w:color w:val="auto"/>
                <w:w w:val="93"/>
              </w:rPr>
              <w:t>11,752</w:t>
            </w: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-3232785</wp:posOffset>
            </wp:positionV>
            <wp:extent cx="6503670" cy="338582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24">
                      <a:extLst>
                        <a:ext uri="{28A0092B-C50C-407E-A947-70E740481C1C}"/>
                      </a:extLst>
                    </a:blip>
                    <a:srcRect/>
                    <a:stretch>
                      <a:fillRect/>
                    </a:stretch>
                  </pic:blipFill>
                  <pic:spPr bwMode="auto">
                    <a:xfrm>
                      <a:off x="0" y="0"/>
                      <a:ext cx="6503670" cy="3385820"/>
                    </a:xfrm>
                    <a:prstGeom prst="rect">
                      <a:avLst/>
                    </a:prstGeom>
                    <a:noFill/>
                  </pic:spPr>
                </pic:pic>
              </a:graphicData>
            </a:graphic>
          </wp:anchor>
        </w:drawing>
      </w:r>
    </w:p>
    <w:p>
      <w:pPr>
        <w:ind w:left="400"/>
        <w:spacing w:after="0"/>
        <w:rPr>
          <w:sz w:val="20"/>
          <w:szCs w:val="20"/>
          <w:color w:val="auto"/>
        </w:rPr>
      </w:pPr>
      <w:r>
        <w:rPr>
          <w:rFonts w:ascii="Arial" w:cs="Arial" w:eastAsia="Arial" w:hAnsi="Arial"/>
          <w:sz w:val="16"/>
          <w:szCs w:val="16"/>
          <w:color w:val="auto"/>
        </w:rPr>
        <w:t>(1) Includes $2,108, $2,217, and $1,964 of life-contingent pension risk transfer premiums in 2025, 2024, and 2023, respectively.</w:t>
      </w:r>
    </w:p>
    <w:p>
      <w:pPr>
        <w:spacing w:after="0" w:line="191" w:lineRule="exact"/>
        <w:rPr>
          <w:sz w:val="20"/>
          <w:szCs w:val="20"/>
          <w:color w:val="auto"/>
        </w:rPr>
      </w:pPr>
    </w:p>
    <w:p>
      <w:pPr>
        <w:jc w:val="both"/>
        <w:ind w:left="80" w:right="80" w:firstLine="353"/>
        <w:spacing w:after="0" w:line="306" w:lineRule="auto"/>
        <w:rPr>
          <w:sz w:val="20"/>
          <w:szCs w:val="20"/>
          <w:color w:val="auto"/>
        </w:rPr>
      </w:pPr>
      <w:r>
        <w:rPr>
          <w:rFonts w:ascii="Arial" w:cs="Arial" w:eastAsia="Arial" w:hAnsi="Arial"/>
          <w:sz w:val="17"/>
          <w:szCs w:val="17"/>
          <w:color w:val="auto"/>
        </w:rPr>
        <w:t>Our Direct title insurance premiums are recognized as revenue at the time of closing of the underlying transaction as the earnings process is then considered complete. Regulation of title insurance rates varies by state. Premiums are charged to customers based on rates predetermined in coordination with each states' respective Department of Insurance. Cash associated with such revenue is typically collected at closing of the underlying real estate transaction. Premium revenues from agency title operations are recognized when the underlying title order and transaction closing, if applicable, are complete.</w:t>
      </w:r>
    </w:p>
    <w:p>
      <w:pPr>
        <w:spacing w:after="0" w:line="47" w:lineRule="exact"/>
        <w:rPr>
          <w:sz w:val="20"/>
          <w:szCs w:val="20"/>
          <w:color w:val="auto"/>
        </w:rPr>
      </w:pPr>
    </w:p>
    <w:p>
      <w:pPr>
        <w:jc w:val="both"/>
        <w:ind w:left="80" w:right="80" w:firstLine="353"/>
        <w:spacing w:after="0" w:line="258" w:lineRule="auto"/>
        <w:rPr>
          <w:sz w:val="20"/>
          <w:szCs w:val="20"/>
          <w:color w:val="auto"/>
        </w:rPr>
      </w:pPr>
      <w:r>
        <w:rPr>
          <w:rFonts w:ascii="Arial" w:cs="Arial" w:eastAsia="Arial" w:hAnsi="Arial"/>
          <w:sz w:val="20"/>
          <w:szCs w:val="20"/>
          <w:color w:val="auto"/>
        </w:rPr>
        <w:t>Revenues from our home warranty business are generated from contracts with customers to provide warranty for major home appliances. Substantially all of our home warranty contracts are one year in length and revenue is recognized ratably over the term of the contract.</w:t>
      </w:r>
    </w:p>
    <w:p>
      <w:pPr>
        <w:spacing w:after="0" w:line="82" w:lineRule="exact"/>
        <w:rPr>
          <w:sz w:val="20"/>
          <w:szCs w:val="20"/>
          <w:color w:val="auto"/>
        </w:rPr>
      </w:pPr>
    </w:p>
    <w:p>
      <w:pPr>
        <w:jc w:val="both"/>
        <w:ind w:left="80" w:right="80" w:firstLine="353"/>
        <w:spacing w:after="0" w:line="306" w:lineRule="auto"/>
        <w:rPr>
          <w:sz w:val="20"/>
          <w:szCs w:val="20"/>
          <w:color w:val="auto"/>
        </w:rPr>
      </w:pPr>
      <w:r>
        <w:rPr>
          <w:rFonts w:ascii="Arial" w:cs="Arial" w:eastAsia="Arial" w:hAnsi="Arial"/>
          <w:sz w:val="17"/>
          <w:szCs w:val="17"/>
          <w:color w:val="auto"/>
        </w:rPr>
        <w:t>Escrow fees and Other title-related fees and income in our Title segment are closely related to Direct title insurance premiums and are primarily associated with managing the closing of real estate transactions including the processing of funds on behalf of the transaction participants, gathering and recording the required closing documents, providing notary and home inspection services, and other real estate or title-related activities. Revenue is primarily recognized upon closing of the underlying real estate transaction or completion of services. Cash associated with such revenue is typically collected at closing.</w:t>
      </w:r>
    </w:p>
    <w:p>
      <w:pPr>
        <w:spacing w:after="0" w:line="47" w:lineRule="exact"/>
        <w:rPr>
          <w:sz w:val="20"/>
          <w:szCs w:val="20"/>
          <w:color w:val="auto"/>
        </w:rPr>
      </w:pPr>
    </w:p>
    <w:p>
      <w:pPr>
        <w:jc w:val="both"/>
        <w:ind w:left="80" w:right="80" w:firstLine="353"/>
        <w:spacing w:after="0" w:line="251" w:lineRule="auto"/>
        <w:rPr>
          <w:sz w:val="20"/>
          <w:szCs w:val="20"/>
          <w:color w:val="auto"/>
        </w:rPr>
      </w:pPr>
      <w:r>
        <w:rPr>
          <w:rFonts w:ascii="Arial" w:cs="Arial" w:eastAsia="Arial" w:hAnsi="Arial"/>
          <w:sz w:val="20"/>
          <w:szCs w:val="20"/>
          <w:color w:val="auto"/>
        </w:rPr>
        <w:t>Revenues from ServiceLink, excluding its title premiums, escrow fees, and loan subservicing fees, primarily include revenues from real estate appraisal services and foreclosure processing and facilitation services. Revenues from real estate appraisal services are recognized when all appraisal work is complete, a final report is issued to the client and the client is billed. Revenues from foreclosure processing and facilitation services are primarily recognized upon completion of the services and when billing to the client is complete.</w:t>
      </w:r>
    </w:p>
    <w:p>
      <w:pPr>
        <w:spacing w:after="0" w:line="91" w:lineRule="exact"/>
        <w:rPr>
          <w:sz w:val="20"/>
          <w:szCs w:val="20"/>
          <w:color w:val="auto"/>
        </w:rPr>
      </w:pPr>
    </w:p>
    <w:p>
      <w:pPr>
        <w:jc w:val="both"/>
        <w:ind w:left="80" w:right="80" w:firstLine="353"/>
        <w:spacing w:after="0" w:line="306" w:lineRule="auto"/>
        <w:rPr>
          <w:sz w:val="20"/>
          <w:szCs w:val="20"/>
          <w:color w:val="auto"/>
        </w:rPr>
      </w:pPr>
      <w:r>
        <w:rPr>
          <w:rFonts w:ascii="Arial" w:cs="Arial" w:eastAsia="Arial" w:hAnsi="Arial"/>
          <w:sz w:val="17"/>
          <w:szCs w:val="17"/>
          <w:color w:val="auto"/>
        </w:rPr>
        <w:t>Life insurance premiums in our F&amp;G segment reflect premiums for life-contingent PRT, traditional life insurance products and life-contingent immediate annuity products, which are recognized as revenue when due from the policyholder, as well as policy rider fees primarily on indexed annuities policies, the cost of insurance on IUL policies and surrender charges assessed against policy withdrawals in excess of the policyholders' allowable penalty-free amounts. We have ceded the majority of our traditional life business to unaffiliated third-party reinsurers. While the base contract has been reinsured, we continue to retain</w:t>
      </w:r>
    </w:p>
    <w:p>
      <w:pPr>
        <w:sectPr>
          <w:pgSz w:w="11880" w:h="15480" w:orient="portrait"/>
          <w:cols w:equalWidth="0" w:num="1">
            <w:col w:w="10200"/>
          </w:cols>
          <w:pgMar w:left="840" w:top="765" w:right="840" w:bottom="0" w:gutter="0" w:footer="0" w:header="0"/>
        </w:sect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159</w:t>
      </w:r>
    </w:p>
    <w:p>
      <w:pPr>
        <w:sectPr>
          <w:pgSz w:w="11880" w:h="15480" w:orient="portrait"/>
          <w:cols w:equalWidth="0" w:num="1">
            <w:col w:w="10200"/>
          </w:cols>
          <w:pgMar w:left="840" w:top="765" w:right="840" w:bottom="0" w:gutter="0" w:footer="0" w:header="0"/>
          <w:type w:val="continuous"/>
        </w:sectPr>
      </w:pPr>
    </w:p>
    <w:bookmarkStart w:id="171" w:name="page172"/>
    <w:bookmarkEnd w:id="171"/>
    <w:p>
      <w:pPr>
        <w:jc w:val="both"/>
        <w:ind w:left="96"/>
        <w:spacing w:after="0" w:line="271" w:lineRule="auto"/>
        <w:rPr>
          <w:sz w:val="20"/>
          <w:szCs w:val="20"/>
          <w:color w:val="auto"/>
        </w:rPr>
      </w:pPr>
      <w:r>
        <w:rPr>
          <w:rFonts w:ascii="Arial" w:cs="Arial" w:eastAsia="Arial" w:hAnsi="Arial"/>
          <w:sz w:val="20"/>
          <w:szCs w:val="20"/>
          <w:color w:val="auto"/>
        </w:rPr>
        <w:t>the return of premium rider. Other income related to riders is earned when elected by the policyholder. Surrender charges are earned when a policyholder withdraws funds from the contract early or cancels the contract.</w:t>
      </w:r>
    </w:p>
    <w:p>
      <w:pPr>
        <w:spacing w:after="0" w:line="88" w:lineRule="exact"/>
        <w:rPr>
          <w:sz w:val="20"/>
          <w:szCs w:val="20"/>
          <w:color w:val="auto"/>
        </w:rPr>
      </w:pPr>
    </w:p>
    <w:p>
      <w:pPr>
        <w:jc w:val="both"/>
        <w:ind w:left="96" w:firstLine="485"/>
        <w:spacing w:after="0" w:line="299" w:lineRule="auto"/>
        <w:rPr>
          <w:sz w:val="20"/>
          <w:szCs w:val="20"/>
          <w:color w:val="auto"/>
        </w:rPr>
      </w:pPr>
      <w:r>
        <w:rPr>
          <w:rFonts w:ascii="Arial" w:cs="Arial" w:eastAsia="Arial" w:hAnsi="Arial"/>
          <w:sz w:val="17"/>
          <w:szCs w:val="17"/>
          <w:color w:val="auto"/>
        </w:rPr>
        <w:t>Premium and annuity deposit collections for indexed annuities, fixed rate annuities, immediate annuities and PRT without life contingency, and amounts received for funding agreements are reported in the financial statements as deposit liabilities (i.e., contractholder funds) instead of as sales or revenues. Similarly, cash payments to customers are reported as decreases in the liability for contractholder funds and not as expenses. Sources of revenues for products accounted for as deposit liabilities include net investment income, surrender, cost of insurance and other charges deducted from contractholder funds, and net realized gains (losses) on investments. Components of expenses for products accounted for as deposit liabilities are interest-sensitive and index product benefits (primarily interest credited to account balances or the hedging cost of providing index credits to the policyholder), amortization of DAC, DSI, and VOBA, other operating costs and expenses, and income taxes.</w:t>
      </w:r>
    </w:p>
    <w:p>
      <w:pPr>
        <w:spacing w:after="0" w:line="51" w:lineRule="exact"/>
        <w:rPr>
          <w:sz w:val="20"/>
          <w:szCs w:val="20"/>
          <w:color w:val="auto"/>
        </w:rPr>
      </w:pPr>
    </w:p>
    <w:p>
      <w:pPr>
        <w:jc w:val="both"/>
        <w:ind w:left="96" w:firstLine="441"/>
        <w:spacing w:after="0" w:line="361" w:lineRule="auto"/>
        <w:rPr>
          <w:sz w:val="20"/>
          <w:szCs w:val="20"/>
          <w:color w:val="auto"/>
        </w:rPr>
      </w:pPr>
      <w:r>
        <w:rPr>
          <w:rFonts w:ascii="Arial" w:cs="Arial" w:eastAsia="Arial" w:hAnsi="Arial"/>
          <w:sz w:val="17"/>
          <w:szCs w:val="17"/>
          <w:color w:val="auto"/>
        </w:rPr>
        <w:t>Premiums, annuity deposits (net of reinsurance and reinsurance recoverable) and funding agreements, which are not included as revenues in the accompanying Consolidated Statements of Earnings, collected by product type were as follows:</w:t>
      </w:r>
    </w:p>
    <w:p>
      <w:pPr>
        <w:sectPr>
          <w:pgSz w:w="11880" w:h="15480" w:orient="portrait"/>
          <w:cols w:equalWidth="0" w:num="1">
            <w:col w:w="10136"/>
          </w:cols>
          <w:pgMar w:left="824" w:top="772" w:right="920" w:bottom="0" w:gutter="0" w:footer="0" w:header="0"/>
        </w:sectPr>
      </w:pPr>
    </w:p>
    <w:p>
      <w:pPr>
        <w:spacing w:after="0" w:line="200" w:lineRule="exact"/>
        <w:rPr>
          <w:sz w:val="20"/>
          <w:szCs w:val="20"/>
          <w:color w:val="auto"/>
        </w:rPr>
      </w:pPr>
    </w:p>
    <w:p>
      <w:pPr>
        <w:spacing w:after="0" w:line="344" w:lineRule="exact"/>
        <w:rPr>
          <w:sz w:val="20"/>
          <w:szCs w:val="20"/>
          <w:color w:val="auto"/>
        </w:rPr>
      </w:pPr>
    </w:p>
    <w:p>
      <w:pPr>
        <w:ind w:left="56"/>
        <w:spacing w:after="0"/>
        <w:rPr>
          <w:sz w:val="20"/>
          <w:szCs w:val="20"/>
          <w:color w:val="auto"/>
        </w:rPr>
      </w:pPr>
      <w:r>
        <w:rPr>
          <w:rFonts w:ascii="Arial" w:cs="Arial" w:eastAsia="Arial" w:hAnsi="Arial"/>
          <w:sz w:val="16"/>
          <w:szCs w:val="16"/>
          <w:b w:val="1"/>
          <w:bCs w:val="1"/>
          <w:color w:val="auto"/>
        </w:rPr>
        <w:t>Product Type</w:t>
      </w:r>
    </w:p>
    <w:p>
      <w:pPr>
        <w:spacing w:after="0" w:line="53" w:lineRule="exact"/>
        <w:rPr>
          <w:sz w:val="20"/>
          <w:szCs w:val="20"/>
          <w:color w:val="auto"/>
        </w:rPr>
      </w:pPr>
    </w:p>
    <w:p>
      <w:pPr>
        <w:ind w:left="56"/>
        <w:spacing w:after="0"/>
        <w:rPr>
          <w:sz w:val="20"/>
          <w:szCs w:val="20"/>
          <w:color w:val="auto"/>
        </w:rPr>
      </w:pPr>
      <w:r>
        <w:rPr>
          <w:rFonts w:ascii="Arial" w:cs="Arial" w:eastAsia="Arial" w:hAnsi="Arial"/>
          <w:sz w:val="16"/>
          <w:szCs w:val="16"/>
          <w:color w:val="auto"/>
        </w:rPr>
        <w:t>Fixed indexed annuities</w:t>
      </w:r>
    </w:p>
    <w:p>
      <w:pPr>
        <w:spacing w:after="0" w:line="51" w:lineRule="exact"/>
        <w:rPr>
          <w:sz w:val="20"/>
          <w:szCs w:val="20"/>
          <w:color w:val="auto"/>
        </w:rPr>
      </w:pPr>
    </w:p>
    <w:p>
      <w:pPr>
        <w:ind w:left="56"/>
        <w:spacing w:after="0"/>
        <w:rPr>
          <w:sz w:val="20"/>
          <w:szCs w:val="20"/>
          <w:color w:val="auto"/>
        </w:rPr>
      </w:pPr>
      <w:r>
        <w:rPr>
          <w:rFonts w:ascii="Arial" w:cs="Arial" w:eastAsia="Arial" w:hAnsi="Arial"/>
          <w:sz w:val="16"/>
          <w:szCs w:val="16"/>
          <w:color w:val="auto"/>
        </w:rPr>
        <w:t>Fixed rate annuities</w:t>
      </w:r>
    </w:p>
    <w:p>
      <w:pPr>
        <w:spacing w:after="0" w:line="51" w:lineRule="exact"/>
        <w:rPr>
          <w:sz w:val="20"/>
          <w:szCs w:val="20"/>
          <w:color w:val="auto"/>
        </w:rPr>
      </w:pPr>
    </w:p>
    <w:p>
      <w:pPr>
        <w:ind w:left="56"/>
        <w:spacing w:after="0"/>
        <w:rPr>
          <w:sz w:val="20"/>
          <w:szCs w:val="20"/>
          <w:color w:val="auto"/>
        </w:rPr>
      </w:pPr>
      <w:r>
        <w:rPr>
          <w:rFonts w:ascii="Arial" w:cs="Arial" w:eastAsia="Arial" w:hAnsi="Arial"/>
          <w:sz w:val="13"/>
          <w:szCs w:val="13"/>
          <w:color w:val="auto"/>
        </w:rPr>
        <w:t>Funding agreements (FABN/FHLB)</w:t>
      </w:r>
    </w:p>
    <w:p>
      <w:pPr>
        <w:spacing w:after="0" w:line="86" w:lineRule="exact"/>
        <w:rPr>
          <w:sz w:val="20"/>
          <w:szCs w:val="20"/>
          <w:color w:val="auto"/>
        </w:rPr>
      </w:pPr>
    </w:p>
    <w:p>
      <w:pPr>
        <w:ind w:left="56"/>
        <w:spacing w:after="0"/>
        <w:rPr>
          <w:sz w:val="20"/>
          <w:szCs w:val="20"/>
          <w:color w:val="auto"/>
        </w:rPr>
      </w:pPr>
      <w:r>
        <w:rPr>
          <w:rFonts w:ascii="Arial" w:cs="Arial" w:eastAsia="Arial" w:hAnsi="Arial"/>
          <w:sz w:val="16"/>
          <w:szCs w:val="16"/>
          <w:color w:val="auto"/>
        </w:rPr>
        <w:t>Life insurance and other (a)</w:t>
      </w:r>
    </w:p>
    <w:p>
      <w:pPr>
        <w:spacing w:after="0" w:line="51" w:lineRule="exact"/>
        <w:rPr>
          <w:sz w:val="20"/>
          <w:szCs w:val="20"/>
          <w:color w:val="auto"/>
        </w:rPr>
      </w:pPr>
    </w:p>
    <w:p>
      <w:pPr>
        <w:ind w:left="56"/>
        <w:spacing w:after="0"/>
        <w:rPr>
          <w:sz w:val="20"/>
          <w:szCs w:val="20"/>
          <w:color w:val="auto"/>
        </w:rPr>
      </w:pPr>
      <w:r>
        <w:rPr>
          <w:rFonts w:ascii="Arial" w:cs="Arial" w:eastAsia="Arial" w:hAnsi="Arial"/>
          <w:sz w:val="16"/>
          <w:szCs w:val="16"/>
          <w:color w:val="auto"/>
        </w:rPr>
        <w:t>Total</w:t>
      </w:r>
    </w:p>
    <w:p>
      <w:pPr>
        <w:spacing w:after="0" w:line="20" w:lineRule="exact"/>
        <w:rPr>
          <w:sz w:val="20"/>
          <w:szCs w:val="20"/>
          <w:color w:val="auto"/>
        </w:rPr>
      </w:pPr>
      <w:r>
        <w:rPr>
          <w:sz w:val="20"/>
          <w:szCs w:val="20"/>
          <w:color w:val="auto"/>
        </w:rPr>
        <w:br w:type="column"/>
      </w:r>
    </w:p>
    <w:p>
      <w:pPr>
        <w:spacing w:after="0" w:line="53" w:lineRule="exact"/>
        <w:rPr>
          <w:sz w:val="20"/>
          <w:szCs w:val="20"/>
          <w:color w:val="auto"/>
        </w:rPr>
      </w:pPr>
    </w:p>
    <w:p>
      <w:pPr>
        <w:ind w:left="1760"/>
        <w:spacing w:after="0"/>
        <w:rPr>
          <w:sz w:val="20"/>
          <w:szCs w:val="20"/>
          <w:color w:val="auto"/>
        </w:rPr>
      </w:pPr>
      <w:r>
        <w:rPr>
          <w:rFonts w:ascii="Arial" w:cs="Arial" w:eastAsia="Arial" w:hAnsi="Arial"/>
          <w:sz w:val="16"/>
          <w:szCs w:val="16"/>
          <w:b w:val="1"/>
          <w:bCs w:val="1"/>
          <w:color w:val="auto"/>
        </w:rPr>
        <w:t>Year ended</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5715</wp:posOffset>
                </wp:positionH>
                <wp:positionV relativeFrom="paragraph">
                  <wp:posOffset>24130</wp:posOffset>
                </wp:positionV>
                <wp:extent cx="2716530" cy="0"/>
                <wp:wrapNone/>
                <wp:docPr id="163" name="Shape 16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71653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163" o:spid="_x0000_s118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5pt,1.9pt" to="214.35pt,1.9pt" o:allowincell="f" strokecolor="#000000" strokeweight="1pt"/>
            </w:pict>
          </mc:Fallback>
        </mc:AlternateConten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1400" w:type="dxa"/>
            <w:vAlign w:val="bottom"/>
            <w:tcBorders>
              <w:bottom w:val="single" w:sz="8" w:color="auto"/>
            </w:tcBorders>
            <w:gridSpan w:val="2"/>
          </w:tcPr>
          <w:p>
            <w:pPr>
              <w:ind w:left="60"/>
              <w:spacing w:after="0"/>
              <w:rPr>
                <w:sz w:val="20"/>
                <w:szCs w:val="20"/>
                <w:color w:val="auto"/>
              </w:rPr>
            </w:pPr>
            <w:r>
              <w:rPr>
                <w:rFonts w:ascii="Arial" w:cs="Arial" w:eastAsia="Arial" w:hAnsi="Arial"/>
                <w:sz w:val="16"/>
                <w:szCs w:val="16"/>
                <w:b w:val="1"/>
                <w:bCs w:val="1"/>
                <w:color w:val="auto"/>
                <w:w w:val="91"/>
              </w:rPr>
              <w:t>December 31, 2025</w:t>
            </w:r>
          </w:p>
        </w:tc>
        <w:tc>
          <w:tcPr>
            <w:tcW w:w="60" w:type="dxa"/>
            <w:vAlign w:val="bottom"/>
          </w:tcPr>
          <w:p>
            <w:pPr>
              <w:spacing w:after="0"/>
              <w:rPr>
                <w:sz w:val="18"/>
                <w:szCs w:val="18"/>
                <w:color w:val="auto"/>
              </w:rPr>
            </w:pPr>
          </w:p>
        </w:tc>
        <w:tc>
          <w:tcPr>
            <w:tcW w:w="1380" w:type="dxa"/>
            <w:vAlign w:val="bottom"/>
            <w:tcBorders>
              <w:bottom w:val="single" w:sz="8" w:color="auto"/>
            </w:tcBorders>
            <w:gridSpan w:val="2"/>
          </w:tcPr>
          <w:p>
            <w:pPr>
              <w:ind w:left="60"/>
              <w:spacing w:after="0"/>
              <w:rPr>
                <w:sz w:val="20"/>
                <w:szCs w:val="20"/>
                <w:color w:val="auto"/>
              </w:rPr>
            </w:pPr>
            <w:r>
              <w:rPr>
                <w:rFonts w:ascii="Arial" w:cs="Arial" w:eastAsia="Arial" w:hAnsi="Arial"/>
                <w:sz w:val="16"/>
                <w:szCs w:val="16"/>
                <w:b w:val="1"/>
                <w:bCs w:val="1"/>
                <w:color w:val="auto"/>
                <w:w w:val="90"/>
              </w:rPr>
              <w:t>December 31, 2024</w:t>
            </w:r>
          </w:p>
        </w:tc>
        <w:tc>
          <w:tcPr>
            <w:tcW w:w="60" w:type="dxa"/>
            <w:vAlign w:val="bottom"/>
          </w:tcPr>
          <w:p>
            <w:pPr>
              <w:spacing w:after="0"/>
              <w:rPr>
                <w:sz w:val="18"/>
                <w:szCs w:val="18"/>
                <w:color w:val="auto"/>
              </w:rPr>
            </w:pPr>
          </w:p>
        </w:tc>
        <w:tc>
          <w:tcPr>
            <w:tcW w:w="1380" w:type="dxa"/>
            <w:vAlign w:val="bottom"/>
            <w:tcBorders>
              <w:bottom w:val="single" w:sz="8" w:color="auto"/>
            </w:tcBorders>
            <w:gridSpan w:val="2"/>
          </w:tcPr>
          <w:p>
            <w:pPr>
              <w:ind w:left="60"/>
              <w:spacing w:after="0"/>
              <w:rPr>
                <w:sz w:val="20"/>
                <w:szCs w:val="20"/>
                <w:color w:val="auto"/>
              </w:rPr>
            </w:pPr>
            <w:r>
              <w:rPr>
                <w:rFonts w:ascii="Arial" w:cs="Arial" w:eastAsia="Arial" w:hAnsi="Arial"/>
                <w:sz w:val="16"/>
                <w:szCs w:val="16"/>
                <w:b w:val="1"/>
                <w:bCs w:val="1"/>
                <w:color w:val="auto"/>
                <w:w w:val="90"/>
              </w:rPr>
              <w:t>December 31, 2023</w:t>
            </w:r>
          </w:p>
        </w:tc>
      </w:tr>
      <w:tr>
        <w:trPr>
          <w:trHeight w:val="216"/>
        </w:trPr>
        <w:tc>
          <w:tcPr>
            <w:tcW w:w="5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jc w:val="right"/>
              <w:ind w:right="202"/>
              <w:spacing w:after="0"/>
              <w:rPr>
                <w:sz w:val="20"/>
                <w:szCs w:val="20"/>
                <w:color w:val="auto"/>
              </w:rPr>
            </w:pPr>
            <w:r>
              <w:rPr>
                <w:rFonts w:ascii="Arial" w:cs="Arial" w:eastAsia="Arial" w:hAnsi="Arial"/>
                <w:sz w:val="16"/>
                <w:szCs w:val="16"/>
                <w:b w:val="1"/>
                <w:bCs w:val="1"/>
                <w:color w:val="auto"/>
                <w:w w:val="97"/>
              </w:rPr>
              <w:t>(In millions)</w:t>
            </w:r>
          </w:p>
        </w:tc>
        <w:tc>
          <w:tcPr>
            <w:tcW w:w="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38"/>
        </w:trPr>
        <w:tc>
          <w:tcPr>
            <w:tcW w:w="520" w:type="dxa"/>
            <w:vAlign w:val="bottom"/>
          </w:tcPr>
          <w:p>
            <w:pPr>
              <w:ind w:left="60"/>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2"/>
              <w:spacing w:after="0"/>
              <w:rPr>
                <w:sz w:val="20"/>
                <w:szCs w:val="20"/>
                <w:color w:val="auto"/>
              </w:rPr>
            </w:pPr>
            <w:r>
              <w:rPr>
                <w:rFonts w:ascii="Arial" w:cs="Arial" w:eastAsia="Arial" w:hAnsi="Arial"/>
                <w:sz w:val="16"/>
                <w:szCs w:val="16"/>
                <w:color w:val="auto"/>
              </w:rPr>
              <w:t>5,341</w:t>
            </w:r>
          </w:p>
        </w:tc>
        <w:tc>
          <w:tcPr>
            <w:tcW w:w="260" w:type="dxa"/>
            <w:vAlign w:val="bottom"/>
            <w:gridSpan w:val="2"/>
          </w:tcPr>
          <w:p>
            <w:pPr>
              <w:ind w:left="120"/>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5,828</w:t>
            </w:r>
          </w:p>
        </w:tc>
        <w:tc>
          <w:tcPr>
            <w:tcW w:w="620" w:type="dxa"/>
            <w:vAlign w:val="bottom"/>
            <w:gridSpan w:val="2"/>
          </w:tcPr>
          <w:p>
            <w:pPr>
              <w:ind w:left="120"/>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4,738</w:t>
            </w:r>
          </w:p>
        </w:tc>
      </w:tr>
      <w:tr>
        <w:trPr>
          <w:trHeight w:val="235"/>
        </w:trPr>
        <w:tc>
          <w:tcPr>
            <w:tcW w:w="520" w:type="dxa"/>
            <w:vAlign w:val="bottom"/>
          </w:tcPr>
          <w:p>
            <w:pPr>
              <w:spacing w:after="0"/>
              <w:rPr>
                <w:sz w:val="20"/>
                <w:szCs w:val="20"/>
                <w:color w:val="auto"/>
              </w:rPr>
            </w:pPr>
          </w:p>
        </w:tc>
        <w:tc>
          <w:tcPr>
            <w:tcW w:w="880" w:type="dxa"/>
            <w:vAlign w:val="bottom"/>
          </w:tcPr>
          <w:p>
            <w:pPr>
              <w:jc w:val="right"/>
              <w:ind w:right="2"/>
              <w:spacing w:after="0"/>
              <w:rPr>
                <w:sz w:val="20"/>
                <w:szCs w:val="20"/>
                <w:color w:val="auto"/>
              </w:rPr>
            </w:pPr>
            <w:r>
              <w:rPr>
                <w:rFonts w:ascii="Arial" w:cs="Arial" w:eastAsia="Arial" w:hAnsi="Arial"/>
                <w:sz w:val="16"/>
                <w:szCs w:val="16"/>
                <w:color w:val="auto"/>
              </w:rPr>
              <w:t>1,637</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1,277</w:t>
            </w:r>
          </w:p>
        </w:tc>
        <w:tc>
          <w:tcPr>
            <w:tcW w:w="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1,147</w:t>
            </w:r>
          </w:p>
        </w:tc>
      </w:tr>
      <w:tr>
        <w:trPr>
          <w:trHeight w:val="235"/>
        </w:trPr>
        <w:tc>
          <w:tcPr>
            <w:tcW w:w="520" w:type="dxa"/>
            <w:vAlign w:val="bottom"/>
          </w:tcPr>
          <w:p>
            <w:pPr>
              <w:spacing w:after="0"/>
              <w:rPr>
                <w:sz w:val="20"/>
                <w:szCs w:val="20"/>
                <w:color w:val="auto"/>
              </w:rPr>
            </w:pPr>
          </w:p>
        </w:tc>
        <w:tc>
          <w:tcPr>
            <w:tcW w:w="880" w:type="dxa"/>
            <w:vAlign w:val="bottom"/>
          </w:tcPr>
          <w:p>
            <w:pPr>
              <w:jc w:val="right"/>
              <w:ind w:right="2"/>
              <w:spacing w:after="0"/>
              <w:rPr>
                <w:sz w:val="20"/>
                <w:szCs w:val="20"/>
                <w:color w:val="auto"/>
              </w:rPr>
            </w:pPr>
            <w:r>
              <w:rPr>
                <w:rFonts w:ascii="Arial" w:cs="Arial" w:eastAsia="Arial" w:hAnsi="Arial"/>
                <w:sz w:val="16"/>
                <w:szCs w:val="16"/>
                <w:color w:val="auto"/>
              </w:rPr>
              <w:t>3,748</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2,404</w:t>
            </w:r>
          </w:p>
        </w:tc>
        <w:tc>
          <w:tcPr>
            <w:tcW w:w="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1,256</w:t>
            </w:r>
          </w:p>
        </w:tc>
      </w:tr>
      <w:tr>
        <w:trPr>
          <w:trHeight w:val="232"/>
        </w:trPr>
        <w:tc>
          <w:tcPr>
            <w:tcW w:w="5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849</w:t>
            </w:r>
          </w:p>
        </w:tc>
        <w:tc>
          <w:tcPr>
            <w:tcW w:w="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638</w:t>
            </w:r>
          </w:p>
        </w:tc>
        <w:tc>
          <w:tcPr>
            <w:tcW w:w="60" w:type="dxa"/>
            <w:vAlign w:val="bottom"/>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646</w:t>
            </w:r>
          </w:p>
        </w:tc>
      </w:tr>
      <w:tr>
        <w:trPr>
          <w:trHeight w:val="196"/>
        </w:trPr>
        <w:tc>
          <w:tcPr>
            <w:tcW w:w="520" w:type="dxa"/>
            <w:vAlign w:val="bottom"/>
          </w:tcPr>
          <w:p>
            <w:pPr>
              <w:ind w:left="60"/>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2"/>
              <w:spacing w:after="0"/>
              <w:rPr>
                <w:sz w:val="20"/>
                <w:szCs w:val="20"/>
                <w:color w:val="auto"/>
              </w:rPr>
            </w:pPr>
            <w:r>
              <w:rPr>
                <w:rFonts w:ascii="Arial" w:cs="Arial" w:eastAsia="Arial" w:hAnsi="Arial"/>
                <w:sz w:val="16"/>
                <w:szCs w:val="16"/>
                <w:color w:val="auto"/>
              </w:rPr>
              <w:t>11,575</w:t>
            </w:r>
          </w:p>
        </w:tc>
        <w:tc>
          <w:tcPr>
            <w:tcW w:w="260" w:type="dxa"/>
            <w:vAlign w:val="bottom"/>
            <w:gridSpan w:val="2"/>
          </w:tcPr>
          <w:p>
            <w:pPr>
              <w:ind w:left="120"/>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10,147</w:t>
            </w:r>
          </w:p>
        </w:tc>
        <w:tc>
          <w:tcPr>
            <w:tcW w:w="620" w:type="dxa"/>
            <w:vAlign w:val="bottom"/>
            <w:gridSpan w:val="2"/>
          </w:tcPr>
          <w:p>
            <w:pPr>
              <w:ind w:left="120"/>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7,787</w:t>
            </w:r>
          </w:p>
        </w:tc>
      </w:tr>
      <w:tr>
        <w:trPr>
          <w:trHeight w:val="20"/>
        </w:trPr>
        <w:tc>
          <w:tcPr>
            <w:tcW w:w="5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-3730625</wp:posOffset>
            </wp:positionH>
            <wp:positionV relativeFrom="paragraph">
              <wp:posOffset>-777875</wp:posOffset>
            </wp:positionV>
            <wp:extent cx="6466205" cy="78486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25">
                      <a:extLst>
                        <a:ext uri="{28A0092B-C50C-407E-A947-70E740481C1C}"/>
                      </a:extLst>
                    </a:blip>
                    <a:srcRect/>
                    <a:stretch>
                      <a:fillRect/>
                    </a:stretch>
                  </pic:blipFill>
                  <pic:spPr bwMode="auto">
                    <a:xfrm>
                      <a:off x="0" y="0"/>
                      <a:ext cx="6466205" cy="784860"/>
                    </a:xfrm>
                    <a:prstGeom prst="rect">
                      <a:avLst/>
                    </a:prstGeom>
                    <a:noFill/>
                  </pic:spPr>
                </pic:pic>
              </a:graphicData>
            </a:graphic>
          </wp:anchor>
        </w:drawing>
      </w:r>
    </w:p>
    <w:p>
      <w:pPr>
        <w:spacing w:after="0" w:line="113" w:lineRule="exact"/>
        <w:rPr>
          <w:sz w:val="20"/>
          <w:szCs w:val="20"/>
          <w:color w:val="auto"/>
        </w:rPr>
      </w:pPr>
    </w:p>
    <w:p>
      <w:pPr>
        <w:sectPr>
          <w:pgSz w:w="11880" w:h="15480" w:orient="portrait"/>
          <w:cols w:equalWidth="0" w:num="2">
            <w:col w:w="5136" w:space="720"/>
            <w:col w:w="4280"/>
          </w:cols>
          <w:pgMar w:left="824" w:top="772" w:right="920" w:bottom="0" w:gutter="0" w:footer="0" w:header="0"/>
          <w:type w:val="continuous"/>
        </w:sectPr>
      </w:pPr>
    </w:p>
    <w:p>
      <w:pPr>
        <w:ind w:left="576" w:hanging="576"/>
        <w:spacing w:after="0"/>
        <w:tabs>
          <w:tab w:leader="none" w:pos="576" w:val="left"/>
        </w:tabs>
        <w:numPr>
          <w:ilvl w:val="0"/>
          <w:numId w:val="56"/>
        </w:numPr>
        <w:rPr>
          <w:rFonts w:ascii="Arial" w:cs="Arial" w:eastAsia="Arial" w:hAnsi="Arial"/>
          <w:sz w:val="20"/>
          <w:szCs w:val="20"/>
          <w:color w:val="auto"/>
        </w:rPr>
      </w:pPr>
      <w:r>
        <w:rPr>
          <w:rFonts w:ascii="Arial" w:cs="Arial" w:eastAsia="Arial" w:hAnsi="Arial"/>
          <w:sz w:val="20"/>
          <w:szCs w:val="20"/>
          <w:color w:val="auto"/>
        </w:rPr>
        <w:t>Life insurance and other primarily includes indexed universal life insurance.</w:t>
      </w:r>
    </w:p>
    <w:p>
      <w:pPr>
        <w:spacing w:after="0" w:line="143" w:lineRule="exact"/>
        <w:rPr>
          <w:sz w:val="20"/>
          <w:szCs w:val="20"/>
          <w:color w:val="auto"/>
        </w:rPr>
      </w:pPr>
    </w:p>
    <w:p>
      <w:pPr>
        <w:jc w:val="both"/>
        <w:ind w:left="96" w:firstLine="353"/>
        <w:spacing w:after="0" w:line="271" w:lineRule="auto"/>
        <w:rPr>
          <w:sz w:val="20"/>
          <w:szCs w:val="20"/>
          <w:color w:val="auto"/>
        </w:rPr>
      </w:pPr>
      <w:r>
        <w:rPr>
          <w:rFonts w:ascii="Arial" w:cs="Arial" w:eastAsia="Arial" w:hAnsi="Arial"/>
          <w:sz w:val="20"/>
          <w:szCs w:val="20"/>
          <w:color w:val="auto"/>
        </w:rPr>
        <w:t>Real estate technology revenues are primarily comprised of subscription fees for use of software provided to real estate professionals. Revenue is recognized in the month services are provided.</w:t>
      </w:r>
    </w:p>
    <w:p>
      <w:pPr>
        <w:spacing w:after="0" w:line="69" w:lineRule="exact"/>
        <w:rPr>
          <w:sz w:val="20"/>
          <w:szCs w:val="20"/>
          <w:color w:val="auto"/>
        </w:rPr>
      </w:pPr>
    </w:p>
    <w:p>
      <w:pPr>
        <w:jc w:val="both"/>
        <w:ind w:left="96" w:firstLine="414"/>
        <w:spacing w:after="0" w:line="258" w:lineRule="auto"/>
        <w:rPr>
          <w:sz w:val="20"/>
          <w:szCs w:val="20"/>
          <w:color w:val="auto"/>
        </w:rPr>
      </w:pPr>
      <w:r>
        <w:rPr>
          <w:rFonts w:ascii="Arial" w:cs="Arial" w:eastAsia="Arial" w:hAnsi="Arial"/>
          <w:sz w:val="20"/>
          <w:szCs w:val="20"/>
          <w:color w:val="auto"/>
        </w:rPr>
        <w:t>Loan subservicing revenues are generated by certain subsidiaries of ServiceLink and are associated with the servicing of mortgage loans on behalf of its customers. Revenue is recognized when the underlying work is performed and billed. Loan subservicing revenues are subject to the recognition requirements of ASC Topic 860.</w:t>
      </w:r>
    </w:p>
    <w:p>
      <w:pPr>
        <w:spacing w:after="0" w:line="82" w:lineRule="exact"/>
        <w:rPr>
          <w:sz w:val="20"/>
          <w:szCs w:val="20"/>
          <w:color w:val="auto"/>
        </w:rPr>
      </w:pPr>
    </w:p>
    <w:p>
      <w:pPr>
        <w:jc w:val="both"/>
        <w:ind w:left="96" w:firstLine="353"/>
        <w:spacing w:after="0" w:line="360" w:lineRule="auto"/>
        <w:rPr>
          <w:sz w:val="20"/>
          <w:szCs w:val="20"/>
          <w:color w:val="auto"/>
        </w:rPr>
      </w:pPr>
      <w:r>
        <w:rPr>
          <w:rFonts w:ascii="Arial" w:cs="Arial" w:eastAsia="Arial" w:hAnsi="Arial"/>
          <w:sz w:val="17"/>
          <w:szCs w:val="17"/>
          <w:color w:val="auto"/>
        </w:rPr>
        <w:t>Interest and investment income consists primarily of interest payments received on fixed maturity security holdings and dividends received on equity and preferred security holdings along with the investment income of limited partnerships.</w:t>
      </w:r>
    </w:p>
    <w:p>
      <w:pPr>
        <w:spacing w:after="0" w:line="2" w:lineRule="exact"/>
        <w:rPr>
          <w:sz w:val="20"/>
          <w:szCs w:val="20"/>
          <w:color w:val="auto"/>
        </w:rPr>
      </w:pPr>
    </w:p>
    <w:p>
      <w:pPr>
        <w:jc w:val="both"/>
        <w:ind w:left="96" w:firstLine="353"/>
        <w:spacing w:after="0" w:line="258" w:lineRule="auto"/>
        <w:rPr>
          <w:sz w:val="20"/>
          <w:szCs w:val="20"/>
          <w:color w:val="auto"/>
        </w:rPr>
      </w:pPr>
      <w:r>
        <w:rPr>
          <w:rFonts w:ascii="Arial" w:cs="Arial" w:eastAsia="Arial" w:hAnsi="Arial"/>
          <w:sz w:val="20"/>
          <w:szCs w:val="20"/>
          <w:color w:val="auto"/>
        </w:rPr>
        <w:t>We do not disclose the value of unsatisfied performance obligations for (i) contracts with an original expected length of one year or less, primarily related to revenue from our home warranty business, and (ii) contracts for which we recognize revenue at the amount to which we have the right to invoice for services performed.</w:t>
      </w:r>
    </w:p>
    <w:p>
      <w:pPr>
        <w:spacing w:after="0" w:line="74" w:lineRule="exact"/>
        <w:rPr>
          <w:sz w:val="20"/>
          <w:szCs w:val="20"/>
          <w:color w:val="auto"/>
        </w:rPr>
      </w:pPr>
    </w:p>
    <w:p>
      <w:pPr>
        <w:ind w:left="96"/>
        <w:spacing w:after="0"/>
        <w:rPr>
          <w:sz w:val="20"/>
          <w:szCs w:val="20"/>
          <w:color w:val="auto"/>
        </w:rPr>
      </w:pPr>
      <w:r>
        <w:rPr>
          <w:rFonts w:ascii="Arial" w:cs="Arial" w:eastAsia="Arial" w:hAnsi="Arial"/>
          <w:sz w:val="20"/>
          <w:szCs w:val="20"/>
          <w:b w:val="1"/>
          <w:bCs w:val="1"/>
          <w:i w:val="1"/>
          <w:iCs w:val="1"/>
          <w:color w:val="auto"/>
        </w:rPr>
        <w:t>Contract Balances</w:t>
      </w:r>
    </w:p>
    <w:p>
      <w:pPr>
        <w:spacing w:after="0" w:line="130" w:lineRule="exact"/>
        <w:rPr>
          <w:sz w:val="20"/>
          <w:szCs w:val="20"/>
          <w:color w:val="auto"/>
        </w:rPr>
      </w:pPr>
    </w:p>
    <w:p>
      <w:pPr>
        <w:ind w:left="436"/>
        <w:spacing w:after="0"/>
        <w:rPr>
          <w:sz w:val="20"/>
          <w:szCs w:val="20"/>
          <w:color w:val="auto"/>
        </w:rPr>
      </w:pPr>
      <w:r>
        <w:rPr>
          <w:rFonts w:ascii="Arial" w:cs="Arial" w:eastAsia="Arial" w:hAnsi="Arial"/>
          <w:sz w:val="20"/>
          <w:szCs w:val="20"/>
          <w:color w:val="auto"/>
        </w:rPr>
        <w:t>The following table provides information about trade receivables and deferred revenue:</w:t>
      </w:r>
    </w:p>
    <w:p>
      <w:pPr>
        <w:spacing w:after="0" w:line="176" w:lineRule="exact"/>
        <w:rPr>
          <w:sz w:val="20"/>
          <w:szCs w:val="20"/>
          <w:color w:val="auto"/>
        </w:rPr>
      </w:pPr>
    </w:p>
    <w:tbl>
      <w:tblPr>
        <w:tblLayout w:type="fixed"/>
        <w:tblInd w:w="176" w:type="dxa"/>
        <w:tblCellMar>
          <w:top w:w="0" w:type="dxa"/>
          <w:left w:w="0" w:type="dxa"/>
          <w:bottom w:w="0" w:type="dxa"/>
          <w:right w:w="0" w:type="dxa"/>
        </w:tblCellMar>
      </w:tblPr>
      <w:tr>
        <w:trPr>
          <w:trHeight w:val="213"/>
        </w:trPr>
        <w:tc>
          <w:tcPr>
            <w:tcW w:w="6680" w:type="dxa"/>
            <w:vAlign w:val="bottom"/>
          </w:tcPr>
          <w:p>
            <w:pPr>
              <w:spacing w:after="0"/>
              <w:rPr>
                <w:sz w:val="18"/>
                <w:szCs w:val="18"/>
                <w:color w:val="auto"/>
              </w:rPr>
            </w:pPr>
          </w:p>
        </w:tc>
        <w:tc>
          <w:tcPr>
            <w:tcW w:w="1480" w:type="dxa"/>
            <w:vAlign w:val="bottom"/>
            <w:tcBorders>
              <w:bottom w:val="single" w:sz="8" w:color="auto"/>
            </w:tcBorders>
            <w:gridSpan w:val="2"/>
          </w:tcPr>
          <w:p>
            <w:pPr>
              <w:jc w:val="right"/>
              <w:ind w:right="22"/>
              <w:spacing w:after="0"/>
              <w:rPr>
                <w:sz w:val="20"/>
                <w:szCs w:val="20"/>
                <w:color w:val="auto"/>
              </w:rPr>
            </w:pPr>
            <w:r>
              <w:rPr>
                <w:rFonts w:ascii="Arial" w:cs="Arial" w:eastAsia="Arial" w:hAnsi="Arial"/>
                <w:sz w:val="16"/>
                <w:szCs w:val="16"/>
                <w:b w:val="1"/>
                <w:bCs w:val="1"/>
                <w:color w:val="auto"/>
                <w:w w:val="94"/>
              </w:rPr>
              <w:t>December 31, 2025</w:t>
            </w: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122"/>
              <w:spacing w:after="0"/>
              <w:rPr>
                <w:sz w:val="20"/>
                <w:szCs w:val="20"/>
                <w:color w:val="auto"/>
              </w:rPr>
            </w:pPr>
            <w:r>
              <w:rPr>
                <w:rFonts w:ascii="Arial" w:cs="Arial" w:eastAsia="Arial" w:hAnsi="Arial"/>
                <w:sz w:val="16"/>
                <w:szCs w:val="16"/>
                <w:b w:val="1"/>
                <w:bCs w:val="1"/>
                <w:color w:val="auto"/>
                <w:w w:val="90"/>
              </w:rPr>
              <w:t>December 31, 2024</w:t>
            </w:r>
          </w:p>
        </w:tc>
      </w:tr>
      <w:tr>
        <w:trPr>
          <w:trHeight w:val="208"/>
        </w:trPr>
        <w:tc>
          <w:tcPr>
            <w:tcW w:w="66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580" w:type="dxa"/>
            <w:vAlign w:val="bottom"/>
            <w:gridSpan w:val="4"/>
          </w:tcPr>
          <w:p>
            <w:pPr>
              <w:jc w:val="center"/>
              <w:ind w:right="562"/>
              <w:spacing w:after="0"/>
              <w:rPr>
                <w:sz w:val="20"/>
                <w:szCs w:val="20"/>
                <w:color w:val="auto"/>
              </w:rPr>
            </w:pPr>
            <w:r>
              <w:rPr>
                <w:rFonts w:ascii="Arial" w:cs="Arial" w:eastAsia="Arial" w:hAnsi="Arial"/>
                <w:sz w:val="16"/>
                <w:szCs w:val="16"/>
                <w:b w:val="1"/>
                <w:bCs w:val="1"/>
                <w:color w:val="auto"/>
                <w:w w:val="91"/>
              </w:rPr>
              <w:t>(In millions)</w:t>
            </w:r>
          </w:p>
        </w:tc>
      </w:tr>
      <w:tr>
        <w:trPr>
          <w:trHeight w:val="235"/>
        </w:trPr>
        <w:tc>
          <w:tcPr>
            <w:tcW w:w="6680" w:type="dxa"/>
            <w:vAlign w:val="bottom"/>
          </w:tcPr>
          <w:p>
            <w:pPr>
              <w:spacing w:after="0"/>
              <w:rPr>
                <w:sz w:val="20"/>
                <w:szCs w:val="20"/>
                <w:color w:val="auto"/>
              </w:rPr>
            </w:pPr>
            <w:r>
              <w:rPr>
                <w:rFonts w:ascii="Arial" w:cs="Arial" w:eastAsia="Arial" w:hAnsi="Arial"/>
                <w:sz w:val="16"/>
                <w:szCs w:val="16"/>
                <w:color w:val="auto"/>
              </w:rPr>
              <w:t>Trade receivables</w:t>
            </w:r>
          </w:p>
        </w:tc>
        <w:tc>
          <w:tcPr>
            <w:tcW w:w="660" w:type="dxa"/>
            <w:vAlign w:val="bottom"/>
          </w:tcPr>
          <w:p>
            <w:pPr>
              <w:jc w:val="right"/>
              <w:ind w:right="442"/>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375</w:t>
            </w:r>
          </w:p>
        </w:tc>
        <w:tc>
          <w:tcPr>
            <w:tcW w:w="24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520" w:type="dxa"/>
            <w:vAlign w:val="bottom"/>
          </w:tcPr>
          <w:p>
            <w:pPr>
              <w:jc w:val="right"/>
              <w:spacing w:after="0"/>
              <w:rPr>
                <w:sz w:val="20"/>
                <w:szCs w:val="20"/>
                <w:color w:val="auto"/>
              </w:rPr>
            </w:pPr>
            <w:r>
              <w:rPr>
                <w:rFonts w:ascii="Arial" w:cs="Arial" w:eastAsia="Arial" w:hAnsi="Arial"/>
                <w:sz w:val="16"/>
                <w:szCs w:val="16"/>
                <w:color w:val="auto"/>
              </w:rPr>
              <w:t>362</w:t>
            </w:r>
          </w:p>
        </w:tc>
      </w:tr>
      <w:tr>
        <w:trPr>
          <w:trHeight w:val="235"/>
        </w:trPr>
        <w:tc>
          <w:tcPr>
            <w:tcW w:w="6680" w:type="dxa"/>
            <w:vAlign w:val="bottom"/>
          </w:tcPr>
          <w:p>
            <w:pPr>
              <w:spacing w:after="0"/>
              <w:rPr>
                <w:sz w:val="20"/>
                <w:szCs w:val="20"/>
                <w:color w:val="auto"/>
              </w:rPr>
            </w:pPr>
            <w:r>
              <w:rPr>
                <w:rFonts w:ascii="Arial" w:cs="Arial" w:eastAsia="Arial" w:hAnsi="Arial"/>
                <w:sz w:val="16"/>
                <w:szCs w:val="16"/>
                <w:color w:val="auto"/>
              </w:rPr>
              <w:t>Deferred revenue (contract liabilities)</w:t>
            </w:r>
          </w:p>
        </w:tc>
        <w:tc>
          <w:tcPr>
            <w:tcW w:w="6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95</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92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71120</wp:posOffset>
            </wp:positionH>
            <wp:positionV relativeFrom="paragraph">
              <wp:posOffset>-150495</wp:posOffset>
            </wp:positionV>
            <wp:extent cx="6354445" cy="17462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26">
                      <a:extLst>
                        <a:ext uri="{28A0092B-C50C-407E-A947-70E740481C1C}"/>
                      </a:extLst>
                    </a:blip>
                    <a:srcRect/>
                    <a:stretch>
                      <a:fillRect/>
                    </a:stretch>
                  </pic:blipFill>
                  <pic:spPr bwMode="auto">
                    <a:xfrm>
                      <a:off x="0" y="0"/>
                      <a:ext cx="6354445" cy="174625"/>
                    </a:xfrm>
                    <a:prstGeom prst="rect">
                      <a:avLst/>
                    </a:prstGeom>
                    <a:noFill/>
                  </pic:spPr>
                </pic:pic>
              </a:graphicData>
            </a:graphic>
          </wp:anchor>
        </w:drawing>
      </w:r>
    </w:p>
    <w:p>
      <w:pPr>
        <w:spacing w:after="0" w:line="152" w:lineRule="exact"/>
        <w:rPr>
          <w:sz w:val="20"/>
          <w:szCs w:val="20"/>
          <w:color w:val="auto"/>
        </w:rPr>
      </w:pPr>
    </w:p>
    <w:p>
      <w:pPr>
        <w:jc w:val="both"/>
        <w:ind w:left="96" w:firstLine="353"/>
        <w:spacing w:after="0" w:line="251" w:lineRule="auto"/>
        <w:rPr>
          <w:sz w:val="20"/>
          <w:szCs w:val="20"/>
          <w:color w:val="auto"/>
        </w:rPr>
      </w:pPr>
      <w:r>
        <w:rPr>
          <w:rFonts w:ascii="Arial" w:cs="Arial" w:eastAsia="Arial" w:hAnsi="Arial"/>
          <w:sz w:val="20"/>
          <w:szCs w:val="20"/>
          <w:color w:val="auto"/>
        </w:rPr>
        <w:t>Deferred revenue is recorded primarily for our home warranty contracts. Revenues from home warranty products are recognized over the life of the policy, which is primarily one year. The unrecognized portion is recorded as deferred revenue in Accounts payable and other accrued liabilities in the Consolidated Balance Sheets. During the years ended December 31, 2025 and 2024, we recognized $84 million and $80 million of revenue, respectively, which was included in deferred revenue at the beginning of the respective period.</w:t>
      </w:r>
    </w:p>
    <w:p>
      <w:pPr>
        <w:sectPr>
          <w:pgSz w:w="11880" w:h="15480" w:orient="portrait"/>
          <w:cols w:equalWidth="0" w:num="1">
            <w:col w:w="10136"/>
          </w:cols>
          <w:pgMar w:left="824" w:top="772" w:right="92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95"/>
        <w:spacing w:after="0"/>
        <w:rPr>
          <w:sz w:val="20"/>
          <w:szCs w:val="20"/>
          <w:color w:val="auto"/>
        </w:rPr>
      </w:pPr>
      <w:r>
        <w:rPr>
          <w:rFonts w:ascii="Arial" w:cs="Arial" w:eastAsia="Arial" w:hAnsi="Arial"/>
          <w:sz w:val="16"/>
          <w:szCs w:val="16"/>
          <w:color w:val="auto"/>
        </w:rPr>
        <w:t>160</w:t>
      </w:r>
    </w:p>
    <w:p>
      <w:pPr>
        <w:sectPr>
          <w:pgSz w:w="11880" w:h="15480" w:orient="portrait"/>
          <w:cols w:equalWidth="0" w:num="1">
            <w:col w:w="10136"/>
          </w:cols>
          <w:pgMar w:left="824" w:top="772" w:right="920" w:bottom="0" w:gutter="0" w:footer="0" w:header="0"/>
          <w:type w:val="continuous"/>
        </w:sectPr>
      </w:pPr>
    </w:p>
    <w:bookmarkStart w:id="172" w:name="page173"/>
    <w:bookmarkEnd w:id="172"/>
    <w:p>
      <w:pPr>
        <w:ind w:left="7"/>
        <w:spacing w:after="0"/>
        <w:rPr>
          <w:sz w:val="20"/>
          <w:szCs w:val="20"/>
          <w:color w:val="auto"/>
        </w:rPr>
      </w:pPr>
      <w:r>
        <w:rPr>
          <w:rFonts w:ascii="Arial" w:cs="Arial" w:eastAsia="Arial" w:hAnsi="Arial"/>
          <w:sz w:val="20"/>
          <w:szCs w:val="20"/>
          <w:b w:val="1"/>
          <w:bCs w:val="1"/>
          <w:color w:val="auto"/>
        </w:rPr>
        <w:t>Note L — Other Intangible Assets</w:t>
      </w:r>
    </w:p>
    <w:p>
      <w:pPr>
        <w:spacing w:after="0" w:line="150" w:lineRule="exact"/>
        <w:rPr>
          <w:sz w:val="20"/>
          <w:szCs w:val="20"/>
          <w:color w:val="auto"/>
        </w:rPr>
      </w:pPr>
    </w:p>
    <w:p>
      <w:pPr>
        <w:ind w:left="7" w:firstLine="353"/>
        <w:spacing w:after="0" w:line="271" w:lineRule="auto"/>
        <w:rPr>
          <w:sz w:val="20"/>
          <w:szCs w:val="20"/>
          <w:color w:val="auto"/>
        </w:rPr>
      </w:pPr>
      <w:r>
        <w:rPr>
          <w:rFonts w:ascii="Arial" w:cs="Arial" w:eastAsia="Arial" w:hAnsi="Arial"/>
          <w:sz w:val="20"/>
          <w:szCs w:val="20"/>
          <w:color w:val="auto"/>
        </w:rPr>
        <w:t>The following table reconciles to Other intangible assets, net, on the Consolidated Balance Sheets as of December 31, 2025 and 2024:</w:t>
      </w:r>
    </w:p>
    <w:p>
      <w:pPr>
        <w:spacing w:after="0" w:line="112" w:lineRule="exact"/>
        <w:rPr>
          <w:sz w:val="20"/>
          <w:szCs w:val="20"/>
          <w:color w:val="auto"/>
        </w:rPr>
      </w:pPr>
    </w:p>
    <w:tbl>
      <w:tblPr>
        <w:tblLayout w:type="fixed"/>
        <w:tblInd w:w="167" w:type="dxa"/>
        <w:tblCellMar>
          <w:top w:w="0" w:type="dxa"/>
          <w:left w:w="0" w:type="dxa"/>
          <w:bottom w:w="0" w:type="dxa"/>
          <w:right w:w="0" w:type="dxa"/>
        </w:tblCellMar>
      </w:tblPr>
      <w:tr>
        <w:trPr>
          <w:trHeight w:val="213"/>
        </w:trPr>
        <w:tc>
          <w:tcPr>
            <w:tcW w:w="63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ind w:right="162"/>
              <w:spacing w:after="0"/>
              <w:rPr>
                <w:sz w:val="20"/>
                <w:szCs w:val="20"/>
                <w:color w:val="auto"/>
              </w:rPr>
            </w:pPr>
            <w:r>
              <w:rPr>
                <w:rFonts w:ascii="Arial" w:cs="Arial" w:eastAsia="Arial" w:hAnsi="Arial"/>
                <w:sz w:val="16"/>
                <w:szCs w:val="16"/>
                <w:b w:val="1"/>
                <w:bCs w:val="1"/>
                <w:color w:val="auto"/>
                <w:w w:val="90"/>
              </w:rPr>
              <w:t>December 31, 2025</w:t>
            </w:r>
          </w:p>
        </w:tc>
        <w:tc>
          <w:tcPr>
            <w:tcW w:w="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ind w:right="162"/>
              <w:spacing w:after="0"/>
              <w:rPr>
                <w:sz w:val="20"/>
                <w:szCs w:val="20"/>
                <w:color w:val="auto"/>
              </w:rPr>
            </w:pPr>
            <w:r>
              <w:rPr>
                <w:rFonts w:ascii="Arial" w:cs="Arial" w:eastAsia="Arial" w:hAnsi="Arial"/>
                <w:sz w:val="16"/>
                <w:szCs w:val="16"/>
                <w:b w:val="1"/>
                <w:bCs w:val="1"/>
                <w:color w:val="auto"/>
                <w:w w:val="90"/>
              </w:rPr>
              <w:t>December 31, 2024</w:t>
            </w:r>
          </w:p>
        </w:tc>
      </w:tr>
      <w:tr>
        <w:trPr>
          <w:trHeight w:val="223"/>
        </w:trPr>
        <w:tc>
          <w:tcPr>
            <w:tcW w:w="6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380" w:type="dxa"/>
            <w:vAlign w:val="bottom"/>
            <w:gridSpan w:val="4"/>
          </w:tcPr>
          <w:p>
            <w:pPr>
              <w:jc w:val="right"/>
              <w:ind w:right="1282"/>
              <w:spacing w:after="0"/>
              <w:rPr>
                <w:sz w:val="20"/>
                <w:szCs w:val="20"/>
                <w:color w:val="auto"/>
              </w:rPr>
            </w:pPr>
            <w:r>
              <w:rPr>
                <w:rFonts w:ascii="Arial" w:cs="Arial" w:eastAsia="Arial" w:hAnsi="Arial"/>
                <w:sz w:val="16"/>
                <w:szCs w:val="16"/>
                <w:b w:val="1"/>
                <w:bCs w:val="1"/>
                <w:color w:val="auto"/>
              </w:rPr>
              <w:t>(In millions)</w:t>
            </w:r>
          </w:p>
        </w:tc>
      </w:tr>
      <w:tr>
        <w:trPr>
          <w:trHeight w:val="245"/>
        </w:trPr>
        <w:tc>
          <w:tcPr>
            <w:tcW w:w="6300" w:type="dxa"/>
            <w:vAlign w:val="bottom"/>
          </w:tcPr>
          <w:p>
            <w:pPr>
              <w:spacing w:after="0"/>
              <w:rPr>
                <w:sz w:val="20"/>
                <w:szCs w:val="20"/>
                <w:color w:val="auto"/>
              </w:rPr>
            </w:pPr>
            <w:r>
              <w:rPr>
                <w:rFonts w:ascii="Arial" w:cs="Arial" w:eastAsia="Arial" w:hAnsi="Arial"/>
                <w:sz w:val="16"/>
                <w:szCs w:val="16"/>
                <w:color w:val="auto"/>
              </w:rPr>
              <w:t>Customer relationships and contracts</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560" w:type="dxa"/>
            <w:vAlign w:val="bottom"/>
          </w:tcPr>
          <w:p>
            <w:pPr>
              <w:jc w:val="right"/>
              <w:spacing w:after="0"/>
              <w:rPr>
                <w:sz w:val="20"/>
                <w:szCs w:val="20"/>
                <w:color w:val="auto"/>
              </w:rPr>
            </w:pPr>
            <w:r>
              <w:rPr>
                <w:rFonts w:ascii="Arial" w:cs="Arial" w:eastAsia="Arial" w:hAnsi="Arial"/>
                <w:sz w:val="16"/>
                <w:szCs w:val="16"/>
                <w:color w:val="auto"/>
              </w:rPr>
              <w:t>349</w:t>
            </w:r>
          </w:p>
        </w:tc>
        <w:tc>
          <w:tcPr>
            <w:tcW w:w="26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560" w:type="dxa"/>
            <w:vAlign w:val="bottom"/>
          </w:tcPr>
          <w:p>
            <w:pPr>
              <w:jc w:val="right"/>
              <w:spacing w:after="0"/>
              <w:rPr>
                <w:sz w:val="20"/>
                <w:szCs w:val="20"/>
                <w:color w:val="auto"/>
              </w:rPr>
            </w:pPr>
            <w:r>
              <w:rPr>
                <w:rFonts w:ascii="Arial" w:cs="Arial" w:eastAsia="Arial" w:hAnsi="Arial"/>
                <w:sz w:val="16"/>
                <w:szCs w:val="16"/>
                <w:color w:val="auto"/>
              </w:rPr>
              <w:t>435</w:t>
            </w:r>
          </w:p>
        </w:tc>
      </w:tr>
      <w:tr>
        <w:trPr>
          <w:trHeight w:val="235"/>
        </w:trPr>
        <w:tc>
          <w:tcPr>
            <w:tcW w:w="6300" w:type="dxa"/>
            <w:vAlign w:val="bottom"/>
          </w:tcPr>
          <w:p>
            <w:pPr>
              <w:spacing w:after="0"/>
              <w:rPr>
                <w:sz w:val="20"/>
                <w:szCs w:val="20"/>
                <w:color w:val="auto"/>
              </w:rPr>
            </w:pPr>
            <w:r>
              <w:rPr>
                <w:rFonts w:ascii="Arial" w:cs="Arial" w:eastAsia="Arial" w:hAnsi="Arial"/>
                <w:sz w:val="16"/>
                <w:szCs w:val="16"/>
                <w:color w:val="auto"/>
              </w:rPr>
              <w:t>VOBA</w:t>
            </w:r>
          </w:p>
        </w:tc>
        <w:tc>
          <w:tcPr>
            <w:tcW w:w="20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1,196</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1,349</w:t>
            </w:r>
          </w:p>
        </w:tc>
      </w:tr>
      <w:tr>
        <w:trPr>
          <w:trHeight w:val="235"/>
        </w:trPr>
        <w:tc>
          <w:tcPr>
            <w:tcW w:w="6300" w:type="dxa"/>
            <w:vAlign w:val="bottom"/>
          </w:tcPr>
          <w:p>
            <w:pPr>
              <w:spacing w:after="0"/>
              <w:rPr>
                <w:sz w:val="20"/>
                <w:szCs w:val="20"/>
                <w:color w:val="auto"/>
              </w:rPr>
            </w:pPr>
            <w:r>
              <w:rPr>
                <w:rFonts w:ascii="Arial" w:cs="Arial" w:eastAsia="Arial" w:hAnsi="Arial"/>
                <w:sz w:val="16"/>
                <w:szCs w:val="16"/>
                <w:color w:val="auto"/>
              </w:rPr>
              <w:t>DAC</w:t>
            </w:r>
          </w:p>
        </w:tc>
        <w:tc>
          <w:tcPr>
            <w:tcW w:w="20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3,637</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3,036</w:t>
            </w:r>
          </w:p>
        </w:tc>
      </w:tr>
      <w:tr>
        <w:trPr>
          <w:trHeight w:val="235"/>
        </w:trPr>
        <w:tc>
          <w:tcPr>
            <w:tcW w:w="6300" w:type="dxa"/>
            <w:vAlign w:val="bottom"/>
          </w:tcPr>
          <w:p>
            <w:pPr>
              <w:spacing w:after="0"/>
              <w:rPr>
                <w:sz w:val="20"/>
                <w:szCs w:val="20"/>
                <w:color w:val="auto"/>
              </w:rPr>
            </w:pPr>
            <w:r>
              <w:rPr>
                <w:rFonts w:ascii="Arial" w:cs="Arial" w:eastAsia="Arial" w:hAnsi="Arial"/>
                <w:sz w:val="16"/>
                <w:szCs w:val="16"/>
                <w:color w:val="auto"/>
              </w:rPr>
              <w:t>DSI</w:t>
            </w:r>
          </w:p>
        </w:tc>
        <w:tc>
          <w:tcPr>
            <w:tcW w:w="20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891</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625</w:t>
            </w:r>
          </w:p>
        </w:tc>
      </w:tr>
      <w:tr>
        <w:trPr>
          <w:trHeight w:val="235"/>
        </w:trPr>
        <w:tc>
          <w:tcPr>
            <w:tcW w:w="6300" w:type="dxa"/>
            <w:vAlign w:val="bottom"/>
          </w:tcPr>
          <w:p>
            <w:pPr>
              <w:spacing w:after="0"/>
              <w:rPr>
                <w:sz w:val="20"/>
                <w:szCs w:val="20"/>
                <w:color w:val="auto"/>
              </w:rPr>
            </w:pPr>
            <w:r>
              <w:rPr>
                <w:rFonts w:ascii="Arial" w:cs="Arial" w:eastAsia="Arial" w:hAnsi="Arial"/>
                <w:sz w:val="16"/>
                <w:szCs w:val="16"/>
                <w:color w:val="auto"/>
              </w:rPr>
              <w:t>Value of distribution asset</w:t>
            </w:r>
          </w:p>
        </w:tc>
        <w:tc>
          <w:tcPr>
            <w:tcW w:w="20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62</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74</w:t>
            </w:r>
          </w:p>
        </w:tc>
      </w:tr>
      <w:tr>
        <w:trPr>
          <w:trHeight w:val="235"/>
        </w:trPr>
        <w:tc>
          <w:tcPr>
            <w:tcW w:w="6300" w:type="dxa"/>
            <w:vAlign w:val="bottom"/>
          </w:tcPr>
          <w:p>
            <w:pPr>
              <w:spacing w:after="0"/>
              <w:rPr>
                <w:sz w:val="20"/>
                <w:szCs w:val="20"/>
                <w:color w:val="auto"/>
              </w:rPr>
            </w:pPr>
            <w:r>
              <w:rPr>
                <w:rFonts w:ascii="Arial" w:cs="Arial" w:eastAsia="Arial" w:hAnsi="Arial"/>
                <w:sz w:val="16"/>
                <w:szCs w:val="16"/>
                <w:color w:val="auto"/>
              </w:rPr>
              <w:t>Computer software</w:t>
            </w:r>
          </w:p>
        </w:tc>
        <w:tc>
          <w:tcPr>
            <w:tcW w:w="20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289</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277</w:t>
            </w:r>
          </w:p>
        </w:tc>
      </w:tr>
      <w:tr>
        <w:trPr>
          <w:trHeight w:val="232"/>
        </w:trPr>
        <w:tc>
          <w:tcPr>
            <w:tcW w:w="6300" w:type="dxa"/>
            <w:vAlign w:val="bottom"/>
          </w:tcPr>
          <w:p>
            <w:pPr>
              <w:spacing w:after="0"/>
              <w:rPr>
                <w:sz w:val="20"/>
                <w:szCs w:val="20"/>
                <w:color w:val="auto"/>
              </w:rPr>
            </w:pPr>
            <w:r>
              <w:rPr>
                <w:rFonts w:ascii="Arial" w:cs="Arial" w:eastAsia="Arial" w:hAnsi="Arial"/>
                <w:sz w:val="16"/>
                <w:szCs w:val="16"/>
                <w:color w:val="auto"/>
              </w:rPr>
              <w:t>Trademarks, tradenames, and other</w:t>
            </w:r>
          </w:p>
        </w:tc>
        <w:tc>
          <w:tcPr>
            <w:tcW w:w="20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217</w:t>
            </w:r>
          </w:p>
        </w:tc>
        <w:tc>
          <w:tcPr>
            <w:tcW w:w="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180</w:t>
            </w:r>
          </w:p>
        </w:tc>
      </w:tr>
      <w:tr>
        <w:trPr>
          <w:trHeight w:val="196"/>
        </w:trPr>
        <w:tc>
          <w:tcPr>
            <w:tcW w:w="6300" w:type="dxa"/>
            <w:vAlign w:val="bottom"/>
          </w:tcPr>
          <w:p>
            <w:pPr>
              <w:spacing w:after="0"/>
              <w:rPr>
                <w:sz w:val="20"/>
                <w:szCs w:val="20"/>
                <w:color w:val="auto"/>
              </w:rPr>
            </w:pPr>
            <w:r>
              <w:rPr>
                <w:rFonts w:ascii="Arial" w:cs="Arial" w:eastAsia="Arial" w:hAnsi="Arial"/>
                <w:sz w:val="16"/>
                <w:szCs w:val="16"/>
                <w:b w:val="1"/>
                <w:bCs w:val="1"/>
                <w:color w:val="auto"/>
              </w:rPr>
              <w:t>Total Other intangible assets, net</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560" w:type="dxa"/>
            <w:vAlign w:val="bottom"/>
          </w:tcPr>
          <w:p>
            <w:pPr>
              <w:jc w:val="right"/>
              <w:spacing w:after="0"/>
              <w:rPr>
                <w:sz w:val="20"/>
                <w:szCs w:val="20"/>
                <w:color w:val="auto"/>
              </w:rPr>
            </w:pPr>
            <w:r>
              <w:rPr>
                <w:rFonts w:ascii="Arial" w:cs="Arial" w:eastAsia="Arial" w:hAnsi="Arial"/>
                <w:sz w:val="16"/>
                <w:szCs w:val="16"/>
                <w:color w:val="auto"/>
              </w:rPr>
              <w:t>6,641</w:t>
            </w:r>
          </w:p>
        </w:tc>
        <w:tc>
          <w:tcPr>
            <w:tcW w:w="26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560" w:type="dxa"/>
            <w:vAlign w:val="bottom"/>
          </w:tcPr>
          <w:p>
            <w:pPr>
              <w:jc w:val="right"/>
              <w:spacing w:after="0"/>
              <w:rPr>
                <w:sz w:val="20"/>
                <w:szCs w:val="20"/>
                <w:color w:val="auto"/>
              </w:rPr>
            </w:pPr>
            <w:r>
              <w:rPr>
                <w:rFonts w:ascii="Arial" w:cs="Arial" w:eastAsia="Arial" w:hAnsi="Arial"/>
                <w:sz w:val="16"/>
                <w:szCs w:val="16"/>
                <w:color w:val="auto"/>
              </w:rPr>
              <w:t>5,976</w:t>
            </w:r>
          </w:p>
        </w:tc>
      </w:tr>
      <w:tr>
        <w:trPr>
          <w:trHeight w:val="20"/>
        </w:trPr>
        <w:tc>
          <w:tcPr>
            <w:tcW w:w="6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-1384300</wp:posOffset>
            </wp:positionV>
            <wp:extent cx="6410325" cy="139128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27">
                      <a:extLst>
                        <a:ext uri="{28A0092B-C50C-407E-A947-70E740481C1C}"/>
                      </a:extLst>
                    </a:blip>
                    <a:srcRect/>
                    <a:stretch>
                      <a:fillRect/>
                    </a:stretch>
                  </pic:blipFill>
                  <pic:spPr bwMode="auto">
                    <a:xfrm>
                      <a:off x="0" y="0"/>
                      <a:ext cx="6410325" cy="1391285"/>
                    </a:xfrm>
                    <a:prstGeom prst="rect">
                      <a:avLst/>
                    </a:prstGeom>
                    <a:noFill/>
                  </pic:spPr>
                </pic:pic>
              </a:graphicData>
            </a:graphic>
          </wp:anchor>
        </w:drawing>
      </w:r>
    </w:p>
    <w:p>
      <w:pPr>
        <w:spacing w:after="0" w:line="164" w:lineRule="exact"/>
        <w:rPr>
          <w:sz w:val="20"/>
          <w:szCs w:val="20"/>
          <w:color w:val="auto"/>
        </w:rPr>
      </w:pPr>
    </w:p>
    <w:p>
      <w:pPr>
        <w:ind w:left="347"/>
        <w:spacing w:after="0"/>
        <w:rPr>
          <w:sz w:val="20"/>
          <w:szCs w:val="20"/>
          <w:color w:val="auto"/>
        </w:rPr>
      </w:pPr>
      <w:r>
        <w:rPr>
          <w:rFonts w:ascii="Arial" w:cs="Arial" w:eastAsia="Arial" w:hAnsi="Arial"/>
          <w:sz w:val="20"/>
          <w:szCs w:val="20"/>
          <w:color w:val="auto"/>
        </w:rPr>
        <w:t>The following tables roll forward VOBA by product for the years ended December 31, 2025 and 2024:</w:t>
      </w:r>
    </w:p>
    <w:p>
      <w:pPr>
        <w:spacing w:after="0" w:line="238" w:lineRule="exact"/>
        <w:rPr>
          <w:sz w:val="20"/>
          <w:szCs w:val="20"/>
          <w:color w:val="auto"/>
        </w:rPr>
      </w:pPr>
    </w:p>
    <w:tbl>
      <w:tblPr>
        <w:tblLayout w:type="fixed"/>
        <w:tblInd w:w="47" w:type="dxa"/>
        <w:tblCellMar>
          <w:top w:w="0" w:type="dxa"/>
          <w:left w:w="0" w:type="dxa"/>
          <w:bottom w:w="0" w:type="dxa"/>
          <w:right w:w="0" w:type="dxa"/>
        </w:tblCellMar>
      </w:tblPr>
      <w:tr>
        <w:trPr>
          <w:trHeight w:val="184"/>
        </w:trPr>
        <w:tc>
          <w:tcPr>
            <w:tcW w:w="3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jc w:val="right"/>
              <w:ind w:right="142"/>
              <w:spacing w:after="0"/>
              <w:rPr>
                <w:sz w:val="20"/>
                <w:szCs w:val="20"/>
                <w:color w:val="auto"/>
              </w:rPr>
            </w:pPr>
            <w:r>
              <w:rPr>
                <w:rFonts w:ascii="Arial" w:cs="Arial" w:eastAsia="Arial" w:hAnsi="Arial"/>
                <w:sz w:val="16"/>
                <w:szCs w:val="16"/>
                <w:b w:val="1"/>
                <w:bCs w:val="1"/>
                <w:color w:val="auto"/>
                <w:w w:val="95"/>
              </w:rPr>
              <w:t>Indexed</w:t>
            </w:r>
          </w:p>
        </w:tc>
        <w:tc>
          <w:tcPr>
            <w:tcW w:w="60" w:type="dxa"/>
            <w:vAlign w:val="bottom"/>
          </w:tcPr>
          <w:p>
            <w:pPr>
              <w:spacing w:after="0"/>
              <w:rPr>
                <w:sz w:val="16"/>
                <w:szCs w:val="16"/>
                <w:color w:val="auto"/>
              </w:rPr>
            </w:pPr>
          </w:p>
        </w:tc>
        <w:tc>
          <w:tcPr>
            <w:tcW w:w="960" w:type="dxa"/>
            <w:vAlign w:val="bottom"/>
            <w:gridSpan w:val="2"/>
          </w:tcPr>
          <w:p>
            <w:pPr>
              <w:jc w:val="right"/>
              <w:ind w:right="42"/>
              <w:spacing w:after="0"/>
              <w:rPr>
                <w:sz w:val="20"/>
                <w:szCs w:val="20"/>
                <w:color w:val="auto"/>
              </w:rPr>
            </w:pPr>
            <w:r>
              <w:rPr>
                <w:rFonts w:ascii="Arial" w:cs="Arial" w:eastAsia="Arial" w:hAnsi="Arial"/>
                <w:sz w:val="16"/>
                <w:szCs w:val="16"/>
                <w:b w:val="1"/>
                <w:bCs w:val="1"/>
                <w:color w:val="auto"/>
              </w:rPr>
              <w:t>Fixed Rate</w:t>
            </w:r>
          </w:p>
        </w:tc>
        <w:tc>
          <w:tcPr>
            <w:tcW w:w="40" w:type="dxa"/>
            <w:vAlign w:val="bottom"/>
          </w:tcPr>
          <w:p>
            <w:pPr>
              <w:spacing w:after="0"/>
              <w:rPr>
                <w:sz w:val="16"/>
                <w:szCs w:val="16"/>
                <w:color w:val="auto"/>
              </w:rPr>
            </w:pPr>
          </w:p>
        </w:tc>
        <w:tc>
          <w:tcPr>
            <w:tcW w:w="960" w:type="dxa"/>
            <w:vAlign w:val="bottom"/>
            <w:gridSpan w:val="2"/>
          </w:tcPr>
          <w:p>
            <w:pPr>
              <w:jc w:val="right"/>
              <w:ind w:right="42"/>
              <w:spacing w:after="0"/>
              <w:rPr>
                <w:sz w:val="20"/>
                <w:szCs w:val="20"/>
                <w:color w:val="auto"/>
              </w:rPr>
            </w:pPr>
            <w:r>
              <w:rPr>
                <w:rFonts w:ascii="Arial" w:cs="Arial" w:eastAsia="Arial" w:hAnsi="Arial"/>
                <w:sz w:val="16"/>
                <w:szCs w:val="16"/>
                <w:b w:val="1"/>
                <w:bCs w:val="1"/>
                <w:color w:val="auto"/>
              </w:rPr>
              <w:t>Immediate</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jc w:val="right"/>
              <w:ind w:right="82"/>
              <w:spacing w:after="0"/>
              <w:rPr>
                <w:sz w:val="20"/>
                <w:szCs w:val="20"/>
                <w:color w:val="auto"/>
              </w:rPr>
            </w:pPr>
            <w:r>
              <w:rPr>
                <w:rFonts w:ascii="Arial" w:cs="Arial" w:eastAsia="Arial" w:hAnsi="Arial"/>
                <w:sz w:val="16"/>
                <w:szCs w:val="16"/>
                <w:b w:val="1"/>
                <w:bCs w:val="1"/>
                <w:color w:val="auto"/>
                <w:w w:val="88"/>
              </w:rPr>
              <w:t>Universal</w:t>
            </w:r>
          </w:p>
        </w:tc>
        <w:tc>
          <w:tcPr>
            <w:tcW w:w="60" w:type="dxa"/>
            <w:vAlign w:val="bottom"/>
          </w:tcPr>
          <w:p>
            <w:pPr>
              <w:spacing w:after="0"/>
              <w:rPr>
                <w:sz w:val="16"/>
                <w:szCs w:val="16"/>
                <w:color w:val="auto"/>
              </w:rPr>
            </w:pPr>
          </w:p>
        </w:tc>
        <w:tc>
          <w:tcPr>
            <w:tcW w:w="960" w:type="dxa"/>
            <w:vAlign w:val="bottom"/>
            <w:gridSpan w:val="2"/>
          </w:tcPr>
          <w:p>
            <w:pPr>
              <w:jc w:val="right"/>
              <w:ind w:right="22"/>
              <w:spacing w:after="0"/>
              <w:rPr>
                <w:sz w:val="20"/>
                <w:szCs w:val="20"/>
                <w:color w:val="auto"/>
              </w:rPr>
            </w:pPr>
            <w:r>
              <w:rPr>
                <w:rFonts w:ascii="Arial" w:cs="Arial" w:eastAsia="Arial" w:hAnsi="Arial"/>
                <w:sz w:val="16"/>
                <w:szCs w:val="16"/>
                <w:b w:val="1"/>
                <w:bCs w:val="1"/>
                <w:color w:val="auto"/>
              </w:rPr>
              <w:t>Traditional</w:t>
            </w: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vMerge w:val="restart"/>
          </w:tcPr>
          <w:p>
            <w:pPr>
              <w:jc w:val="right"/>
              <w:ind w:right="222"/>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07"/>
        </w:trPr>
        <w:tc>
          <w:tcPr>
            <w:tcW w:w="39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82"/>
              <w:spacing w:after="0"/>
              <w:rPr>
                <w:sz w:val="20"/>
                <w:szCs w:val="20"/>
                <w:color w:val="auto"/>
              </w:rPr>
            </w:pPr>
            <w:r>
              <w:rPr>
                <w:rFonts w:ascii="Arial" w:cs="Arial" w:eastAsia="Arial" w:hAnsi="Arial"/>
                <w:sz w:val="16"/>
                <w:szCs w:val="16"/>
                <w:b w:val="1"/>
                <w:bCs w:val="1"/>
                <w:color w:val="auto"/>
                <w:w w:val="87"/>
              </w:rPr>
              <w:t>Annuities</w:t>
            </w:r>
          </w:p>
        </w:tc>
        <w:tc>
          <w:tcPr>
            <w:tcW w:w="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82"/>
              <w:spacing w:after="0"/>
              <w:rPr>
                <w:sz w:val="20"/>
                <w:szCs w:val="20"/>
                <w:color w:val="auto"/>
              </w:rPr>
            </w:pPr>
            <w:r>
              <w:rPr>
                <w:rFonts w:ascii="Arial" w:cs="Arial" w:eastAsia="Arial" w:hAnsi="Arial"/>
                <w:sz w:val="16"/>
                <w:szCs w:val="16"/>
                <w:b w:val="1"/>
                <w:bCs w:val="1"/>
                <w:color w:val="auto"/>
                <w:w w:val="87"/>
              </w:rPr>
              <w:t>Annuities</w:t>
            </w:r>
          </w:p>
        </w:tc>
        <w:tc>
          <w:tcPr>
            <w:tcW w:w="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82"/>
              <w:spacing w:after="0"/>
              <w:rPr>
                <w:sz w:val="20"/>
                <w:szCs w:val="20"/>
                <w:color w:val="auto"/>
              </w:rPr>
            </w:pPr>
            <w:r>
              <w:rPr>
                <w:rFonts w:ascii="Arial" w:cs="Arial" w:eastAsia="Arial" w:hAnsi="Arial"/>
                <w:sz w:val="16"/>
                <w:szCs w:val="16"/>
                <w:b w:val="1"/>
                <w:bCs w:val="1"/>
                <w:color w:val="auto"/>
                <w:w w:val="84"/>
              </w:rPr>
              <w:t>Annuities</w:t>
            </w:r>
          </w:p>
        </w:tc>
        <w:tc>
          <w:tcPr>
            <w:tcW w:w="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62"/>
              <w:spacing w:after="0"/>
              <w:rPr>
                <w:sz w:val="20"/>
                <w:szCs w:val="20"/>
                <w:color w:val="auto"/>
              </w:rPr>
            </w:pPr>
            <w:r>
              <w:rPr>
                <w:rFonts w:ascii="Arial" w:cs="Arial" w:eastAsia="Arial" w:hAnsi="Arial"/>
                <w:sz w:val="16"/>
                <w:szCs w:val="16"/>
                <w:b w:val="1"/>
                <w:bCs w:val="1"/>
                <w:color w:val="auto"/>
              </w:rPr>
              <w:t>Life</w:t>
            </w:r>
          </w:p>
        </w:tc>
        <w:tc>
          <w:tcPr>
            <w:tcW w:w="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262"/>
              <w:spacing w:after="0"/>
              <w:rPr>
                <w:sz w:val="20"/>
                <w:szCs w:val="20"/>
                <w:color w:val="auto"/>
              </w:rPr>
            </w:pPr>
            <w:r>
              <w:rPr>
                <w:rFonts w:ascii="Arial" w:cs="Arial" w:eastAsia="Arial" w:hAnsi="Arial"/>
                <w:sz w:val="16"/>
                <w:szCs w:val="16"/>
                <w:b w:val="1"/>
                <w:bCs w:val="1"/>
                <w:color w:val="auto"/>
              </w:rPr>
              <w:t>Life</w:t>
            </w:r>
          </w:p>
        </w:tc>
        <w:tc>
          <w:tcPr>
            <w:tcW w:w="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20" w:type="dxa"/>
            <w:vAlign w:val="bottom"/>
            <w:gridSpan w:val="4"/>
          </w:tcPr>
          <w:p>
            <w:pPr>
              <w:jc w:val="right"/>
              <w:ind w:right="482"/>
              <w:spacing w:after="0"/>
              <w:rPr>
                <w:sz w:val="20"/>
                <w:szCs w:val="20"/>
                <w:color w:val="auto"/>
              </w:rPr>
            </w:pPr>
            <w:r>
              <w:rPr>
                <w:rFonts w:ascii="Arial" w:cs="Arial" w:eastAsia="Arial" w:hAnsi="Arial"/>
                <w:sz w:val="16"/>
                <w:szCs w:val="16"/>
                <w:b w:val="1"/>
                <w:bCs w:val="1"/>
                <w:color w:val="auto"/>
              </w:rPr>
              <w:t>(In millions)</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980" w:type="dxa"/>
            <w:vAlign w:val="bottom"/>
          </w:tcPr>
          <w:p>
            <w:pPr>
              <w:spacing w:after="0"/>
              <w:rPr>
                <w:sz w:val="20"/>
                <w:szCs w:val="20"/>
                <w:color w:val="auto"/>
              </w:rPr>
            </w:pPr>
            <w:r>
              <w:rPr>
                <w:rFonts w:ascii="Arial" w:cs="Arial" w:eastAsia="Arial" w:hAnsi="Arial"/>
                <w:sz w:val="16"/>
                <w:szCs w:val="16"/>
                <w:b w:val="1"/>
                <w:bCs w:val="1"/>
                <w:color w:val="auto"/>
              </w:rPr>
              <w:t>Balance at January 1, 2025</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2"/>
              <w:spacing w:after="0"/>
              <w:rPr>
                <w:sz w:val="20"/>
                <w:szCs w:val="20"/>
                <w:color w:val="auto"/>
              </w:rPr>
            </w:pPr>
            <w:r>
              <w:rPr>
                <w:rFonts w:ascii="Arial" w:cs="Arial" w:eastAsia="Arial" w:hAnsi="Arial"/>
                <w:sz w:val="16"/>
                <w:szCs w:val="16"/>
                <w:color w:val="auto"/>
              </w:rPr>
              <w:t>892</w:t>
            </w: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2"/>
              <w:spacing w:after="0"/>
              <w:rPr>
                <w:sz w:val="20"/>
                <w:szCs w:val="20"/>
                <w:color w:val="auto"/>
              </w:rPr>
            </w:pPr>
            <w:r>
              <w:rPr>
                <w:rFonts w:ascii="Arial" w:cs="Arial" w:eastAsia="Arial" w:hAnsi="Arial"/>
                <w:sz w:val="16"/>
                <w:szCs w:val="16"/>
                <w:color w:val="auto"/>
              </w:rPr>
              <w:t>22</w:t>
            </w: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184</w:t>
            </w: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126</w:t>
            </w:r>
          </w:p>
        </w:tc>
        <w:tc>
          <w:tcPr>
            <w:tcW w:w="300" w:type="dxa"/>
            <w:vAlign w:val="bottom"/>
            <w:gridSpan w:val="2"/>
          </w:tcPr>
          <w:p>
            <w:pPr>
              <w:jc w:val="right"/>
              <w:ind w:right="42"/>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2"/>
              <w:spacing w:after="0"/>
              <w:rPr>
                <w:sz w:val="20"/>
                <w:szCs w:val="20"/>
                <w:color w:val="auto"/>
              </w:rPr>
            </w:pPr>
            <w:r>
              <w:rPr>
                <w:rFonts w:ascii="Arial" w:cs="Arial" w:eastAsia="Arial" w:hAnsi="Arial"/>
                <w:sz w:val="16"/>
                <w:szCs w:val="16"/>
                <w:color w:val="auto"/>
              </w:rPr>
              <w:t>125</w:t>
            </w:r>
          </w:p>
        </w:tc>
        <w:tc>
          <w:tcPr>
            <w:tcW w:w="26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1,349</w:t>
            </w:r>
          </w:p>
        </w:tc>
        <w:tc>
          <w:tcPr>
            <w:tcW w:w="0" w:type="dxa"/>
            <w:vAlign w:val="bottom"/>
          </w:tcPr>
          <w:p>
            <w:pPr>
              <w:spacing w:after="0"/>
              <w:rPr>
                <w:sz w:val="1"/>
                <w:szCs w:val="1"/>
                <w:color w:val="auto"/>
              </w:rPr>
            </w:pPr>
          </w:p>
        </w:tc>
      </w:tr>
      <w:tr>
        <w:trPr>
          <w:trHeight w:val="232"/>
        </w:trPr>
        <w:tc>
          <w:tcPr>
            <w:tcW w:w="3980" w:type="dxa"/>
            <w:vAlign w:val="bottom"/>
          </w:tcPr>
          <w:p>
            <w:pPr>
              <w:ind w:left="180"/>
              <w:spacing w:after="0"/>
              <w:rPr>
                <w:sz w:val="20"/>
                <w:szCs w:val="20"/>
                <w:color w:val="auto"/>
              </w:rPr>
            </w:pPr>
            <w:r>
              <w:rPr>
                <w:rFonts w:ascii="Arial" w:cs="Arial" w:eastAsia="Arial" w:hAnsi="Arial"/>
                <w:sz w:val="16"/>
                <w:szCs w:val="16"/>
                <w:color w:val="auto"/>
              </w:rPr>
              <w:t>Amortization</w:t>
            </w:r>
          </w:p>
        </w:tc>
        <w:tc>
          <w:tcPr>
            <w:tcW w:w="1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(122)</w:t>
            </w:r>
          </w:p>
        </w:tc>
        <w:tc>
          <w:tcPr>
            <w:tcW w:w="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w:t>
            </w:r>
          </w:p>
        </w:tc>
        <w:tc>
          <w:tcPr>
            <w:tcW w:w="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w:t>
            </w:r>
          </w:p>
        </w:tc>
        <w:tc>
          <w:tcPr>
            <w:tcW w:w="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w:t>
            </w:r>
          </w:p>
        </w:tc>
        <w:tc>
          <w:tcPr>
            <w:tcW w:w="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(153)</w:t>
            </w:r>
          </w:p>
        </w:tc>
        <w:tc>
          <w:tcPr>
            <w:tcW w:w="0" w:type="dxa"/>
            <w:vAlign w:val="bottom"/>
          </w:tcPr>
          <w:p>
            <w:pPr>
              <w:spacing w:after="0"/>
              <w:rPr>
                <w:sz w:val="1"/>
                <w:szCs w:val="1"/>
                <w:color w:val="auto"/>
              </w:rPr>
            </w:pPr>
          </w:p>
        </w:tc>
      </w:tr>
      <w:tr>
        <w:trPr>
          <w:trHeight w:val="196"/>
        </w:trPr>
        <w:tc>
          <w:tcPr>
            <w:tcW w:w="3980" w:type="dxa"/>
            <w:vAlign w:val="bottom"/>
          </w:tcPr>
          <w:p>
            <w:pPr>
              <w:spacing w:after="0"/>
              <w:rPr>
                <w:sz w:val="20"/>
                <w:szCs w:val="20"/>
                <w:color w:val="auto"/>
              </w:rPr>
            </w:pPr>
            <w:r>
              <w:rPr>
                <w:rFonts w:ascii="Arial" w:cs="Arial" w:eastAsia="Arial" w:hAnsi="Arial"/>
                <w:sz w:val="16"/>
                <w:szCs w:val="16"/>
                <w:b w:val="1"/>
                <w:bCs w:val="1"/>
                <w:color w:val="auto"/>
              </w:rPr>
              <w:t>Balance at December 31, 2025</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2"/>
              <w:spacing w:after="0"/>
              <w:rPr>
                <w:sz w:val="20"/>
                <w:szCs w:val="20"/>
                <w:color w:val="auto"/>
              </w:rPr>
            </w:pPr>
            <w:r>
              <w:rPr>
                <w:rFonts w:ascii="Arial" w:cs="Arial" w:eastAsia="Arial" w:hAnsi="Arial"/>
                <w:sz w:val="16"/>
                <w:szCs w:val="16"/>
                <w:color w:val="auto"/>
              </w:rPr>
              <w:t>770</w:t>
            </w: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2"/>
              <w:spacing w:after="0"/>
              <w:rPr>
                <w:sz w:val="20"/>
                <w:szCs w:val="20"/>
                <w:color w:val="auto"/>
              </w:rPr>
            </w:pPr>
            <w:r>
              <w:rPr>
                <w:rFonts w:ascii="Arial" w:cs="Arial" w:eastAsia="Arial" w:hAnsi="Arial"/>
                <w:sz w:val="16"/>
                <w:szCs w:val="16"/>
                <w:color w:val="auto"/>
              </w:rPr>
              <w:t>18</w:t>
            </w: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178</w:t>
            </w: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119</w:t>
            </w:r>
          </w:p>
        </w:tc>
        <w:tc>
          <w:tcPr>
            <w:tcW w:w="300" w:type="dxa"/>
            <w:vAlign w:val="bottom"/>
            <w:gridSpan w:val="2"/>
          </w:tcPr>
          <w:p>
            <w:pPr>
              <w:jc w:val="right"/>
              <w:ind w:right="42"/>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2"/>
              <w:spacing w:after="0"/>
              <w:rPr>
                <w:sz w:val="20"/>
                <w:szCs w:val="20"/>
                <w:color w:val="auto"/>
              </w:rPr>
            </w:pPr>
            <w:r>
              <w:rPr>
                <w:rFonts w:ascii="Arial" w:cs="Arial" w:eastAsia="Arial" w:hAnsi="Arial"/>
                <w:sz w:val="16"/>
                <w:szCs w:val="16"/>
                <w:color w:val="auto"/>
              </w:rPr>
              <w:t>111</w:t>
            </w:r>
          </w:p>
        </w:tc>
        <w:tc>
          <w:tcPr>
            <w:tcW w:w="26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1,196</w:t>
            </w:r>
          </w:p>
        </w:tc>
        <w:tc>
          <w:tcPr>
            <w:tcW w:w="0" w:type="dxa"/>
            <w:vAlign w:val="bottom"/>
          </w:tcPr>
          <w:p>
            <w:pPr>
              <w:spacing w:after="0"/>
              <w:rPr>
                <w:sz w:val="1"/>
                <w:szCs w:val="1"/>
                <w:color w:val="auto"/>
              </w:rPr>
            </w:pPr>
          </w:p>
        </w:tc>
      </w:tr>
      <w:tr>
        <w:trPr>
          <w:trHeight w:val="20"/>
        </w:trPr>
        <w:tc>
          <w:tcPr>
            <w:tcW w:w="39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-478790</wp:posOffset>
            </wp:positionV>
            <wp:extent cx="6410325" cy="48577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28">
                      <a:extLst>
                        <a:ext uri="{28A0092B-C50C-407E-A947-70E740481C1C}"/>
                      </a:extLst>
                    </a:blip>
                    <a:srcRect/>
                    <a:stretch>
                      <a:fillRect/>
                    </a:stretch>
                  </pic:blipFill>
                  <pic:spPr bwMode="auto">
                    <a:xfrm>
                      <a:off x="0" y="0"/>
                      <a:ext cx="6410325" cy="485775"/>
                    </a:xfrm>
                    <a:prstGeom prst="rect">
                      <a:avLst/>
                    </a:prstGeom>
                    <a:noFill/>
                  </pic:spPr>
                </pic:pic>
              </a:graphicData>
            </a:graphic>
          </wp:anchor>
        </w:drawing>
      </w:r>
    </w:p>
    <w:p>
      <w:pPr>
        <w:spacing w:after="0" w:line="144" w:lineRule="exact"/>
        <w:rPr>
          <w:sz w:val="20"/>
          <w:szCs w:val="20"/>
          <w:color w:val="auto"/>
        </w:rPr>
      </w:pPr>
    </w:p>
    <w:tbl>
      <w:tblPr>
        <w:tblLayout w:type="fixed"/>
        <w:tblInd w:w="47" w:type="dxa"/>
        <w:tblCellMar>
          <w:top w:w="0" w:type="dxa"/>
          <w:left w:w="0" w:type="dxa"/>
          <w:bottom w:w="0" w:type="dxa"/>
          <w:right w:w="0" w:type="dxa"/>
        </w:tblCellMar>
      </w:tblPr>
      <w:tr>
        <w:trPr>
          <w:trHeight w:val="184"/>
        </w:trPr>
        <w:tc>
          <w:tcPr>
            <w:tcW w:w="3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jc w:val="right"/>
              <w:ind w:right="142"/>
              <w:spacing w:after="0"/>
              <w:rPr>
                <w:sz w:val="20"/>
                <w:szCs w:val="20"/>
                <w:color w:val="auto"/>
              </w:rPr>
            </w:pPr>
            <w:r>
              <w:rPr>
                <w:rFonts w:ascii="Arial" w:cs="Arial" w:eastAsia="Arial" w:hAnsi="Arial"/>
                <w:sz w:val="16"/>
                <w:szCs w:val="16"/>
                <w:b w:val="1"/>
                <w:bCs w:val="1"/>
                <w:color w:val="auto"/>
                <w:w w:val="95"/>
              </w:rPr>
              <w:t>Indexed</w:t>
            </w:r>
          </w:p>
        </w:tc>
        <w:tc>
          <w:tcPr>
            <w:tcW w:w="60" w:type="dxa"/>
            <w:vAlign w:val="bottom"/>
          </w:tcPr>
          <w:p>
            <w:pPr>
              <w:spacing w:after="0"/>
              <w:rPr>
                <w:sz w:val="16"/>
                <w:szCs w:val="16"/>
                <w:color w:val="auto"/>
              </w:rPr>
            </w:pPr>
          </w:p>
        </w:tc>
        <w:tc>
          <w:tcPr>
            <w:tcW w:w="960" w:type="dxa"/>
            <w:vAlign w:val="bottom"/>
            <w:gridSpan w:val="2"/>
          </w:tcPr>
          <w:p>
            <w:pPr>
              <w:jc w:val="right"/>
              <w:ind w:right="42"/>
              <w:spacing w:after="0"/>
              <w:rPr>
                <w:sz w:val="20"/>
                <w:szCs w:val="20"/>
                <w:color w:val="auto"/>
              </w:rPr>
            </w:pPr>
            <w:r>
              <w:rPr>
                <w:rFonts w:ascii="Arial" w:cs="Arial" w:eastAsia="Arial" w:hAnsi="Arial"/>
                <w:sz w:val="16"/>
                <w:szCs w:val="16"/>
                <w:b w:val="1"/>
                <w:bCs w:val="1"/>
                <w:color w:val="auto"/>
              </w:rPr>
              <w:t>Fixed Rate</w:t>
            </w:r>
          </w:p>
        </w:tc>
        <w:tc>
          <w:tcPr>
            <w:tcW w:w="40" w:type="dxa"/>
            <w:vAlign w:val="bottom"/>
          </w:tcPr>
          <w:p>
            <w:pPr>
              <w:spacing w:after="0"/>
              <w:rPr>
                <w:sz w:val="16"/>
                <w:szCs w:val="16"/>
                <w:color w:val="auto"/>
              </w:rPr>
            </w:pPr>
          </w:p>
        </w:tc>
        <w:tc>
          <w:tcPr>
            <w:tcW w:w="960" w:type="dxa"/>
            <w:vAlign w:val="bottom"/>
            <w:gridSpan w:val="2"/>
          </w:tcPr>
          <w:p>
            <w:pPr>
              <w:jc w:val="right"/>
              <w:ind w:right="42"/>
              <w:spacing w:after="0"/>
              <w:rPr>
                <w:sz w:val="20"/>
                <w:szCs w:val="20"/>
                <w:color w:val="auto"/>
              </w:rPr>
            </w:pPr>
            <w:r>
              <w:rPr>
                <w:rFonts w:ascii="Arial" w:cs="Arial" w:eastAsia="Arial" w:hAnsi="Arial"/>
                <w:sz w:val="16"/>
                <w:szCs w:val="16"/>
                <w:b w:val="1"/>
                <w:bCs w:val="1"/>
                <w:color w:val="auto"/>
              </w:rPr>
              <w:t>Immediate</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jc w:val="right"/>
              <w:ind w:right="82"/>
              <w:spacing w:after="0"/>
              <w:rPr>
                <w:sz w:val="20"/>
                <w:szCs w:val="20"/>
                <w:color w:val="auto"/>
              </w:rPr>
            </w:pPr>
            <w:r>
              <w:rPr>
                <w:rFonts w:ascii="Arial" w:cs="Arial" w:eastAsia="Arial" w:hAnsi="Arial"/>
                <w:sz w:val="16"/>
                <w:szCs w:val="16"/>
                <w:b w:val="1"/>
                <w:bCs w:val="1"/>
                <w:color w:val="auto"/>
                <w:w w:val="88"/>
              </w:rPr>
              <w:t>Universal</w:t>
            </w:r>
          </w:p>
        </w:tc>
        <w:tc>
          <w:tcPr>
            <w:tcW w:w="60" w:type="dxa"/>
            <w:vAlign w:val="bottom"/>
          </w:tcPr>
          <w:p>
            <w:pPr>
              <w:spacing w:after="0"/>
              <w:rPr>
                <w:sz w:val="16"/>
                <w:szCs w:val="16"/>
                <w:color w:val="auto"/>
              </w:rPr>
            </w:pPr>
          </w:p>
        </w:tc>
        <w:tc>
          <w:tcPr>
            <w:tcW w:w="960" w:type="dxa"/>
            <w:vAlign w:val="bottom"/>
            <w:gridSpan w:val="2"/>
          </w:tcPr>
          <w:p>
            <w:pPr>
              <w:jc w:val="right"/>
              <w:ind w:right="22"/>
              <w:spacing w:after="0"/>
              <w:rPr>
                <w:sz w:val="20"/>
                <w:szCs w:val="20"/>
                <w:color w:val="auto"/>
              </w:rPr>
            </w:pPr>
            <w:r>
              <w:rPr>
                <w:rFonts w:ascii="Arial" w:cs="Arial" w:eastAsia="Arial" w:hAnsi="Arial"/>
                <w:sz w:val="16"/>
                <w:szCs w:val="16"/>
                <w:b w:val="1"/>
                <w:bCs w:val="1"/>
                <w:color w:val="auto"/>
              </w:rPr>
              <w:t>Traditional</w:t>
            </w: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vMerge w:val="restart"/>
          </w:tcPr>
          <w:p>
            <w:pPr>
              <w:jc w:val="right"/>
              <w:ind w:right="222"/>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0"/>
        </w:trPr>
        <w:tc>
          <w:tcPr>
            <w:tcW w:w="39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82"/>
              <w:spacing w:after="0"/>
              <w:rPr>
                <w:sz w:val="20"/>
                <w:szCs w:val="20"/>
                <w:color w:val="auto"/>
              </w:rPr>
            </w:pPr>
            <w:r>
              <w:rPr>
                <w:rFonts w:ascii="Arial" w:cs="Arial" w:eastAsia="Arial" w:hAnsi="Arial"/>
                <w:sz w:val="16"/>
                <w:szCs w:val="16"/>
                <w:b w:val="1"/>
                <w:bCs w:val="1"/>
                <w:color w:val="auto"/>
                <w:w w:val="87"/>
              </w:rPr>
              <w:t>Annuities</w:t>
            </w:r>
          </w:p>
        </w:tc>
        <w:tc>
          <w:tcPr>
            <w:tcW w:w="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82"/>
              <w:spacing w:after="0"/>
              <w:rPr>
                <w:sz w:val="20"/>
                <w:szCs w:val="20"/>
                <w:color w:val="auto"/>
              </w:rPr>
            </w:pPr>
            <w:r>
              <w:rPr>
                <w:rFonts w:ascii="Arial" w:cs="Arial" w:eastAsia="Arial" w:hAnsi="Arial"/>
                <w:sz w:val="16"/>
                <w:szCs w:val="16"/>
                <w:b w:val="1"/>
                <w:bCs w:val="1"/>
                <w:color w:val="auto"/>
                <w:w w:val="87"/>
              </w:rPr>
              <w:t>Annuities</w:t>
            </w:r>
          </w:p>
        </w:tc>
        <w:tc>
          <w:tcPr>
            <w:tcW w:w="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82"/>
              <w:spacing w:after="0"/>
              <w:rPr>
                <w:sz w:val="20"/>
                <w:szCs w:val="20"/>
                <w:color w:val="auto"/>
              </w:rPr>
            </w:pPr>
            <w:r>
              <w:rPr>
                <w:rFonts w:ascii="Arial" w:cs="Arial" w:eastAsia="Arial" w:hAnsi="Arial"/>
                <w:sz w:val="16"/>
                <w:szCs w:val="16"/>
                <w:b w:val="1"/>
                <w:bCs w:val="1"/>
                <w:color w:val="auto"/>
                <w:w w:val="84"/>
              </w:rPr>
              <w:t>Annuities</w:t>
            </w:r>
          </w:p>
        </w:tc>
        <w:tc>
          <w:tcPr>
            <w:tcW w:w="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62"/>
              <w:spacing w:after="0"/>
              <w:rPr>
                <w:sz w:val="20"/>
                <w:szCs w:val="20"/>
                <w:color w:val="auto"/>
              </w:rPr>
            </w:pPr>
            <w:r>
              <w:rPr>
                <w:rFonts w:ascii="Arial" w:cs="Arial" w:eastAsia="Arial" w:hAnsi="Arial"/>
                <w:sz w:val="16"/>
                <w:szCs w:val="16"/>
                <w:b w:val="1"/>
                <w:bCs w:val="1"/>
                <w:color w:val="auto"/>
              </w:rPr>
              <w:t>Life</w:t>
            </w:r>
          </w:p>
        </w:tc>
        <w:tc>
          <w:tcPr>
            <w:tcW w:w="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262"/>
              <w:spacing w:after="0"/>
              <w:rPr>
                <w:sz w:val="20"/>
                <w:szCs w:val="20"/>
                <w:color w:val="auto"/>
              </w:rPr>
            </w:pPr>
            <w:r>
              <w:rPr>
                <w:rFonts w:ascii="Arial" w:cs="Arial" w:eastAsia="Arial" w:hAnsi="Arial"/>
                <w:sz w:val="16"/>
                <w:szCs w:val="16"/>
                <w:b w:val="1"/>
                <w:bCs w:val="1"/>
                <w:color w:val="auto"/>
              </w:rPr>
              <w:t>Life</w:t>
            </w:r>
          </w:p>
        </w:tc>
        <w:tc>
          <w:tcPr>
            <w:tcW w:w="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20" w:type="dxa"/>
            <w:vAlign w:val="bottom"/>
            <w:gridSpan w:val="4"/>
          </w:tcPr>
          <w:p>
            <w:pPr>
              <w:jc w:val="right"/>
              <w:ind w:right="482"/>
              <w:spacing w:after="0"/>
              <w:rPr>
                <w:sz w:val="20"/>
                <w:szCs w:val="20"/>
                <w:color w:val="auto"/>
              </w:rPr>
            </w:pPr>
            <w:r>
              <w:rPr>
                <w:rFonts w:ascii="Arial" w:cs="Arial" w:eastAsia="Arial" w:hAnsi="Arial"/>
                <w:sz w:val="16"/>
                <w:szCs w:val="16"/>
                <w:b w:val="1"/>
                <w:bCs w:val="1"/>
                <w:color w:val="auto"/>
              </w:rPr>
              <w:t>(In millions)</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3980" w:type="dxa"/>
            <w:vAlign w:val="bottom"/>
          </w:tcPr>
          <w:p>
            <w:pPr>
              <w:spacing w:after="0"/>
              <w:rPr>
                <w:sz w:val="20"/>
                <w:szCs w:val="20"/>
                <w:color w:val="auto"/>
              </w:rPr>
            </w:pPr>
            <w:r>
              <w:rPr>
                <w:rFonts w:ascii="Arial" w:cs="Arial" w:eastAsia="Arial" w:hAnsi="Arial"/>
                <w:sz w:val="16"/>
                <w:szCs w:val="16"/>
                <w:b w:val="1"/>
                <w:bCs w:val="1"/>
                <w:color w:val="auto"/>
              </w:rPr>
              <w:t>Balance at January 1, 2024</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2"/>
              <w:spacing w:after="0"/>
              <w:rPr>
                <w:sz w:val="20"/>
                <w:szCs w:val="20"/>
                <w:color w:val="auto"/>
              </w:rPr>
            </w:pPr>
            <w:r>
              <w:rPr>
                <w:rFonts w:ascii="Arial" w:cs="Arial" w:eastAsia="Arial" w:hAnsi="Arial"/>
                <w:sz w:val="16"/>
                <w:szCs w:val="16"/>
                <w:color w:val="auto"/>
              </w:rPr>
              <w:t>1,025</w:t>
            </w: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2"/>
              <w:spacing w:after="0"/>
              <w:rPr>
                <w:sz w:val="20"/>
                <w:szCs w:val="20"/>
                <w:color w:val="auto"/>
              </w:rPr>
            </w:pPr>
            <w:r>
              <w:rPr>
                <w:rFonts w:ascii="Arial" w:cs="Arial" w:eastAsia="Arial" w:hAnsi="Arial"/>
                <w:sz w:val="16"/>
                <w:szCs w:val="16"/>
                <w:color w:val="auto"/>
              </w:rPr>
              <w:t>27</w:t>
            </w: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191</w:t>
            </w: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134</w:t>
            </w:r>
          </w:p>
        </w:tc>
        <w:tc>
          <w:tcPr>
            <w:tcW w:w="300" w:type="dxa"/>
            <w:vAlign w:val="bottom"/>
            <w:gridSpan w:val="2"/>
          </w:tcPr>
          <w:p>
            <w:pPr>
              <w:jc w:val="right"/>
              <w:ind w:right="42"/>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2"/>
              <w:spacing w:after="0"/>
              <w:rPr>
                <w:sz w:val="20"/>
                <w:szCs w:val="20"/>
                <w:color w:val="auto"/>
              </w:rPr>
            </w:pPr>
            <w:r>
              <w:rPr>
                <w:rFonts w:ascii="Arial" w:cs="Arial" w:eastAsia="Arial" w:hAnsi="Arial"/>
                <w:sz w:val="16"/>
                <w:szCs w:val="16"/>
                <w:color w:val="auto"/>
              </w:rPr>
              <w:t>69</w:t>
            </w:r>
          </w:p>
        </w:tc>
        <w:tc>
          <w:tcPr>
            <w:tcW w:w="26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1,446</w:t>
            </w:r>
          </w:p>
        </w:tc>
        <w:tc>
          <w:tcPr>
            <w:tcW w:w="0" w:type="dxa"/>
            <w:vAlign w:val="bottom"/>
          </w:tcPr>
          <w:p>
            <w:pPr>
              <w:spacing w:after="0"/>
              <w:rPr>
                <w:sz w:val="1"/>
                <w:szCs w:val="1"/>
                <w:color w:val="auto"/>
              </w:rPr>
            </w:pPr>
          </w:p>
        </w:tc>
      </w:tr>
      <w:tr>
        <w:trPr>
          <w:trHeight w:val="235"/>
        </w:trPr>
        <w:tc>
          <w:tcPr>
            <w:tcW w:w="3980" w:type="dxa"/>
            <w:vAlign w:val="bottom"/>
          </w:tcPr>
          <w:p>
            <w:pPr>
              <w:ind w:left="180"/>
              <w:spacing w:after="0"/>
              <w:rPr>
                <w:sz w:val="20"/>
                <w:szCs w:val="20"/>
                <w:color w:val="auto"/>
              </w:rPr>
            </w:pPr>
            <w:r>
              <w:rPr>
                <w:rFonts w:ascii="Arial" w:cs="Arial" w:eastAsia="Arial" w:hAnsi="Arial"/>
                <w:sz w:val="16"/>
                <w:szCs w:val="16"/>
                <w:color w:val="auto"/>
              </w:rPr>
              <w:t>Amortization</w:t>
            </w: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(133)</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(5)</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(7)</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(8)</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(7)</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(160)</w:t>
            </w:r>
          </w:p>
        </w:tc>
        <w:tc>
          <w:tcPr>
            <w:tcW w:w="0" w:type="dxa"/>
            <w:vAlign w:val="bottom"/>
          </w:tcPr>
          <w:p>
            <w:pPr>
              <w:spacing w:after="0"/>
              <w:rPr>
                <w:sz w:val="1"/>
                <w:szCs w:val="1"/>
                <w:color w:val="auto"/>
              </w:rPr>
            </w:pPr>
          </w:p>
        </w:tc>
      </w:tr>
      <w:tr>
        <w:trPr>
          <w:trHeight w:val="232"/>
        </w:trPr>
        <w:tc>
          <w:tcPr>
            <w:tcW w:w="3980" w:type="dxa"/>
            <w:vAlign w:val="bottom"/>
          </w:tcPr>
          <w:p>
            <w:pPr>
              <w:ind w:left="180"/>
              <w:spacing w:after="0"/>
              <w:rPr>
                <w:sz w:val="20"/>
                <w:szCs w:val="20"/>
                <w:color w:val="auto"/>
              </w:rPr>
            </w:pPr>
            <w:r>
              <w:rPr>
                <w:rFonts w:ascii="Arial" w:cs="Arial" w:eastAsia="Arial" w:hAnsi="Arial"/>
                <w:sz w:val="16"/>
                <w:szCs w:val="16"/>
                <w:color w:val="auto"/>
              </w:rPr>
              <w:t>Actuarial model updates and refinements (a)</w:t>
            </w:r>
          </w:p>
        </w:tc>
        <w:tc>
          <w:tcPr>
            <w:tcW w:w="1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63</w:t>
            </w:r>
          </w:p>
        </w:tc>
        <w:tc>
          <w:tcPr>
            <w:tcW w:w="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w:t>
            </w:r>
          </w:p>
        </w:tc>
        <w:tc>
          <w:tcPr>
            <w:tcW w:w="0" w:type="dxa"/>
            <w:vAlign w:val="bottom"/>
          </w:tcPr>
          <w:p>
            <w:pPr>
              <w:spacing w:after="0"/>
              <w:rPr>
                <w:sz w:val="1"/>
                <w:szCs w:val="1"/>
                <w:color w:val="auto"/>
              </w:rPr>
            </w:pPr>
          </w:p>
        </w:tc>
      </w:tr>
      <w:tr>
        <w:trPr>
          <w:trHeight w:val="196"/>
        </w:trPr>
        <w:tc>
          <w:tcPr>
            <w:tcW w:w="3980" w:type="dxa"/>
            <w:vAlign w:val="bottom"/>
          </w:tcPr>
          <w:p>
            <w:pPr>
              <w:spacing w:after="0"/>
              <w:rPr>
                <w:sz w:val="20"/>
                <w:szCs w:val="20"/>
                <w:color w:val="auto"/>
              </w:rPr>
            </w:pPr>
            <w:r>
              <w:rPr>
                <w:rFonts w:ascii="Arial" w:cs="Arial" w:eastAsia="Arial" w:hAnsi="Arial"/>
                <w:sz w:val="16"/>
                <w:szCs w:val="16"/>
                <w:b w:val="1"/>
                <w:bCs w:val="1"/>
                <w:color w:val="auto"/>
              </w:rPr>
              <w:t>Balance at December 31, 2024</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2"/>
              <w:spacing w:after="0"/>
              <w:rPr>
                <w:sz w:val="20"/>
                <w:szCs w:val="20"/>
                <w:color w:val="auto"/>
              </w:rPr>
            </w:pPr>
            <w:r>
              <w:rPr>
                <w:rFonts w:ascii="Arial" w:cs="Arial" w:eastAsia="Arial" w:hAnsi="Arial"/>
                <w:sz w:val="16"/>
                <w:szCs w:val="16"/>
                <w:color w:val="auto"/>
              </w:rPr>
              <w:t>892</w:t>
            </w: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2"/>
              <w:spacing w:after="0"/>
              <w:rPr>
                <w:sz w:val="20"/>
                <w:szCs w:val="20"/>
                <w:color w:val="auto"/>
              </w:rPr>
            </w:pPr>
            <w:r>
              <w:rPr>
                <w:rFonts w:ascii="Arial" w:cs="Arial" w:eastAsia="Arial" w:hAnsi="Arial"/>
                <w:sz w:val="16"/>
                <w:szCs w:val="16"/>
                <w:color w:val="auto"/>
              </w:rPr>
              <w:t>22</w:t>
            </w: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184</w:t>
            </w: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126</w:t>
            </w:r>
          </w:p>
        </w:tc>
        <w:tc>
          <w:tcPr>
            <w:tcW w:w="300" w:type="dxa"/>
            <w:vAlign w:val="bottom"/>
            <w:gridSpan w:val="2"/>
          </w:tcPr>
          <w:p>
            <w:pPr>
              <w:jc w:val="right"/>
              <w:ind w:right="42"/>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2"/>
              <w:spacing w:after="0"/>
              <w:rPr>
                <w:sz w:val="20"/>
                <w:szCs w:val="20"/>
                <w:color w:val="auto"/>
              </w:rPr>
            </w:pPr>
            <w:r>
              <w:rPr>
                <w:rFonts w:ascii="Arial" w:cs="Arial" w:eastAsia="Arial" w:hAnsi="Arial"/>
                <w:sz w:val="16"/>
                <w:szCs w:val="16"/>
                <w:color w:val="auto"/>
              </w:rPr>
              <w:t>125</w:t>
            </w:r>
          </w:p>
        </w:tc>
        <w:tc>
          <w:tcPr>
            <w:tcW w:w="26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1,349</w:t>
            </w:r>
          </w:p>
        </w:tc>
        <w:tc>
          <w:tcPr>
            <w:tcW w:w="0" w:type="dxa"/>
            <w:vAlign w:val="bottom"/>
          </w:tcPr>
          <w:p>
            <w:pPr>
              <w:spacing w:after="0"/>
              <w:rPr>
                <w:sz w:val="1"/>
                <w:szCs w:val="1"/>
                <w:color w:val="auto"/>
              </w:rPr>
            </w:pPr>
          </w:p>
        </w:tc>
      </w:tr>
      <w:tr>
        <w:trPr>
          <w:trHeight w:val="20"/>
        </w:trPr>
        <w:tc>
          <w:tcPr>
            <w:tcW w:w="39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-628015</wp:posOffset>
            </wp:positionV>
            <wp:extent cx="6410325" cy="6350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29">
                      <a:extLst>
                        <a:ext uri="{28A0092B-C50C-407E-A947-70E740481C1C}"/>
                      </a:extLst>
                    </a:blip>
                    <a:srcRect/>
                    <a:stretch>
                      <a:fillRect/>
                    </a:stretch>
                  </pic:blipFill>
                  <pic:spPr bwMode="auto">
                    <a:xfrm>
                      <a:off x="0" y="0"/>
                      <a:ext cx="6410325" cy="635000"/>
                    </a:xfrm>
                    <a:prstGeom prst="rect">
                      <a:avLst/>
                    </a:prstGeom>
                    <a:noFill/>
                  </pic:spPr>
                </pic:pic>
              </a:graphicData>
            </a:graphic>
          </wp:anchor>
        </w:drawing>
      </w:r>
    </w:p>
    <w:p>
      <w:pPr>
        <w:spacing w:after="0" w:line="176" w:lineRule="exact"/>
        <w:rPr>
          <w:sz w:val="20"/>
          <w:szCs w:val="20"/>
          <w:color w:val="auto"/>
        </w:rPr>
      </w:pPr>
    </w:p>
    <w:p>
      <w:pPr>
        <w:ind w:left="347" w:hanging="347"/>
        <w:spacing w:after="0"/>
        <w:tabs>
          <w:tab w:leader="none" w:pos="347" w:val="left"/>
        </w:tabs>
        <w:numPr>
          <w:ilvl w:val="0"/>
          <w:numId w:val="57"/>
        </w:numPr>
        <w:rPr>
          <w:rFonts w:ascii="Arial" w:cs="Arial" w:eastAsia="Arial" w:hAnsi="Arial"/>
          <w:sz w:val="16"/>
          <w:szCs w:val="16"/>
          <w:color w:val="auto"/>
        </w:rPr>
      </w:pPr>
      <w:r>
        <w:rPr>
          <w:rFonts w:ascii="Arial" w:cs="Arial" w:eastAsia="Arial" w:hAnsi="Arial"/>
          <w:sz w:val="16"/>
          <w:szCs w:val="16"/>
          <w:color w:val="auto"/>
        </w:rPr>
        <w:t>net of amortization of ($15 million).</w:t>
      </w:r>
    </w:p>
    <w:p>
      <w:pPr>
        <w:spacing w:after="0" w:line="60" w:lineRule="exact"/>
        <w:rPr>
          <w:sz w:val="20"/>
          <w:szCs w:val="20"/>
          <w:color w:val="auto"/>
        </w:rPr>
      </w:pPr>
    </w:p>
    <w:p>
      <w:pPr>
        <w:jc w:val="both"/>
        <w:ind w:left="7" w:firstLine="353"/>
        <w:spacing w:after="0" w:line="360" w:lineRule="auto"/>
        <w:rPr>
          <w:sz w:val="20"/>
          <w:szCs w:val="20"/>
          <w:color w:val="auto"/>
        </w:rPr>
      </w:pPr>
      <w:r>
        <w:rPr>
          <w:rFonts w:ascii="Arial" w:cs="Arial" w:eastAsia="Arial" w:hAnsi="Arial"/>
          <w:sz w:val="17"/>
          <w:szCs w:val="17"/>
          <w:color w:val="auto"/>
        </w:rPr>
        <w:t>VOBA amortization expense of $153 million, $175 million, and $169 million, was recorded in Depreciation and amortization on the Consolidated Statements of Earnings for the years ended December 31, 2025, 2024, and 2023, respectively.</w:t>
      </w:r>
    </w:p>
    <w:p>
      <w:pPr>
        <w:spacing w:after="0" w:line="2" w:lineRule="exact"/>
        <w:rPr>
          <w:sz w:val="20"/>
          <w:szCs w:val="20"/>
          <w:color w:val="auto"/>
        </w:rPr>
      </w:pPr>
    </w:p>
    <w:p>
      <w:pPr>
        <w:ind w:left="347"/>
        <w:spacing w:after="0"/>
        <w:rPr>
          <w:sz w:val="20"/>
          <w:szCs w:val="20"/>
          <w:color w:val="auto"/>
        </w:rPr>
      </w:pPr>
      <w:r>
        <w:rPr>
          <w:rFonts w:ascii="Arial" w:cs="Arial" w:eastAsia="Arial" w:hAnsi="Arial"/>
          <w:sz w:val="20"/>
          <w:szCs w:val="20"/>
          <w:color w:val="auto"/>
        </w:rPr>
        <w:t>The following tables roll forward DAC by product for the years ended December 31, 2025 and 2024:</w:t>
      </w:r>
    </w:p>
    <w:p>
      <w:pPr>
        <w:spacing w:after="0" w:line="162" w:lineRule="exact"/>
        <w:rPr>
          <w:sz w:val="20"/>
          <w:szCs w:val="20"/>
          <w:color w:val="auto"/>
        </w:rPr>
      </w:pPr>
    </w:p>
    <w:tbl>
      <w:tblPr>
        <w:tblLayout w:type="fixed"/>
        <w:tblInd w:w="47" w:type="dxa"/>
        <w:tblCellMar>
          <w:top w:w="0" w:type="dxa"/>
          <w:left w:w="0" w:type="dxa"/>
          <w:bottom w:w="0" w:type="dxa"/>
          <w:right w:w="0" w:type="dxa"/>
        </w:tblCellMar>
      </w:tblPr>
      <w:tr>
        <w:trPr>
          <w:trHeight w:val="184"/>
        </w:trPr>
        <w:tc>
          <w:tcPr>
            <w:tcW w:w="5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jc w:val="right"/>
              <w:ind w:right="222"/>
              <w:spacing w:after="0"/>
              <w:rPr>
                <w:sz w:val="20"/>
                <w:szCs w:val="20"/>
                <w:color w:val="auto"/>
              </w:rPr>
            </w:pPr>
            <w:r>
              <w:rPr>
                <w:rFonts w:ascii="Arial" w:cs="Arial" w:eastAsia="Arial" w:hAnsi="Arial"/>
                <w:sz w:val="16"/>
                <w:szCs w:val="16"/>
                <w:b w:val="1"/>
                <w:bCs w:val="1"/>
                <w:color w:val="auto"/>
              </w:rPr>
              <w:t>Indexed</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jc w:val="right"/>
              <w:ind w:right="122"/>
              <w:spacing w:after="0"/>
              <w:rPr>
                <w:sz w:val="20"/>
                <w:szCs w:val="20"/>
                <w:color w:val="auto"/>
              </w:rPr>
            </w:pPr>
            <w:r>
              <w:rPr>
                <w:rFonts w:ascii="Arial" w:cs="Arial" w:eastAsia="Arial" w:hAnsi="Arial"/>
                <w:sz w:val="16"/>
                <w:szCs w:val="16"/>
                <w:b w:val="1"/>
                <w:bCs w:val="1"/>
                <w:color w:val="auto"/>
                <w:w w:val="93"/>
              </w:rPr>
              <w:t>Fixed Rate</w:t>
            </w:r>
          </w:p>
        </w:tc>
        <w:tc>
          <w:tcPr>
            <w:tcW w:w="60" w:type="dxa"/>
            <w:vAlign w:val="bottom"/>
          </w:tcPr>
          <w:p>
            <w:pPr>
              <w:spacing w:after="0"/>
              <w:rPr>
                <w:sz w:val="16"/>
                <w:szCs w:val="16"/>
                <w:color w:val="auto"/>
              </w:rPr>
            </w:pPr>
          </w:p>
        </w:tc>
        <w:tc>
          <w:tcPr>
            <w:tcW w:w="1160" w:type="dxa"/>
            <w:vAlign w:val="bottom"/>
            <w:gridSpan w:val="2"/>
            <w:vMerge w:val="restart"/>
          </w:tcPr>
          <w:p>
            <w:pPr>
              <w:jc w:val="right"/>
              <w:ind w:right="22"/>
              <w:spacing w:after="0"/>
              <w:rPr>
                <w:sz w:val="20"/>
                <w:szCs w:val="20"/>
                <w:color w:val="auto"/>
              </w:rPr>
            </w:pPr>
            <w:r>
              <w:rPr>
                <w:rFonts w:ascii="Arial" w:cs="Arial" w:eastAsia="Arial" w:hAnsi="Arial"/>
                <w:sz w:val="16"/>
                <w:szCs w:val="16"/>
                <w:b w:val="1"/>
                <w:bCs w:val="1"/>
                <w:color w:val="auto"/>
                <w:w w:val="99"/>
              </w:rPr>
              <w:t>Universal Life</w:t>
            </w: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vMerge w:val="restart"/>
          </w:tcPr>
          <w:p>
            <w:pPr>
              <w:jc w:val="right"/>
              <w:ind w:right="202"/>
              <w:spacing w:after="0"/>
              <w:rPr>
                <w:sz w:val="20"/>
                <w:szCs w:val="20"/>
                <w:color w:val="auto"/>
              </w:rPr>
            </w:pPr>
            <w:r>
              <w:rPr>
                <w:rFonts w:ascii="Arial" w:cs="Arial" w:eastAsia="Arial" w:hAnsi="Arial"/>
                <w:sz w:val="16"/>
                <w:szCs w:val="16"/>
                <w:b w:val="1"/>
                <w:bCs w:val="1"/>
                <w:color w:val="auto"/>
              </w:rPr>
              <w:t>Total (a)</w:t>
            </w:r>
          </w:p>
        </w:tc>
        <w:tc>
          <w:tcPr>
            <w:tcW w:w="0" w:type="dxa"/>
            <w:vAlign w:val="bottom"/>
          </w:tcPr>
          <w:p>
            <w:pPr>
              <w:spacing w:after="0"/>
              <w:rPr>
                <w:sz w:val="1"/>
                <w:szCs w:val="1"/>
                <w:color w:val="auto"/>
              </w:rPr>
            </w:pPr>
          </w:p>
        </w:tc>
      </w:tr>
      <w:tr>
        <w:trPr>
          <w:trHeight w:val="210"/>
        </w:trPr>
        <w:tc>
          <w:tcPr>
            <w:tcW w:w="51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82"/>
              <w:spacing w:after="0"/>
              <w:rPr>
                <w:sz w:val="20"/>
                <w:szCs w:val="20"/>
                <w:color w:val="auto"/>
              </w:rPr>
            </w:pPr>
            <w:r>
              <w:rPr>
                <w:rFonts w:ascii="Arial" w:cs="Arial" w:eastAsia="Arial" w:hAnsi="Arial"/>
                <w:sz w:val="16"/>
                <w:szCs w:val="16"/>
                <w:b w:val="1"/>
                <w:bCs w:val="1"/>
                <w:color w:val="auto"/>
                <w:w w:val="93"/>
              </w:rPr>
              <w:t>Annuities</w:t>
            </w:r>
          </w:p>
        </w:tc>
        <w:tc>
          <w:tcPr>
            <w:tcW w:w="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82"/>
              <w:spacing w:after="0"/>
              <w:rPr>
                <w:sz w:val="20"/>
                <w:szCs w:val="20"/>
                <w:color w:val="auto"/>
              </w:rPr>
            </w:pPr>
            <w:r>
              <w:rPr>
                <w:rFonts w:ascii="Arial" w:cs="Arial" w:eastAsia="Arial" w:hAnsi="Arial"/>
                <w:sz w:val="16"/>
                <w:szCs w:val="16"/>
                <w:b w:val="1"/>
                <w:bCs w:val="1"/>
                <w:color w:val="auto"/>
                <w:w w:val="95"/>
              </w:rPr>
              <w:t>Annuities</w:t>
            </w:r>
          </w:p>
        </w:tc>
        <w:tc>
          <w:tcPr>
            <w:tcW w:w="60" w:type="dxa"/>
            <w:vAlign w:val="bottom"/>
          </w:tcPr>
          <w:p>
            <w:pPr>
              <w:spacing w:after="0"/>
              <w:rPr>
                <w:sz w:val="18"/>
                <w:szCs w:val="18"/>
                <w:color w:val="auto"/>
              </w:rPr>
            </w:pPr>
          </w:p>
        </w:tc>
        <w:tc>
          <w:tcPr>
            <w:tcW w:w="1160" w:type="dxa"/>
            <w:vAlign w:val="bottom"/>
            <w:tcBorders>
              <w:bottom w:val="single" w:sz="8" w:color="auto"/>
            </w:tcBorders>
            <w:gridSpan w:val="2"/>
            <w:vMerge w:val="continue"/>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gridSpan w:val="3"/>
          </w:tcPr>
          <w:p>
            <w:pPr>
              <w:jc w:val="right"/>
              <w:ind w:right="102"/>
              <w:spacing w:after="0"/>
              <w:rPr>
                <w:sz w:val="20"/>
                <w:szCs w:val="20"/>
                <w:color w:val="auto"/>
              </w:rPr>
            </w:pPr>
            <w:r>
              <w:rPr>
                <w:rFonts w:ascii="Arial" w:cs="Arial" w:eastAsia="Arial" w:hAnsi="Arial"/>
                <w:sz w:val="16"/>
                <w:szCs w:val="16"/>
                <w:b w:val="1"/>
                <w:bCs w:val="1"/>
                <w:color w:val="auto"/>
              </w:rPr>
              <w:t>(In millions)</w:t>
            </w: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5180" w:type="dxa"/>
            <w:vAlign w:val="bottom"/>
          </w:tcPr>
          <w:p>
            <w:pPr>
              <w:spacing w:after="0"/>
              <w:rPr>
                <w:sz w:val="20"/>
                <w:szCs w:val="20"/>
                <w:color w:val="auto"/>
              </w:rPr>
            </w:pPr>
            <w:r>
              <w:rPr>
                <w:rFonts w:ascii="Arial" w:cs="Arial" w:eastAsia="Arial" w:hAnsi="Arial"/>
                <w:sz w:val="16"/>
                <w:szCs w:val="16"/>
                <w:b w:val="1"/>
                <w:bCs w:val="1"/>
                <w:color w:val="auto"/>
              </w:rPr>
              <w:t>Balance at January 1, 2025</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1,874</w:t>
            </w:r>
          </w:p>
        </w:tc>
        <w:tc>
          <w:tcPr>
            <w:tcW w:w="24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376</w:t>
            </w:r>
          </w:p>
        </w:tc>
        <w:tc>
          <w:tcPr>
            <w:tcW w:w="640" w:type="dxa"/>
            <w:vAlign w:val="bottom"/>
            <w:gridSpan w:val="2"/>
          </w:tcPr>
          <w:p>
            <w:pPr>
              <w:jc w:val="right"/>
              <w:ind w:right="362"/>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781</w:t>
            </w:r>
          </w:p>
        </w:tc>
        <w:tc>
          <w:tcPr>
            <w:tcW w:w="28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3,031</w:t>
            </w:r>
          </w:p>
        </w:tc>
        <w:tc>
          <w:tcPr>
            <w:tcW w:w="0" w:type="dxa"/>
            <w:vAlign w:val="bottom"/>
          </w:tcPr>
          <w:p>
            <w:pPr>
              <w:spacing w:after="0"/>
              <w:rPr>
                <w:sz w:val="1"/>
                <w:szCs w:val="1"/>
                <w:color w:val="auto"/>
              </w:rPr>
            </w:pPr>
          </w:p>
        </w:tc>
      </w:tr>
      <w:tr>
        <w:trPr>
          <w:trHeight w:val="235"/>
        </w:trPr>
        <w:tc>
          <w:tcPr>
            <w:tcW w:w="5180" w:type="dxa"/>
            <w:vAlign w:val="bottom"/>
          </w:tcPr>
          <w:p>
            <w:pPr>
              <w:ind w:left="180"/>
              <w:spacing w:after="0"/>
              <w:rPr>
                <w:sz w:val="20"/>
                <w:szCs w:val="20"/>
                <w:color w:val="auto"/>
              </w:rPr>
            </w:pPr>
            <w:r>
              <w:rPr>
                <w:rFonts w:ascii="Arial" w:cs="Arial" w:eastAsia="Arial" w:hAnsi="Arial"/>
                <w:sz w:val="16"/>
                <w:szCs w:val="16"/>
                <w:color w:val="auto"/>
              </w:rPr>
              <w:t>Capitalization</w:t>
            </w:r>
          </w:p>
        </w:tc>
        <w:tc>
          <w:tcPr>
            <w:tcW w:w="2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530</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132</w:t>
            </w:r>
          </w:p>
        </w:tc>
        <w:tc>
          <w:tcPr>
            <w:tcW w:w="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292</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954</w:t>
            </w:r>
          </w:p>
        </w:tc>
        <w:tc>
          <w:tcPr>
            <w:tcW w:w="0" w:type="dxa"/>
            <w:vAlign w:val="bottom"/>
          </w:tcPr>
          <w:p>
            <w:pPr>
              <w:spacing w:after="0"/>
              <w:rPr>
                <w:sz w:val="1"/>
                <w:szCs w:val="1"/>
                <w:color w:val="auto"/>
              </w:rPr>
            </w:pPr>
          </w:p>
        </w:tc>
      </w:tr>
      <w:tr>
        <w:trPr>
          <w:trHeight w:val="232"/>
        </w:trPr>
        <w:tc>
          <w:tcPr>
            <w:tcW w:w="5180" w:type="dxa"/>
            <w:vAlign w:val="bottom"/>
          </w:tcPr>
          <w:p>
            <w:pPr>
              <w:ind w:left="180"/>
              <w:spacing w:after="0"/>
              <w:rPr>
                <w:sz w:val="20"/>
                <w:szCs w:val="20"/>
                <w:color w:val="auto"/>
              </w:rPr>
            </w:pPr>
            <w:r>
              <w:rPr>
                <w:rFonts w:ascii="Arial" w:cs="Arial" w:eastAsia="Arial" w:hAnsi="Arial"/>
                <w:sz w:val="16"/>
                <w:szCs w:val="16"/>
                <w:color w:val="auto"/>
              </w:rPr>
              <w:t>Amortization</w:t>
            </w:r>
          </w:p>
        </w:tc>
        <w:tc>
          <w:tcPr>
            <w:tcW w:w="2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(199)</w:t>
            </w:r>
          </w:p>
        </w:tc>
        <w:tc>
          <w:tcPr>
            <w:tcW w:w="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(106)</w:t>
            </w:r>
          </w:p>
        </w:tc>
        <w:tc>
          <w:tcPr>
            <w:tcW w:w="60" w:type="dxa"/>
            <w:vAlign w:val="bottom"/>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w:t>
            </w:r>
          </w:p>
        </w:tc>
        <w:tc>
          <w:tcPr>
            <w:tcW w:w="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(357)</w:t>
            </w:r>
          </w:p>
        </w:tc>
        <w:tc>
          <w:tcPr>
            <w:tcW w:w="0" w:type="dxa"/>
            <w:vAlign w:val="bottom"/>
          </w:tcPr>
          <w:p>
            <w:pPr>
              <w:spacing w:after="0"/>
              <w:rPr>
                <w:sz w:val="1"/>
                <w:szCs w:val="1"/>
                <w:color w:val="auto"/>
              </w:rPr>
            </w:pPr>
          </w:p>
        </w:tc>
      </w:tr>
      <w:tr>
        <w:trPr>
          <w:trHeight w:val="196"/>
        </w:trPr>
        <w:tc>
          <w:tcPr>
            <w:tcW w:w="5180" w:type="dxa"/>
            <w:vAlign w:val="bottom"/>
          </w:tcPr>
          <w:p>
            <w:pPr>
              <w:spacing w:after="0"/>
              <w:rPr>
                <w:sz w:val="20"/>
                <w:szCs w:val="20"/>
                <w:color w:val="auto"/>
              </w:rPr>
            </w:pPr>
            <w:r>
              <w:rPr>
                <w:rFonts w:ascii="Arial" w:cs="Arial" w:eastAsia="Arial" w:hAnsi="Arial"/>
                <w:sz w:val="16"/>
                <w:szCs w:val="16"/>
                <w:b w:val="1"/>
                <w:bCs w:val="1"/>
                <w:color w:val="auto"/>
              </w:rPr>
              <w:t>Balance at December 31, 2025</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2,205</w:t>
            </w:r>
          </w:p>
        </w:tc>
        <w:tc>
          <w:tcPr>
            <w:tcW w:w="24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402</w:t>
            </w:r>
          </w:p>
        </w:tc>
        <w:tc>
          <w:tcPr>
            <w:tcW w:w="640" w:type="dxa"/>
            <w:vAlign w:val="bottom"/>
            <w:gridSpan w:val="2"/>
          </w:tcPr>
          <w:p>
            <w:pPr>
              <w:jc w:val="right"/>
              <w:ind w:right="362"/>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1,021</w:t>
            </w:r>
          </w:p>
        </w:tc>
        <w:tc>
          <w:tcPr>
            <w:tcW w:w="28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3,628</w:t>
            </w:r>
          </w:p>
        </w:tc>
        <w:tc>
          <w:tcPr>
            <w:tcW w:w="0" w:type="dxa"/>
            <w:vAlign w:val="bottom"/>
          </w:tcPr>
          <w:p>
            <w:pPr>
              <w:spacing w:after="0"/>
              <w:rPr>
                <w:sz w:val="1"/>
                <w:szCs w:val="1"/>
                <w:color w:val="auto"/>
              </w:rPr>
            </w:pPr>
          </w:p>
        </w:tc>
      </w:tr>
      <w:tr>
        <w:trPr>
          <w:trHeight w:val="20"/>
        </w:trPr>
        <w:tc>
          <w:tcPr>
            <w:tcW w:w="5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-628015</wp:posOffset>
            </wp:positionV>
            <wp:extent cx="6410325" cy="77216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30">
                      <a:extLst>
                        <a:ext uri="{28A0092B-C50C-407E-A947-70E740481C1C}"/>
                      </a:extLst>
                    </a:blip>
                    <a:srcRect/>
                    <a:stretch>
                      <a:fillRect/>
                    </a:stretch>
                  </pic:blipFill>
                  <pic:spPr bwMode="auto">
                    <a:xfrm>
                      <a:off x="0" y="0"/>
                      <a:ext cx="6410325" cy="772160"/>
                    </a:xfrm>
                    <a:prstGeom prst="rect">
                      <a:avLst/>
                    </a:prstGeom>
                    <a:noFill/>
                  </pic:spPr>
                </pic:pic>
              </a:graphicData>
            </a:graphic>
          </wp:anchor>
        </w:drawing>
      </w:r>
    </w:p>
    <w:p>
      <w:pPr>
        <w:spacing w:after="0" w:line="193" w:lineRule="exact"/>
        <w:rPr>
          <w:sz w:val="20"/>
          <w:szCs w:val="20"/>
          <w:color w:val="auto"/>
        </w:rPr>
      </w:pPr>
    </w:p>
    <w:tbl>
      <w:tblPr>
        <w:tblLayout w:type="fixed"/>
        <w:tblInd w:w="7" w:type="dxa"/>
        <w:tblCellMar>
          <w:top w:w="0" w:type="dxa"/>
          <w:left w:w="0" w:type="dxa"/>
          <w:bottom w:w="0" w:type="dxa"/>
          <w:right w:w="0" w:type="dxa"/>
        </w:tblCellMar>
      </w:tblPr>
      <w:tr>
        <w:trPr>
          <w:trHeight w:val="184"/>
        </w:trPr>
        <w:tc>
          <w:tcPr>
            <w:tcW w:w="5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jc w:val="right"/>
              <w:ind w:right="222"/>
              <w:spacing w:after="0"/>
              <w:rPr>
                <w:sz w:val="20"/>
                <w:szCs w:val="20"/>
                <w:color w:val="auto"/>
              </w:rPr>
            </w:pPr>
            <w:r>
              <w:rPr>
                <w:rFonts w:ascii="Arial" w:cs="Arial" w:eastAsia="Arial" w:hAnsi="Arial"/>
                <w:sz w:val="16"/>
                <w:szCs w:val="16"/>
                <w:b w:val="1"/>
                <w:bCs w:val="1"/>
                <w:color w:val="auto"/>
              </w:rPr>
              <w:t>Indexed</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jc w:val="right"/>
              <w:ind w:right="122"/>
              <w:spacing w:after="0"/>
              <w:rPr>
                <w:sz w:val="20"/>
                <w:szCs w:val="20"/>
                <w:color w:val="auto"/>
              </w:rPr>
            </w:pPr>
            <w:r>
              <w:rPr>
                <w:rFonts w:ascii="Arial" w:cs="Arial" w:eastAsia="Arial" w:hAnsi="Arial"/>
                <w:sz w:val="16"/>
                <w:szCs w:val="16"/>
                <w:b w:val="1"/>
                <w:bCs w:val="1"/>
                <w:color w:val="auto"/>
                <w:w w:val="93"/>
              </w:rPr>
              <w:t>Fixed Rate</w:t>
            </w:r>
          </w:p>
        </w:tc>
        <w:tc>
          <w:tcPr>
            <w:tcW w:w="60" w:type="dxa"/>
            <w:vAlign w:val="bottom"/>
          </w:tcPr>
          <w:p>
            <w:pPr>
              <w:spacing w:after="0"/>
              <w:rPr>
                <w:sz w:val="16"/>
                <w:szCs w:val="16"/>
                <w:color w:val="auto"/>
              </w:rPr>
            </w:pPr>
          </w:p>
        </w:tc>
        <w:tc>
          <w:tcPr>
            <w:tcW w:w="1160" w:type="dxa"/>
            <w:vAlign w:val="bottom"/>
            <w:gridSpan w:val="2"/>
            <w:vMerge w:val="restart"/>
          </w:tcPr>
          <w:p>
            <w:pPr>
              <w:jc w:val="right"/>
              <w:ind w:right="22"/>
              <w:spacing w:after="0"/>
              <w:rPr>
                <w:sz w:val="20"/>
                <w:szCs w:val="20"/>
                <w:color w:val="auto"/>
              </w:rPr>
            </w:pPr>
            <w:r>
              <w:rPr>
                <w:rFonts w:ascii="Arial" w:cs="Arial" w:eastAsia="Arial" w:hAnsi="Arial"/>
                <w:sz w:val="16"/>
                <w:szCs w:val="16"/>
                <w:b w:val="1"/>
                <w:bCs w:val="1"/>
                <w:color w:val="auto"/>
                <w:w w:val="99"/>
              </w:rPr>
              <w:t>Universal Life</w:t>
            </w: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vMerge w:val="restart"/>
          </w:tcPr>
          <w:p>
            <w:pPr>
              <w:jc w:val="right"/>
              <w:ind w:right="202"/>
              <w:spacing w:after="0"/>
              <w:rPr>
                <w:sz w:val="20"/>
                <w:szCs w:val="20"/>
                <w:color w:val="auto"/>
              </w:rPr>
            </w:pPr>
            <w:r>
              <w:rPr>
                <w:rFonts w:ascii="Arial" w:cs="Arial" w:eastAsia="Arial" w:hAnsi="Arial"/>
                <w:sz w:val="16"/>
                <w:szCs w:val="16"/>
                <w:b w:val="1"/>
                <w:bCs w:val="1"/>
                <w:color w:val="auto"/>
              </w:rPr>
              <w:t>Total (a)</w:t>
            </w:r>
          </w:p>
        </w:tc>
        <w:tc>
          <w:tcPr>
            <w:tcW w:w="0" w:type="dxa"/>
            <w:vAlign w:val="bottom"/>
          </w:tcPr>
          <w:p>
            <w:pPr>
              <w:spacing w:after="0"/>
              <w:rPr>
                <w:sz w:val="1"/>
                <w:szCs w:val="1"/>
                <w:color w:val="auto"/>
              </w:rPr>
            </w:pPr>
          </w:p>
        </w:tc>
      </w:tr>
      <w:tr>
        <w:trPr>
          <w:trHeight w:val="210"/>
        </w:trPr>
        <w:tc>
          <w:tcPr>
            <w:tcW w:w="52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82"/>
              <w:spacing w:after="0"/>
              <w:rPr>
                <w:sz w:val="20"/>
                <w:szCs w:val="20"/>
                <w:color w:val="auto"/>
              </w:rPr>
            </w:pPr>
            <w:r>
              <w:rPr>
                <w:rFonts w:ascii="Arial" w:cs="Arial" w:eastAsia="Arial" w:hAnsi="Arial"/>
                <w:sz w:val="16"/>
                <w:szCs w:val="16"/>
                <w:b w:val="1"/>
                <w:bCs w:val="1"/>
                <w:color w:val="auto"/>
                <w:w w:val="93"/>
              </w:rPr>
              <w:t>Annuities</w:t>
            </w:r>
          </w:p>
        </w:tc>
        <w:tc>
          <w:tcPr>
            <w:tcW w:w="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82"/>
              <w:spacing w:after="0"/>
              <w:rPr>
                <w:sz w:val="20"/>
                <w:szCs w:val="20"/>
                <w:color w:val="auto"/>
              </w:rPr>
            </w:pPr>
            <w:r>
              <w:rPr>
                <w:rFonts w:ascii="Arial" w:cs="Arial" w:eastAsia="Arial" w:hAnsi="Arial"/>
                <w:sz w:val="16"/>
                <w:szCs w:val="16"/>
                <w:b w:val="1"/>
                <w:bCs w:val="1"/>
                <w:color w:val="auto"/>
                <w:w w:val="95"/>
              </w:rPr>
              <w:t>Annuities</w:t>
            </w:r>
          </w:p>
        </w:tc>
        <w:tc>
          <w:tcPr>
            <w:tcW w:w="60" w:type="dxa"/>
            <w:vAlign w:val="bottom"/>
          </w:tcPr>
          <w:p>
            <w:pPr>
              <w:spacing w:after="0"/>
              <w:rPr>
                <w:sz w:val="18"/>
                <w:szCs w:val="18"/>
                <w:color w:val="auto"/>
              </w:rPr>
            </w:pPr>
          </w:p>
        </w:tc>
        <w:tc>
          <w:tcPr>
            <w:tcW w:w="1160" w:type="dxa"/>
            <w:vAlign w:val="bottom"/>
            <w:tcBorders>
              <w:bottom w:val="single" w:sz="8" w:color="auto"/>
            </w:tcBorders>
            <w:gridSpan w:val="2"/>
            <w:vMerge w:val="continue"/>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gridSpan w:val="3"/>
          </w:tcPr>
          <w:p>
            <w:pPr>
              <w:jc w:val="right"/>
              <w:ind w:right="162"/>
              <w:spacing w:after="0"/>
              <w:rPr>
                <w:sz w:val="20"/>
                <w:szCs w:val="20"/>
                <w:color w:val="auto"/>
              </w:rPr>
            </w:pPr>
            <w:r>
              <w:rPr>
                <w:rFonts w:ascii="Arial" w:cs="Arial" w:eastAsia="Arial" w:hAnsi="Arial"/>
                <w:sz w:val="16"/>
                <w:szCs w:val="16"/>
                <w:b w:val="1"/>
                <w:bCs w:val="1"/>
                <w:color w:val="auto"/>
              </w:rPr>
              <w:t>(In millions)</w:t>
            </w: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5220" w:type="dxa"/>
            <w:vAlign w:val="bottom"/>
          </w:tcPr>
          <w:p>
            <w:pPr>
              <w:ind w:left="40"/>
              <w:spacing w:after="0"/>
              <w:rPr>
                <w:sz w:val="20"/>
                <w:szCs w:val="20"/>
                <w:color w:val="auto"/>
              </w:rPr>
            </w:pPr>
            <w:r>
              <w:rPr>
                <w:rFonts w:ascii="Arial" w:cs="Arial" w:eastAsia="Arial" w:hAnsi="Arial"/>
                <w:sz w:val="16"/>
                <w:szCs w:val="16"/>
                <w:b w:val="1"/>
                <w:bCs w:val="1"/>
                <w:color w:val="auto"/>
              </w:rPr>
              <w:t>Balance at January 1, 2024</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1,378</w:t>
            </w:r>
          </w:p>
        </w:tc>
        <w:tc>
          <w:tcPr>
            <w:tcW w:w="24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288</w:t>
            </w:r>
          </w:p>
        </w:tc>
        <w:tc>
          <w:tcPr>
            <w:tcW w:w="700" w:type="dxa"/>
            <w:vAlign w:val="bottom"/>
            <w:gridSpan w:val="2"/>
          </w:tcPr>
          <w:p>
            <w:pPr>
              <w:jc w:val="right"/>
              <w:ind w:right="422"/>
              <w:spacing w:after="0"/>
              <w:rPr>
                <w:sz w:val="20"/>
                <w:szCs w:val="20"/>
                <w:color w:val="auto"/>
              </w:rPr>
            </w:pPr>
            <w:r>
              <w:rPr>
                <w:rFonts w:ascii="Arial" w:cs="Arial" w:eastAsia="Arial" w:hAnsi="Arial"/>
                <w:sz w:val="16"/>
                <w:szCs w:val="16"/>
                <w:color w:val="auto"/>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545</w:t>
            </w:r>
          </w:p>
        </w:tc>
        <w:tc>
          <w:tcPr>
            <w:tcW w:w="28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2,211</w:t>
            </w:r>
          </w:p>
        </w:tc>
        <w:tc>
          <w:tcPr>
            <w:tcW w:w="0" w:type="dxa"/>
            <w:vAlign w:val="bottom"/>
          </w:tcPr>
          <w:p>
            <w:pPr>
              <w:spacing w:after="0"/>
              <w:rPr>
                <w:sz w:val="1"/>
                <w:szCs w:val="1"/>
                <w:color w:val="auto"/>
              </w:rPr>
            </w:pPr>
          </w:p>
        </w:tc>
      </w:tr>
      <w:tr>
        <w:trPr>
          <w:trHeight w:val="235"/>
        </w:trPr>
        <w:tc>
          <w:tcPr>
            <w:tcW w:w="5220" w:type="dxa"/>
            <w:vAlign w:val="bottom"/>
          </w:tcPr>
          <w:p>
            <w:pPr>
              <w:ind w:left="220"/>
              <w:spacing w:after="0"/>
              <w:rPr>
                <w:sz w:val="20"/>
                <w:szCs w:val="20"/>
                <w:color w:val="auto"/>
              </w:rPr>
            </w:pPr>
            <w:r>
              <w:rPr>
                <w:rFonts w:ascii="Arial" w:cs="Arial" w:eastAsia="Arial" w:hAnsi="Arial"/>
                <w:sz w:val="16"/>
                <w:szCs w:val="16"/>
                <w:color w:val="auto"/>
              </w:rPr>
              <w:t>Capitalization</w:t>
            </w:r>
          </w:p>
        </w:tc>
        <w:tc>
          <w:tcPr>
            <w:tcW w:w="2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652</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174</w:t>
            </w:r>
          </w:p>
        </w:tc>
        <w:tc>
          <w:tcPr>
            <w:tcW w:w="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274</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1,100</w:t>
            </w:r>
          </w:p>
        </w:tc>
        <w:tc>
          <w:tcPr>
            <w:tcW w:w="0" w:type="dxa"/>
            <w:vAlign w:val="bottom"/>
          </w:tcPr>
          <w:p>
            <w:pPr>
              <w:spacing w:after="0"/>
              <w:rPr>
                <w:sz w:val="1"/>
                <w:szCs w:val="1"/>
                <w:color w:val="auto"/>
              </w:rPr>
            </w:pPr>
          </w:p>
        </w:tc>
      </w:tr>
      <w:tr>
        <w:trPr>
          <w:trHeight w:val="232"/>
        </w:trPr>
        <w:tc>
          <w:tcPr>
            <w:tcW w:w="5220" w:type="dxa"/>
            <w:vAlign w:val="bottom"/>
          </w:tcPr>
          <w:p>
            <w:pPr>
              <w:ind w:left="220"/>
              <w:spacing w:after="0"/>
              <w:rPr>
                <w:sz w:val="20"/>
                <w:szCs w:val="20"/>
                <w:color w:val="auto"/>
              </w:rPr>
            </w:pPr>
            <w:r>
              <w:rPr>
                <w:rFonts w:ascii="Arial" w:cs="Arial" w:eastAsia="Arial" w:hAnsi="Arial"/>
                <w:sz w:val="16"/>
                <w:szCs w:val="16"/>
                <w:color w:val="auto"/>
              </w:rPr>
              <w:t>Amortization</w:t>
            </w:r>
          </w:p>
        </w:tc>
        <w:tc>
          <w:tcPr>
            <w:tcW w:w="2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(156)</w:t>
            </w:r>
          </w:p>
        </w:tc>
        <w:tc>
          <w:tcPr>
            <w:tcW w:w="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(86)</w:t>
            </w:r>
          </w:p>
        </w:tc>
        <w:tc>
          <w:tcPr>
            <w:tcW w:w="60" w:type="dxa"/>
            <w:vAlign w:val="bottom"/>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w:t>
            </w:r>
          </w:p>
        </w:tc>
        <w:tc>
          <w:tcPr>
            <w:tcW w:w="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(280)</w:t>
            </w:r>
          </w:p>
        </w:tc>
        <w:tc>
          <w:tcPr>
            <w:tcW w:w="0" w:type="dxa"/>
            <w:vAlign w:val="bottom"/>
          </w:tcPr>
          <w:p>
            <w:pPr>
              <w:spacing w:after="0"/>
              <w:rPr>
                <w:sz w:val="1"/>
                <w:szCs w:val="1"/>
                <w:color w:val="auto"/>
              </w:rPr>
            </w:pPr>
          </w:p>
        </w:tc>
      </w:tr>
      <w:tr>
        <w:trPr>
          <w:trHeight w:val="196"/>
        </w:trPr>
        <w:tc>
          <w:tcPr>
            <w:tcW w:w="5220" w:type="dxa"/>
            <w:vAlign w:val="bottom"/>
          </w:tcPr>
          <w:p>
            <w:pPr>
              <w:ind w:left="40"/>
              <w:spacing w:after="0"/>
              <w:rPr>
                <w:sz w:val="20"/>
                <w:szCs w:val="20"/>
                <w:color w:val="auto"/>
              </w:rPr>
            </w:pPr>
            <w:r>
              <w:rPr>
                <w:rFonts w:ascii="Arial" w:cs="Arial" w:eastAsia="Arial" w:hAnsi="Arial"/>
                <w:sz w:val="16"/>
                <w:szCs w:val="16"/>
                <w:b w:val="1"/>
                <w:bCs w:val="1"/>
                <w:color w:val="auto"/>
              </w:rPr>
              <w:t>Balance at December 31, 2024</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1,874</w:t>
            </w:r>
          </w:p>
        </w:tc>
        <w:tc>
          <w:tcPr>
            <w:tcW w:w="24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376</w:t>
            </w:r>
          </w:p>
        </w:tc>
        <w:tc>
          <w:tcPr>
            <w:tcW w:w="700" w:type="dxa"/>
            <w:vAlign w:val="bottom"/>
            <w:gridSpan w:val="2"/>
          </w:tcPr>
          <w:p>
            <w:pPr>
              <w:jc w:val="right"/>
              <w:ind w:right="422"/>
              <w:spacing w:after="0"/>
              <w:rPr>
                <w:sz w:val="20"/>
                <w:szCs w:val="20"/>
                <w:color w:val="auto"/>
              </w:rPr>
            </w:pPr>
            <w:r>
              <w:rPr>
                <w:rFonts w:ascii="Arial" w:cs="Arial" w:eastAsia="Arial" w:hAnsi="Arial"/>
                <w:sz w:val="16"/>
                <w:szCs w:val="16"/>
                <w:color w:val="auto"/>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781</w:t>
            </w:r>
          </w:p>
        </w:tc>
        <w:tc>
          <w:tcPr>
            <w:tcW w:w="28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3,031</w:t>
            </w:r>
          </w:p>
        </w:tc>
        <w:tc>
          <w:tcPr>
            <w:tcW w:w="0" w:type="dxa"/>
            <w:vAlign w:val="bottom"/>
          </w:tcPr>
          <w:p>
            <w:pPr>
              <w:spacing w:after="0"/>
              <w:rPr>
                <w:sz w:val="1"/>
                <w:szCs w:val="1"/>
                <w:color w:val="auto"/>
              </w:rPr>
            </w:pPr>
          </w:p>
        </w:tc>
      </w:tr>
      <w:tr>
        <w:trPr>
          <w:trHeight w:val="20"/>
        </w:trPr>
        <w:tc>
          <w:tcPr>
            <w:tcW w:w="5220" w:type="dxa"/>
            <w:vAlign w:val="bottom"/>
            <w:vMerge w:val="restart"/>
          </w:tcPr>
          <w:p>
            <w:pPr>
              <w:spacing w:after="0"/>
              <w:rPr>
                <w:sz w:val="20"/>
                <w:szCs w:val="20"/>
                <w:color w:val="auto"/>
              </w:rPr>
            </w:pPr>
            <w:r>
              <w:rPr>
                <w:rFonts w:ascii="Arial" w:cs="Arial" w:eastAsia="Arial" w:hAnsi="Arial"/>
                <w:sz w:val="16"/>
                <w:szCs w:val="16"/>
                <w:color w:val="auto"/>
              </w:rPr>
              <w:t>(a) Excludes insignificant amounts of DAC related to FABN and PRT.</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22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-769620</wp:posOffset>
            </wp:positionV>
            <wp:extent cx="6410325" cy="6350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31">
                      <a:extLst>
                        <a:ext uri="{28A0092B-C50C-407E-A947-70E740481C1C}"/>
                      </a:extLst>
                    </a:blip>
                    <a:srcRect/>
                    <a:stretch>
                      <a:fillRect/>
                    </a:stretch>
                  </pic:blipFill>
                  <pic:spPr bwMode="auto">
                    <a:xfrm>
                      <a:off x="0" y="0"/>
                      <a:ext cx="6410325" cy="635000"/>
                    </a:xfrm>
                    <a:prstGeom prst="rect">
                      <a:avLst/>
                    </a:prstGeom>
                    <a:noFill/>
                  </pic:spPr>
                </pic:pic>
              </a:graphicData>
            </a:graphic>
          </wp:anchor>
        </w:drawing>
      </w:r>
    </w:p>
    <w:p>
      <w:pPr>
        <w:sectPr>
          <w:pgSz w:w="11880" w:h="15480" w:orient="portrait"/>
          <w:cols w:equalWidth="0" w:num="1">
            <w:col w:w="10047"/>
          </w:cols>
          <w:pgMar w:left="913" w:top="765"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6"/>
        <w:spacing w:after="0"/>
        <w:rPr>
          <w:sz w:val="20"/>
          <w:szCs w:val="20"/>
          <w:color w:val="auto"/>
        </w:rPr>
      </w:pPr>
      <w:r>
        <w:rPr>
          <w:rFonts w:ascii="Arial" w:cs="Arial" w:eastAsia="Arial" w:hAnsi="Arial"/>
          <w:sz w:val="16"/>
          <w:szCs w:val="16"/>
          <w:color w:val="auto"/>
        </w:rPr>
        <w:t>161</w:t>
      </w:r>
    </w:p>
    <w:p>
      <w:pPr>
        <w:sectPr>
          <w:pgSz w:w="11880" w:h="15480" w:orient="portrait"/>
          <w:cols w:equalWidth="0" w:num="1">
            <w:col w:w="10047"/>
          </w:cols>
          <w:pgMar w:left="913" w:top="765" w:right="920" w:bottom="0" w:gutter="0" w:footer="0" w:header="0"/>
          <w:type w:val="continuous"/>
        </w:sectPr>
      </w:pPr>
    </w:p>
    <w:bookmarkStart w:id="173" w:name="page174"/>
    <w:bookmarkEnd w:id="173"/>
    <w:p>
      <w:pPr>
        <w:jc w:val="both"/>
        <w:ind w:firstLine="353"/>
        <w:spacing w:after="0" w:line="258" w:lineRule="auto"/>
        <w:rPr>
          <w:sz w:val="20"/>
          <w:szCs w:val="20"/>
          <w:color w:val="auto"/>
        </w:rPr>
      </w:pPr>
      <w:r>
        <w:rPr>
          <w:rFonts w:ascii="Arial" w:cs="Arial" w:eastAsia="Arial" w:hAnsi="Arial"/>
          <w:sz w:val="20"/>
          <w:szCs w:val="20"/>
          <w:color w:val="auto"/>
        </w:rPr>
        <w:t>DAC amortization expense of $357 million, $280 million, and $186 million, was recorded in Depreciation and amortization on the Consolidated Statements of Earnings for the years ended December 31, 2025, 2024, and 2023, respectively, excluding insignificant amounts related to FABN and PRT.</w:t>
      </w:r>
    </w:p>
    <w:p>
      <w:pPr>
        <w:spacing w:after="0" w:line="82" w:lineRule="exact"/>
        <w:rPr>
          <w:sz w:val="20"/>
          <w:szCs w:val="20"/>
          <w:color w:val="auto"/>
        </w:rPr>
      </w:pPr>
    </w:p>
    <w:p>
      <w:pPr>
        <w:jc w:val="both"/>
        <w:ind w:firstLine="353"/>
        <w:spacing w:after="0" w:line="271" w:lineRule="auto"/>
        <w:rPr>
          <w:sz w:val="20"/>
          <w:szCs w:val="20"/>
          <w:color w:val="auto"/>
        </w:rPr>
      </w:pPr>
      <w:r>
        <w:rPr>
          <w:rFonts w:ascii="Arial" w:cs="Arial" w:eastAsia="Arial" w:hAnsi="Arial"/>
          <w:sz w:val="20"/>
          <w:szCs w:val="20"/>
          <w:color w:val="auto"/>
        </w:rPr>
        <w:t>The following table presents a reconciliation of DAC to the table above which is reconciled to the Consolidated Balance Sheets as of December 31, 2025 and 2024:</w:t>
      </w:r>
    </w:p>
    <w:p>
      <w:pPr>
        <w:spacing w:after="0" w:line="112" w:lineRule="exact"/>
        <w:rPr>
          <w:sz w:val="20"/>
          <w:szCs w:val="20"/>
          <w:color w:val="auto"/>
        </w:rPr>
      </w:pPr>
    </w:p>
    <w:tbl>
      <w:tblPr>
        <w:tblLayout w:type="fixed"/>
        <w:tblInd w:w="40" w:type="dxa"/>
        <w:tblCellMar>
          <w:top w:w="0" w:type="dxa"/>
          <w:left w:w="0" w:type="dxa"/>
          <w:bottom w:w="0" w:type="dxa"/>
          <w:right w:w="0" w:type="dxa"/>
        </w:tblCellMar>
      </w:tblPr>
      <w:tr>
        <w:trPr>
          <w:trHeight w:val="213"/>
        </w:trPr>
        <w:tc>
          <w:tcPr>
            <w:tcW w:w="64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ind w:right="162"/>
              <w:spacing w:after="0"/>
              <w:rPr>
                <w:sz w:val="20"/>
                <w:szCs w:val="20"/>
                <w:color w:val="auto"/>
              </w:rPr>
            </w:pPr>
            <w:r>
              <w:rPr>
                <w:rFonts w:ascii="Arial" w:cs="Arial" w:eastAsia="Arial" w:hAnsi="Arial"/>
                <w:sz w:val="16"/>
                <w:szCs w:val="16"/>
                <w:b w:val="1"/>
                <w:bCs w:val="1"/>
                <w:color w:val="auto"/>
                <w:w w:val="90"/>
              </w:rPr>
              <w:t>December 31, 2025</w:t>
            </w:r>
          </w:p>
        </w:tc>
        <w:tc>
          <w:tcPr>
            <w:tcW w:w="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ind w:right="162"/>
              <w:spacing w:after="0"/>
              <w:rPr>
                <w:sz w:val="20"/>
                <w:szCs w:val="20"/>
                <w:color w:val="auto"/>
              </w:rPr>
            </w:pPr>
            <w:r>
              <w:rPr>
                <w:rFonts w:ascii="Arial" w:cs="Arial" w:eastAsia="Arial" w:hAnsi="Arial"/>
                <w:sz w:val="16"/>
                <w:szCs w:val="16"/>
                <w:b w:val="1"/>
                <w:bCs w:val="1"/>
                <w:color w:val="auto"/>
                <w:w w:val="90"/>
              </w:rPr>
              <w:t>December 31, 2024</w:t>
            </w:r>
          </w:p>
        </w:tc>
      </w:tr>
      <w:tr>
        <w:trPr>
          <w:trHeight w:val="216"/>
        </w:trPr>
        <w:tc>
          <w:tcPr>
            <w:tcW w:w="6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380" w:type="dxa"/>
            <w:vAlign w:val="bottom"/>
            <w:gridSpan w:val="4"/>
          </w:tcPr>
          <w:p>
            <w:pPr>
              <w:jc w:val="right"/>
              <w:ind w:right="1282"/>
              <w:spacing w:after="0"/>
              <w:rPr>
                <w:sz w:val="20"/>
                <w:szCs w:val="20"/>
                <w:color w:val="auto"/>
              </w:rPr>
            </w:pPr>
            <w:r>
              <w:rPr>
                <w:rFonts w:ascii="Arial" w:cs="Arial" w:eastAsia="Arial" w:hAnsi="Arial"/>
                <w:sz w:val="16"/>
                <w:szCs w:val="16"/>
                <w:b w:val="1"/>
                <w:bCs w:val="1"/>
                <w:color w:val="auto"/>
              </w:rPr>
              <w:t>(In millions)</w:t>
            </w:r>
          </w:p>
        </w:tc>
      </w:tr>
      <w:tr>
        <w:trPr>
          <w:trHeight w:val="238"/>
        </w:trPr>
        <w:tc>
          <w:tcPr>
            <w:tcW w:w="6420" w:type="dxa"/>
            <w:vAlign w:val="bottom"/>
          </w:tcPr>
          <w:p>
            <w:pPr>
              <w:spacing w:after="0"/>
              <w:rPr>
                <w:sz w:val="20"/>
                <w:szCs w:val="20"/>
                <w:color w:val="auto"/>
              </w:rPr>
            </w:pPr>
            <w:r>
              <w:rPr>
                <w:rFonts w:ascii="Arial" w:cs="Arial" w:eastAsia="Arial" w:hAnsi="Arial"/>
                <w:sz w:val="16"/>
                <w:szCs w:val="16"/>
                <w:color w:val="auto"/>
              </w:rPr>
              <w:t>Indexed Annuities</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560" w:type="dxa"/>
            <w:vAlign w:val="bottom"/>
          </w:tcPr>
          <w:p>
            <w:pPr>
              <w:jc w:val="right"/>
              <w:spacing w:after="0"/>
              <w:rPr>
                <w:sz w:val="20"/>
                <w:szCs w:val="20"/>
                <w:color w:val="auto"/>
              </w:rPr>
            </w:pPr>
            <w:r>
              <w:rPr>
                <w:rFonts w:ascii="Arial" w:cs="Arial" w:eastAsia="Arial" w:hAnsi="Arial"/>
                <w:sz w:val="16"/>
                <w:szCs w:val="16"/>
                <w:color w:val="auto"/>
              </w:rPr>
              <w:t>2,205</w:t>
            </w:r>
          </w:p>
        </w:tc>
        <w:tc>
          <w:tcPr>
            <w:tcW w:w="26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560" w:type="dxa"/>
            <w:vAlign w:val="bottom"/>
          </w:tcPr>
          <w:p>
            <w:pPr>
              <w:jc w:val="right"/>
              <w:spacing w:after="0"/>
              <w:rPr>
                <w:sz w:val="20"/>
                <w:szCs w:val="20"/>
                <w:color w:val="auto"/>
              </w:rPr>
            </w:pPr>
            <w:r>
              <w:rPr>
                <w:rFonts w:ascii="Arial" w:cs="Arial" w:eastAsia="Arial" w:hAnsi="Arial"/>
                <w:sz w:val="16"/>
                <w:szCs w:val="16"/>
                <w:color w:val="auto"/>
              </w:rPr>
              <w:t>1,874</w:t>
            </w:r>
          </w:p>
        </w:tc>
      </w:tr>
      <w:tr>
        <w:trPr>
          <w:trHeight w:val="235"/>
        </w:trPr>
        <w:tc>
          <w:tcPr>
            <w:tcW w:w="6420" w:type="dxa"/>
            <w:vAlign w:val="bottom"/>
          </w:tcPr>
          <w:p>
            <w:pPr>
              <w:spacing w:after="0"/>
              <w:rPr>
                <w:sz w:val="20"/>
                <w:szCs w:val="20"/>
                <w:color w:val="auto"/>
              </w:rPr>
            </w:pPr>
            <w:r>
              <w:rPr>
                <w:rFonts w:ascii="Arial" w:cs="Arial" w:eastAsia="Arial" w:hAnsi="Arial"/>
                <w:sz w:val="16"/>
                <w:szCs w:val="16"/>
                <w:color w:val="auto"/>
              </w:rPr>
              <w:t>Fixed Rate Annuities</w:t>
            </w:r>
          </w:p>
        </w:tc>
        <w:tc>
          <w:tcPr>
            <w:tcW w:w="20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402</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376</w:t>
            </w:r>
          </w:p>
        </w:tc>
      </w:tr>
      <w:tr>
        <w:trPr>
          <w:trHeight w:val="235"/>
        </w:trPr>
        <w:tc>
          <w:tcPr>
            <w:tcW w:w="6420" w:type="dxa"/>
            <w:vAlign w:val="bottom"/>
          </w:tcPr>
          <w:p>
            <w:pPr>
              <w:spacing w:after="0"/>
              <w:rPr>
                <w:sz w:val="20"/>
                <w:szCs w:val="20"/>
                <w:color w:val="auto"/>
              </w:rPr>
            </w:pPr>
            <w:r>
              <w:rPr>
                <w:rFonts w:ascii="Arial" w:cs="Arial" w:eastAsia="Arial" w:hAnsi="Arial"/>
                <w:sz w:val="16"/>
                <w:szCs w:val="16"/>
                <w:color w:val="auto"/>
              </w:rPr>
              <w:t>Universal Life</w:t>
            </w:r>
          </w:p>
        </w:tc>
        <w:tc>
          <w:tcPr>
            <w:tcW w:w="20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1,021</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781</w:t>
            </w:r>
          </w:p>
        </w:tc>
      </w:tr>
      <w:tr>
        <w:trPr>
          <w:trHeight w:val="235"/>
        </w:trPr>
        <w:tc>
          <w:tcPr>
            <w:tcW w:w="6420" w:type="dxa"/>
            <w:vAlign w:val="bottom"/>
          </w:tcPr>
          <w:p>
            <w:pPr>
              <w:spacing w:after="0"/>
              <w:rPr>
                <w:sz w:val="20"/>
                <w:szCs w:val="20"/>
                <w:color w:val="auto"/>
              </w:rPr>
            </w:pPr>
            <w:r>
              <w:rPr>
                <w:rFonts w:ascii="Arial" w:cs="Arial" w:eastAsia="Arial" w:hAnsi="Arial"/>
                <w:sz w:val="16"/>
                <w:szCs w:val="16"/>
                <w:color w:val="auto"/>
              </w:rPr>
              <w:t>FABN</w:t>
            </w:r>
          </w:p>
        </w:tc>
        <w:tc>
          <w:tcPr>
            <w:tcW w:w="20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5</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4</w:t>
            </w:r>
          </w:p>
        </w:tc>
      </w:tr>
      <w:tr>
        <w:trPr>
          <w:trHeight w:val="232"/>
        </w:trPr>
        <w:tc>
          <w:tcPr>
            <w:tcW w:w="6420" w:type="dxa"/>
            <w:vAlign w:val="bottom"/>
          </w:tcPr>
          <w:p>
            <w:pPr>
              <w:spacing w:after="0"/>
              <w:rPr>
                <w:sz w:val="20"/>
                <w:szCs w:val="20"/>
                <w:color w:val="auto"/>
              </w:rPr>
            </w:pPr>
            <w:r>
              <w:rPr>
                <w:rFonts w:ascii="Arial" w:cs="Arial" w:eastAsia="Arial" w:hAnsi="Arial"/>
                <w:sz w:val="16"/>
                <w:szCs w:val="16"/>
                <w:color w:val="auto"/>
              </w:rPr>
              <w:t>PRT</w:t>
            </w:r>
          </w:p>
        </w:tc>
        <w:tc>
          <w:tcPr>
            <w:tcW w:w="20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r>
      <w:tr>
        <w:trPr>
          <w:trHeight w:val="196"/>
        </w:trPr>
        <w:tc>
          <w:tcPr>
            <w:tcW w:w="6420" w:type="dxa"/>
            <w:vAlign w:val="bottom"/>
          </w:tcPr>
          <w:p>
            <w:pPr>
              <w:ind w:left="120"/>
              <w:spacing w:after="0"/>
              <w:rPr>
                <w:sz w:val="20"/>
                <w:szCs w:val="20"/>
                <w:color w:val="auto"/>
              </w:rPr>
            </w:pPr>
            <w:r>
              <w:rPr>
                <w:rFonts w:ascii="Arial" w:cs="Arial" w:eastAsia="Arial" w:hAnsi="Arial"/>
                <w:sz w:val="16"/>
                <w:szCs w:val="16"/>
                <w:b w:val="1"/>
                <w:bCs w:val="1"/>
                <w:color w:val="auto"/>
              </w:rPr>
              <w:t>Total</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560" w:type="dxa"/>
            <w:vAlign w:val="bottom"/>
          </w:tcPr>
          <w:p>
            <w:pPr>
              <w:jc w:val="right"/>
              <w:spacing w:after="0"/>
              <w:rPr>
                <w:sz w:val="20"/>
                <w:szCs w:val="20"/>
                <w:color w:val="auto"/>
              </w:rPr>
            </w:pPr>
            <w:r>
              <w:rPr>
                <w:rFonts w:ascii="Arial" w:cs="Arial" w:eastAsia="Arial" w:hAnsi="Arial"/>
                <w:sz w:val="16"/>
                <w:szCs w:val="16"/>
                <w:color w:val="auto"/>
              </w:rPr>
              <w:t>3,637</w:t>
            </w:r>
          </w:p>
        </w:tc>
        <w:tc>
          <w:tcPr>
            <w:tcW w:w="26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560" w:type="dxa"/>
            <w:vAlign w:val="bottom"/>
          </w:tcPr>
          <w:p>
            <w:pPr>
              <w:jc w:val="right"/>
              <w:spacing w:after="0"/>
              <w:rPr>
                <w:sz w:val="20"/>
                <w:szCs w:val="20"/>
                <w:color w:val="auto"/>
              </w:rPr>
            </w:pPr>
            <w:r>
              <w:rPr>
                <w:rFonts w:ascii="Arial" w:cs="Arial" w:eastAsia="Arial" w:hAnsi="Arial"/>
                <w:sz w:val="16"/>
                <w:szCs w:val="16"/>
                <w:color w:val="auto"/>
              </w:rPr>
              <w:t>3,036</w:t>
            </w:r>
          </w:p>
        </w:tc>
      </w:tr>
      <w:tr>
        <w:trPr>
          <w:trHeight w:val="20"/>
        </w:trPr>
        <w:tc>
          <w:tcPr>
            <w:tcW w:w="64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-927100</wp:posOffset>
            </wp:positionV>
            <wp:extent cx="6410325" cy="93408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32">
                      <a:extLst>
                        <a:ext uri="{28A0092B-C50C-407E-A947-70E740481C1C}"/>
                      </a:extLst>
                    </a:blip>
                    <a:srcRect/>
                    <a:stretch>
                      <a:fillRect/>
                    </a:stretch>
                  </pic:blipFill>
                  <pic:spPr bwMode="auto">
                    <a:xfrm>
                      <a:off x="0" y="0"/>
                      <a:ext cx="6410325" cy="934085"/>
                    </a:xfrm>
                    <a:prstGeom prst="rect">
                      <a:avLst/>
                    </a:prstGeom>
                    <a:noFill/>
                  </pic:spPr>
                </pic:pic>
              </a:graphicData>
            </a:graphic>
          </wp:anchor>
        </w:drawing>
      </w:r>
    </w:p>
    <w:p>
      <w:pPr>
        <w:spacing w:after="0" w:line="12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tables roll forward DSI for our indexed annuity products for the years ended December 31, 2025 and 2024:</w:t>
      </w:r>
    </w:p>
    <w:p>
      <w:pPr>
        <w:spacing w:after="0" w:line="209" w:lineRule="exact"/>
        <w:rPr>
          <w:sz w:val="20"/>
          <w:szCs w:val="20"/>
          <w:color w:val="auto"/>
        </w:rPr>
      </w:pPr>
    </w:p>
    <w:tbl>
      <w:tblPr>
        <w:tblLayout w:type="fixed"/>
        <w:tblInd w:w="40" w:type="dxa"/>
        <w:tblCellMar>
          <w:top w:w="0" w:type="dxa"/>
          <w:left w:w="0" w:type="dxa"/>
          <w:bottom w:w="0" w:type="dxa"/>
          <w:right w:w="0" w:type="dxa"/>
        </w:tblCellMar>
      </w:tblPr>
      <w:tr>
        <w:trPr>
          <w:trHeight w:val="205"/>
        </w:trPr>
        <w:tc>
          <w:tcPr>
            <w:tcW w:w="6180" w:type="dxa"/>
            <w:vAlign w:val="bottom"/>
          </w:tcPr>
          <w:p>
            <w:pPr>
              <w:spacing w:after="0"/>
              <w:rPr>
                <w:sz w:val="17"/>
                <w:szCs w:val="17"/>
                <w:color w:val="auto"/>
              </w:rPr>
            </w:pPr>
          </w:p>
        </w:tc>
        <w:tc>
          <w:tcPr>
            <w:tcW w:w="3280" w:type="dxa"/>
            <w:vAlign w:val="bottom"/>
            <w:tcBorders>
              <w:bottom w:val="single" w:sz="8" w:color="auto"/>
            </w:tcBorders>
            <w:gridSpan w:val="4"/>
          </w:tcPr>
          <w:p>
            <w:pPr>
              <w:jc w:val="right"/>
              <w:ind w:right="382"/>
              <w:spacing w:after="0"/>
              <w:rPr>
                <w:sz w:val="20"/>
                <w:szCs w:val="20"/>
                <w:color w:val="auto"/>
              </w:rPr>
            </w:pPr>
            <w:r>
              <w:rPr>
                <w:rFonts w:ascii="Arial" w:cs="Arial" w:eastAsia="Arial" w:hAnsi="Arial"/>
                <w:sz w:val="16"/>
                <w:szCs w:val="16"/>
                <w:b w:val="1"/>
                <w:bCs w:val="1"/>
                <w:color w:val="auto"/>
              </w:rPr>
              <w:t>Years Ended December 31,</w:t>
            </w:r>
          </w:p>
        </w:tc>
        <w:tc>
          <w:tcPr>
            <w:tcW w:w="540" w:type="dxa"/>
            <w:vAlign w:val="bottom"/>
            <w:tcBorders>
              <w:bottom w:val="single" w:sz="8" w:color="auto"/>
            </w:tcBorders>
          </w:tcPr>
          <w:p>
            <w:pPr>
              <w:spacing w:after="0"/>
              <w:rPr>
                <w:sz w:val="17"/>
                <w:szCs w:val="17"/>
                <w:color w:val="auto"/>
              </w:rPr>
            </w:pPr>
          </w:p>
        </w:tc>
      </w:tr>
      <w:tr>
        <w:trPr>
          <w:trHeight w:val="215"/>
        </w:trPr>
        <w:tc>
          <w:tcPr>
            <w:tcW w:w="6180" w:type="dxa"/>
            <w:vAlign w:val="bottom"/>
          </w:tcPr>
          <w:p>
            <w:pPr>
              <w:spacing w:after="0"/>
              <w:rPr>
                <w:sz w:val="18"/>
                <w:szCs w:val="18"/>
                <w:color w:val="auto"/>
              </w:rPr>
            </w:pPr>
          </w:p>
        </w:tc>
        <w:tc>
          <w:tcPr>
            <w:tcW w:w="1300" w:type="dxa"/>
            <w:vAlign w:val="bottom"/>
            <w:tcBorders>
              <w:bottom w:val="single" w:sz="8" w:color="auto"/>
            </w:tcBorders>
          </w:tcPr>
          <w:p>
            <w:pPr>
              <w:jc w:val="right"/>
              <w:ind w:right="142"/>
              <w:spacing w:after="0"/>
              <w:rPr>
                <w:sz w:val="20"/>
                <w:szCs w:val="20"/>
                <w:color w:val="auto"/>
              </w:rPr>
            </w:pPr>
            <w:r>
              <w:rPr>
                <w:rFonts w:ascii="Arial" w:cs="Arial" w:eastAsia="Arial" w:hAnsi="Arial"/>
                <w:sz w:val="16"/>
                <w:szCs w:val="16"/>
                <w:b w:val="1"/>
                <w:bCs w:val="1"/>
                <w:color w:val="auto"/>
              </w:rPr>
              <w:t>2025</w:t>
            </w:r>
          </w:p>
        </w:tc>
        <w:tc>
          <w:tcPr>
            <w:tcW w:w="5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Borders>
              <w:bottom w:val="single" w:sz="8" w:color="auto"/>
            </w:tcBorders>
          </w:tcPr>
          <w:p>
            <w:pPr>
              <w:jc w:val="right"/>
              <w:ind w:right="142"/>
              <w:spacing w:after="0"/>
              <w:rPr>
                <w:sz w:val="20"/>
                <w:szCs w:val="20"/>
                <w:color w:val="auto"/>
              </w:rPr>
            </w:pPr>
            <w:r>
              <w:rPr>
                <w:rFonts w:ascii="Arial" w:cs="Arial" w:eastAsia="Arial" w:hAnsi="Arial"/>
                <w:sz w:val="16"/>
                <w:szCs w:val="16"/>
                <w:b w:val="1"/>
                <w:bCs w:val="1"/>
                <w:color w:val="auto"/>
              </w:rPr>
              <w:t>2024</w:t>
            </w:r>
          </w:p>
        </w:tc>
        <w:tc>
          <w:tcPr>
            <w:tcW w:w="540" w:type="dxa"/>
            <w:vAlign w:val="bottom"/>
            <w:tcBorders>
              <w:bottom w:val="single" w:sz="8" w:color="auto"/>
            </w:tcBorders>
          </w:tcPr>
          <w:p>
            <w:pPr>
              <w:spacing w:after="0"/>
              <w:rPr>
                <w:sz w:val="18"/>
                <w:szCs w:val="18"/>
                <w:color w:val="auto"/>
              </w:rPr>
            </w:pPr>
          </w:p>
        </w:tc>
      </w:tr>
      <w:tr>
        <w:trPr>
          <w:trHeight w:val="216"/>
        </w:trPr>
        <w:tc>
          <w:tcPr>
            <w:tcW w:w="6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980" w:type="dxa"/>
            <w:vAlign w:val="bottom"/>
            <w:gridSpan w:val="3"/>
          </w:tcPr>
          <w:p>
            <w:pPr>
              <w:jc w:val="right"/>
              <w:ind w:right="862"/>
              <w:spacing w:after="0"/>
              <w:rPr>
                <w:sz w:val="20"/>
                <w:szCs w:val="20"/>
                <w:color w:val="auto"/>
              </w:rPr>
            </w:pPr>
            <w:r>
              <w:rPr>
                <w:rFonts w:ascii="Arial" w:cs="Arial" w:eastAsia="Arial" w:hAnsi="Arial"/>
                <w:sz w:val="16"/>
                <w:szCs w:val="16"/>
                <w:b w:val="1"/>
                <w:bCs w:val="1"/>
                <w:color w:val="auto"/>
              </w:rPr>
              <w:t>(In millions)</w:t>
            </w:r>
          </w:p>
        </w:tc>
        <w:tc>
          <w:tcPr>
            <w:tcW w:w="540" w:type="dxa"/>
            <w:vAlign w:val="bottom"/>
          </w:tcPr>
          <w:p>
            <w:pPr>
              <w:spacing w:after="0"/>
              <w:rPr>
                <w:sz w:val="18"/>
                <w:szCs w:val="18"/>
                <w:color w:val="auto"/>
              </w:rPr>
            </w:pPr>
          </w:p>
        </w:tc>
      </w:tr>
      <w:tr>
        <w:trPr>
          <w:trHeight w:val="238"/>
        </w:trPr>
        <w:tc>
          <w:tcPr>
            <w:tcW w:w="6180" w:type="dxa"/>
            <w:vAlign w:val="bottom"/>
          </w:tcPr>
          <w:p>
            <w:pPr>
              <w:spacing w:after="0"/>
              <w:rPr>
                <w:sz w:val="20"/>
                <w:szCs w:val="20"/>
                <w:color w:val="auto"/>
              </w:rPr>
            </w:pPr>
            <w:r>
              <w:rPr>
                <w:rFonts w:ascii="Arial" w:cs="Arial" w:eastAsia="Arial" w:hAnsi="Arial"/>
                <w:sz w:val="16"/>
                <w:szCs w:val="16"/>
                <w:b w:val="1"/>
                <w:bCs w:val="1"/>
                <w:color w:val="auto"/>
              </w:rPr>
              <w:t>Balance at January 1,</w:t>
            </w:r>
          </w:p>
        </w:tc>
        <w:tc>
          <w:tcPr>
            <w:tcW w:w="1300" w:type="dxa"/>
            <w:vAlign w:val="bottom"/>
          </w:tcPr>
          <w:p>
            <w:pPr>
              <w:jc w:val="right"/>
              <w:ind w:right="1102"/>
              <w:spacing w:after="0"/>
              <w:rPr>
                <w:sz w:val="20"/>
                <w:szCs w:val="20"/>
                <w:color w:val="auto"/>
              </w:rPr>
            </w:pPr>
            <w:r>
              <w:rPr>
                <w:rFonts w:ascii="Arial" w:cs="Arial" w:eastAsia="Arial" w:hAnsi="Arial"/>
                <w:sz w:val="16"/>
                <w:szCs w:val="16"/>
                <w:color w:val="auto"/>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625</w:t>
            </w:r>
          </w:p>
        </w:tc>
        <w:tc>
          <w:tcPr>
            <w:tcW w:w="1420" w:type="dxa"/>
            <w:vAlign w:val="bottom"/>
            <w:gridSpan w:val="2"/>
          </w:tcPr>
          <w:p>
            <w:pPr>
              <w:jc w:val="right"/>
              <w:ind w:right="1102"/>
              <w:spacing w:after="0"/>
              <w:rPr>
                <w:sz w:val="20"/>
                <w:szCs w:val="20"/>
                <w:color w:val="auto"/>
              </w:rPr>
            </w:pPr>
            <w:r>
              <w:rPr>
                <w:rFonts w:ascii="Arial" w:cs="Arial" w:eastAsia="Arial" w:hAnsi="Arial"/>
                <w:sz w:val="16"/>
                <w:szCs w:val="16"/>
                <w:color w:val="auto"/>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346</w:t>
            </w:r>
          </w:p>
        </w:tc>
      </w:tr>
      <w:tr>
        <w:trPr>
          <w:trHeight w:val="235"/>
        </w:trPr>
        <w:tc>
          <w:tcPr>
            <w:tcW w:w="6180" w:type="dxa"/>
            <w:vAlign w:val="bottom"/>
          </w:tcPr>
          <w:p>
            <w:pPr>
              <w:ind w:left="180"/>
              <w:spacing w:after="0"/>
              <w:rPr>
                <w:sz w:val="20"/>
                <w:szCs w:val="20"/>
                <w:color w:val="auto"/>
              </w:rPr>
            </w:pPr>
            <w:r>
              <w:rPr>
                <w:rFonts w:ascii="Arial" w:cs="Arial" w:eastAsia="Arial" w:hAnsi="Arial"/>
                <w:sz w:val="16"/>
                <w:szCs w:val="16"/>
                <w:color w:val="auto"/>
              </w:rPr>
              <w:t>Capitalization</w:t>
            </w:r>
          </w:p>
        </w:tc>
        <w:tc>
          <w:tcPr>
            <w:tcW w:w="13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332</w:t>
            </w:r>
          </w:p>
        </w:tc>
        <w:tc>
          <w:tcPr>
            <w:tcW w:w="1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319</w:t>
            </w:r>
          </w:p>
        </w:tc>
      </w:tr>
      <w:tr>
        <w:trPr>
          <w:trHeight w:val="232"/>
        </w:trPr>
        <w:tc>
          <w:tcPr>
            <w:tcW w:w="6180" w:type="dxa"/>
            <w:vAlign w:val="bottom"/>
          </w:tcPr>
          <w:p>
            <w:pPr>
              <w:ind w:left="180"/>
              <w:spacing w:after="0"/>
              <w:rPr>
                <w:sz w:val="20"/>
                <w:szCs w:val="20"/>
                <w:color w:val="auto"/>
              </w:rPr>
            </w:pPr>
            <w:r>
              <w:rPr>
                <w:rFonts w:ascii="Arial" w:cs="Arial" w:eastAsia="Arial" w:hAnsi="Arial"/>
                <w:sz w:val="16"/>
                <w:szCs w:val="16"/>
                <w:color w:val="auto"/>
              </w:rPr>
              <w:t>Amortization</w:t>
            </w:r>
          </w:p>
        </w:tc>
        <w:tc>
          <w:tcPr>
            <w:tcW w:w="130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w:t>
            </w:r>
          </w:p>
        </w:tc>
        <w:tc>
          <w:tcPr>
            <w:tcW w:w="100" w:type="dxa"/>
            <w:vAlign w:val="bottom"/>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w:t>
            </w:r>
          </w:p>
        </w:tc>
      </w:tr>
      <w:tr>
        <w:trPr>
          <w:trHeight w:val="196"/>
        </w:trPr>
        <w:tc>
          <w:tcPr>
            <w:tcW w:w="6180" w:type="dxa"/>
            <w:vAlign w:val="bottom"/>
          </w:tcPr>
          <w:p>
            <w:pPr>
              <w:spacing w:after="0"/>
              <w:rPr>
                <w:sz w:val="20"/>
                <w:szCs w:val="20"/>
                <w:color w:val="auto"/>
              </w:rPr>
            </w:pPr>
            <w:r>
              <w:rPr>
                <w:rFonts w:ascii="Arial" w:cs="Arial" w:eastAsia="Arial" w:hAnsi="Arial"/>
                <w:sz w:val="16"/>
                <w:szCs w:val="16"/>
                <w:b w:val="1"/>
                <w:bCs w:val="1"/>
                <w:color w:val="auto"/>
              </w:rPr>
              <w:t>Balance at December 31,</w:t>
            </w:r>
          </w:p>
        </w:tc>
        <w:tc>
          <w:tcPr>
            <w:tcW w:w="1300" w:type="dxa"/>
            <w:vAlign w:val="bottom"/>
          </w:tcPr>
          <w:p>
            <w:pPr>
              <w:jc w:val="right"/>
              <w:ind w:right="1102"/>
              <w:spacing w:after="0"/>
              <w:rPr>
                <w:sz w:val="20"/>
                <w:szCs w:val="20"/>
                <w:color w:val="auto"/>
              </w:rPr>
            </w:pPr>
            <w:r>
              <w:rPr>
                <w:rFonts w:ascii="Arial" w:cs="Arial" w:eastAsia="Arial" w:hAnsi="Arial"/>
                <w:sz w:val="16"/>
                <w:szCs w:val="16"/>
                <w:color w:val="auto"/>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891</w:t>
            </w:r>
          </w:p>
        </w:tc>
        <w:tc>
          <w:tcPr>
            <w:tcW w:w="1420" w:type="dxa"/>
            <w:vAlign w:val="bottom"/>
            <w:gridSpan w:val="2"/>
          </w:tcPr>
          <w:p>
            <w:pPr>
              <w:jc w:val="right"/>
              <w:ind w:right="1102"/>
              <w:spacing w:after="0"/>
              <w:rPr>
                <w:sz w:val="20"/>
                <w:szCs w:val="20"/>
                <w:color w:val="auto"/>
              </w:rPr>
            </w:pPr>
            <w:r>
              <w:rPr>
                <w:rFonts w:ascii="Arial" w:cs="Arial" w:eastAsia="Arial" w:hAnsi="Arial"/>
                <w:sz w:val="16"/>
                <w:szCs w:val="16"/>
                <w:color w:val="auto"/>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625</w:t>
            </w:r>
          </w:p>
        </w:tc>
      </w:tr>
      <w:tr>
        <w:trPr>
          <w:trHeight w:val="20"/>
        </w:trPr>
        <w:tc>
          <w:tcPr>
            <w:tcW w:w="618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-628015</wp:posOffset>
            </wp:positionV>
            <wp:extent cx="6410325" cy="6350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33">
                      <a:extLst>
                        <a:ext uri="{28A0092B-C50C-407E-A947-70E740481C1C}"/>
                      </a:extLst>
                    </a:blip>
                    <a:srcRect/>
                    <a:stretch>
                      <a:fillRect/>
                    </a:stretch>
                  </pic:blipFill>
                  <pic:spPr bwMode="auto">
                    <a:xfrm>
                      <a:off x="0" y="0"/>
                      <a:ext cx="6410325" cy="635000"/>
                    </a:xfrm>
                    <a:prstGeom prst="rect">
                      <a:avLst/>
                    </a:prstGeom>
                    <a:noFill/>
                  </pic:spPr>
                </pic:pic>
              </a:graphicData>
            </a:graphic>
          </wp:anchor>
        </w:drawing>
      </w:r>
    </w:p>
    <w:p>
      <w:pPr>
        <w:spacing w:after="0" w:line="76" w:lineRule="exact"/>
        <w:rPr>
          <w:sz w:val="20"/>
          <w:szCs w:val="20"/>
          <w:color w:val="auto"/>
        </w:rPr>
      </w:pPr>
    </w:p>
    <w:p>
      <w:pPr>
        <w:jc w:val="both"/>
        <w:ind w:firstLine="353"/>
        <w:spacing w:after="0" w:line="361" w:lineRule="auto"/>
        <w:rPr>
          <w:sz w:val="20"/>
          <w:szCs w:val="20"/>
          <w:color w:val="auto"/>
        </w:rPr>
      </w:pPr>
      <w:r>
        <w:rPr>
          <w:rFonts w:ascii="Arial" w:cs="Arial" w:eastAsia="Arial" w:hAnsi="Arial"/>
          <w:sz w:val="17"/>
          <w:szCs w:val="17"/>
          <w:color w:val="auto"/>
        </w:rPr>
        <w:t>DSI amortization expense of $66 million, $40 million, and $22 million, was recorded in Depreciation and amortization on the Consolidated Statements of Earnings for the years ended December 31, 2025, 2024, and 2023, respectively.</w:t>
      </w:r>
    </w:p>
    <w:p>
      <w:pPr>
        <w:spacing w:after="0" w:line="20" w:lineRule="exact"/>
        <w:rPr>
          <w:sz w:val="20"/>
          <w:szCs w:val="20"/>
          <w:color w:val="auto"/>
        </w:rPr>
      </w:pPr>
    </w:p>
    <w:p>
      <w:pPr>
        <w:jc w:val="both"/>
        <w:ind w:firstLine="353"/>
        <w:spacing w:after="0" w:line="262" w:lineRule="auto"/>
        <w:rPr>
          <w:sz w:val="20"/>
          <w:szCs w:val="20"/>
          <w:color w:val="auto"/>
        </w:rPr>
      </w:pPr>
      <w:r>
        <w:rPr>
          <w:rFonts w:ascii="Arial" w:cs="Arial" w:eastAsia="Arial" w:hAnsi="Arial"/>
          <w:sz w:val="19"/>
          <w:szCs w:val="19"/>
          <w:color w:val="auto"/>
        </w:rPr>
        <w:t xml:space="preserve">The cash flow assumptions used to amortize VOBA and DAC were consistent with the assumptions used to estimate the future policy benefits (“FPB”) for life contingent immediate annuities and PRT. Those assumptions will be reviewed and unlocked, if applicable, in the same period as those balances. For nonparticipating traditional life contracts, the VOBA amortization is straight-line, without the use of cash flow assumptions. For indexed annuity contracts, the cash flow assumptions used to amortize VOBA, DAC, and DSI were consistent with the assumptions used to estimate the value of the embedded derivative and MRBs, and will be reviewed and unlocked, if applicable, in the same period as those balances. For fixed rate annuities and IUL the cash flow assumptions used to amortize VOBA and DAC reflect the Company’s best estimates for policyholder behavior, consistent with the development of assumptions for indexed annuities and immediate annuities. Refer to Note A </w:t>
      </w:r>
      <w:r>
        <w:rPr>
          <w:rFonts w:ascii="Arial" w:cs="Arial" w:eastAsia="Arial" w:hAnsi="Arial"/>
          <w:sz w:val="19"/>
          <w:szCs w:val="19"/>
          <w:b w:val="1"/>
          <w:bCs w:val="1"/>
          <w:i w:val="1"/>
          <w:iCs w:val="1"/>
          <w:color w:val="auto"/>
        </w:rPr>
        <w:t>Business and Summary of Significant Accounting Policies</w:t>
      </w:r>
      <w:r>
        <w:rPr>
          <w:rFonts w:ascii="Arial" w:cs="Arial" w:eastAsia="Arial" w:hAnsi="Arial"/>
          <w:sz w:val="19"/>
          <w:szCs w:val="19"/>
          <w:color w:val="auto"/>
        </w:rPr>
        <w:t xml:space="preserve"> for further information about accounting policies for amortization of VOBA, DAC and DSI.</w:t>
      </w:r>
    </w:p>
    <w:p>
      <w:pPr>
        <w:spacing w:after="0" w:line="84" w:lineRule="exact"/>
        <w:rPr>
          <w:sz w:val="20"/>
          <w:szCs w:val="20"/>
          <w:color w:val="auto"/>
        </w:rPr>
      </w:pPr>
    </w:p>
    <w:p>
      <w:pPr>
        <w:jc w:val="both"/>
        <w:ind w:firstLine="353"/>
        <w:spacing w:after="0" w:line="261" w:lineRule="auto"/>
        <w:rPr>
          <w:sz w:val="20"/>
          <w:szCs w:val="20"/>
          <w:color w:val="auto"/>
        </w:rPr>
      </w:pPr>
      <w:r>
        <w:rPr>
          <w:rFonts w:ascii="Arial" w:cs="Arial" w:eastAsia="Arial" w:hAnsi="Arial"/>
          <w:sz w:val="19"/>
          <w:szCs w:val="19"/>
          <w:color w:val="auto"/>
        </w:rPr>
        <w:t>F&amp;G reviews cash flow assumptions annually, generally in the third quarter. In 2024 and 2025, F&amp;G undertook a review of all significant assumptions and revised several assumptions relating to their deferred annuity (indexed annuity and fixed rate annuity) and IUL products. For the year ended December 31, 2025, F&amp;G updated the assumption for option budgets, surrenders, lapses, mortality and mortality improvement, and free partial withdrawals. For the year ended December 31, 2024, F&amp;G updated assumptions including surrender rates, GMWB election timing, premium persistency, mortality improvement, and option budgets. For both periods, these assumption updates resulted in increased amortization rates on some DAC and DSI balances, primarily for indexed annuities. All updates to these assumptions brought F&amp;G more in line with internal and overall industry experience since the prior assumption update.</w:t>
      </w:r>
    </w:p>
    <w:p>
      <w:pPr>
        <w:jc w:val="both"/>
        <w:ind w:firstLine="353"/>
        <w:spacing w:after="0" w:line="250" w:lineRule="auto"/>
        <w:rPr>
          <w:sz w:val="20"/>
          <w:szCs w:val="20"/>
          <w:color w:val="auto"/>
        </w:rPr>
      </w:pPr>
      <w:r>
        <w:rPr>
          <w:rFonts w:ascii="Arial" w:cs="Arial" w:eastAsia="Arial" w:hAnsi="Arial"/>
          <w:sz w:val="20"/>
          <w:szCs w:val="20"/>
          <w:color w:val="auto"/>
        </w:rPr>
        <w:t>For the in-force liabilities as of December 31, 2025, the estimated amortization expense for VOBA in future fiscal periods is as follows:</w:t>
      </w:r>
    </w:p>
    <w:p>
      <w:pPr>
        <w:spacing w:after="0" w:line="26"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8180" w:type="dxa"/>
            <w:vAlign w:val="bottom"/>
          </w:tcPr>
          <w:p>
            <w:pPr>
              <w:spacing w:after="0"/>
              <w:rPr>
                <w:sz w:val="16"/>
                <w:szCs w:val="16"/>
                <w:color w:val="auto"/>
              </w:rPr>
            </w:pPr>
          </w:p>
        </w:tc>
        <w:tc>
          <w:tcPr>
            <w:tcW w:w="1820" w:type="dxa"/>
            <w:vAlign w:val="bottom"/>
            <w:gridSpan w:val="2"/>
          </w:tcPr>
          <w:p>
            <w:pPr>
              <w:jc w:val="center"/>
              <w:spacing w:after="0"/>
              <w:rPr>
                <w:sz w:val="20"/>
                <w:szCs w:val="20"/>
                <w:color w:val="auto"/>
              </w:rPr>
            </w:pPr>
            <w:r>
              <w:rPr>
                <w:rFonts w:ascii="Arial" w:cs="Arial" w:eastAsia="Arial" w:hAnsi="Arial"/>
                <w:sz w:val="16"/>
                <w:szCs w:val="16"/>
                <w:b w:val="1"/>
                <w:bCs w:val="1"/>
                <w:color w:val="auto"/>
                <w:w w:val="90"/>
              </w:rPr>
              <w:t>Estimated Amortization</w:t>
            </w:r>
          </w:p>
        </w:tc>
      </w:tr>
      <w:tr>
        <w:trPr>
          <w:trHeight w:val="210"/>
        </w:trPr>
        <w:tc>
          <w:tcPr>
            <w:tcW w:w="81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center"/>
              <w:ind w:right="216"/>
              <w:spacing w:after="0"/>
              <w:rPr>
                <w:sz w:val="20"/>
                <w:szCs w:val="20"/>
                <w:color w:val="auto"/>
              </w:rPr>
            </w:pPr>
            <w:r>
              <w:rPr>
                <w:rFonts w:ascii="Arial" w:cs="Arial" w:eastAsia="Arial" w:hAnsi="Arial"/>
                <w:sz w:val="16"/>
                <w:szCs w:val="16"/>
                <w:b w:val="1"/>
                <w:bCs w:val="1"/>
                <w:color w:val="auto"/>
                <w:w w:val="85"/>
              </w:rPr>
              <w:t>Expense</w:t>
            </w:r>
          </w:p>
        </w:tc>
      </w:tr>
      <w:tr>
        <w:trPr>
          <w:trHeight w:val="216"/>
        </w:trPr>
        <w:tc>
          <w:tcPr>
            <w:tcW w:w="8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00" w:type="dxa"/>
            <w:vAlign w:val="bottom"/>
          </w:tcPr>
          <w:p>
            <w:pPr>
              <w:jc w:val="center"/>
              <w:ind w:right="236"/>
              <w:spacing w:after="0"/>
              <w:rPr>
                <w:sz w:val="20"/>
                <w:szCs w:val="20"/>
                <w:color w:val="auto"/>
              </w:rPr>
            </w:pPr>
            <w:r>
              <w:rPr>
                <w:rFonts w:ascii="Arial" w:cs="Arial" w:eastAsia="Arial" w:hAnsi="Arial"/>
                <w:sz w:val="16"/>
                <w:szCs w:val="16"/>
                <w:b w:val="1"/>
                <w:bCs w:val="1"/>
                <w:color w:val="auto"/>
                <w:w w:val="91"/>
              </w:rPr>
              <w:t>(In millions)</w:t>
            </w:r>
          </w:p>
        </w:tc>
      </w:tr>
      <w:tr>
        <w:trPr>
          <w:trHeight w:val="229"/>
        </w:trPr>
        <w:tc>
          <w:tcPr>
            <w:tcW w:w="8180" w:type="dxa"/>
            <w:vAlign w:val="bottom"/>
          </w:tcPr>
          <w:p>
            <w:pPr>
              <w:spacing w:after="0"/>
              <w:rPr>
                <w:sz w:val="20"/>
                <w:szCs w:val="20"/>
                <w:color w:val="auto"/>
              </w:rPr>
            </w:pPr>
            <w:r>
              <w:rPr>
                <w:rFonts w:ascii="Arial" w:cs="Arial" w:eastAsia="Arial" w:hAnsi="Arial"/>
                <w:sz w:val="16"/>
                <w:szCs w:val="16"/>
                <w:color w:val="auto"/>
              </w:rPr>
              <w:t>2026</w:t>
            </w:r>
          </w:p>
        </w:tc>
        <w:tc>
          <w:tcPr>
            <w:tcW w:w="320" w:type="dxa"/>
            <w:vAlign w:val="bottom"/>
          </w:tcPr>
          <w:p>
            <w:pPr>
              <w:ind w:left="60"/>
              <w:spacing w:after="0"/>
              <w:rPr>
                <w:sz w:val="20"/>
                <w:szCs w:val="20"/>
                <w:color w:val="auto"/>
              </w:rPr>
            </w:pPr>
            <w:r>
              <w:rPr>
                <w:rFonts w:ascii="Arial" w:cs="Arial" w:eastAsia="Arial" w:hAnsi="Arial"/>
                <w:sz w:val="18"/>
                <w:szCs w:val="18"/>
                <w:color w:val="auto"/>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133</w:t>
            </w:r>
          </w:p>
        </w:tc>
      </w:tr>
      <w:tr>
        <w:trPr>
          <w:trHeight w:val="235"/>
        </w:trPr>
        <w:tc>
          <w:tcPr>
            <w:tcW w:w="8180" w:type="dxa"/>
            <w:vAlign w:val="bottom"/>
          </w:tcPr>
          <w:p>
            <w:pPr>
              <w:spacing w:after="0"/>
              <w:rPr>
                <w:sz w:val="20"/>
                <w:szCs w:val="20"/>
                <w:color w:val="auto"/>
              </w:rPr>
            </w:pPr>
            <w:r>
              <w:rPr>
                <w:rFonts w:ascii="Arial" w:cs="Arial" w:eastAsia="Arial" w:hAnsi="Arial"/>
                <w:sz w:val="16"/>
                <w:szCs w:val="16"/>
                <w:color w:val="auto"/>
              </w:rPr>
              <w:t>2027</w:t>
            </w:r>
          </w:p>
        </w:tc>
        <w:tc>
          <w:tcPr>
            <w:tcW w:w="32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120</w:t>
            </w:r>
          </w:p>
        </w:tc>
      </w:tr>
      <w:tr>
        <w:trPr>
          <w:trHeight w:val="235"/>
        </w:trPr>
        <w:tc>
          <w:tcPr>
            <w:tcW w:w="8180" w:type="dxa"/>
            <w:vAlign w:val="bottom"/>
          </w:tcPr>
          <w:p>
            <w:pPr>
              <w:spacing w:after="0"/>
              <w:rPr>
                <w:sz w:val="20"/>
                <w:szCs w:val="20"/>
                <w:color w:val="auto"/>
              </w:rPr>
            </w:pPr>
            <w:r>
              <w:rPr>
                <w:rFonts w:ascii="Arial" w:cs="Arial" w:eastAsia="Arial" w:hAnsi="Arial"/>
                <w:sz w:val="16"/>
                <w:szCs w:val="16"/>
                <w:color w:val="auto"/>
              </w:rPr>
              <w:t>2028</w:t>
            </w:r>
          </w:p>
        </w:tc>
        <w:tc>
          <w:tcPr>
            <w:tcW w:w="32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109</w:t>
            </w:r>
          </w:p>
        </w:tc>
      </w:tr>
      <w:tr>
        <w:trPr>
          <w:trHeight w:val="235"/>
        </w:trPr>
        <w:tc>
          <w:tcPr>
            <w:tcW w:w="8180" w:type="dxa"/>
            <w:vAlign w:val="bottom"/>
          </w:tcPr>
          <w:p>
            <w:pPr>
              <w:spacing w:after="0"/>
              <w:rPr>
                <w:sz w:val="20"/>
                <w:szCs w:val="20"/>
                <w:color w:val="auto"/>
              </w:rPr>
            </w:pPr>
            <w:r>
              <w:rPr>
                <w:rFonts w:ascii="Arial" w:cs="Arial" w:eastAsia="Arial" w:hAnsi="Arial"/>
                <w:sz w:val="16"/>
                <w:szCs w:val="16"/>
                <w:color w:val="auto"/>
              </w:rPr>
              <w:t>2029</w:t>
            </w:r>
          </w:p>
        </w:tc>
        <w:tc>
          <w:tcPr>
            <w:tcW w:w="32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99</w:t>
            </w:r>
          </w:p>
        </w:tc>
      </w:tr>
      <w:tr>
        <w:trPr>
          <w:trHeight w:val="235"/>
        </w:trPr>
        <w:tc>
          <w:tcPr>
            <w:tcW w:w="8180" w:type="dxa"/>
            <w:vAlign w:val="bottom"/>
          </w:tcPr>
          <w:p>
            <w:pPr>
              <w:spacing w:after="0"/>
              <w:rPr>
                <w:sz w:val="20"/>
                <w:szCs w:val="20"/>
                <w:color w:val="auto"/>
              </w:rPr>
            </w:pPr>
            <w:r>
              <w:rPr>
                <w:rFonts w:ascii="Arial" w:cs="Arial" w:eastAsia="Arial" w:hAnsi="Arial"/>
                <w:sz w:val="16"/>
                <w:szCs w:val="16"/>
                <w:color w:val="auto"/>
              </w:rPr>
              <w:t>2030</w:t>
            </w:r>
          </w:p>
        </w:tc>
        <w:tc>
          <w:tcPr>
            <w:tcW w:w="32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90</w:t>
            </w:r>
          </w:p>
        </w:tc>
      </w:tr>
      <w:tr>
        <w:trPr>
          <w:trHeight w:val="241"/>
        </w:trPr>
        <w:tc>
          <w:tcPr>
            <w:tcW w:w="8180" w:type="dxa"/>
            <w:vAlign w:val="bottom"/>
          </w:tcPr>
          <w:p>
            <w:pPr>
              <w:spacing w:after="0"/>
              <w:rPr>
                <w:sz w:val="20"/>
                <w:szCs w:val="20"/>
                <w:color w:val="auto"/>
              </w:rPr>
            </w:pPr>
            <w:r>
              <w:rPr>
                <w:rFonts w:ascii="Arial" w:cs="Arial" w:eastAsia="Arial" w:hAnsi="Arial"/>
                <w:sz w:val="16"/>
                <w:szCs w:val="16"/>
                <w:color w:val="auto"/>
              </w:rPr>
              <w:t>Thereafter</w:t>
            </w:r>
          </w:p>
        </w:tc>
        <w:tc>
          <w:tcPr>
            <w:tcW w:w="32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645</w:t>
            </w:r>
          </w:p>
        </w:tc>
      </w:tr>
      <w:tr>
        <w:trPr>
          <w:trHeight w:val="196"/>
        </w:trPr>
        <w:tc>
          <w:tcPr>
            <w:tcW w:w="8180" w:type="dxa"/>
            <w:vAlign w:val="bottom"/>
          </w:tcPr>
          <w:p>
            <w:pPr>
              <w:ind w:left="120"/>
              <w:spacing w:after="0"/>
              <w:rPr>
                <w:sz w:val="20"/>
                <w:szCs w:val="20"/>
                <w:color w:val="auto"/>
              </w:rPr>
            </w:pPr>
            <w:r>
              <w:rPr>
                <w:rFonts w:ascii="Arial" w:cs="Arial" w:eastAsia="Arial" w:hAnsi="Arial"/>
                <w:sz w:val="16"/>
                <w:szCs w:val="16"/>
                <w:b w:val="1"/>
                <w:bCs w:val="1"/>
                <w:color w:val="auto"/>
              </w:rPr>
              <w:t>Total</w:t>
            </w:r>
          </w:p>
        </w:tc>
        <w:tc>
          <w:tcPr>
            <w:tcW w:w="32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1,196</w:t>
            </w:r>
          </w:p>
        </w:tc>
      </w:tr>
      <w:tr>
        <w:trPr>
          <w:trHeight w:val="20"/>
        </w:trPr>
        <w:tc>
          <w:tcPr>
            <w:tcW w:w="8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-1076325</wp:posOffset>
            </wp:positionV>
            <wp:extent cx="6410325" cy="108331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34">
                      <a:extLst>
                        <a:ext uri="{28A0092B-C50C-407E-A947-70E740481C1C}"/>
                      </a:extLst>
                    </a:blip>
                    <a:srcRect/>
                    <a:stretch>
                      <a:fillRect/>
                    </a:stretch>
                  </pic:blipFill>
                  <pic:spPr bwMode="auto">
                    <a:xfrm>
                      <a:off x="0" y="0"/>
                      <a:ext cx="6410325" cy="1083310"/>
                    </a:xfrm>
                    <a:prstGeom prst="rect">
                      <a:avLst/>
                    </a:prstGeom>
                    <a:noFill/>
                  </pic:spPr>
                </pic:pic>
              </a:graphicData>
            </a:graphic>
          </wp:anchor>
        </w:drawing>
      </w:r>
    </w:p>
    <w:p>
      <w:pPr>
        <w:sectPr>
          <w:pgSz w:w="11880" w:h="15480" w:orient="portrait"/>
          <w:cols w:equalWidth="0" w:num="1">
            <w:col w:w="10040"/>
          </w:cols>
          <w:pgMar w:left="920" w:top="772"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162</w:t>
      </w:r>
    </w:p>
    <w:p>
      <w:pPr>
        <w:sectPr>
          <w:pgSz w:w="11880" w:h="15480" w:orient="portrait"/>
          <w:cols w:equalWidth="0" w:num="1">
            <w:col w:w="10040"/>
          </w:cols>
          <w:pgMar w:left="920" w:top="772" w:right="920" w:bottom="0" w:gutter="0" w:footer="0" w:header="0"/>
          <w:type w:val="continuous"/>
        </w:sectPr>
      </w:pPr>
    </w:p>
    <w:bookmarkStart w:id="174" w:name="page175"/>
    <w:bookmarkEnd w:id="174"/>
    <w:p>
      <w:pPr>
        <w:spacing w:after="0"/>
        <w:rPr>
          <w:sz w:val="20"/>
          <w:szCs w:val="20"/>
          <w:color w:val="auto"/>
        </w:rPr>
      </w:pPr>
      <w:r>
        <w:rPr>
          <w:rFonts w:ascii="Arial" w:cs="Arial" w:eastAsia="Arial" w:hAnsi="Arial"/>
          <w:sz w:val="20"/>
          <w:szCs w:val="20"/>
          <w:b w:val="1"/>
          <w:bCs w:val="1"/>
          <w:i w:val="1"/>
          <w:iCs w:val="1"/>
          <w:color w:val="auto"/>
        </w:rPr>
        <w:t>Definite and Indefinite Lived Other Intangible Assets</w:t>
      </w:r>
    </w:p>
    <w:p>
      <w:pPr>
        <w:spacing w:after="0" w:line="125" w:lineRule="exact"/>
        <w:rPr>
          <w:sz w:val="20"/>
          <w:szCs w:val="20"/>
          <w:color w:val="auto"/>
        </w:rPr>
      </w:pPr>
    </w:p>
    <w:p>
      <w:pPr>
        <w:ind w:left="340"/>
        <w:spacing w:after="0"/>
        <w:rPr>
          <w:sz w:val="20"/>
          <w:szCs w:val="20"/>
          <w:color w:val="auto"/>
        </w:rPr>
      </w:pPr>
      <w:r>
        <w:rPr>
          <w:rFonts w:ascii="Arial" w:cs="Arial" w:eastAsia="Arial" w:hAnsi="Arial"/>
          <w:sz w:val="20"/>
          <w:szCs w:val="20"/>
          <w:color w:val="auto"/>
        </w:rPr>
        <w:t>Other intangible assets as of December 31, 2025, consist of the following:</w:t>
      </w:r>
    </w:p>
    <w:p>
      <w:pPr>
        <w:spacing w:after="0" w:line="250"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4460" w:type="dxa"/>
            <w:vAlign w:val="bottom"/>
          </w:tcPr>
          <w:p>
            <w:pPr>
              <w:spacing w:after="0"/>
              <w:rPr>
                <w:sz w:val="16"/>
                <w:szCs w:val="16"/>
                <w:color w:val="auto"/>
              </w:rPr>
            </w:pPr>
          </w:p>
        </w:tc>
        <w:tc>
          <w:tcPr>
            <w:tcW w:w="920" w:type="dxa"/>
            <w:vAlign w:val="bottom"/>
            <w:vMerge w:val="restart"/>
          </w:tcPr>
          <w:p>
            <w:pPr>
              <w:jc w:val="right"/>
              <w:ind w:right="22"/>
              <w:spacing w:after="0"/>
              <w:rPr>
                <w:sz w:val="20"/>
                <w:szCs w:val="20"/>
                <w:color w:val="auto"/>
              </w:rPr>
            </w:pPr>
            <w:r>
              <w:rPr>
                <w:rFonts w:ascii="Arial" w:cs="Arial" w:eastAsia="Arial" w:hAnsi="Arial"/>
                <w:sz w:val="16"/>
                <w:szCs w:val="16"/>
                <w:b w:val="1"/>
                <w:bCs w:val="1"/>
                <w:color w:val="auto"/>
              </w:rPr>
              <w:t>Cost</w:t>
            </w:r>
          </w:p>
        </w:tc>
        <w:tc>
          <w:tcPr>
            <w:tcW w:w="4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tcPr>
          <w:p>
            <w:pPr>
              <w:jc w:val="right"/>
              <w:ind w:right="122"/>
              <w:spacing w:after="0"/>
              <w:rPr>
                <w:sz w:val="20"/>
                <w:szCs w:val="20"/>
                <w:color w:val="auto"/>
              </w:rPr>
            </w:pPr>
            <w:r>
              <w:rPr>
                <w:rFonts w:ascii="Arial" w:cs="Arial" w:eastAsia="Arial" w:hAnsi="Arial"/>
                <w:sz w:val="16"/>
                <w:szCs w:val="16"/>
                <w:b w:val="1"/>
                <w:bCs w:val="1"/>
                <w:color w:val="auto"/>
                <w:w w:val="89"/>
              </w:rPr>
              <w:t>Accumulated</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tcPr>
          <w:p>
            <w:pPr>
              <w:jc w:val="right"/>
              <w:ind w:right="140"/>
              <w:spacing w:after="0"/>
              <w:rPr>
                <w:sz w:val="20"/>
                <w:szCs w:val="20"/>
                <w:color w:val="auto"/>
              </w:rPr>
            </w:pPr>
            <w:r>
              <w:rPr>
                <w:rFonts w:ascii="Arial" w:cs="Arial" w:eastAsia="Arial" w:hAnsi="Arial"/>
                <w:sz w:val="16"/>
                <w:szCs w:val="16"/>
                <w:b w:val="1"/>
                <w:bCs w:val="1"/>
                <w:color w:val="auto"/>
                <w:w w:val="94"/>
              </w:rPr>
              <w:t>Net carrying</w:t>
            </w:r>
          </w:p>
        </w:tc>
        <w:tc>
          <w:tcPr>
            <w:tcW w:w="80" w:type="dxa"/>
            <w:vAlign w:val="bottom"/>
          </w:tcPr>
          <w:p>
            <w:pPr>
              <w:spacing w:after="0"/>
              <w:rPr>
                <w:sz w:val="16"/>
                <w:szCs w:val="16"/>
                <w:color w:val="auto"/>
              </w:rPr>
            </w:pPr>
          </w:p>
        </w:tc>
        <w:tc>
          <w:tcPr>
            <w:tcW w:w="1360" w:type="dxa"/>
            <w:vAlign w:val="bottom"/>
          </w:tcPr>
          <w:p>
            <w:pPr>
              <w:jc w:val="center"/>
              <w:spacing w:after="0"/>
              <w:rPr>
                <w:sz w:val="20"/>
                <w:szCs w:val="20"/>
                <w:color w:val="auto"/>
              </w:rPr>
            </w:pPr>
            <w:r>
              <w:rPr>
                <w:rFonts w:ascii="Arial" w:cs="Arial" w:eastAsia="Arial" w:hAnsi="Arial"/>
                <w:sz w:val="16"/>
                <w:szCs w:val="16"/>
                <w:b w:val="1"/>
                <w:bCs w:val="1"/>
                <w:color w:val="auto"/>
                <w:w w:val="87"/>
              </w:rPr>
              <w:t>Weighted average</w:t>
            </w:r>
          </w:p>
        </w:tc>
        <w:tc>
          <w:tcPr>
            <w:tcW w:w="0" w:type="dxa"/>
            <w:vAlign w:val="bottom"/>
          </w:tcPr>
          <w:p>
            <w:pPr>
              <w:spacing w:after="0"/>
              <w:rPr>
                <w:sz w:val="1"/>
                <w:szCs w:val="1"/>
                <w:color w:val="auto"/>
              </w:rPr>
            </w:pPr>
          </w:p>
        </w:tc>
      </w:tr>
      <w:tr>
        <w:trPr>
          <w:trHeight w:val="210"/>
        </w:trPr>
        <w:tc>
          <w:tcPr>
            <w:tcW w:w="4460" w:type="dxa"/>
            <w:vAlign w:val="bottom"/>
          </w:tcPr>
          <w:p>
            <w:pPr>
              <w:spacing w:after="0"/>
              <w:rPr>
                <w:sz w:val="18"/>
                <w:szCs w:val="18"/>
                <w:color w:val="auto"/>
              </w:rPr>
            </w:pPr>
          </w:p>
        </w:tc>
        <w:tc>
          <w:tcPr>
            <w:tcW w:w="920" w:type="dxa"/>
            <w:vAlign w:val="bottom"/>
            <w:tcBorders>
              <w:bottom w:val="single" w:sz="8" w:color="auto"/>
            </w:tcBorders>
            <w:vMerge w:val="continue"/>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42"/>
              <w:spacing w:after="0"/>
              <w:rPr>
                <w:sz w:val="20"/>
                <w:szCs w:val="20"/>
                <w:color w:val="auto"/>
              </w:rPr>
            </w:pPr>
            <w:r>
              <w:rPr>
                <w:rFonts w:ascii="Arial" w:cs="Arial" w:eastAsia="Arial" w:hAnsi="Arial"/>
                <w:sz w:val="16"/>
                <w:szCs w:val="16"/>
                <w:b w:val="1"/>
                <w:bCs w:val="1"/>
                <w:color w:val="auto"/>
                <w:w w:val="92"/>
              </w:rPr>
              <w:t>amortization</w:t>
            </w:r>
          </w:p>
        </w:tc>
        <w:tc>
          <w:tcPr>
            <w:tcW w:w="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20"/>
              <w:spacing w:after="0"/>
              <w:rPr>
                <w:sz w:val="20"/>
                <w:szCs w:val="20"/>
                <w:color w:val="auto"/>
              </w:rPr>
            </w:pPr>
            <w:r>
              <w:rPr>
                <w:rFonts w:ascii="Arial" w:cs="Arial" w:eastAsia="Arial" w:hAnsi="Arial"/>
                <w:sz w:val="16"/>
                <w:szCs w:val="16"/>
                <w:b w:val="1"/>
                <w:bCs w:val="1"/>
                <w:color w:val="auto"/>
              </w:rPr>
              <w:t>amount</w:t>
            </w:r>
          </w:p>
        </w:tc>
        <w:tc>
          <w:tcPr>
            <w:tcW w:w="80" w:type="dxa"/>
            <w:vAlign w:val="bottom"/>
          </w:tcPr>
          <w:p>
            <w:pPr>
              <w:spacing w:after="0"/>
              <w:rPr>
                <w:sz w:val="18"/>
                <w:szCs w:val="18"/>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useful life (years)</w:t>
            </w:r>
          </w:p>
        </w:tc>
        <w:tc>
          <w:tcPr>
            <w:tcW w:w="0" w:type="dxa"/>
            <w:vAlign w:val="bottom"/>
          </w:tcPr>
          <w:p>
            <w:pPr>
              <w:spacing w:after="0"/>
              <w:rPr>
                <w:sz w:val="1"/>
                <w:szCs w:val="1"/>
                <w:color w:val="auto"/>
              </w:rPr>
            </w:pPr>
          </w:p>
        </w:tc>
      </w:tr>
      <w:tr>
        <w:trPr>
          <w:trHeight w:val="208"/>
        </w:trPr>
        <w:tc>
          <w:tcPr>
            <w:tcW w:w="4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500" w:type="dxa"/>
            <w:vAlign w:val="bottom"/>
            <w:gridSpan w:val="4"/>
          </w:tcPr>
          <w:p>
            <w:pPr>
              <w:jc w:val="right"/>
              <w:ind w:right="800"/>
              <w:spacing w:after="0"/>
              <w:rPr>
                <w:sz w:val="20"/>
                <w:szCs w:val="20"/>
                <w:color w:val="auto"/>
              </w:rPr>
            </w:pPr>
            <w:r>
              <w:rPr>
                <w:rFonts w:ascii="Arial" w:cs="Arial" w:eastAsia="Arial" w:hAnsi="Arial"/>
                <w:sz w:val="16"/>
                <w:szCs w:val="16"/>
                <w:b w:val="1"/>
                <w:bCs w:val="1"/>
                <w:color w:val="auto"/>
              </w:rPr>
              <w:t>(In millions)</w:t>
            </w:r>
          </w:p>
        </w:tc>
        <w:tc>
          <w:tcPr>
            <w:tcW w:w="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4460" w:type="dxa"/>
            <w:vAlign w:val="bottom"/>
          </w:tcPr>
          <w:p>
            <w:pPr>
              <w:spacing w:after="0"/>
              <w:rPr>
                <w:sz w:val="20"/>
                <w:szCs w:val="20"/>
                <w:color w:val="auto"/>
              </w:rPr>
            </w:pPr>
            <w:r>
              <w:rPr>
                <w:rFonts w:ascii="Arial" w:cs="Arial" w:eastAsia="Arial" w:hAnsi="Arial"/>
                <w:sz w:val="16"/>
                <w:szCs w:val="16"/>
                <w:color w:val="auto"/>
              </w:rPr>
              <w:t>Customer relationships and contracts (a)</w:t>
            </w:r>
          </w:p>
        </w:tc>
        <w:tc>
          <w:tcPr>
            <w:tcW w:w="920" w:type="dxa"/>
            <w:vAlign w:val="bottom"/>
          </w:tcPr>
          <w:p>
            <w:pPr>
              <w:jc w:val="right"/>
              <w:ind w:right="702"/>
              <w:spacing w:after="0"/>
              <w:rPr>
                <w:sz w:val="20"/>
                <w:szCs w:val="20"/>
                <w:color w:val="auto"/>
              </w:rPr>
            </w:pPr>
            <w:r>
              <w:rPr>
                <w:rFonts w:ascii="Arial" w:cs="Arial" w:eastAsia="Arial" w:hAnsi="Arial"/>
                <w:sz w:val="16"/>
                <w:szCs w:val="16"/>
                <w:color w:val="auto"/>
              </w:rPr>
              <w:t>$</w:t>
            </w:r>
          </w:p>
        </w:tc>
        <w:tc>
          <w:tcPr>
            <w:tcW w:w="400" w:type="dxa"/>
            <w:vAlign w:val="bottom"/>
          </w:tcPr>
          <w:p>
            <w:pPr>
              <w:jc w:val="right"/>
              <w:ind w:right="2"/>
              <w:spacing w:after="0"/>
              <w:rPr>
                <w:sz w:val="20"/>
                <w:szCs w:val="20"/>
                <w:color w:val="auto"/>
              </w:rPr>
            </w:pPr>
            <w:r>
              <w:rPr>
                <w:rFonts w:ascii="Arial" w:cs="Arial" w:eastAsia="Arial" w:hAnsi="Arial"/>
                <w:sz w:val="16"/>
                <w:szCs w:val="16"/>
                <w:color w:val="auto"/>
              </w:rPr>
              <w:t>760</w:t>
            </w:r>
          </w:p>
        </w:tc>
        <w:tc>
          <w:tcPr>
            <w:tcW w:w="24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(411)</w:t>
            </w:r>
          </w:p>
        </w:tc>
        <w:tc>
          <w:tcPr>
            <w:tcW w:w="260" w:type="dxa"/>
            <w:vAlign w:val="bottom"/>
            <w:gridSpan w:val="2"/>
          </w:tcPr>
          <w:p>
            <w:pPr>
              <w:ind w:left="120"/>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349</w:t>
            </w:r>
          </w:p>
        </w:tc>
        <w:tc>
          <w:tcPr>
            <w:tcW w:w="80" w:type="dxa"/>
            <w:vAlign w:val="bottom"/>
          </w:tcPr>
          <w:p>
            <w:pPr>
              <w:spacing w:after="0"/>
              <w:rPr>
                <w:sz w:val="20"/>
                <w:szCs w:val="20"/>
                <w:color w:val="auto"/>
              </w:rPr>
            </w:pPr>
          </w:p>
        </w:tc>
        <w:tc>
          <w:tcPr>
            <w:tcW w:w="1360" w:type="dxa"/>
            <w:vAlign w:val="bottom"/>
          </w:tcPr>
          <w:p>
            <w:pPr>
              <w:jc w:val="center"/>
              <w:spacing w:after="0"/>
              <w:rPr>
                <w:sz w:val="20"/>
                <w:szCs w:val="20"/>
                <w:color w:val="auto"/>
              </w:rPr>
            </w:pPr>
            <w:r>
              <w:rPr>
                <w:rFonts w:ascii="Arial" w:cs="Arial" w:eastAsia="Arial" w:hAnsi="Arial"/>
                <w:sz w:val="16"/>
                <w:szCs w:val="16"/>
                <w:color w:val="auto"/>
                <w:w w:val="89"/>
              </w:rPr>
              <w:t>10 to 20</w:t>
            </w:r>
          </w:p>
        </w:tc>
        <w:tc>
          <w:tcPr>
            <w:tcW w:w="0" w:type="dxa"/>
            <w:vAlign w:val="bottom"/>
          </w:tcPr>
          <w:p>
            <w:pPr>
              <w:spacing w:after="0"/>
              <w:rPr>
                <w:sz w:val="1"/>
                <w:szCs w:val="1"/>
                <w:color w:val="auto"/>
              </w:rPr>
            </w:pPr>
          </w:p>
        </w:tc>
      </w:tr>
      <w:tr>
        <w:trPr>
          <w:trHeight w:val="235"/>
        </w:trPr>
        <w:tc>
          <w:tcPr>
            <w:tcW w:w="4460" w:type="dxa"/>
            <w:vAlign w:val="bottom"/>
          </w:tcPr>
          <w:p>
            <w:pPr>
              <w:spacing w:after="0"/>
              <w:rPr>
                <w:sz w:val="20"/>
                <w:szCs w:val="20"/>
                <w:color w:val="auto"/>
              </w:rPr>
            </w:pPr>
            <w:r>
              <w:rPr>
                <w:rFonts w:ascii="Arial" w:cs="Arial" w:eastAsia="Arial" w:hAnsi="Arial"/>
                <w:sz w:val="16"/>
                <w:szCs w:val="16"/>
                <w:color w:val="auto"/>
              </w:rPr>
              <w:t>Computer software</w:t>
            </w:r>
          </w:p>
        </w:tc>
        <w:tc>
          <w:tcPr>
            <w:tcW w:w="920" w:type="dxa"/>
            <w:vAlign w:val="bottom"/>
          </w:tcPr>
          <w:p>
            <w:pPr>
              <w:spacing w:after="0"/>
              <w:rPr>
                <w:sz w:val="20"/>
                <w:szCs w:val="20"/>
                <w:color w:val="auto"/>
              </w:rPr>
            </w:pPr>
          </w:p>
        </w:tc>
        <w:tc>
          <w:tcPr>
            <w:tcW w:w="400" w:type="dxa"/>
            <w:vAlign w:val="bottom"/>
          </w:tcPr>
          <w:p>
            <w:pPr>
              <w:jc w:val="right"/>
              <w:ind w:right="2"/>
              <w:spacing w:after="0"/>
              <w:rPr>
                <w:sz w:val="20"/>
                <w:szCs w:val="20"/>
                <w:color w:val="auto"/>
              </w:rPr>
            </w:pPr>
            <w:r>
              <w:rPr>
                <w:rFonts w:ascii="Arial" w:cs="Arial" w:eastAsia="Arial" w:hAnsi="Arial"/>
                <w:sz w:val="16"/>
                <w:szCs w:val="16"/>
                <w:color w:val="auto"/>
              </w:rPr>
              <w:t>747</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(458)</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289</w:t>
            </w:r>
          </w:p>
        </w:tc>
        <w:tc>
          <w:tcPr>
            <w:tcW w:w="80" w:type="dxa"/>
            <w:vAlign w:val="bottom"/>
          </w:tcPr>
          <w:p>
            <w:pPr>
              <w:spacing w:after="0"/>
              <w:rPr>
                <w:sz w:val="20"/>
                <w:szCs w:val="20"/>
                <w:color w:val="auto"/>
              </w:rPr>
            </w:pPr>
          </w:p>
        </w:tc>
        <w:tc>
          <w:tcPr>
            <w:tcW w:w="1360" w:type="dxa"/>
            <w:vAlign w:val="bottom"/>
          </w:tcPr>
          <w:p>
            <w:pPr>
              <w:jc w:val="center"/>
              <w:spacing w:after="0"/>
              <w:rPr>
                <w:sz w:val="20"/>
                <w:szCs w:val="20"/>
                <w:color w:val="auto"/>
              </w:rPr>
            </w:pPr>
            <w:r>
              <w:rPr>
                <w:rFonts w:ascii="Arial" w:cs="Arial" w:eastAsia="Arial" w:hAnsi="Arial"/>
                <w:sz w:val="16"/>
                <w:szCs w:val="16"/>
                <w:color w:val="auto"/>
                <w:w w:val="89"/>
              </w:rPr>
              <w:t>2 to 10</w:t>
            </w:r>
          </w:p>
        </w:tc>
        <w:tc>
          <w:tcPr>
            <w:tcW w:w="0" w:type="dxa"/>
            <w:vAlign w:val="bottom"/>
          </w:tcPr>
          <w:p>
            <w:pPr>
              <w:spacing w:after="0"/>
              <w:rPr>
                <w:sz w:val="1"/>
                <w:szCs w:val="1"/>
                <w:color w:val="auto"/>
              </w:rPr>
            </w:pPr>
          </w:p>
        </w:tc>
      </w:tr>
      <w:tr>
        <w:trPr>
          <w:trHeight w:val="235"/>
        </w:trPr>
        <w:tc>
          <w:tcPr>
            <w:tcW w:w="4460" w:type="dxa"/>
            <w:vAlign w:val="bottom"/>
          </w:tcPr>
          <w:p>
            <w:pPr>
              <w:spacing w:after="0"/>
              <w:rPr>
                <w:sz w:val="20"/>
                <w:szCs w:val="20"/>
                <w:color w:val="auto"/>
              </w:rPr>
            </w:pPr>
            <w:r>
              <w:rPr>
                <w:rFonts w:ascii="Arial" w:cs="Arial" w:eastAsia="Arial" w:hAnsi="Arial"/>
                <w:sz w:val="16"/>
                <w:szCs w:val="16"/>
                <w:color w:val="auto"/>
              </w:rPr>
              <w:t>Value of distribution asset (VODA)</w:t>
            </w:r>
          </w:p>
        </w:tc>
        <w:tc>
          <w:tcPr>
            <w:tcW w:w="920" w:type="dxa"/>
            <w:vAlign w:val="bottom"/>
          </w:tcPr>
          <w:p>
            <w:pPr>
              <w:spacing w:after="0"/>
              <w:rPr>
                <w:sz w:val="20"/>
                <w:szCs w:val="20"/>
                <w:color w:val="auto"/>
              </w:rPr>
            </w:pPr>
          </w:p>
        </w:tc>
        <w:tc>
          <w:tcPr>
            <w:tcW w:w="400" w:type="dxa"/>
            <w:vAlign w:val="bottom"/>
          </w:tcPr>
          <w:p>
            <w:pPr>
              <w:jc w:val="right"/>
              <w:ind w:right="2"/>
              <w:spacing w:after="0"/>
              <w:rPr>
                <w:sz w:val="20"/>
                <w:szCs w:val="20"/>
                <w:color w:val="auto"/>
              </w:rPr>
            </w:pPr>
            <w:r>
              <w:rPr>
                <w:rFonts w:ascii="Arial" w:cs="Arial" w:eastAsia="Arial" w:hAnsi="Arial"/>
                <w:sz w:val="16"/>
                <w:szCs w:val="16"/>
                <w:color w:val="auto"/>
              </w:rPr>
              <w:t>140</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(78)</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62</w:t>
            </w:r>
          </w:p>
        </w:tc>
        <w:tc>
          <w:tcPr>
            <w:tcW w:w="1440" w:type="dxa"/>
            <w:vAlign w:val="bottom"/>
            <w:gridSpan w:val="2"/>
          </w:tcPr>
          <w:p>
            <w:pPr>
              <w:jc w:val="center"/>
              <w:ind w:left="2"/>
              <w:spacing w:after="0"/>
              <w:rPr>
                <w:sz w:val="20"/>
                <w:szCs w:val="20"/>
                <w:color w:val="auto"/>
              </w:rPr>
            </w:pPr>
            <w:r>
              <w:rPr>
                <w:rFonts w:ascii="Arial" w:cs="Arial" w:eastAsia="Arial" w:hAnsi="Arial"/>
                <w:sz w:val="16"/>
                <w:szCs w:val="16"/>
                <w:color w:val="auto"/>
                <w:w w:val="89"/>
              </w:rPr>
              <w:t>15</w:t>
            </w:r>
          </w:p>
        </w:tc>
        <w:tc>
          <w:tcPr>
            <w:tcW w:w="0" w:type="dxa"/>
            <w:vAlign w:val="bottom"/>
          </w:tcPr>
          <w:p>
            <w:pPr>
              <w:spacing w:after="0"/>
              <w:rPr>
                <w:sz w:val="1"/>
                <w:szCs w:val="1"/>
                <w:color w:val="auto"/>
              </w:rPr>
            </w:pPr>
          </w:p>
        </w:tc>
      </w:tr>
      <w:tr>
        <w:trPr>
          <w:trHeight w:val="242"/>
        </w:trPr>
        <w:tc>
          <w:tcPr>
            <w:tcW w:w="4460" w:type="dxa"/>
            <w:vAlign w:val="bottom"/>
          </w:tcPr>
          <w:p>
            <w:pPr>
              <w:spacing w:after="0"/>
              <w:rPr>
                <w:sz w:val="20"/>
                <w:szCs w:val="20"/>
                <w:color w:val="auto"/>
              </w:rPr>
            </w:pPr>
            <w:r>
              <w:rPr>
                <w:rFonts w:ascii="Arial" w:cs="Arial" w:eastAsia="Arial" w:hAnsi="Arial"/>
                <w:sz w:val="16"/>
                <w:szCs w:val="16"/>
                <w:color w:val="auto"/>
              </w:rPr>
              <w:t>Trademarks, tradenames, and other</w:t>
            </w:r>
          </w:p>
        </w:tc>
        <w:tc>
          <w:tcPr>
            <w:tcW w:w="920" w:type="dxa"/>
            <w:vAlign w:val="bottom"/>
          </w:tcPr>
          <w:p>
            <w:pPr>
              <w:spacing w:after="0"/>
              <w:rPr>
                <w:sz w:val="21"/>
                <w:szCs w:val="21"/>
                <w:color w:val="auto"/>
              </w:rPr>
            </w:pPr>
          </w:p>
        </w:tc>
        <w:tc>
          <w:tcPr>
            <w:tcW w:w="400" w:type="dxa"/>
            <w:vAlign w:val="bottom"/>
          </w:tcPr>
          <w:p>
            <w:pPr>
              <w:jc w:val="right"/>
              <w:ind w:right="2"/>
              <w:spacing w:after="0"/>
              <w:rPr>
                <w:sz w:val="20"/>
                <w:szCs w:val="20"/>
                <w:color w:val="auto"/>
              </w:rPr>
            </w:pPr>
            <w:r>
              <w:rPr>
                <w:rFonts w:ascii="Arial" w:cs="Arial" w:eastAsia="Arial" w:hAnsi="Arial"/>
                <w:sz w:val="16"/>
                <w:szCs w:val="16"/>
                <w:color w:val="auto"/>
              </w:rPr>
              <w:t>289</w:t>
            </w: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(72)</w:t>
            </w:r>
          </w:p>
        </w:tc>
        <w:tc>
          <w:tcPr>
            <w:tcW w:w="8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217</w:t>
            </w:r>
          </w:p>
        </w:tc>
        <w:tc>
          <w:tcPr>
            <w:tcW w:w="80" w:type="dxa"/>
            <w:vAlign w:val="bottom"/>
          </w:tcPr>
          <w:p>
            <w:pPr>
              <w:spacing w:after="0"/>
              <w:rPr>
                <w:sz w:val="21"/>
                <w:szCs w:val="21"/>
                <w:color w:val="auto"/>
              </w:rPr>
            </w:pPr>
          </w:p>
        </w:tc>
        <w:tc>
          <w:tcPr>
            <w:tcW w:w="1360" w:type="dxa"/>
            <w:vAlign w:val="bottom"/>
          </w:tcPr>
          <w:p>
            <w:pPr>
              <w:jc w:val="center"/>
              <w:spacing w:after="0"/>
              <w:rPr>
                <w:sz w:val="20"/>
                <w:szCs w:val="20"/>
                <w:color w:val="auto"/>
              </w:rPr>
            </w:pPr>
            <w:r>
              <w:rPr>
                <w:rFonts w:ascii="Arial" w:cs="Arial" w:eastAsia="Arial" w:hAnsi="Arial"/>
                <w:sz w:val="16"/>
                <w:szCs w:val="16"/>
                <w:color w:val="auto"/>
                <w:w w:val="88"/>
              </w:rPr>
              <w:t>Varies</w:t>
            </w:r>
          </w:p>
        </w:tc>
        <w:tc>
          <w:tcPr>
            <w:tcW w:w="0" w:type="dxa"/>
            <w:vAlign w:val="bottom"/>
          </w:tcPr>
          <w:p>
            <w:pPr>
              <w:spacing w:after="0"/>
              <w:rPr>
                <w:sz w:val="1"/>
                <w:szCs w:val="1"/>
                <w:color w:val="auto"/>
              </w:rPr>
            </w:pPr>
          </w:p>
        </w:tc>
      </w:tr>
      <w:tr>
        <w:trPr>
          <w:trHeight w:val="196"/>
        </w:trPr>
        <w:tc>
          <w:tcPr>
            <w:tcW w:w="4460" w:type="dxa"/>
            <w:vAlign w:val="bottom"/>
          </w:tcPr>
          <w:p>
            <w:pPr>
              <w:spacing w:after="0"/>
              <w:rPr>
                <w:sz w:val="20"/>
                <w:szCs w:val="20"/>
                <w:color w:val="auto"/>
              </w:rPr>
            </w:pPr>
            <w:r>
              <w:rPr>
                <w:rFonts w:ascii="Arial" w:cs="Arial" w:eastAsia="Arial" w:hAnsi="Arial"/>
                <w:sz w:val="16"/>
                <w:szCs w:val="16"/>
                <w:color w:val="auto"/>
              </w:rPr>
              <w:t>Total</w:t>
            </w:r>
          </w:p>
        </w:tc>
        <w:tc>
          <w:tcPr>
            <w:tcW w:w="9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bottom w:val="single" w:sz="8" w:color="auto"/>
            </w:tcBorders>
          </w:tcPr>
          <w:p>
            <w:pPr>
              <w:ind w:left="40"/>
              <w:spacing w:after="0" w:line="195" w:lineRule="exact"/>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spacing w:after="0" w:line="195" w:lineRule="exact"/>
              <w:rPr>
                <w:sz w:val="20"/>
                <w:szCs w:val="20"/>
                <w:color w:val="auto"/>
              </w:rPr>
            </w:pPr>
            <w:r>
              <w:rPr>
                <w:rFonts w:ascii="Arial" w:cs="Arial" w:eastAsia="Arial" w:hAnsi="Arial"/>
                <w:sz w:val="18"/>
                <w:szCs w:val="18"/>
                <w:color w:val="auto"/>
              </w:rPr>
              <w:t>917</w:t>
            </w:r>
          </w:p>
        </w:tc>
        <w:tc>
          <w:tcPr>
            <w:tcW w:w="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-927100</wp:posOffset>
            </wp:positionV>
            <wp:extent cx="6382385" cy="93408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35">
                      <a:extLst>
                        <a:ext uri="{28A0092B-C50C-407E-A947-70E740481C1C}"/>
                      </a:extLst>
                    </a:blip>
                    <a:srcRect/>
                    <a:stretch>
                      <a:fillRect/>
                    </a:stretch>
                  </pic:blipFill>
                  <pic:spPr bwMode="auto">
                    <a:xfrm>
                      <a:off x="0" y="0"/>
                      <a:ext cx="6382385" cy="934085"/>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340"/>
        <w:spacing w:after="0"/>
        <w:rPr>
          <w:sz w:val="20"/>
          <w:szCs w:val="20"/>
          <w:color w:val="auto"/>
        </w:rPr>
      </w:pPr>
      <w:r>
        <w:rPr>
          <w:rFonts w:ascii="Arial" w:cs="Arial" w:eastAsia="Arial" w:hAnsi="Arial"/>
          <w:sz w:val="20"/>
          <w:szCs w:val="20"/>
          <w:color w:val="auto"/>
        </w:rPr>
        <w:t>Other intangible assets as of December 31, 2024, consist of the following:</w:t>
      </w:r>
    </w:p>
    <w:p>
      <w:pPr>
        <w:spacing w:after="0" w:line="74"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4460" w:type="dxa"/>
            <w:vAlign w:val="bottom"/>
          </w:tcPr>
          <w:p>
            <w:pPr>
              <w:spacing w:after="0"/>
              <w:rPr>
                <w:sz w:val="16"/>
                <w:szCs w:val="16"/>
                <w:color w:val="auto"/>
              </w:rPr>
            </w:pPr>
          </w:p>
        </w:tc>
        <w:tc>
          <w:tcPr>
            <w:tcW w:w="920" w:type="dxa"/>
            <w:vAlign w:val="bottom"/>
            <w:vMerge w:val="restart"/>
          </w:tcPr>
          <w:p>
            <w:pPr>
              <w:jc w:val="right"/>
              <w:ind w:right="22"/>
              <w:spacing w:after="0"/>
              <w:rPr>
                <w:sz w:val="20"/>
                <w:szCs w:val="20"/>
                <w:color w:val="auto"/>
              </w:rPr>
            </w:pPr>
            <w:r>
              <w:rPr>
                <w:rFonts w:ascii="Arial" w:cs="Arial" w:eastAsia="Arial" w:hAnsi="Arial"/>
                <w:sz w:val="16"/>
                <w:szCs w:val="16"/>
                <w:b w:val="1"/>
                <w:bCs w:val="1"/>
                <w:color w:val="auto"/>
              </w:rPr>
              <w:t>Cost</w:t>
            </w:r>
          </w:p>
        </w:tc>
        <w:tc>
          <w:tcPr>
            <w:tcW w:w="4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tcPr>
          <w:p>
            <w:pPr>
              <w:jc w:val="right"/>
              <w:ind w:right="122"/>
              <w:spacing w:after="0"/>
              <w:rPr>
                <w:sz w:val="20"/>
                <w:szCs w:val="20"/>
                <w:color w:val="auto"/>
              </w:rPr>
            </w:pPr>
            <w:r>
              <w:rPr>
                <w:rFonts w:ascii="Arial" w:cs="Arial" w:eastAsia="Arial" w:hAnsi="Arial"/>
                <w:sz w:val="16"/>
                <w:szCs w:val="16"/>
                <w:b w:val="1"/>
                <w:bCs w:val="1"/>
                <w:color w:val="auto"/>
                <w:w w:val="89"/>
              </w:rPr>
              <w:t>Accumulated</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tcPr>
          <w:p>
            <w:pPr>
              <w:jc w:val="right"/>
              <w:ind w:right="142"/>
              <w:spacing w:after="0"/>
              <w:rPr>
                <w:sz w:val="20"/>
                <w:szCs w:val="20"/>
                <w:color w:val="auto"/>
              </w:rPr>
            </w:pPr>
            <w:r>
              <w:rPr>
                <w:rFonts w:ascii="Arial" w:cs="Arial" w:eastAsia="Arial" w:hAnsi="Arial"/>
                <w:sz w:val="16"/>
                <w:szCs w:val="16"/>
                <w:b w:val="1"/>
                <w:bCs w:val="1"/>
                <w:color w:val="auto"/>
                <w:w w:val="94"/>
              </w:rPr>
              <w:t>Net carrying</w:t>
            </w:r>
          </w:p>
        </w:tc>
        <w:tc>
          <w:tcPr>
            <w:tcW w:w="80" w:type="dxa"/>
            <w:vAlign w:val="bottom"/>
          </w:tcPr>
          <w:p>
            <w:pPr>
              <w:spacing w:after="0"/>
              <w:rPr>
                <w:sz w:val="16"/>
                <w:szCs w:val="16"/>
                <w:color w:val="auto"/>
              </w:rPr>
            </w:pPr>
          </w:p>
        </w:tc>
        <w:tc>
          <w:tcPr>
            <w:tcW w:w="1360" w:type="dxa"/>
            <w:vAlign w:val="bottom"/>
          </w:tcPr>
          <w:p>
            <w:pPr>
              <w:jc w:val="center"/>
              <w:spacing w:after="0"/>
              <w:rPr>
                <w:sz w:val="20"/>
                <w:szCs w:val="20"/>
                <w:color w:val="auto"/>
              </w:rPr>
            </w:pPr>
            <w:r>
              <w:rPr>
                <w:rFonts w:ascii="Arial" w:cs="Arial" w:eastAsia="Arial" w:hAnsi="Arial"/>
                <w:sz w:val="16"/>
                <w:szCs w:val="16"/>
                <w:b w:val="1"/>
                <w:bCs w:val="1"/>
                <w:color w:val="auto"/>
                <w:w w:val="87"/>
              </w:rPr>
              <w:t>Weighted average</w:t>
            </w:r>
          </w:p>
        </w:tc>
        <w:tc>
          <w:tcPr>
            <w:tcW w:w="0" w:type="dxa"/>
            <w:vAlign w:val="bottom"/>
          </w:tcPr>
          <w:p>
            <w:pPr>
              <w:spacing w:after="0"/>
              <w:rPr>
                <w:sz w:val="1"/>
                <w:szCs w:val="1"/>
                <w:color w:val="auto"/>
              </w:rPr>
            </w:pPr>
          </w:p>
        </w:tc>
      </w:tr>
      <w:tr>
        <w:trPr>
          <w:trHeight w:val="210"/>
        </w:trPr>
        <w:tc>
          <w:tcPr>
            <w:tcW w:w="4460" w:type="dxa"/>
            <w:vAlign w:val="bottom"/>
          </w:tcPr>
          <w:p>
            <w:pPr>
              <w:spacing w:after="0"/>
              <w:rPr>
                <w:sz w:val="18"/>
                <w:szCs w:val="18"/>
                <w:color w:val="auto"/>
              </w:rPr>
            </w:pPr>
          </w:p>
        </w:tc>
        <w:tc>
          <w:tcPr>
            <w:tcW w:w="920" w:type="dxa"/>
            <w:vAlign w:val="bottom"/>
            <w:tcBorders>
              <w:bottom w:val="single" w:sz="8" w:color="auto"/>
            </w:tcBorders>
            <w:vMerge w:val="continue"/>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42"/>
              <w:spacing w:after="0"/>
              <w:rPr>
                <w:sz w:val="20"/>
                <w:szCs w:val="20"/>
                <w:color w:val="auto"/>
              </w:rPr>
            </w:pPr>
            <w:r>
              <w:rPr>
                <w:rFonts w:ascii="Arial" w:cs="Arial" w:eastAsia="Arial" w:hAnsi="Arial"/>
                <w:sz w:val="16"/>
                <w:szCs w:val="16"/>
                <w:b w:val="1"/>
                <w:bCs w:val="1"/>
                <w:color w:val="auto"/>
                <w:w w:val="92"/>
              </w:rPr>
              <w:t>amortization</w:t>
            </w:r>
          </w:p>
        </w:tc>
        <w:tc>
          <w:tcPr>
            <w:tcW w:w="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22"/>
              <w:spacing w:after="0"/>
              <w:rPr>
                <w:sz w:val="20"/>
                <w:szCs w:val="20"/>
                <w:color w:val="auto"/>
              </w:rPr>
            </w:pPr>
            <w:r>
              <w:rPr>
                <w:rFonts w:ascii="Arial" w:cs="Arial" w:eastAsia="Arial" w:hAnsi="Arial"/>
                <w:sz w:val="16"/>
                <w:szCs w:val="16"/>
                <w:b w:val="1"/>
                <w:bCs w:val="1"/>
                <w:color w:val="auto"/>
              </w:rPr>
              <w:t>amount</w:t>
            </w:r>
          </w:p>
        </w:tc>
        <w:tc>
          <w:tcPr>
            <w:tcW w:w="80" w:type="dxa"/>
            <w:vAlign w:val="bottom"/>
          </w:tcPr>
          <w:p>
            <w:pPr>
              <w:spacing w:after="0"/>
              <w:rPr>
                <w:sz w:val="18"/>
                <w:szCs w:val="18"/>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useful life (years)</w:t>
            </w:r>
          </w:p>
        </w:tc>
        <w:tc>
          <w:tcPr>
            <w:tcW w:w="0" w:type="dxa"/>
            <w:vAlign w:val="bottom"/>
          </w:tcPr>
          <w:p>
            <w:pPr>
              <w:spacing w:after="0"/>
              <w:rPr>
                <w:sz w:val="1"/>
                <w:szCs w:val="1"/>
                <w:color w:val="auto"/>
              </w:rPr>
            </w:pPr>
          </w:p>
        </w:tc>
      </w:tr>
      <w:tr>
        <w:trPr>
          <w:trHeight w:val="208"/>
        </w:trPr>
        <w:tc>
          <w:tcPr>
            <w:tcW w:w="4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500" w:type="dxa"/>
            <w:vAlign w:val="bottom"/>
            <w:gridSpan w:val="4"/>
          </w:tcPr>
          <w:p>
            <w:pPr>
              <w:jc w:val="right"/>
              <w:ind w:right="802"/>
              <w:spacing w:after="0"/>
              <w:rPr>
                <w:sz w:val="20"/>
                <w:szCs w:val="20"/>
                <w:color w:val="auto"/>
              </w:rPr>
            </w:pPr>
            <w:r>
              <w:rPr>
                <w:rFonts w:ascii="Arial" w:cs="Arial" w:eastAsia="Arial" w:hAnsi="Arial"/>
                <w:sz w:val="16"/>
                <w:szCs w:val="16"/>
                <w:b w:val="1"/>
                <w:bCs w:val="1"/>
                <w:color w:val="auto"/>
              </w:rPr>
              <w:t>(In millions)</w:t>
            </w:r>
          </w:p>
        </w:tc>
        <w:tc>
          <w:tcPr>
            <w:tcW w:w="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4460" w:type="dxa"/>
            <w:vAlign w:val="bottom"/>
          </w:tcPr>
          <w:p>
            <w:pPr>
              <w:spacing w:after="0"/>
              <w:rPr>
                <w:sz w:val="20"/>
                <w:szCs w:val="20"/>
                <w:color w:val="auto"/>
              </w:rPr>
            </w:pPr>
            <w:r>
              <w:rPr>
                <w:rFonts w:ascii="Arial" w:cs="Arial" w:eastAsia="Arial" w:hAnsi="Arial"/>
                <w:sz w:val="16"/>
                <w:szCs w:val="16"/>
                <w:color w:val="auto"/>
              </w:rPr>
              <w:t>Customer relationships and contracts</w:t>
            </w:r>
          </w:p>
        </w:tc>
        <w:tc>
          <w:tcPr>
            <w:tcW w:w="920" w:type="dxa"/>
            <w:vAlign w:val="bottom"/>
          </w:tcPr>
          <w:p>
            <w:pPr>
              <w:jc w:val="right"/>
              <w:ind w:right="702"/>
              <w:spacing w:after="0"/>
              <w:rPr>
                <w:sz w:val="20"/>
                <w:szCs w:val="20"/>
                <w:color w:val="auto"/>
              </w:rPr>
            </w:pPr>
            <w:r>
              <w:rPr>
                <w:rFonts w:ascii="Arial" w:cs="Arial" w:eastAsia="Arial" w:hAnsi="Arial"/>
                <w:sz w:val="16"/>
                <w:szCs w:val="16"/>
                <w:color w:val="auto"/>
              </w:rPr>
              <w:t>$</w:t>
            </w:r>
          </w:p>
        </w:tc>
        <w:tc>
          <w:tcPr>
            <w:tcW w:w="400" w:type="dxa"/>
            <w:vAlign w:val="bottom"/>
          </w:tcPr>
          <w:p>
            <w:pPr>
              <w:jc w:val="right"/>
              <w:ind w:right="2"/>
              <w:spacing w:after="0"/>
              <w:rPr>
                <w:sz w:val="20"/>
                <w:szCs w:val="20"/>
                <w:color w:val="auto"/>
              </w:rPr>
            </w:pPr>
            <w:r>
              <w:rPr>
                <w:rFonts w:ascii="Arial" w:cs="Arial" w:eastAsia="Arial" w:hAnsi="Arial"/>
                <w:sz w:val="16"/>
                <w:szCs w:val="16"/>
                <w:color w:val="auto"/>
              </w:rPr>
              <w:t>795</w:t>
            </w:r>
          </w:p>
        </w:tc>
        <w:tc>
          <w:tcPr>
            <w:tcW w:w="24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(360)</w:t>
            </w:r>
          </w:p>
        </w:tc>
        <w:tc>
          <w:tcPr>
            <w:tcW w:w="26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435</w:t>
            </w:r>
          </w:p>
        </w:tc>
        <w:tc>
          <w:tcPr>
            <w:tcW w:w="80" w:type="dxa"/>
            <w:vAlign w:val="bottom"/>
          </w:tcPr>
          <w:p>
            <w:pPr>
              <w:spacing w:after="0"/>
              <w:rPr>
                <w:sz w:val="20"/>
                <w:szCs w:val="20"/>
                <w:color w:val="auto"/>
              </w:rPr>
            </w:pPr>
          </w:p>
        </w:tc>
        <w:tc>
          <w:tcPr>
            <w:tcW w:w="1360" w:type="dxa"/>
            <w:vAlign w:val="bottom"/>
          </w:tcPr>
          <w:p>
            <w:pPr>
              <w:jc w:val="center"/>
              <w:spacing w:after="0"/>
              <w:rPr>
                <w:sz w:val="20"/>
                <w:szCs w:val="20"/>
                <w:color w:val="auto"/>
              </w:rPr>
            </w:pPr>
            <w:r>
              <w:rPr>
                <w:rFonts w:ascii="Arial" w:cs="Arial" w:eastAsia="Arial" w:hAnsi="Arial"/>
                <w:sz w:val="16"/>
                <w:szCs w:val="16"/>
                <w:color w:val="auto"/>
                <w:w w:val="89"/>
              </w:rPr>
              <w:t>10 to 20</w:t>
            </w:r>
          </w:p>
        </w:tc>
        <w:tc>
          <w:tcPr>
            <w:tcW w:w="0" w:type="dxa"/>
            <w:vAlign w:val="bottom"/>
          </w:tcPr>
          <w:p>
            <w:pPr>
              <w:spacing w:after="0"/>
              <w:rPr>
                <w:sz w:val="1"/>
                <w:szCs w:val="1"/>
                <w:color w:val="auto"/>
              </w:rPr>
            </w:pPr>
          </w:p>
        </w:tc>
      </w:tr>
      <w:tr>
        <w:trPr>
          <w:trHeight w:val="235"/>
        </w:trPr>
        <w:tc>
          <w:tcPr>
            <w:tcW w:w="4460" w:type="dxa"/>
            <w:vAlign w:val="bottom"/>
          </w:tcPr>
          <w:p>
            <w:pPr>
              <w:spacing w:after="0"/>
              <w:rPr>
                <w:sz w:val="20"/>
                <w:szCs w:val="20"/>
                <w:color w:val="auto"/>
              </w:rPr>
            </w:pPr>
            <w:r>
              <w:rPr>
                <w:rFonts w:ascii="Arial" w:cs="Arial" w:eastAsia="Arial" w:hAnsi="Arial"/>
                <w:sz w:val="16"/>
                <w:szCs w:val="16"/>
                <w:color w:val="auto"/>
              </w:rPr>
              <w:t>Computer software</w:t>
            </w:r>
          </w:p>
        </w:tc>
        <w:tc>
          <w:tcPr>
            <w:tcW w:w="920" w:type="dxa"/>
            <w:vAlign w:val="bottom"/>
          </w:tcPr>
          <w:p>
            <w:pPr>
              <w:spacing w:after="0"/>
              <w:rPr>
                <w:sz w:val="20"/>
                <w:szCs w:val="20"/>
                <w:color w:val="auto"/>
              </w:rPr>
            </w:pPr>
          </w:p>
        </w:tc>
        <w:tc>
          <w:tcPr>
            <w:tcW w:w="400" w:type="dxa"/>
            <w:vAlign w:val="bottom"/>
          </w:tcPr>
          <w:p>
            <w:pPr>
              <w:jc w:val="right"/>
              <w:ind w:right="2"/>
              <w:spacing w:after="0"/>
              <w:rPr>
                <w:sz w:val="20"/>
                <w:szCs w:val="20"/>
                <w:color w:val="auto"/>
              </w:rPr>
            </w:pPr>
            <w:r>
              <w:rPr>
                <w:rFonts w:ascii="Arial" w:cs="Arial" w:eastAsia="Arial" w:hAnsi="Arial"/>
                <w:sz w:val="16"/>
                <w:szCs w:val="16"/>
                <w:color w:val="auto"/>
              </w:rPr>
              <w:t>723</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(446)</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277</w:t>
            </w:r>
          </w:p>
        </w:tc>
        <w:tc>
          <w:tcPr>
            <w:tcW w:w="80" w:type="dxa"/>
            <w:vAlign w:val="bottom"/>
          </w:tcPr>
          <w:p>
            <w:pPr>
              <w:spacing w:after="0"/>
              <w:rPr>
                <w:sz w:val="20"/>
                <w:szCs w:val="20"/>
                <w:color w:val="auto"/>
              </w:rPr>
            </w:pPr>
          </w:p>
        </w:tc>
        <w:tc>
          <w:tcPr>
            <w:tcW w:w="1360" w:type="dxa"/>
            <w:vAlign w:val="bottom"/>
          </w:tcPr>
          <w:p>
            <w:pPr>
              <w:jc w:val="center"/>
              <w:spacing w:after="0"/>
              <w:rPr>
                <w:sz w:val="20"/>
                <w:szCs w:val="20"/>
                <w:color w:val="auto"/>
              </w:rPr>
            </w:pPr>
            <w:r>
              <w:rPr>
                <w:rFonts w:ascii="Arial" w:cs="Arial" w:eastAsia="Arial" w:hAnsi="Arial"/>
                <w:sz w:val="16"/>
                <w:szCs w:val="16"/>
                <w:color w:val="auto"/>
                <w:w w:val="89"/>
              </w:rPr>
              <w:t>2 to 10</w:t>
            </w:r>
          </w:p>
        </w:tc>
        <w:tc>
          <w:tcPr>
            <w:tcW w:w="0" w:type="dxa"/>
            <w:vAlign w:val="bottom"/>
          </w:tcPr>
          <w:p>
            <w:pPr>
              <w:spacing w:after="0"/>
              <w:rPr>
                <w:sz w:val="1"/>
                <w:szCs w:val="1"/>
                <w:color w:val="auto"/>
              </w:rPr>
            </w:pPr>
          </w:p>
        </w:tc>
      </w:tr>
      <w:tr>
        <w:trPr>
          <w:trHeight w:val="235"/>
        </w:trPr>
        <w:tc>
          <w:tcPr>
            <w:tcW w:w="4460" w:type="dxa"/>
            <w:vAlign w:val="bottom"/>
          </w:tcPr>
          <w:p>
            <w:pPr>
              <w:spacing w:after="0"/>
              <w:rPr>
                <w:sz w:val="20"/>
                <w:szCs w:val="20"/>
                <w:color w:val="auto"/>
              </w:rPr>
            </w:pPr>
            <w:r>
              <w:rPr>
                <w:rFonts w:ascii="Arial" w:cs="Arial" w:eastAsia="Arial" w:hAnsi="Arial"/>
                <w:sz w:val="16"/>
                <w:szCs w:val="16"/>
                <w:color w:val="auto"/>
              </w:rPr>
              <w:t>Value of distribution Asset (VODA)</w:t>
            </w:r>
          </w:p>
        </w:tc>
        <w:tc>
          <w:tcPr>
            <w:tcW w:w="920" w:type="dxa"/>
            <w:vAlign w:val="bottom"/>
          </w:tcPr>
          <w:p>
            <w:pPr>
              <w:spacing w:after="0"/>
              <w:rPr>
                <w:sz w:val="20"/>
                <w:szCs w:val="20"/>
                <w:color w:val="auto"/>
              </w:rPr>
            </w:pPr>
          </w:p>
        </w:tc>
        <w:tc>
          <w:tcPr>
            <w:tcW w:w="400" w:type="dxa"/>
            <w:vAlign w:val="bottom"/>
          </w:tcPr>
          <w:p>
            <w:pPr>
              <w:jc w:val="right"/>
              <w:ind w:right="2"/>
              <w:spacing w:after="0"/>
              <w:rPr>
                <w:sz w:val="20"/>
                <w:szCs w:val="20"/>
                <w:color w:val="auto"/>
              </w:rPr>
            </w:pPr>
            <w:r>
              <w:rPr>
                <w:rFonts w:ascii="Arial" w:cs="Arial" w:eastAsia="Arial" w:hAnsi="Arial"/>
                <w:sz w:val="16"/>
                <w:szCs w:val="16"/>
                <w:color w:val="auto"/>
              </w:rPr>
              <w:t>140</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(66)</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74</w:t>
            </w:r>
          </w:p>
        </w:tc>
        <w:tc>
          <w:tcPr>
            <w:tcW w:w="1440" w:type="dxa"/>
            <w:vAlign w:val="bottom"/>
            <w:gridSpan w:val="2"/>
          </w:tcPr>
          <w:p>
            <w:pPr>
              <w:jc w:val="center"/>
              <w:ind w:left="2"/>
              <w:spacing w:after="0"/>
              <w:rPr>
                <w:sz w:val="20"/>
                <w:szCs w:val="20"/>
                <w:color w:val="auto"/>
              </w:rPr>
            </w:pPr>
            <w:r>
              <w:rPr>
                <w:rFonts w:ascii="Arial" w:cs="Arial" w:eastAsia="Arial" w:hAnsi="Arial"/>
                <w:sz w:val="16"/>
                <w:szCs w:val="16"/>
                <w:color w:val="auto"/>
                <w:w w:val="89"/>
              </w:rPr>
              <w:t>15</w:t>
            </w:r>
          </w:p>
        </w:tc>
        <w:tc>
          <w:tcPr>
            <w:tcW w:w="0" w:type="dxa"/>
            <w:vAlign w:val="bottom"/>
          </w:tcPr>
          <w:p>
            <w:pPr>
              <w:spacing w:after="0"/>
              <w:rPr>
                <w:sz w:val="1"/>
                <w:szCs w:val="1"/>
                <w:color w:val="auto"/>
              </w:rPr>
            </w:pPr>
          </w:p>
        </w:tc>
      </w:tr>
      <w:tr>
        <w:trPr>
          <w:trHeight w:val="242"/>
        </w:trPr>
        <w:tc>
          <w:tcPr>
            <w:tcW w:w="4460" w:type="dxa"/>
            <w:vAlign w:val="bottom"/>
          </w:tcPr>
          <w:p>
            <w:pPr>
              <w:spacing w:after="0"/>
              <w:rPr>
                <w:sz w:val="20"/>
                <w:szCs w:val="20"/>
                <w:color w:val="auto"/>
              </w:rPr>
            </w:pPr>
            <w:r>
              <w:rPr>
                <w:rFonts w:ascii="Arial" w:cs="Arial" w:eastAsia="Arial" w:hAnsi="Arial"/>
                <w:sz w:val="16"/>
                <w:szCs w:val="16"/>
                <w:color w:val="auto"/>
              </w:rPr>
              <w:t>Trademarks, tradenames, and other</w:t>
            </w:r>
          </w:p>
        </w:tc>
        <w:tc>
          <w:tcPr>
            <w:tcW w:w="920" w:type="dxa"/>
            <w:vAlign w:val="bottom"/>
          </w:tcPr>
          <w:p>
            <w:pPr>
              <w:spacing w:after="0"/>
              <w:rPr>
                <w:sz w:val="21"/>
                <w:szCs w:val="21"/>
                <w:color w:val="auto"/>
              </w:rPr>
            </w:pPr>
          </w:p>
        </w:tc>
        <w:tc>
          <w:tcPr>
            <w:tcW w:w="400" w:type="dxa"/>
            <w:vAlign w:val="bottom"/>
          </w:tcPr>
          <w:p>
            <w:pPr>
              <w:jc w:val="right"/>
              <w:ind w:right="2"/>
              <w:spacing w:after="0"/>
              <w:rPr>
                <w:sz w:val="20"/>
                <w:szCs w:val="20"/>
                <w:color w:val="auto"/>
              </w:rPr>
            </w:pPr>
            <w:r>
              <w:rPr>
                <w:rFonts w:ascii="Arial" w:cs="Arial" w:eastAsia="Arial" w:hAnsi="Arial"/>
                <w:sz w:val="16"/>
                <w:szCs w:val="16"/>
                <w:color w:val="auto"/>
              </w:rPr>
              <w:t>234</w:t>
            </w: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(54)</w:t>
            </w:r>
          </w:p>
        </w:tc>
        <w:tc>
          <w:tcPr>
            <w:tcW w:w="8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180</w:t>
            </w:r>
          </w:p>
        </w:tc>
        <w:tc>
          <w:tcPr>
            <w:tcW w:w="80" w:type="dxa"/>
            <w:vAlign w:val="bottom"/>
          </w:tcPr>
          <w:p>
            <w:pPr>
              <w:spacing w:after="0"/>
              <w:rPr>
                <w:sz w:val="21"/>
                <w:szCs w:val="21"/>
                <w:color w:val="auto"/>
              </w:rPr>
            </w:pPr>
          </w:p>
        </w:tc>
        <w:tc>
          <w:tcPr>
            <w:tcW w:w="1360" w:type="dxa"/>
            <w:vAlign w:val="bottom"/>
          </w:tcPr>
          <w:p>
            <w:pPr>
              <w:jc w:val="center"/>
              <w:spacing w:after="0"/>
              <w:rPr>
                <w:sz w:val="20"/>
                <w:szCs w:val="20"/>
                <w:color w:val="auto"/>
              </w:rPr>
            </w:pPr>
            <w:r>
              <w:rPr>
                <w:rFonts w:ascii="Arial" w:cs="Arial" w:eastAsia="Arial" w:hAnsi="Arial"/>
                <w:sz w:val="16"/>
                <w:szCs w:val="16"/>
                <w:color w:val="auto"/>
                <w:w w:val="88"/>
              </w:rPr>
              <w:t>Varies</w:t>
            </w:r>
          </w:p>
        </w:tc>
        <w:tc>
          <w:tcPr>
            <w:tcW w:w="0" w:type="dxa"/>
            <w:vAlign w:val="bottom"/>
          </w:tcPr>
          <w:p>
            <w:pPr>
              <w:spacing w:after="0"/>
              <w:rPr>
                <w:sz w:val="1"/>
                <w:szCs w:val="1"/>
                <w:color w:val="auto"/>
              </w:rPr>
            </w:pPr>
          </w:p>
        </w:tc>
      </w:tr>
      <w:tr>
        <w:trPr>
          <w:trHeight w:val="196"/>
        </w:trPr>
        <w:tc>
          <w:tcPr>
            <w:tcW w:w="4460" w:type="dxa"/>
            <w:vAlign w:val="bottom"/>
          </w:tcPr>
          <w:p>
            <w:pPr>
              <w:spacing w:after="0"/>
              <w:rPr>
                <w:sz w:val="20"/>
                <w:szCs w:val="20"/>
                <w:color w:val="auto"/>
              </w:rPr>
            </w:pPr>
            <w:r>
              <w:rPr>
                <w:rFonts w:ascii="Arial" w:cs="Arial" w:eastAsia="Arial" w:hAnsi="Arial"/>
                <w:sz w:val="16"/>
                <w:szCs w:val="16"/>
                <w:color w:val="auto"/>
              </w:rPr>
              <w:t>Total</w:t>
            </w:r>
          </w:p>
        </w:tc>
        <w:tc>
          <w:tcPr>
            <w:tcW w:w="9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6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966</w:t>
            </w:r>
          </w:p>
        </w:tc>
        <w:tc>
          <w:tcPr>
            <w:tcW w:w="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-927100</wp:posOffset>
            </wp:positionV>
            <wp:extent cx="6382385" cy="93408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36">
                      <a:extLst>
                        <a:ext uri="{28A0092B-C50C-407E-A947-70E740481C1C}"/>
                      </a:extLst>
                    </a:blip>
                    <a:srcRect/>
                    <a:stretch>
                      <a:fillRect/>
                    </a:stretch>
                  </pic:blipFill>
                  <pic:spPr bwMode="auto">
                    <a:xfrm>
                      <a:off x="0" y="0"/>
                      <a:ext cx="6382385" cy="934085"/>
                    </a:xfrm>
                    <a:prstGeom prst="rect">
                      <a:avLst/>
                    </a:prstGeom>
                    <a:noFill/>
                  </pic:spPr>
                </pic:pic>
              </a:graphicData>
            </a:graphic>
          </wp:anchor>
        </w:drawing>
      </w:r>
    </w:p>
    <w:p>
      <w:pPr>
        <w:spacing w:after="0" w:line="105" w:lineRule="exact"/>
        <w:rPr>
          <w:sz w:val="20"/>
          <w:szCs w:val="20"/>
          <w:color w:val="auto"/>
        </w:rPr>
      </w:pPr>
    </w:p>
    <w:p>
      <w:pPr>
        <w:jc w:val="both"/>
        <w:ind w:firstLine="353"/>
        <w:spacing w:after="0" w:line="268" w:lineRule="auto"/>
        <w:rPr>
          <w:sz w:val="20"/>
          <w:szCs w:val="20"/>
          <w:color w:val="auto"/>
        </w:rPr>
      </w:pPr>
      <w:r>
        <w:rPr>
          <w:rFonts w:ascii="Arial" w:cs="Arial" w:eastAsia="Arial" w:hAnsi="Arial"/>
          <w:sz w:val="19"/>
          <w:szCs w:val="19"/>
          <w:color w:val="auto"/>
        </w:rPr>
        <w:t>Amortization expense for amortizable intangible assets, which consist primarily of VODA, customer relationships, computer software and definite lived trademarks, tradenames and other, was $203 million, $187 million, and $152 million for the years ended December 31, 2025, 2024, and 2023, respectively. For the amortizable intangible assets as of December 31, 2025, the estimated amortization expense in future fiscal periods is $174 million in 2026, $141 million in 2027, $109 million in 2028, $91 million in 2029, and $64 million in 2030.</w:t>
      </w:r>
    </w:p>
    <w:p>
      <w:pPr>
        <w:spacing w:after="0" w:line="74" w:lineRule="exact"/>
        <w:rPr>
          <w:sz w:val="20"/>
          <w:szCs w:val="20"/>
          <w:color w:val="auto"/>
        </w:rPr>
      </w:pPr>
    </w:p>
    <w:p>
      <w:pPr>
        <w:jc w:val="both"/>
        <w:ind w:firstLine="353"/>
        <w:spacing w:after="0" w:line="271" w:lineRule="auto"/>
        <w:rPr>
          <w:sz w:val="20"/>
          <w:szCs w:val="20"/>
          <w:color w:val="auto"/>
        </w:rPr>
      </w:pPr>
      <w:r>
        <w:rPr>
          <w:rFonts w:ascii="Arial" w:cs="Arial" w:eastAsia="Arial" w:hAnsi="Arial"/>
          <w:sz w:val="19"/>
          <w:szCs w:val="19"/>
          <w:color w:val="auto"/>
        </w:rPr>
        <w:t>Within definite lived trademarks, tradenames, and other is an amount established to offset MRBs with no explicit rider charges, which had a balance of $145 million and $94 million as of December 31, 2025 and 2024, respectively. Amortization of $9 million, $5 million, and $1 million was recorded in Depreciation and amortization on the Consolidated Statements of Earnings for the years ended December 31, 2025, 2024, and 2023, respectively.</w:t>
      </w:r>
    </w:p>
    <w:p>
      <w:pPr>
        <w:spacing w:after="0" w:line="30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M — Goodwill</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20"/>
          <w:szCs w:val="20"/>
          <w:color w:val="auto"/>
        </w:rPr>
        <w:t>A summary of the changes in Goodwill consists of the following:</w:t>
      </w:r>
    </w:p>
    <w:p>
      <w:pPr>
        <w:spacing w:after="0" w:line="74" w:lineRule="exact"/>
        <w:rPr>
          <w:sz w:val="20"/>
          <w:szCs w:val="20"/>
          <w:color w:val="auto"/>
        </w:rPr>
      </w:pPr>
    </w:p>
    <w:tbl>
      <w:tblPr>
        <w:tblLayout w:type="fixed"/>
        <w:tblInd w:w="80" w:type="dxa"/>
        <w:tblCellMar>
          <w:top w:w="0" w:type="dxa"/>
          <w:left w:w="0" w:type="dxa"/>
          <w:bottom w:w="0" w:type="dxa"/>
          <w:right w:w="0" w:type="dxa"/>
        </w:tblCellMar>
      </w:tblPr>
      <w:tr>
        <w:trPr>
          <w:trHeight w:val="184"/>
        </w:trPr>
        <w:tc>
          <w:tcPr>
            <w:tcW w:w="6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vMerge w:val="restart"/>
          </w:tcPr>
          <w:p>
            <w:pPr>
              <w:jc w:val="right"/>
              <w:ind w:right="222"/>
              <w:spacing w:after="0"/>
              <w:rPr>
                <w:sz w:val="20"/>
                <w:szCs w:val="20"/>
                <w:color w:val="auto"/>
              </w:rPr>
            </w:pPr>
            <w:r>
              <w:rPr>
                <w:rFonts w:ascii="Arial" w:cs="Arial" w:eastAsia="Arial" w:hAnsi="Arial"/>
                <w:sz w:val="16"/>
                <w:szCs w:val="16"/>
                <w:b w:val="1"/>
                <w:bCs w:val="1"/>
                <w:color w:val="auto"/>
              </w:rPr>
              <w:t>Title</w:t>
            </w: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vMerge w:val="restart"/>
          </w:tcPr>
          <w:p>
            <w:pPr>
              <w:jc w:val="right"/>
              <w:ind w:right="182"/>
              <w:spacing w:after="0"/>
              <w:rPr>
                <w:sz w:val="20"/>
                <w:szCs w:val="20"/>
                <w:color w:val="auto"/>
              </w:rPr>
            </w:pPr>
            <w:r>
              <w:rPr>
                <w:rFonts w:ascii="Arial" w:cs="Arial" w:eastAsia="Arial" w:hAnsi="Arial"/>
                <w:sz w:val="16"/>
                <w:szCs w:val="16"/>
                <w:b w:val="1"/>
                <w:bCs w:val="1"/>
                <w:color w:val="auto"/>
              </w:rPr>
              <w:t>F&amp;G</w:t>
            </w:r>
          </w:p>
        </w:tc>
        <w:tc>
          <w:tcPr>
            <w:tcW w:w="60" w:type="dxa"/>
            <w:vAlign w:val="bottom"/>
          </w:tcPr>
          <w:p>
            <w:pPr>
              <w:spacing w:after="0"/>
              <w:rPr>
                <w:sz w:val="16"/>
                <w:szCs w:val="16"/>
                <w:color w:val="auto"/>
              </w:rPr>
            </w:pPr>
          </w:p>
        </w:tc>
        <w:tc>
          <w:tcPr>
            <w:tcW w:w="880" w:type="dxa"/>
            <w:vAlign w:val="bottom"/>
            <w:gridSpan w:val="2"/>
          </w:tcPr>
          <w:p>
            <w:pPr>
              <w:jc w:val="right"/>
              <w:ind w:right="2"/>
              <w:spacing w:after="0"/>
              <w:rPr>
                <w:sz w:val="20"/>
                <w:szCs w:val="20"/>
                <w:color w:val="auto"/>
              </w:rPr>
            </w:pPr>
            <w:r>
              <w:rPr>
                <w:rFonts w:ascii="Arial" w:cs="Arial" w:eastAsia="Arial" w:hAnsi="Arial"/>
                <w:sz w:val="16"/>
                <w:szCs w:val="16"/>
                <w:b w:val="1"/>
                <w:bCs w:val="1"/>
                <w:color w:val="auto"/>
              </w:rPr>
              <w:t>Corporate</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vMerge w:val="restart"/>
          </w:tcPr>
          <w:p>
            <w:pPr>
              <w:jc w:val="right"/>
              <w:ind w:right="182"/>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0"/>
        </w:trPr>
        <w:tc>
          <w:tcPr>
            <w:tcW w:w="61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vMerge w:val="continue"/>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vMerge w:val="continue"/>
          </w:tcPr>
          <w:p>
            <w:pPr>
              <w:spacing w:after="0"/>
              <w:rPr>
                <w:sz w:val="18"/>
                <w:szCs w:val="18"/>
                <w:color w:val="auto"/>
              </w:rPr>
            </w:pPr>
          </w:p>
        </w:tc>
        <w:tc>
          <w:tcPr>
            <w:tcW w:w="60" w:type="dxa"/>
            <w:vAlign w:val="bottom"/>
          </w:tcPr>
          <w:p>
            <w:pPr>
              <w:spacing w:after="0"/>
              <w:rPr>
                <w:sz w:val="18"/>
                <w:szCs w:val="18"/>
                <w:color w:val="auto"/>
              </w:rPr>
            </w:pPr>
          </w:p>
        </w:tc>
        <w:tc>
          <w:tcPr>
            <w:tcW w:w="880" w:type="dxa"/>
            <w:vAlign w:val="bottom"/>
            <w:tcBorders>
              <w:bottom w:val="single" w:sz="8" w:color="auto"/>
            </w:tcBorders>
            <w:gridSpan w:val="2"/>
          </w:tcPr>
          <w:p>
            <w:pPr>
              <w:jc w:val="right"/>
              <w:ind w:right="2"/>
              <w:spacing w:after="0"/>
              <w:rPr>
                <w:sz w:val="20"/>
                <w:szCs w:val="20"/>
                <w:color w:val="auto"/>
              </w:rPr>
            </w:pPr>
            <w:r>
              <w:rPr>
                <w:rFonts w:ascii="Arial" w:cs="Arial" w:eastAsia="Arial" w:hAnsi="Arial"/>
                <w:sz w:val="16"/>
                <w:szCs w:val="16"/>
                <w:b w:val="1"/>
                <w:bCs w:val="1"/>
                <w:color w:val="auto"/>
              </w:rPr>
              <w:t>and Other</w:t>
            </w:r>
          </w:p>
        </w:tc>
        <w:tc>
          <w:tcPr>
            <w:tcW w:w="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1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gridSpan w:val="3"/>
          </w:tcPr>
          <w:p>
            <w:pPr>
              <w:jc w:val="right"/>
              <w:ind w:right="22"/>
              <w:spacing w:after="0"/>
              <w:rPr>
                <w:sz w:val="20"/>
                <w:szCs w:val="20"/>
                <w:color w:val="auto"/>
              </w:rPr>
            </w:pPr>
            <w:r>
              <w:rPr>
                <w:rFonts w:ascii="Arial" w:cs="Arial" w:eastAsia="Arial" w:hAnsi="Arial"/>
                <w:sz w:val="16"/>
                <w:szCs w:val="16"/>
                <w:b w:val="1"/>
                <w:bCs w:val="1"/>
                <w:color w:val="auto"/>
              </w:rPr>
              <w:t>(In millions)</w:t>
            </w:r>
          </w:p>
        </w:tc>
        <w:tc>
          <w:tcPr>
            <w:tcW w:w="4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6180" w:type="dxa"/>
            <w:vAlign w:val="bottom"/>
          </w:tcPr>
          <w:p>
            <w:pPr>
              <w:spacing w:after="0"/>
              <w:rPr>
                <w:sz w:val="20"/>
                <w:szCs w:val="20"/>
                <w:color w:val="auto"/>
              </w:rPr>
            </w:pPr>
            <w:r>
              <w:rPr>
                <w:rFonts w:ascii="Arial" w:cs="Arial" w:eastAsia="Arial" w:hAnsi="Arial"/>
                <w:sz w:val="16"/>
                <w:szCs w:val="16"/>
                <w:color w:val="auto"/>
              </w:rPr>
              <w:t>Balance, December 31, 2023</w:t>
            </w:r>
          </w:p>
        </w:tc>
        <w:tc>
          <w:tcPr>
            <w:tcW w:w="22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680" w:type="dxa"/>
            <w:vAlign w:val="bottom"/>
          </w:tcPr>
          <w:p>
            <w:pPr>
              <w:jc w:val="right"/>
              <w:ind w:right="2"/>
              <w:spacing w:after="0"/>
              <w:rPr>
                <w:sz w:val="20"/>
                <w:szCs w:val="20"/>
                <w:color w:val="auto"/>
              </w:rPr>
            </w:pPr>
            <w:r>
              <w:rPr>
                <w:rFonts w:ascii="Arial" w:cs="Arial" w:eastAsia="Arial" w:hAnsi="Arial"/>
                <w:sz w:val="16"/>
                <w:szCs w:val="16"/>
                <w:color w:val="auto"/>
              </w:rPr>
              <w:t>2,788</w:t>
            </w:r>
          </w:p>
        </w:tc>
        <w:tc>
          <w:tcPr>
            <w:tcW w:w="26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1,749</w:t>
            </w:r>
          </w:p>
        </w:tc>
        <w:tc>
          <w:tcPr>
            <w:tcW w:w="540" w:type="dxa"/>
            <w:vAlign w:val="bottom"/>
            <w:gridSpan w:val="2"/>
          </w:tcPr>
          <w:p>
            <w:pPr>
              <w:jc w:val="right"/>
              <w:ind w:right="262"/>
              <w:spacing w:after="0"/>
              <w:rPr>
                <w:sz w:val="20"/>
                <w:szCs w:val="20"/>
                <w:color w:val="auto"/>
              </w:rPr>
            </w:pPr>
            <w:r>
              <w:rPr>
                <w:rFonts w:ascii="Arial" w:cs="Arial" w:eastAsia="Arial" w:hAnsi="Arial"/>
                <w:sz w:val="16"/>
                <w:szCs w:val="16"/>
                <w:color w:val="auto"/>
              </w:rPr>
              <w:t>$</w:t>
            </w:r>
          </w:p>
        </w:tc>
        <w:tc>
          <w:tcPr>
            <w:tcW w:w="400" w:type="dxa"/>
            <w:vAlign w:val="bottom"/>
          </w:tcPr>
          <w:p>
            <w:pPr>
              <w:jc w:val="right"/>
              <w:spacing w:after="0"/>
              <w:rPr>
                <w:sz w:val="20"/>
                <w:szCs w:val="20"/>
                <w:color w:val="auto"/>
              </w:rPr>
            </w:pPr>
            <w:r>
              <w:rPr>
                <w:rFonts w:ascii="Arial" w:cs="Arial" w:eastAsia="Arial" w:hAnsi="Arial"/>
                <w:sz w:val="16"/>
                <w:szCs w:val="16"/>
                <w:color w:val="auto"/>
              </w:rPr>
              <w:t>293</w:t>
            </w:r>
          </w:p>
        </w:tc>
        <w:tc>
          <w:tcPr>
            <w:tcW w:w="28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4,830</w:t>
            </w:r>
          </w:p>
        </w:tc>
        <w:tc>
          <w:tcPr>
            <w:tcW w:w="0" w:type="dxa"/>
            <w:vAlign w:val="bottom"/>
          </w:tcPr>
          <w:p>
            <w:pPr>
              <w:spacing w:after="0"/>
              <w:rPr>
                <w:sz w:val="1"/>
                <w:szCs w:val="1"/>
                <w:color w:val="auto"/>
              </w:rPr>
            </w:pPr>
          </w:p>
        </w:tc>
      </w:tr>
      <w:tr>
        <w:trPr>
          <w:trHeight w:val="242"/>
        </w:trPr>
        <w:tc>
          <w:tcPr>
            <w:tcW w:w="6180" w:type="dxa"/>
            <w:vAlign w:val="bottom"/>
          </w:tcPr>
          <w:p>
            <w:pPr>
              <w:spacing w:after="0"/>
              <w:rPr>
                <w:sz w:val="20"/>
                <w:szCs w:val="20"/>
                <w:color w:val="auto"/>
              </w:rPr>
            </w:pPr>
            <w:r>
              <w:rPr>
                <w:rFonts w:ascii="Arial" w:cs="Arial" w:eastAsia="Arial" w:hAnsi="Arial"/>
                <w:sz w:val="16"/>
                <w:szCs w:val="16"/>
                <w:color w:val="auto"/>
              </w:rPr>
              <w:t>Goodwill associated with acquisitions</w:t>
            </w:r>
          </w:p>
        </w:tc>
        <w:tc>
          <w:tcPr>
            <w:tcW w:w="22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11</w:t>
            </w:r>
          </w:p>
        </w:tc>
        <w:tc>
          <w:tcPr>
            <w:tcW w:w="6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430</w:t>
            </w:r>
          </w:p>
        </w:tc>
        <w:tc>
          <w:tcPr>
            <w:tcW w:w="60" w:type="dxa"/>
            <w:vAlign w:val="bottom"/>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441</w:t>
            </w:r>
          </w:p>
        </w:tc>
        <w:tc>
          <w:tcPr>
            <w:tcW w:w="0" w:type="dxa"/>
            <w:vAlign w:val="bottom"/>
          </w:tcPr>
          <w:p>
            <w:pPr>
              <w:spacing w:after="0"/>
              <w:rPr>
                <w:sz w:val="1"/>
                <w:szCs w:val="1"/>
                <w:color w:val="auto"/>
              </w:rPr>
            </w:pPr>
          </w:p>
        </w:tc>
      </w:tr>
      <w:tr>
        <w:trPr>
          <w:trHeight w:val="208"/>
        </w:trPr>
        <w:tc>
          <w:tcPr>
            <w:tcW w:w="6180" w:type="dxa"/>
            <w:vAlign w:val="bottom"/>
          </w:tcPr>
          <w:p>
            <w:pPr>
              <w:spacing w:after="0"/>
              <w:rPr>
                <w:sz w:val="20"/>
                <w:szCs w:val="20"/>
                <w:color w:val="auto"/>
              </w:rPr>
            </w:pPr>
            <w:r>
              <w:rPr>
                <w:rFonts w:ascii="Arial" w:cs="Arial" w:eastAsia="Arial" w:hAnsi="Arial"/>
                <w:sz w:val="16"/>
                <w:szCs w:val="16"/>
                <w:color w:val="auto"/>
              </w:rPr>
              <w:t>Balance, December 31, 2024</w:t>
            </w:r>
          </w:p>
        </w:tc>
        <w:tc>
          <w:tcPr>
            <w:tcW w:w="22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680" w:type="dxa"/>
            <w:vAlign w:val="bottom"/>
          </w:tcPr>
          <w:p>
            <w:pPr>
              <w:jc w:val="right"/>
              <w:ind w:right="2"/>
              <w:spacing w:after="0"/>
              <w:rPr>
                <w:sz w:val="20"/>
                <w:szCs w:val="20"/>
                <w:color w:val="auto"/>
              </w:rPr>
            </w:pPr>
            <w:r>
              <w:rPr>
                <w:rFonts w:ascii="Arial" w:cs="Arial" w:eastAsia="Arial" w:hAnsi="Arial"/>
                <w:sz w:val="16"/>
                <w:szCs w:val="16"/>
                <w:color w:val="auto"/>
              </w:rPr>
              <w:t>2,799</w:t>
            </w:r>
          </w:p>
        </w:tc>
        <w:tc>
          <w:tcPr>
            <w:tcW w:w="26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2,179</w:t>
            </w:r>
          </w:p>
        </w:tc>
        <w:tc>
          <w:tcPr>
            <w:tcW w:w="540" w:type="dxa"/>
            <w:vAlign w:val="bottom"/>
            <w:gridSpan w:val="2"/>
          </w:tcPr>
          <w:p>
            <w:pPr>
              <w:jc w:val="right"/>
              <w:ind w:right="262"/>
              <w:spacing w:after="0"/>
              <w:rPr>
                <w:sz w:val="20"/>
                <w:szCs w:val="20"/>
                <w:color w:val="auto"/>
              </w:rPr>
            </w:pPr>
            <w:r>
              <w:rPr>
                <w:rFonts w:ascii="Arial" w:cs="Arial" w:eastAsia="Arial" w:hAnsi="Arial"/>
                <w:sz w:val="16"/>
                <w:szCs w:val="16"/>
                <w:color w:val="auto"/>
              </w:rPr>
              <w:t>$</w:t>
            </w:r>
          </w:p>
        </w:tc>
        <w:tc>
          <w:tcPr>
            <w:tcW w:w="400" w:type="dxa"/>
            <w:vAlign w:val="bottom"/>
          </w:tcPr>
          <w:p>
            <w:pPr>
              <w:jc w:val="right"/>
              <w:spacing w:after="0"/>
              <w:rPr>
                <w:sz w:val="20"/>
                <w:szCs w:val="20"/>
                <w:color w:val="auto"/>
              </w:rPr>
            </w:pPr>
            <w:r>
              <w:rPr>
                <w:rFonts w:ascii="Arial" w:cs="Arial" w:eastAsia="Arial" w:hAnsi="Arial"/>
                <w:sz w:val="16"/>
                <w:szCs w:val="16"/>
                <w:color w:val="auto"/>
              </w:rPr>
              <w:t>293</w:t>
            </w:r>
          </w:p>
        </w:tc>
        <w:tc>
          <w:tcPr>
            <w:tcW w:w="28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5,271</w:t>
            </w:r>
          </w:p>
        </w:tc>
        <w:tc>
          <w:tcPr>
            <w:tcW w:w="0" w:type="dxa"/>
            <w:vAlign w:val="bottom"/>
          </w:tcPr>
          <w:p>
            <w:pPr>
              <w:spacing w:after="0"/>
              <w:rPr>
                <w:sz w:val="1"/>
                <w:szCs w:val="1"/>
                <w:color w:val="auto"/>
              </w:rPr>
            </w:pPr>
          </w:p>
        </w:tc>
      </w:tr>
      <w:tr>
        <w:trPr>
          <w:trHeight w:val="242"/>
        </w:trPr>
        <w:tc>
          <w:tcPr>
            <w:tcW w:w="6180" w:type="dxa"/>
            <w:vAlign w:val="bottom"/>
          </w:tcPr>
          <w:p>
            <w:pPr>
              <w:spacing w:after="0"/>
              <w:rPr>
                <w:sz w:val="20"/>
                <w:szCs w:val="20"/>
                <w:color w:val="auto"/>
              </w:rPr>
            </w:pPr>
            <w:r>
              <w:rPr>
                <w:rFonts w:ascii="Arial" w:cs="Arial" w:eastAsia="Arial" w:hAnsi="Arial"/>
                <w:sz w:val="16"/>
                <w:szCs w:val="16"/>
                <w:color w:val="auto"/>
              </w:rPr>
              <w:t>Goodwill associated with acquisitions</w:t>
            </w:r>
          </w:p>
        </w:tc>
        <w:tc>
          <w:tcPr>
            <w:tcW w:w="22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6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196"/>
        </w:trPr>
        <w:tc>
          <w:tcPr>
            <w:tcW w:w="6180" w:type="dxa"/>
            <w:vAlign w:val="bottom"/>
          </w:tcPr>
          <w:p>
            <w:pPr>
              <w:spacing w:after="0"/>
              <w:rPr>
                <w:sz w:val="20"/>
                <w:szCs w:val="20"/>
                <w:color w:val="auto"/>
              </w:rPr>
            </w:pPr>
            <w:r>
              <w:rPr>
                <w:rFonts w:ascii="Arial" w:cs="Arial" w:eastAsia="Arial" w:hAnsi="Arial"/>
                <w:sz w:val="16"/>
                <w:szCs w:val="16"/>
                <w:color w:val="auto"/>
              </w:rPr>
              <w:t>Balance, December 31, 2025</w:t>
            </w:r>
          </w:p>
        </w:tc>
        <w:tc>
          <w:tcPr>
            <w:tcW w:w="22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680" w:type="dxa"/>
            <w:vAlign w:val="bottom"/>
          </w:tcPr>
          <w:p>
            <w:pPr>
              <w:jc w:val="right"/>
              <w:ind w:right="2"/>
              <w:spacing w:after="0"/>
              <w:rPr>
                <w:sz w:val="20"/>
                <w:szCs w:val="20"/>
                <w:color w:val="auto"/>
              </w:rPr>
            </w:pPr>
            <w:r>
              <w:rPr>
                <w:rFonts w:ascii="Arial" w:cs="Arial" w:eastAsia="Arial" w:hAnsi="Arial"/>
                <w:sz w:val="16"/>
                <w:szCs w:val="16"/>
                <w:color w:val="auto"/>
              </w:rPr>
              <w:t>2,799</w:t>
            </w:r>
          </w:p>
        </w:tc>
        <w:tc>
          <w:tcPr>
            <w:tcW w:w="26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2,180</w:t>
            </w:r>
          </w:p>
        </w:tc>
        <w:tc>
          <w:tcPr>
            <w:tcW w:w="540" w:type="dxa"/>
            <w:vAlign w:val="bottom"/>
            <w:gridSpan w:val="2"/>
          </w:tcPr>
          <w:p>
            <w:pPr>
              <w:jc w:val="right"/>
              <w:ind w:right="262"/>
              <w:spacing w:after="0"/>
              <w:rPr>
                <w:sz w:val="20"/>
                <w:szCs w:val="20"/>
                <w:color w:val="auto"/>
              </w:rPr>
            </w:pPr>
            <w:r>
              <w:rPr>
                <w:rFonts w:ascii="Arial" w:cs="Arial" w:eastAsia="Arial" w:hAnsi="Arial"/>
                <w:sz w:val="16"/>
                <w:szCs w:val="16"/>
                <w:color w:val="auto"/>
              </w:rPr>
              <w:t>$</w:t>
            </w:r>
          </w:p>
        </w:tc>
        <w:tc>
          <w:tcPr>
            <w:tcW w:w="400" w:type="dxa"/>
            <w:vAlign w:val="bottom"/>
          </w:tcPr>
          <w:p>
            <w:pPr>
              <w:jc w:val="right"/>
              <w:spacing w:after="0"/>
              <w:rPr>
                <w:sz w:val="20"/>
                <w:szCs w:val="20"/>
                <w:color w:val="auto"/>
              </w:rPr>
            </w:pPr>
            <w:r>
              <w:rPr>
                <w:rFonts w:ascii="Arial" w:cs="Arial" w:eastAsia="Arial" w:hAnsi="Arial"/>
                <w:sz w:val="16"/>
                <w:szCs w:val="16"/>
                <w:color w:val="auto"/>
              </w:rPr>
              <w:t>293</w:t>
            </w:r>
          </w:p>
        </w:tc>
        <w:tc>
          <w:tcPr>
            <w:tcW w:w="28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5,272</w:t>
            </w:r>
          </w:p>
        </w:tc>
        <w:tc>
          <w:tcPr>
            <w:tcW w:w="0" w:type="dxa"/>
            <w:vAlign w:val="bottom"/>
          </w:tcPr>
          <w:p>
            <w:pPr>
              <w:spacing w:after="0"/>
              <w:rPr>
                <w:sz w:val="1"/>
                <w:szCs w:val="1"/>
                <w:color w:val="auto"/>
              </w:rPr>
            </w:pPr>
          </w:p>
        </w:tc>
      </w:tr>
      <w:tr>
        <w:trPr>
          <w:trHeight w:val="20"/>
        </w:trPr>
        <w:tc>
          <w:tcPr>
            <w:tcW w:w="6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-777875</wp:posOffset>
            </wp:positionV>
            <wp:extent cx="6354445" cy="78486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37">
                      <a:extLst>
                        <a:ext uri="{28A0092B-C50C-407E-A947-70E740481C1C}"/>
                      </a:extLst>
                    </a:blip>
                    <a:srcRect/>
                    <a:stretch>
                      <a:fillRect/>
                    </a:stretch>
                  </pic:blipFill>
                  <pic:spPr bwMode="auto">
                    <a:xfrm>
                      <a:off x="0" y="0"/>
                      <a:ext cx="6354445" cy="784860"/>
                    </a:xfrm>
                    <a:prstGeom prst="rect">
                      <a:avLst/>
                    </a:prstGeom>
                    <a:noFill/>
                  </pic:spPr>
                </pic:pic>
              </a:graphicData>
            </a:graphic>
          </wp:anchor>
        </w:drawing>
      </w:r>
    </w:p>
    <w:p>
      <w:pPr>
        <w:spacing w:after="0" w:line="9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N — F&amp;G Reinsurance</w:t>
      </w:r>
    </w:p>
    <w:p>
      <w:pPr>
        <w:spacing w:after="0" w:line="130" w:lineRule="exact"/>
        <w:rPr>
          <w:sz w:val="20"/>
          <w:szCs w:val="20"/>
          <w:color w:val="auto"/>
        </w:rPr>
      </w:pPr>
    </w:p>
    <w:p>
      <w:pPr>
        <w:jc w:val="both"/>
        <w:ind w:firstLine="353"/>
        <w:spacing w:after="0" w:line="297" w:lineRule="auto"/>
        <w:rPr>
          <w:sz w:val="20"/>
          <w:szCs w:val="20"/>
          <w:color w:val="auto"/>
        </w:rPr>
      </w:pPr>
      <w:r>
        <w:rPr>
          <w:rFonts w:ascii="Arial" w:cs="Arial" w:eastAsia="Arial" w:hAnsi="Arial"/>
          <w:sz w:val="17"/>
          <w:szCs w:val="17"/>
          <w:color w:val="auto"/>
        </w:rPr>
        <w:t xml:space="preserve">The Company reinsures portions of its policy risks with other insurance companies. The use of indemnity reinsurance does not discharge an insurer from liability on the insurance ceded. The insurer is required to pay in full the amount of its insurance liability regardless of whether it is entitled to or able to receive payment from the reinsurer. The portion of risks exceeding the Company's retention limit is reinsured. The Company primarily seeks reinsurance coverage in order to manage loss exposures, to enhance our capital position, to diversify risks and earnings, and to manage new business volume. The Company follows reinsurance accounting when the treaty adequately transfers insurance risk and any acquisition cost reimbursements reduce policy acquisition costs deferred and maintenance expense reimbursements reduce direct expenses incurred. Otherwise, the Company follows deposit accounting if there is inadequate transfer of insurance risk or if the underlying policy for which risk is being transferred is an investment contract that does not contain insurance risk. Refer to Note A </w:t>
      </w:r>
      <w:r>
        <w:rPr>
          <w:rFonts w:ascii="Arial" w:cs="Arial" w:eastAsia="Arial" w:hAnsi="Arial"/>
          <w:sz w:val="17"/>
          <w:szCs w:val="17"/>
          <w:b w:val="1"/>
          <w:bCs w:val="1"/>
          <w:i w:val="1"/>
          <w:iCs w:val="1"/>
          <w:color w:val="auto"/>
        </w:rPr>
        <w:t>Business and Summary of</w:t>
      </w:r>
    </w:p>
    <w:p>
      <w:pPr>
        <w:sectPr>
          <w:pgSz w:w="11880" w:h="15480" w:orient="portrait"/>
          <w:cols w:equalWidth="0" w:num="1">
            <w:col w:w="10040"/>
          </w:cols>
          <w:pgMar w:left="920" w:top="1094"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163</w:t>
      </w:r>
    </w:p>
    <w:p>
      <w:pPr>
        <w:sectPr>
          <w:pgSz w:w="11880" w:h="15480" w:orient="portrait"/>
          <w:cols w:equalWidth="0" w:num="1">
            <w:col w:w="10040"/>
          </w:cols>
          <w:pgMar w:left="920" w:top="1094" w:right="920" w:bottom="0" w:gutter="0" w:footer="0" w:header="0"/>
          <w:type w:val="continuous"/>
        </w:sectPr>
      </w:pPr>
    </w:p>
    <w:bookmarkStart w:id="175" w:name="page176"/>
    <w:bookmarkEnd w:id="175"/>
    <w:p>
      <w:pPr>
        <w:jc w:val="both"/>
        <w:spacing w:after="0" w:line="362" w:lineRule="auto"/>
        <w:rPr>
          <w:sz w:val="20"/>
          <w:szCs w:val="20"/>
          <w:color w:val="auto"/>
        </w:rPr>
      </w:pPr>
      <w:r>
        <w:rPr>
          <w:rFonts w:ascii="Arial" w:cs="Arial" w:eastAsia="Arial" w:hAnsi="Arial"/>
          <w:sz w:val="17"/>
          <w:szCs w:val="17"/>
          <w:b w:val="1"/>
          <w:bCs w:val="1"/>
          <w:i w:val="1"/>
          <w:iCs w:val="1"/>
          <w:color w:val="auto"/>
        </w:rPr>
        <w:t xml:space="preserve">Significant Accounting Policies </w:t>
      </w:r>
      <w:r>
        <w:rPr>
          <w:rFonts w:ascii="Arial" w:cs="Arial" w:eastAsia="Arial" w:hAnsi="Arial"/>
          <w:sz w:val="17"/>
          <w:szCs w:val="17"/>
          <w:color w:val="auto"/>
        </w:rPr>
        <w:t>for more information over our accounting policy for reinsurance agreements. As of December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31, 2025 and 2024 we had an immaterial amount of cost of reinsurance recorded on the Consolidated Balance Sheets.</w:t>
      </w:r>
    </w:p>
    <w:p>
      <w:pPr>
        <w:jc w:val="both"/>
        <w:ind w:firstLine="353"/>
        <w:spacing w:after="0" w:line="271" w:lineRule="auto"/>
        <w:rPr>
          <w:sz w:val="20"/>
          <w:szCs w:val="20"/>
          <w:color w:val="auto"/>
        </w:rPr>
      </w:pPr>
      <w:r>
        <w:rPr>
          <w:rFonts w:ascii="Arial" w:cs="Arial" w:eastAsia="Arial" w:hAnsi="Arial"/>
          <w:sz w:val="20"/>
          <w:szCs w:val="20"/>
          <w:color w:val="auto"/>
        </w:rPr>
        <w:t>The effects of reinsurance on net premiums earned, net product fees and net benefits incurred (benefits paid and reserve changes) for the years ended December 31, 2025, 2024, and 2023 respectively, were as follows:</w:t>
      </w:r>
    </w:p>
    <w:p>
      <w:pPr>
        <w:spacing w:after="0" w:line="157" w:lineRule="exact"/>
        <w:rPr>
          <w:sz w:val="20"/>
          <w:szCs w:val="20"/>
          <w:color w:val="auto"/>
        </w:rPr>
      </w:pPr>
    </w:p>
    <w:tbl>
      <w:tblPr>
        <w:tblLayout w:type="fixed"/>
        <w:tblInd w:w="40" w:type="dxa"/>
        <w:tblCellMar>
          <w:top w:w="0" w:type="dxa"/>
          <w:left w:w="0" w:type="dxa"/>
          <w:bottom w:w="0" w:type="dxa"/>
          <w:right w:w="0" w:type="dxa"/>
        </w:tblCellMar>
      </w:tblPr>
      <w:tr>
        <w:trPr>
          <w:trHeight w:val="213"/>
        </w:trPr>
        <w:tc>
          <w:tcPr>
            <w:tcW w:w="23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340" w:type="dxa"/>
            <w:vAlign w:val="bottom"/>
            <w:tcBorders>
              <w:bottom w:val="single" w:sz="8" w:color="auto"/>
            </w:tcBorders>
            <w:gridSpan w:val="7"/>
          </w:tcPr>
          <w:p>
            <w:pPr>
              <w:jc w:val="center"/>
              <w:spacing w:after="0"/>
              <w:rPr>
                <w:sz w:val="20"/>
                <w:szCs w:val="20"/>
                <w:color w:val="auto"/>
              </w:rPr>
            </w:pPr>
            <w:r>
              <w:rPr>
                <w:rFonts w:ascii="Arial" w:cs="Arial" w:eastAsia="Arial" w:hAnsi="Arial"/>
                <w:sz w:val="16"/>
                <w:szCs w:val="16"/>
                <w:b w:val="1"/>
                <w:bCs w:val="1"/>
                <w:color w:val="auto"/>
                <w:w w:val="89"/>
              </w:rPr>
              <w:t>Year Ended December 31,</w:t>
            </w:r>
          </w:p>
        </w:tc>
        <w:tc>
          <w:tcPr>
            <w:tcW w:w="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r>
      <w:tr>
        <w:trPr>
          <w:trHeight w:val="230"/>
        </w:trPr>
        <w:tc>
          <w:tcPr>
            <w:tcW w:w="23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center"/>
              <w:ind w:right="122"/>
              <w:spacing w:after="0"/>
              <w:rPr>
                <w:sz w:val="20"/>
                <w:szCs w:val="20"/>
                <w:color w:val="auto"/>
              </w:rPr>
            </w:pPr>
            <w:r>
              <w:rPr>
                <w:rFonts w:ascii="Arial" w:cs="Arial" w:eastAsia="Arial" w:hAnsi="Arial"/>
                <w:sz w:val="16"/>
                <w:szCs w:val="16"/>
                <w:b w:val="1"/>
                <w:bCs w:val="1"/>
                <w:color w:val="auto"/>
                <w:w w:val="89"/>
              </w:rPr>
              <w:t>2025</w:t>
            </w:r>
          </w:p>
        </w:tc>
        <w:tc>
          <w:tcPr>
            <w:tcW w:w="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162"/>
              <w:spacing w:after="0"/>
              <w:rPr>
                <w:sz w:val="20"/>
                <w:szCs w:val="20"/>
                <w:color w:val="auto"/>
              </w:rPr>
            </w:pPr>
            <w:r>
              <w:rPr>
                <w:rFonts w:ascii="Arial" w:cs="Arial" w:eastAsia="Arial" w:hAnsi="Arial"/>
                <w:sz w:val="16"/>
                <w:szCs w:val="16"/>
                <w:b w:val="1"/>
                <w:bCs w:val="1"/>
                <w:color w:val="auto"/>
                <w:w w:val="95"/>
              </w:rPr>
              <w:t>2024</w:t>
            </w:r>
          </w:p>
        </w:tc>
        <w:tc>
          <w:tcPr>
            <w:tcW w:w="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182"/>
              <w:spacing w:after="0"/>
              <w:rPr>
                <w:sz w:val="20"/>
                <w:szCs w:val="20"/>
                <w:color w:val="auto"/>
              </w:rPr>
            </w:pPr>
            <w:r>
              <w:rPr>
                <w:rFonts w:ascii="Arial" w:cs="Arial" w:eastAsia="Arial" w:hAnsi="Arial"/>
                <w:sz w:val="16"/>
                <w:szCs w:val="16"/>
                <w:b w:val="1"/>
                <w:bCs w:val="1"/>
                <w:color w:val="auto"/>
                <w:w w:val="95"/>
              </w:rPr>
              <w:t>2023</w:t>
            </w:r>
          </w:p>
        </w:tc>
        <w:tc>
          <w:tcPr>
            <w:tcW w:w="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r>
      <w:tr>
        <w:trPr>
          <w:trHeight w:val="216"/>
        </w:trPr>
        <w:tc>
          <w:tcPr>
            <w:tcW w:w="2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ind w:right="202"/>
              <w:spacing w:after="0"/>
              <w:rPr>
                <w:sz w:val="20"/>
                <w:szCs w:val="20"/>
                <w:color w:val="auto"/>
              </w:rPr>
            </w:pPr>
            <w:r>
              <w:rPr>
                <w:rFonts w:ascii="Arial" w:cs="Arial" w:eastAsia="Arial" w:hAnsi="Arial"/>
                <w:sz w:val="16"/>
                <w:szCs w:val="16"/>
                <w:b w:val="1"/>
                <w:bCs w:val="1"/>
                <w:color w:val="auto"/>
              </w:rPr>
              <w:t>Net</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center"/>
              <w:ind w:right="82"/>
              <w:spacing w:after="0"/>
              <w:rPr>
                <w:sz w:val="20"/>
                <w:szCs w:val="20"/>
                <w:color w:val="auto"/>
              </w:rPr>
            </w:pPr>
            <w:r>
              <w:rPr>
                <w:rFonts w:ascii="Arial" w:cs="Arial" w:eastAsia="Arial" w:hAnsi="Arial"/>
                <w:sz w:val="16"/>
                <w:szCs w:val="16"/>
                <w:b w:val="1"/>
                <w:bCs w:val="1"/>
                <w:color w:val="auto"/>
                <w:w w:val="92"/>
              </w:rPr>
              <w:t>Net</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jc w:val="center"/>
              <w:ind w:right="102"/>
              <w:spacing w:after="0"/>
              <w:rPr>
                <w:sz w:val="20"/>
                <w:szCs w:val="20"/>
                <w:color w:val="auto"/>
              </w:rPr>
            </w:pPr>
            <w:r>
              <w:rPr>
                <w:rFonts w:ascii="Arial" w:cs="Arial" w:eastAsia="Arial" w:hAnsi="Arial"/>
                <w:sz w:val="16"/>
                <w:szCs w:val="16"/>
                <w:b w:val="1"/>
                <w:bCs w:val="1"/>
                <w:color w:val="auto"/>
                <w:w w:val="92"/>
              </w:rPr>
              <w:t>Net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ind w:right="202"/>
              <w:spacing w:after="0"/>
              <w:rPr>
                <w:sz w:val="20"/>
                <w:szCs w:val="20"/>
                <w:color w:val="auto"/>
              </w:rPr>
            </w:pPr>
            <w:r>
              <w:rPr>
                <w:rFonts w:ascii="Arial" w:cs="Arial" w:eastAsia="Arial" w:hAnsi="Arial"/>
                <w:sz w:val="16"/>
                <w:szCs w:val="16"/>
                <w:b w:val="1"/>
                <w:bCs w:val="1"/>
                <w:color w:val="auto"/>
              </w:rPr>
              <w:t>Net</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2"/>
              </w:rPr>
              <w:t>Net</w:t>
            </w:r>
          </w:p>
        </w:tc>
        <w:tc>
          <w:tcPr>
            <w:tcW w:w="200" w:type="dxa"/>
            <w:vAlign w:val="bottom"/>
          </w:tcPr>
          <w:p>
            <w:pPr>
              <w:spacing w:after="0"/>
              <w:rPr>
                <w:sz w:val="18"/>
                <w:szCs w:val="18"/>
                <w:color w:val="auto"/>
              </w:rPr>
            </w:pPr>
          </w:p>
        </w:tc>
        <w:tc>
          <w:tcPr>
            <w:tcW w:w="580" w:type="dxa"/>
            <w:vAlign w:val="bottom"/>
          </w:tcPr>
          <w:p>
            <w:pPr>
              <w:jc w:val="center"/>
              <w:ind w:right="102"/>
              <w:spacing w:after="0"/>
              <w:rPr>
                <w:sz w:val="20"/>
                <w:szCs w:val="20"/>
                <w:color w:val="auto"/>
              </w:rPr>
            </w:pPr>
            <w:r>
              <w:rPr>
                <w:rFonts w:ascii="Arial" w:cs="Arial" w:eastAsia="Arial" w:hAnsi="Arial"/>
                <w:sz w:val="16"/>
                <w:szCs w:val="16"/>
                <w:b w:val="1"/>
                <w:bCs w:val="1"/>
                <w:color w:val="auto"/>
                <w:w w:val="92"/>
              </w:rPr>
              <w:t>Net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center"/>
              <w:ind w:right="82"/>
              <w:spacing w:after="0"/>
              <w:rPr>
                <w:sz w:val="20"/>
                <w:szCs w:val="20"/>
                <w:color w:val="auto"/>
              </w:rPr>
            </w:pPr>
            <w:r>
              <w:rPr>
                <w:rFonts w:ascii="Arial" w:cs="Arial" w:eastAsia="Arial" w:hAnsi="Arial"/>
                <w:sz w:val="16"/>
                <w:szCs w:val="16"/>
                <w:b w:val="1"/>
                <w:bCs w:val="1"/>
                <w:color w:val="auto"/>
                <w:w w:val="92"/>
              </w:rPr>
              <w:t>Net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center"/>
              <w:ind w:right="62"/>
              <w:spacing w:after="0"/>
              <w:rPr>
                <w:sz w:val="20"/>
                <w:szCs w:val="20"/>
                <w:color w:val="auto"/>
              </w:rPr>
            </w:pPr>
            <w:r>
              <w:rPr>
                <w:rFonts w:ascii="Arial" w:cs="Arial" w:eastAsia="Arial" w:hAnsi="Arial"/>
                <w:sz w:val="16"/>
                <w:szCs w:val="16"/>
                <w:b w:val="1"/>
                <w:bCs w:val="1"/>
                <w:color w:val="auto"/>
                <w:w w:val="92"/>
              </w:rPr>
              <w:t>Net</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jc w:val="center"/>
              <w:ind w:right="102"/>
              <w:spacing w:after="0"/>
              <w:rPr>
                <w:sz w:val="20"/>
                <w:szCs w:val="20"/>
                <w:color w:val="auto"/>
              </w:rPr>
            </w:pPr>
            <w:r>
              <w:rPr>
                <w:rFonts w:ascii="Arial" w:cs="Arial" w:eastAsia="Arial" w:hAnsi="Arial"/>
                <w:sz w:val="16"/>
                <w:szCs w:val="16"/>
                <w:b w:val="1"/>
                <w:bCs w:val="1"/>
                <w:color w:val="auto"/>
                <w:w w:val="92"/>
              </w:rPr>
              <w:t>Net</w:t>
            </w:r>
          </w:p>
        </w:tc>
      </w:tr>
      <w:tr>
        <w:trPr>
          <w:trHeight w:val="157"/>
        </w:trPr>
        <w:tc>
          <w:tcPr>
            <w:tcW w:w="2380" w:type="dxa"/>
            <w:vAlign w:val="bottom"/>
          </w:tcPr>
          <w:p>
            <w:pPr>
              <w:spacing w:after="0"/>
              <w:rPr>
                <w:sz w:val="13"/>
                <w:szCs w:val="13"/>
                <w:color w:val="auto"/>
              </w:rPr>
            </w:pPr>
          </w:p>
        </w:tc>
        <w:tc>
          <w:tcPr>
            <w:tcW w:w="800" w:type="dxa"/>
            <w:vAlign w:val="bottom"/>
            <w:gridSpan w:val="2"/>
          </w:tcPr>
          <w:p>
            <w:pPr>
              <w:ind w:left="60"/>
              <w:spacing w:after="0" w:line="157" w:lineRule="exact"/>
              <w:rPr>
                <w:sz w:val="20"/>
                <w:szCs w:val="20"/>
                <w:color w:val="auto"/>
              </w:rPr>
            </w:pPr>
            <w:r>
              <w:rPr>
                <w:rFonts w:ascii="Arial" w:cs="Arial" w:eastAsia="Arial" w:hAnsi="Arial"/>
                <w:sz w:val="16"/>
                <w:szCs w:val="16"/>
                <w:b w:val="1"/>
                <w:bCs w:val="1"/>
                <w:color w:val="auto"/>
                <w:w w:val="93"/>
              </w:rPr>
              <w:t>Premiums</w:t>
            </w:r>
          </w:p>
        </w:tc>
        <w:tc>
          <w:tcPr>
            <w:tcW w:w="60" w:type="dxa"/>
            <w:vAlign w:val="bottom"/>
          </w:tcPr>
          <w:p>
            <w:pPr>
              <w:spacing w:after="0"/>
              <w:rPr>
                <w:sz w:val="13"/>
                <w:szCs w:val="13"/>
                <w:color w:val="auto"/>
              </w:rPr>
            </w:pPr>
          </w:p>
        </w:tc>
        <w:tc>
          <w:tcPr>
            <w:tcW w:w="780" w:type="dxa"/>
            <w:vAlign w:val="bottom"/>
            <w:gridSpan w:val="2"/>
          </w:tcPr>
          <w:p>
            <w:pPr>
              <w:jc w:val="center"/>
              <w:spacing w:after="0" w:line="157" w:lineRule="exact"/>
              <w:rPr>
                <w:sz w:val="20"/>
                <w:szCs w:val="20"/>
                <w:color w:val="auto"/>
              </w:rPr>
            </w:pPr>
            <w:r>
              <w:rPr>
                <w:rFonts w:ascii="Arial" w:cs="Arial" w:eastAsia="Arial" w:hAnsi="Arial"/>
                <w:sz w:val="16"/>
                <w:szCs w:val="16"/>
                <w:b w:val="1"/>
                <w:bCs w:val="1"/>
                <w:color w:val="auto"/>
                <w:w w:val="89"/>
              </w:rPr>
              <w:t>Product</w:t>
            </w:r>
          </w:p>
        </w:tc>
        <w:tc>
          <w:tcPr>
            <w:tcW w:w="60" w:type="dxa"/>
            <w:vAlign w:val="bottom"/>
          </w:tcPr>
          <w:p>
            <w:pPr>
              <w:spacing w:after="0"/>
              <w:rPr>
                <w:sz w:val="13"/>
                <w:szCs w:val="13"/>
                <w:color w:val="auto"/>
              </w:rPr>
            </w:pPr>
          </w:p>
        </w:tc>
        <w:tc>
          <w:tcPr>
            <w:tcW w:w="780" w:type="dxa"/>
            <w:vAlign w:val="bottom"/>
            <w:gridSpan w:val="2"/>
          </w:tcPr>
          <w:p>
            <w:pPr>
              <w:jc w:val="center"/>
              <w:spacing w:after="0" w:line="157" w:lineRule="exact"/>
              <w:rPr>
                <w:sz w:val="20"/>
                <w:szCs w:val="20"/>
                <w:color w:val="auto"/>
              </w:rPr>
            </w:pPr>
            <w:r>
              <w:rPr>
                <w:rFonts w:ascii="Arial" w:cs="Arial" w:eastAsia="Arial" w:hAnsi="Arial"/>
                <w:sz w:val="16"/>
                <w:szCs w:val="16"/>
                <w:b w:val="1"/>
                <w:bCs w:val="1"/>
                <w:color w:val="auto"/>
                <w:w w:val="85"/>
              </w:rPr>
              <w:t>Benefits</w:t>
            </w:r>
          </w:p>
        </w:tc>
        <w:tc>
          <w:tcPr>
            <w:tcW w:w="60" w:type="dxa"/>
            <w:vAlign w:val="bottom"/>
          </w:tcPr>
          <w:p>
            <w:pPr>
              <w:spacing w:after="0"/>
              <w:rPr>
                <w:sz w:val="13"/>
                <w:szCs w:val="13"/>
                <w:color w:val="auto"/>
              </w:rPr>
            </w:pPr>
          </w:p>
        </w:tc>
        <w:tc>
          <w:tcPr>
            <w:tcW w:w="800" w:type="dxa"/>
            <w:vAlign w:val="bottom"/>
            <w:gridSpan w:val="2"/>
          </w:tcPr>
          <w:p>
            <w:pPr>
              <w:ind w:left="60"/>
              <w:spacing w:after="0" w:line="157" w:lineRule="exact"/>
              <w:rPr>
                <w:sz w:val="20"/>
                <w:szCs w:val="20"/>
                <w:color w:val="auto"/>
              </w:rPr>
            </w:pPr>
            <w:r>
              <w:rPr>
                <w:rFonts w:ascii="Arial" w:cs="Arial" w:eastAsia="Arial" w:hAnsi="Arial"/>
                <w:sz w:val="16"/>
                <w:szCs w:val="16"/>
                <w:b w:val="1"/>
                <w:bCs w:val="1"/>
                <w:color w:val="auto"/>
                <w:w w:val="93"/>
              </w:rPr>
              <w:t>Premiums</w:t>
            </w:r>
          </w:p>
        </w:tc>
        <w:tc>
          <w:tcPr>
            <w:tcW w:w="60" w:type="dxa"/>
            <w:vAlign w:val="bottom"/>
          </w:tcPr>
          <w:p>
            <w:pPr>
              <w:spacing w:after="0"/>
              <w:rPr>
                <w:sz w:val="13"/>
                <w:szCs w:val="13"/>
                <w:color w:val="auto"/>
              </w:rPr>
            </w:pPr>
          </w:p>
        </w:tc>
        <w:tc>
          <w:tcPr>
            <w:tcW w:w="840" w:type="dxa"/>
            <w:vAlign w:val="bottom"/>
            <w:gridSpan w:val="3"/>
          </w:tcPr>
          <w:p>
            <w:pPr>
              <w:jc w:val="center"/>
              <w:ind w:right="60"/>
              <w:spacing w:after="0" w:line="157" w:lineRule="exact"/>
              <w:rPr>
                <w:sz w:val="20"/>
                <w:szCs w:val="20"/>
                <w:color w:val="auto"/>
              </w:rPr>
            </w:pPr>
            <w:r>
              <w:rPr>
                <w:rFonts w:ascii="Arial" w:cs="Arial" w:eastAsia="Arial" w:hAnsi="Arial"/>
                <w:sz w:val="16"/>
                <w:szCs w:val="16"/>
                <w:b w:val="1"/>
                <w:bCs w:val="1"/>
                <w:color w:val="auto"/>
                <w:w w:val="89"/>
              </w:rPr>
              <w:t>Product</w:t>
            </w:r>
          </w:p>
        </w:tc>
        <w:tc>
          <w:tcPr>
            <w:tcW w:w="780" w:type="dxa"/>
            <w:vAlign w:val="bottom"/>
            <w:gridSpan w:val="2"/>
          </w:tcPr>
          <w:p>
            <w:pPr>
              <w:jc w:val="center"/>
              <w:spacing w:after="0" w:line="157" w:lineRule="exact"/>
              <w:rPr>
                <w:sz w:val="20"/>
                <w:szCs w:val="20"/>
                <w:color w:val="auto"/>
              </w:rPr>
            </w:pPr>
            <w:r>
              <w:rPr>
                <w:rFonts w:ascii="Arial" w:cs="Arial" w:eastAsia="Arial" w:hAnsi="Arial"/>
                <w:sz w:val="16"/>
                <w:szCs w:val="16"/>
                <w:b w:val="1"/>
                <w:bCs w:val="1"/>
                <w:color w:val="auto"/>
                <w:w w:val="85"/>
              </w:rPr>
              <w:t>Benefits</w:t>
            </w:r>
          </w:p>
        </w:tc>
        <w:tc>
          <w:tcPr>
            <w:tcW w:w="60" w:type="dxa"/>
            <w:vAlign w:val="bottom"/>
          </w:tcPr>
          <w:p>
            <w:pPr>
              <w:spacing w:after="0"/>
              <w:rPr>
                <w:sz w:val="13"/>
                <w:szCs w:val="13"/>
                <w:color w:val="auto"/>
              </w:rPr>
            </w:pPr>
          </w:p>
        </w:tc>
        <w:tc>
          <w:tcPr>
            <w:tcW w:w="880" w:type="dxa"/>
            <w:vAlign w:val="bottom"/>
            <w:gridSpan w:val="2"/>
          </w:tcPr>
          <w:p>
            <w:pPr>
              <w:jc w:val="center"/>
              <w:spacing w:after="0" w:line="157" w:lineRule="exact"/>
              <w:rPr>
                <w:sz w:val="20"/>
                <w:szCs w:val="20"/>
                <w:color w:val="auto"/>
              </w:rPr>
            </w:pPr>
            <w:r>
              <w:rPr>
                <w:rFonts w:ascii="Arial" w:cs="Arial" w:eastAsia="Arial" w:hAnsi="Arial"/>
                <w:sz w:val="16"/>
                <w:szCs w:val="16"/>
                <w:b w:val="1"/>
                <w:bCs w:val="1"/>
                <w:color w:val="auto"/>
                <w:w w:val="87"/>
              </w:rPr>
              <w:t>Premiums</w:t>
            </w:r>
          </w:p>
        </w:tc>
        <w:tc>
          <w:tcPr>
            <w:tcW w:w="60" w:type="dxa"/>
            <w:vAlign w:val="bottom"/>
          </w:tcPr>
          <w:p>
            <w:pPr>
              <w:spacing w:after="0"/>
              <w:rPr>
                <w:sz w:val="13"/>
                <w:szCs w:val="13"/>
                <w:color w:val="auto"/>
              </w:rPr>
            </w:pPr>
          </w:p>
        </w:tc>
        <w:tc>
          <w:tcPr>
            <w:tcW w:w="760" w:type="dxa"/>
            <w:vAlign w:val="bottom"/>
            <w:gridSpan w:val="2"/>
          </w:tcPr>
          <w:p>
            <w:pPr>
              <w:jc w:val="center"/>
              <w:spacing w:after="0" w:line="157" w:lineRule="exact"/>
              <w:rPr>
                <w:sz w:val="20"/>
                <w:szCs w:val="20"/>
                <w:color w:val="auto"/>
              </w:rPr>
            </w:pPr>
            <w:r>
              <w:rPr>
                <w:rFonts w:ascii="Arial" w:cs="Arial" w:eastAsia="Arial" w:hAnsi="Arial"/>
                <w:sz w:val="16"/>
                <w:szCs w:val="16"/>
                <w:b w:val="1"/>
                <w:bCs w:val="1"/>
                <w:color w:val="auto"/>
                <w:w w:val="85"/>
              </w:rPr>
              <w:t>Product</w:t>
            </w:r>
          </w:p>
        </w:tc>
        <w:tc>
          <w:tcPr>
            <w:tcW w:w="60" w:type="dxa"/>
            <w:vAlign w:val="bottom"/>
          </w:tcPr>
          <w:p>
            <w:pPr>
              <w:spacing w:after="0"/>
              <w:rPr>
                <w:sz w:val="13"/>
                <w:szCs w:val="13"/>
                <w:color w:val="auto"/>
              </w:rPr>
            </w:pPr>
          </w:p>
        </w:tc>
        <w:tc>
          <w:tcPr>
            <w:tcW w:w="780" w:type="dxa"/>
            <w:vAlign w:val="bottom"/>
            <w:gridSpan w:val="2"/>
          </w:tcPr>
          <w:p>
            <w:pPr>
              <w:jc w:val="center"/>
              <w:spacing w:after="0" w:line="157" w:lineRule="exact"/>
              <w:rPr>
                <w:sz w:val="20"/>
                <w:szCs w:val="20"/>
                <w:color w:val="auto"/>
              </w:rPr>
            </w:pPr>
            <w:r>
              <w:rPr>
                <w:rFonts w:ascii="Arial" w:cs="Arial" w:eastAsia="Arial" w:hAnsi="Arial"/>
                <w:sz w:val="16"/>
                <w:szCs w:val="16"/>
                <w:b w:val="1"/>
                <w:bCs w:val="1"/>
                <w:color w:val="auto"/>
                <w:w w:val="85"/>
              </w:rPr>
              <w:t>Benefits</w:t>
            </w:r>
          </w:p>
        </w:tc>
      </w:tr>
      <w:tr>
        <w:trPr>
          <w:trHeight w:val="210"/>
        </w:trPr>
        <w:tc>
          <w:tcPr>
            <w:tcW w:w="23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b w:val="1"/>
                <w:bCs w:val="1"/>
                <w:color w:val="auto"/>
                <w:w w:val="92"/>
              </w:rPr>
              <w:t>Earned</w:t>
            </w:r>
          </w:p>
        </w:tc>
        <w:tc>
          <w:tcPr>
            <w:tcW w:w="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center"/>
              <w:ind w:right="102"/>
              <w:spacing w:after="0"/>
              <w:rPr>
                <w:sz w:val="20"/>
                <w:szCs w:val="20"/>
                <w:color w:val="auto"/>
              </w:rPr>
            </w:pPr>
            <w:r>
              <w:rPr>
                <w:rFonts w:ascii="Arial" w:cs="Arial" w:eastAsia="Arial" w:hAnsi="Arial"/>
                <w:sz w:val="16"/>
                <w:szCs w:val="16"/>
                <w:b w:val="1"/>
                <w:bCs w:val="1"/>
                <w:color w:val="auto"/>
                <w:w w:val="82"/>
              </w:rPr>
              <w:t>Fees</w:t>
            </w:r>
          </w:p>
        </w:tc>
        <w:tc>
          <w:tcPr>
            <w:tcW w:w="60" w:type="dxa"/>
            <w:vAlign w:val="bottom"/>
          </w:tcPr>
          <w:p>
            <w:pPr>
              <w:spacing w:after="0"/>
              <w:rPr>
                <w:sz w:val="18"/>
                <w:szCs w:val="18"/>
                <w:color w:val="auto"/>
              </w:rPr>
            </w:pPr>
          </w:p>
        </w:tc>
        <w:tc>
          <w:tcPr>
            <w:tcW w:w="78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w w:val="93"/>
              </w:rPr>
              <w:t>Incurred</w:t>
            </w:r>
          </w:p>
        </w:tc>
        <w:tc>
          <w:tcPr>
            <w:tcW w:w="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b w:val="1"/>
                <w:bCs w:val="1"/>
                <w:color w:val="auto"/>
                <w:w w:val="92"/>
              </w:rPr>
              <w:t>Earned</w:t>
            </w:r>
          </w:p>
        </w:tc>
        <w:tc>
          <w:tcPr>
            <w:tcW w:w="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center"/>
              <w:ind w:right="82"/>
              <w:spacing w:after="0"/>
              <w:rPr>
                <w:sz w:val="20"/>
                <w:szCs w:val="20"/>
                <w:color w:val="auto"/>
              </w:rPr>
            </w:pPr>
            <w:r>
              <w:rPr>
                <w:rFonts w:ascii="Arial" w:cs="Arial" w:eastAsia="Arial" w:hAnsi="Arial"/>
                <w:sz w:val="16"/>
                <w:szCs w:val="16"/>
                <w:b w:val="1"/>
                <w:bCs w:val="1"/>
                <w:color w:val="auto"/>
                <w:w w:val="76"/>
              </w:rPr>
              <w:t>Fees</w:t>
            </w:r>
          </w:p>
        </w:tc>
        <w:tc>
          <w:tcPr>
            <w:tcW w:w="60" w:type="dxa"/>
            <w:vAlign w:val="bottom"/>
          </w:tcPr>
          <w:p>
            <w:pPr>
              <w:spacing w:after="0"/>
              <w:rPr>
                <w:sz w:val="18"/>
                <w:szCs w:val="18"/>
                <w:color w:val="auto"/>
              </w:rPr>
            </w:pPr>
          </w:p>
        </w:tc>
        <w:tc>
          <w:tcPr>
            <w:tcW w:w="78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w w:val="93"/>
              </w:rPr>
              <w:t>Incurred</w:t>
            </w:r>
          </w:p>
        </w:tc>
        <w:tc>
          <w:tcPr>
            <w:tcW w:w="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center"/>
              <w:ind w:right="82"/>
              <w:spacing w:after="0"/>
              <w:rPr>
                <w:sz w:val="20"/>
                <w:szCs w:val="20"/>
                <w:color w:val="auto"/>
              </w:rPr>
            </w:pPr>
            <w:r>
              <w:rPr>
                <w:rFonts w:ascii="Arial" w:cs="Arial" w:eastAsia="Arial" w:hAnsi="Arial"/>
                <w:sz w:val="16"/>
                <w:szCs w:val="16"/>
                <w:b w:val="1"/>
                <w:bCs w:val="1"/>
                <w:color w:val="auto"/>
                <w:w w:val="88"/>
              </w:rPr>
              <w:t>Earned</w:t>
            </w:r>
          </w:p>
        </w:tc>
        <w:tc>
          <w:tcPr>
            <w:tcW w:w="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center"/>
              <w:ind w:right="62"/>
              <w:spacing w:after="0"/>
              <w:rPr>
                <w:sz w:val="20"/>
                <w:szCs w:val="20"/>
                <w:color w:val="auto"/>
              </w:rPr>
            </w:pPr>
            <w:r>
              <w:rPr>
                <w:rFonts w:ascii="Arial" w:cs="Arial" w:eastAsia="Arial" w:hAnsi="Arial"/>
                <w:sz w:val="16"/>
                <w:szCs w:val="16"/>
                <w:b w:val="1"/>
                <w:bCs w:val="1"/>
                <w:color w:val="auto"/>
                <w:w w:val="76"/>
              </w:rPr>
              <w:t>Fees</w:t>
            </w:r>
          </w:p>
        </w:tc>
        <w:tc>
          <w:tcPr>
            <w:tcW w:w="60" w:type="dxa"/>
            <w:vAlign w:val="bottom"/>
          </w:tcPr>
          <w:p>
            <w:pPr>
              <w:spacing w:after="0"/>
              <w:rPr>
                <w:sz w:val="18"/>
                <w:szCs w:val="18"/>
                <w:color w:val="auto"/>
              </w:rPr>
            </w:pPr>
          </w:p>
        </w:tc>
        <w:tc>
          <w:tcPr>
            <w:tcW w:w="78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w w:val="93"/>
              </w:rPr>
              <w:t>Incurred</w:t>
            </w:r>
          </w:p>
        </w:tc>
      </w:tr>
      <w:tr>
        <w:trPr>
          <w:trHeight w:val="208"/>
        </w:trPr>
        <w:tc>
          <w:tcPr>
            <w:tcW w:w="2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gridSpan w:val="3"/>
          </w:tcPr>
          <w:p>
            <w:pPr>
              <w:jc w:val="center"/>
              <w:spacing w:after="0"/>
              <w:rPr>
                <w:sz w:val="20"/>
                <w:szCs w:val="20"/>
                <w:color w:val="auto"/>
              </w:rPr>
            </w:pPr>
            <w:r>
              <w:rPr>
                <w:rFonts w:ascii="Arial" w:cs="Arial" w:eastAsia="Arial" w:hAnsi="Arial"/>
                <w:sz w:val="16"/>
                <w:szCs w:val="16"/>
                <w:b w:val="1"/>
                <w:bCs w:val="1"/>
                <w:color w:val="auto"/>
                <w:w w:val="91"/>
              </w:rPr>
              <w:t>(In millions)</w:t>
            </w: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r>
      <w:tr>
        <w:trPr>
          <w:trHeight w:val="235"/>
        </w:trPr>
        <w:tc>
          <w:tcPr>
            <w:tcW w:w="2380" w:type="dxa"/>
            <w:vAlign w:val="bottom"/>
          </w:tcPr>
          <w:p>
            <w:pPr>
              <w:spacing w:after="0"/>
              <w:rPr>
                <w:sz w:val="20"/>
                <w:szCs w:val="20"/>
                <w:color w:val="auto"/>
              </w:rPr>
            </w:pPr>
            <w:r>
              <w:rPr>
                <w:rFonts w:ascii="Arial" w:cs="Arial" w:eastAsia="Arial" w:hAnsi="Arial"/>
                <w:sz w:val="16"/>
                <w:szCs w:val="16"/>
                <w:color w:val="auto"/>
              </w:rPr>
              <w:t>Direct</w:t>
            </w:r>
          </w:p>
        </w:tc>
        <w:tc>
          <w:tcPr>
            <w:tcW w:w="140" w:type="dxa"/>
            <w:vAlign w:val="bottom"/>
          </w:tcPr>
          <w:p>
            <w:pPr>
              <w:ind w:left="40"/>
              <w:spacing w:after="0"/>
              <w:rPr>
                <w:sz w:val="20"/>
                <w:szCs w:val="20"/>
                <w:color w:val="auto"/>
              </w:rPr>
            </w:pPr>
            <w:r>
              <w:rPr>
                <w:rFonts w:ascii="Arial" w:cs="Arial" w:eastAsia="Arial" w:hAnsi="Arial"/>
                <w:sz w:val="16"/>
                <w:szCs w:val="16"/>
                <w:color w:val="auto"/>
                <w:w w:val="89"/>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2,223</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717</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4,197</w:t>
            </w:r>
          </w:p>
        </w:tc>
        <w:tc>
          <w:tcPr>
            <w:tcW w:w="200" w:type="dxa"/>
            <w:vAlign w:val="bottom"/>
            <w:gridSpan w:val="2"/>
          </w:tcPr>
          <w:p>
            <w:pPr>
              <w:ind w:left="120"/>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2,346</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655</w:t>
            </w:r>
          </w:p>
        </w:tc>
        <w:tc>
          <w:tcPr>
            <w:tcW w:w="6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3,987</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2"/>
              <w:spacing w:after="0"/>
              <w:rPr>
                <w:sz w:val="20"/>
                <w:szCs w:val="20"/>
                <w:color w:val="auto"/>
              </w:rPr>
            </w:pPr>
            <w:r>
              <w:rPr>
                <w:rFonts w:ascii="Arial" w:cs="Arial" w:eastAsia="Arial" w:hAnsi="Arial"/>
                <w:sz w:val="16"/>
                <w:szCs w:val="16"/>
                <w:color w:val="auto"/>
              </w:rPr>
              <w:t>2,112</w:t>
            </w: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455</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3,728</w:t>
            </w:r>
          </w:p>
        </w:tc>
      </w:tr>
      <w:tr>
        <w:trPr>
          <w:trHeight w:val="242"/>
        </w:trPr>
        <w:tc>
          <w:tcPr>
            <w:tcW w:w="2380" w:type="dxa"/>
            <w:vAlign w:val="bottom"/>
          </w:tcPr>
          <w:p>
            <w:pPr>
              <w:spacing w:after="0"/>
              <w:rPr>
                <w:sz w:val="20"/>
                <w:szCs w:val="20"/>
                <w:color w:val="auto"/>
              </w:rPr>
            </w:pPr>
            <w:r>
              <w:rPr>
                <w:rFonts w:ascii="Arial" w:cs="Arial" w:eastAsia="Arial" w:hAnsi="Arial"/>
                <w:sz w:val="16"/>
                <w:szCs w:val="16"/>
                <w:color w:val="auto"/>
              </w:rPr>
              <w:t>Ceded</w:t>
            </w:r>
          </w:p>
        </w:tc>
        <w:tc>
          <w:tcPr>
            <w:tcW w:w="14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w:t>
            </w:r>
          </w:p>
        </w:tc>
        <w:tc>
          <w:tcPr>
            <w:tcW w:w="6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w:t>
            </w:r>
          </w:p>
        </w:tc>
        <w:tc>
          <w:tcPr>
            <w:tcW w:w="6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(234)</w:t>
            </w:r>
          </w:p>
        </w:tc>
        <w:tc>
          <w:tcPr>
            <w:tcW w:w="6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(94)</w:t>
            </w:r>
          </w:p>
        </w:tc>
        <w:tc>
          <w:tcPr>
            <w:tcW w:w="6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w:t>
            </w:r>
          </w:p>
        </w:tc>
        <w:tc>
          <w:tcPr>
            <w:tcW w:w="6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(196)</w:t>
            </w:r>
          </w:p>
        </w:tc>
        <w:tc>
          <w:tcPr>
            <w:tcW w:w="6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(105)</w:t>
            </w:r>
          </w:p>
        </w:tc>
        <w:tc>
          <w:tcPr>
            <w:tcW w:w="6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w:t>
            </w:r>
          </w:p>
        </w:tc>
        <w:tc>
          <w:tcPr>
            <w:tcW w:w="6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(175)</w:t>
            </w:r>
          </w:p>
        </w:tc>
      </w:tr>
      <w:tr>
        <w:trPr>
          <w:trHeight w:val="196"/>
        </w:trPr>
        <w:tc>
          <w:tcPr>
            <w:tcW w:w="2380" w:type="dxa"/>
            <w:vAlign w:val="bottom"/>
          </w:tcPr>
          <w:p>
            <w:pPr>
              <w:ind w:left="240"/>
              <w:spacing w:after="0"/>
              <w:rPr>
                <w:sz w:val="20"/>
                <w:szCs w:val="20"/>
                <w:color w:val="auto"/>
              </w:rPr>
            </w:pPr>
            <w:r>
              <w:rPr>
                <w:rFonts w:ascii="Arial" w:cs="Arial" w:eastAsia="Arial" w:hAnsi="Arial"/>
                <w:sz w:val="16"/>
                <w:szCs w:val="16"/>
                <w:color w:val="auto"/>
              </w:rPr>
              <w:t>Net</w:t>
            </w:r>
          </w:p>
        </w:tc>
        <w:tc>
          <w:tcPr>
            <w:tcW w:w="140" w:type="dxa"/>
            <w:vAlign w:val="bottom"/>
          </w:tcPr>
          <w:p>
            <w:pPr>
              <w:ind w:left="40"/>
              <w:spacing w:after="0"/>
              <w:rPr>
                <w:sz w:val="20"/>
                <w:szCs w:val="20"/>
                <w:color w:val="auto"/>
              </w:rPr>
            </w:pPr>
            <w:r>
              <w:rPr>
                <w:rFonts w:ascii="Arial" w:cs="Arial" w:eastAsia="Arial" w:hAnsi="Arial"/>
                <w:sz w:val="16"/>
                <w:szCs w:val="16"/>
                <w:color w:val="auto"/>
                <w:w w:val="89"/>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2,138</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657</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3,963</w:t>
            </w:r>
          </w:p>
        </w:tc>
        <w:tc>
          <w:tcPr>
            <w:tcW w:w="200" w:type="dxa"/>
            <w:vAlign w:val="bottom"/>
            <w:gridSpan w:val="2"/>
          </w:tcPr>
          <w:p>
            <w:pPr>
              <w:ind w:left="120"/>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2,252</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608</w:t>
            </w:r>
          </w:p>
        </w:tc>
        <w:tc>
          <w:tcPr>
            <w:tcW w:w="60" w:type="dxa"/>
            <w:vAlign w:val="bottom"/>
          </w:tcPr>
          <w:p>
            <w:pPr>
              <w:spacing w:after="0"/>
              <w:rPr>
                <w:sz w:val="17"/>
                <w:szCs w:val="17"/>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3,791</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2"/>
              <w:spacing w:after="0"/>
              <w:rPr>
                <w:sz w:val="20"/>
                <w:szCs w:val="20"/>
                <w:color w:val="auto"/>
              </w:rPr>
            </w:pPr>
            <w:r>
              <w:rPr>
                <w:rFonts w:ascii="Arial" w:cs="Arial" w:eastAsia="Arial" w:hAnsi="Arial"/>
                <w:sz w:val="16"/>
                <w:szCs w:val="16"/>
                <w:color w:val="auto"/>
              </w:rPr>
              <w:t>2,007</w:t>
            </w: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406</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3,553</w:t>
            </w:r>
          </w:p>
        </w:tc>
      </w:tr>
      <w:tr>
        <w:trPr>
          <w:trHeight w:val="20"/>
        </w:trPr>
        <w:tc>
          <w:tcPr>
            <w:tcW w:w="2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-478790</wp:posOffset>
            </wp:positionV>
            <wp:extent cx="6410325" cy="48577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38">
                      <a:extLst>
                        <a:ext uri="{28A0092B-C50C-407E-A947-70E740481C1C}"/>
                      </a:extLst>
                    </a:blip>
                    <a:srcRect/>
                    <a:stretch>
                      <a:fillRect/>
                    </a:stretch>
                  </pic:blipFill>
                  <pic:spPr bwMode="auto">
                    <a:xfrm>
                      <a:off x="0" y="0"/>
                      <a:ext cx="6410325" cy="485775"/>
                    </a:xfrm>
                    <a:prstGeom prst="rect">
                      <a:avLst/>
                    </a:prstGeom>
                    <a:noFill/>
                  </pic:spPr>
                </pic:pic>
              </a:graphicData>
            </a:graphic>
          </wp:anchor>
        </w:drawing>
      </w:r>
    </w:p>
    <w:p>
      <w:pPr>
        <w:spacing w:after="0" w:line="105" w:lineRule="exact"/>
        <w:rPr>
          <w:sz w:val="20"/>
          <w:szCs w:val="20"/>
          <w:color w:val="auto"/>
        </w:rPr>
      </w:pPr>
    </w:p>
    <w:p>
      <w:pPr>
        <w:jc w:val="both"/>
        <w:ind w:firstLine="353"/>
        <w:spacing w:after="0" w:line="251" w:lineRule="auto"/>
        <w:rPr>
          <w:sz w:val="20"/>
          <w:szCs w:val="20"/>
          <w:color w:val="auto"/>
        </w:rPr>
      </w:pPr>
      <w:r>
        <w:rPr>
          <w:rFonts w:ascii="Arial" w:cs="Arial" w:eastAsia="Arial" w:hAnsi="Arial"/>
          <w:sz w:val="20"/>
          <w:szCs w:val="20"/>
          <w:color w:val="auto"/>
        </w:rPr>
        <w:t>Amounts payable or recoverable for reinsurance on paid and unpaid claims are not subject to periodic or maximum limits. No policies issued by the Company have been reinsured with any foreign Company, which is controlled, either directly or indirectly, by a party not primarily engaged in the business of insurance. The Company has not entered into any reinsurance agreements in which the reinsurer may unilaterally cancel any reinsurance for reasons other than non-payment of premiums or other similar credit issues.</w:t>
      </w:r>
    </w:p>
    <w:p>
      <w:pPr>
        <w:spacing w:after="0" w:line="84" w:lineRule="exact"/>
        <w:rPr>
          <w:sz w:val="20"/>
          <w:szCs w:val="20"/>
          <w:color w:val="auto"/>
        </w:rPr>
      </w:pPr>
    </w:p>
    <w:p>
      <w:pPr>
        <w:ind w:left="340"/>
        <w:spacing w:after="0"/>
        <w:rPr>
          <w:sz w:val="20"/>
          <w:szCs w:val="20"/>
          <w:color w:val="auto"/>
        </w:rPr>
      </w:pPr>
      <w:r>
        <w:rPr>
          <w:rFonts w:ascii="Arial" w:cs="Arial" w:eastAsia="Arial" w:hAnsi="Arial"/>
          <w:sz w:val="20"/>
          <w:szCs w:val="20"/>
          <w:b w:val="1"/>
          <w:bCs w:val="1"/>
          <w:i w:val="1"/>
          <w:iCs w:val="1"/>
          <w:color w:val="auto"/>
        </w:rPr>
        <w:t>Reinsurance Transactions</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summarizes significant changes to third-party reinsurance agreements for the years ended December 31,</w:t>
      </w:r>
    </w:p>
    <w:p>
      <w:pPr>
        <w:spacing w:after="0" w:line="59" w:lineRule="exact"/>
        <w:rPr>
          <w:sz w:val="20"/>
          <w:szCs w:val="20"/>
          <w:color w:val="auto"/>
        </w:rPr>
      </w:pPr>
    </w:p>
    <w:p>
      <w:pPr>
        <w:spacing w:after="0"/>
        <w:rPr>
          <w:sz w:val="20"/>
          <w:szCs w:val="20"/>
          <w:color w:val="auto"/>
        </w:rPr>
      </w:pPr>
      <w:r>
        <w:rPr>
          <w:rFonts w:ascii="Arial" w:cs="Arial" w:eastAsia="Arial" w:hAnsi="Arial"/>
          <w:sz w:val="20"/>
          <w:szCs w:val="20"/>
          <w:color w:val="auto"/>
        </w:rPr>
        <w:t>2025 and 2024:</w:t>
      </w:r>
    </w:p>
    <w:p>
      <w:pPr>
        <w:spacing w:after="0" w:line="102" w:lineRule="exact"/>
        <w:rPr>
          <w:sz w:val="20"/>
          <w:szCs w:val="20"/>
          <w:color w:val="auto"/>
        </w:rPr>
      </w:pPr>
    </w:p>
    <w:p>
      <w:pPr>
        <w:jc w:val="both"/>
        <w:ind w:firstLine="353"/>
        <w:spacing w:after="0" w:line="259" w:lineRule="auto"/>
        <w:rPr>
          <w:sz w:val="20"/>
          <w:szCs w:val="20"/>
          <w:color w:val="auto"/>
        </w:rPr>
      </w:pPr>
      <w:r>
        <w:rPr>
          <w:rFonts w:ascii="Arial" w:cs="Arial" w:eastAsia="Arial" w:hAnsi="Arial"/>
          <w:sz w:val="20"/>
          <w:szCs w:val="20"/>
          <w:b w:val="1"/>
          <w:bCs w:val="1"/>
          <w:i w:val="1"/>
          <w:iCs w:val="1"/>
          <w:color w:val="auto"/>
        </w:rPr>
        <w:t xml:space="preserve">Aspida Re Cayman: </w:t>
      </w:r>
      <w:r>
        <w:rPr>
          <w:rFonts w:ascii="Arial" w:cs="Arial" w:eastAsia="Arial" w:hAnsi="Arial"/>
          <w:sz w:val="20"/>
          <w:szCs w:val="20"/>
          <w:color w:val="auto"/>
        </w:rPr>
        <w:t>Effective November 1, 2025, FGL Insurance entered into a reinsurance agreement with Aspida Re</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Cayman Ltd. (“Aspida Re Cayman”), an unaffiliated reinsurer, to cede certain flow MYGA business, on a funds withheld coinsurance basis, net of applicable existing reinsurance.</w:t>
      </w:r>
    </w:p>
    <w:p>
      <w:pPr>
        <w:spacing w:after="0" w:line="79" w:lineRule="exact"/>
        <w:rPr>
          <w:sz w:val="20"/>
          <w:szCs w:val="20"/>
          <w:color w:val="auto"/>
        </w:rPr>
      </w:pPr>
    </w:p>
    <w:p>
      <w:pPr>
        <w:jc w:val="both"/>
        <w:ind w:firstLine="353"/>
        <w:spacing w:after="0" w:line="265" w:lineRule="auto"/>
        <w:rPr>
          <w:sz w:val="20"/>
          <w:szCs w:val="20"/>
          <w:color w:val="auto"/>
        </w:rPr>
      </w:pPr>
      <w:r>
        <w:rPr>
          <w:rFonts w:ascii="Arial" w:cs="Arial" w:eastAsia="Arial" w:hAnsi="Arial"/>
          <w:sz w:val="19"/>
          <w:szCs w:val="19"/>
          <w:b w:val="1"/>
          <w:bCs w:val="1"/>
          <w:i w:val="1"/>
          <w:iCs w:val="1"/>
          <w:color w:val="auto"/>
        </w:rPr>
        <w:t xml:space="preserve">New Re Reinsurance Transaction: </w:t>
      </w:r>
      <w:r>
        <w:rPr>
          <w:rFonts w:ascii="Arial" w:cs="Arial" w:eastAsia="Arial" w:hAnsi="Arial"/>
          <w:sz w:val="19"/>
          <w:szCs w:val="19"/>
          <w:color w:val="auto"/>
        </w:rPr>
        <w:t>Effective October 1, 2025, FGL Insurance recaptured and terminated the indemnity</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reinsurance agreement with New Reinsurance Company Ltd., an unaffiliated reinsurer and wholly owned subsidiary of Münchener Rückversicherungs-Gesellschaft Aktiengesellschaft in München (d/b/a “Munich Re”). FGL Insurance recaptured 100% of the liabilities and obligations ceded and entered into a new indemnity reinsurance agreement with Munich Re to cede certain inforce and future flow FIA policies on a coinsurance basis. The coinsurance basis is applicable to the base contract benefits, waiver of surrender charges, and minimum guaranteed surrender value benefits and for certain FIA policies, return of premium rider and minimum interest credit rider benefits.</w:t>
      </w:r>
    </w:p>
    <w:p>
      <w:pPr>
        <w:spacing w:after="0" w:line="75" w:lineRule="exact"/>
        <w:rPr>
          <w:sz w:val="20"/>
          <w:szCs w:val="20"/>
          <w:color w:val="auto"/>
        </w:rPr>
      </w:pPr>
    </w:p>
    <w:p>
      <w:pPr>
        <w:jc w:val="both"/>
        <w:ind w:firstLine="353"/>
        <w:spacing w:after="0" w:line="254" w:lineRule="auto"/>
        <w:rPr>
          <w:sz w:val="20"/>
          <w:szCs w:val="20"/>
          <w:color w:val="auto"/>
        </w:rPr>
      </w:pPr>
      <w:r>
        <w:rPr>
          <w:rFonts w:ascii="Arial" w:cs="Arial" w:eastAsia="Arial" w:hAnsi="Arial"/>
          <w:sz w:val="20"/>
          <w:szCs w:val="20"/>
          <w:b w:val="1"/>
          <w:bCs w:val="1"/>
          <w:i w:val="1"/>
          <w:iCs w:val="1"/>
          <w:color w:val="auto"/>
        </w:rPr>
        <w:t xml:space="preserve">New Reinsurance Vehicle: </w:t>
      </w:r>
      <w:r>
        <w:rPr>
          <w:rFonts w:ascii="Arial" w:cs="Arial" w:eastAsia="Arial" w:hAnsi="Arial"/>
          <w:sz w:val="20"/>
          <w:szCs w:val="20"/>
          <w:color w:val="auto"/>
        </w:rPr>
        <w:t>Effective August 1, 2025, F&amp;G executed this forward flow reinsurance agreement with Fort</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Greene Reinsurance SPC Limited Segregated Portfolio No. 1, (“Fort Greene”) to cede certain FIA policies on a coinsurance funds withheld quota share basis and certain funding agreements on a modified coinsurance basis. F&amp;G does not hold any ownership stake in the unaffiliated Fort Greene entity.</w:t>
      </w:r>
    </w:p>
    <w:p>
      <w:pPr>
        <w:spacing w:after="0" w:line="85" w:lineRule="exact"/>
        <w:rPr>
          <w:sz w:val="20"/>
          <w:szCs w:val="20"/>
          <w:color w:val="auto"/>
        </w:rPr>
      </w:pPr>
    </w:p>
    <w:p>
      <w:pPr>
        <w:jc w:val="both"/>
        <w:ind w:firstLine="353"/>
        <w:spacing w:after="0" w:line="254" w:lineRule="auto"/>
        <w:rPr>
          <w:sz w:val="20"/>
          <w:szCs w:val="20"/>
          <w:color w:val="auto"/>
        </w:rPr>
      </w:pPr>
      <w:r>
        <w:rPr>
          <w:rFonts w:ascii="Arial" w:cs="Arial" w:eastAsia="Arial" w:hAnsi="Arial"/>
          <w:sz w:val="20"/>
          <w:szCs w:val="20"/>
          <w:b w:val="1"/>
          <w:bCs w:val="1"/>
          <w:i w:val="1"/>
          <w:iCs w:val="1"/>
          <w:color w:val="auto"/>
        </w:rPr>
        <w:t xml:space="preserve">Everlake: </w:t>
      </w:r>
      <w:r>
        <w:rPr>
          <w:rFonts w:ascii="Arial" w:cs="Arial" w:eastAsia="Arial" w:hAnsi="Arial"/>
          <w:sz w:val="20"/>
          <w:szCs w:val="20"/>
          <w:color w:val="auto"/>
        </w:rPr>
        <w:t>Effective January 1, 2025, F&amp;G amended the existing flow reinsurance agreement with Everlake Life Insurance</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Company (“Everlake”) to cede future additional MYGA business for agreed upon periods to Everlake pursuant to an offer and acceptance process, rather than on a flow basis. The amendment included a cession of an inforce block of certain MYGA policies on a coinsurance quota share basis.</w:t>
      </w:r>
    </w:p>
    <w:p>
      <w:pPr>
        <w:spacing w:after="0" w:line="85" w:lineRule="exact"/>
        <w:rPr>
          <w:sz w:val="20"/>
          <w:szCs w:val="20"/>
          <w:color w:val="auto"/>
        </w:rPr>
      </w:pPr>
    </w:p>
    <w:p>
      <w:pPr>
        <w:jc w:val="both"/>
        <w:ind w:firstLine="353"/>
        <w:spacing w:after="0" w:line="288" w:lineRule="auto"/>
        <w:rPr>
          <w:sz w:val="20"/>
          <w:szCs w:val="20"/>
          <w:color w:val="auto"/>
        </w:rPr>
      </w:pPr>
      <w:r>
        <w:rPr>
          <w:rFonts w:ascii="Arial" w:cs="Arial" w:eastAsia="Arial" w:hAnsi="Arial"/>
          <w:sz w:val="17"/>
          <w:szCs w:val="17"/>
          <w:b w:val="1"/>
          <w:bCs w:val="1"/>
          <w:i w:val="1"/>
          <w:iCs w:val="1"/>
          <w:color w:val="auto"/>
        </w:rPr>
        <w:t xml:space="preserve">IUL YRT Reinsurance: </w:t>
      </w:r>
      <w:r>
        <w:rPr>
          <w:rFonts w:ascii="Arial" w:cs="Arial" w:eastAsia="Arial" w:hAnsi="Arial"/>
          <w:sz w:val="17"/>
          <w:szCs w:val="17"/>
          <w:color w:val="auto"/>
        </w:rPr>
        <w:t>Effective January 1, 2025, F&amp;G entered into separate flow reinsurance agreements with several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unaffiliated reinsurers to reinsure mortality risk on certain new IUL policies and effective July 1, 2025, F&amp;G entered into additional separate reinsurance agreements with several unaffiliated reinsurers to reinsure mortality risk on certain inforce IUL policies. In accordance with the terms of these agreements, F&amp;G cedes the net amount at risk on the IUL policies, which is the difference between the stated death benefit and the contractholder funds balance, on a yearly renewable term basis.</w:t>
      </w:r>
    </w:p>
    <w:p>
      <w:pPr>
        <w:spacing w:after="0" w:line="42" w:lineRule="exact"/>
        <w:rPr>
          <w:sz w:val="20"/>
          <w:szCs w:val="20"/>
          <w:color w:val="auto"/>
        </w:rPr>
      </w:pPr>
    </w:p>
    <w:p>
      <w:pPr>
        <w:jc w:val="both"/>
        <w:ind w:firstLine="353"/>
        <w:spacing w:after="0" w:line="259" w:lineRule="auto"/>
        <w:rPr>
          <w:sz w:val="20"/>
          <w:szCs w:val="20"/>
          <w:color w:val="auto"/>
        </w:rPr>
      </w:pPr>
      <w:r>
        <w:rPr>
          <w:rFonts w:ascii="Arial" w:cs="Arial" w:eastAsia="Arial" w:hAnsi="Arial"/>
          <w:sz w:val="20"/>
          <w:szCs w:val="20"/>
          <w:b w:val="1"/>
          <w:bCs w:val="1"/>
          <w:i w:val="1"/>
          <w:iCs w:val="1"/>
          <w:color w:val="auto"/>
        </w:rPr>
        <w:t xml:space="preserve">Somerset: </w:t>
      </w:r>
      <w:r>
        <w:rPr>
          <w:rFonts w:ascii="Arial" w:cs="Arial" w:eastAsia="Arial" w:hAnsi="Arial"/>
          <w:sz w:val="20"/>
          <w:szCs w:val="20"/>
          <w:color w:val="auto"/>
        </w:rPr>
        <w:t>Effective July 1, 2024, F&amp;G amended the existing flow reinsurance agreement with Somerset Reinsurance Ltd.</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(“Somerset”), a third-party reinsurer, to additionally cede the base contract benefits and GMWB riders attached under certain FIA policies on a coinsurance funds withheld quota share basis.</w:t>
      </w:r>
    </w:p>
    <w:p>
      <w:pPr>
        <w:spacing w:after="0" w:line="79" w:lineRule="exact"/>
        <w:rPr>
          <w:sz w:val="20"/>
          <w:szCs w:val="20"/>
          <w:color w:val="auto"/>
        </w:rPr>
      </w:pPr>
    </w:p>
    <w:p>
      <w:pPr>
        <w:jc w:val="both"/>
        <w:ind w:firstLine="353"/>
        <w:spacing w:after="0" w:line="254" w:lineRule="auto"/>
        <w:rPr>
          <w:sz w:val="20"/>
          <w:szCs w:val="20"/>
          <w:color w:val="auto"/>
        </w:rPr>
      </w:pPr>
      <w:r>
        <w:rPr>
          <w:rFonts w:ascii="Arial" w:cs="Arial" w:eastAsia="Arial" w:hAnsi="Arial"/>
          <w:sz w:val="20"/>
          <w:szCs w:val="20"/>
          <w:b w:val="1"/>
          <w:bCs w:val="1"/>
          <w:i w:val="1"/>
          <w:iCs w:val="1"/>
          <w:color w:val="auto"/>
        </w:rPr>
        <w:t xml:space="preserve">Kubera: </w:t>
      </w:r>
      <w:r>
        <w:rPr>
          <w:rFonts w:ascii="Arial" w:cs="Arial" w:eastAsia="Arial" w:hAnsi="Arial"/>
          <w:sz w:val="20"/>
          <w:szCs w:val="20"/>
          <w:color w:val="auto"/>
        </w:rPr>
        <w:t>F&amp;G has a reinsurance agreement with Kubera Insurance (SAC) Ltd. (“Kubera”), an unaffiliated reinsurer, to cede</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certain FIA statutory reserves on a coinsurance funds withheld quota share basis, net of applicable existing reinsurance. This agreement has been amended several times to include additional FIA policies, with the latest amendment effective December 1, 2025.</w:t>
      </w:r>
    </w:p>
    <w:p>
      <w:pPr>
        <w:sectPr>
          <w:pgSz w:w="11880" w:h="15480" w:orient="portrait"/>
          <w:cols w:equalWidth="0" w:num="1">
            <w:col w:w="10040"/>
          </w:cols>
          <w:pgMar w:left="920" w:top="770"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164</w:t>
      </w:r>
    </w:p>
    <w:p>
      <w:pPr>
        <w:sectPr>
          <w:pgSz w:w="11880" w:h="15480" w:orient="portrait"/>
          <w:cols w:equalWidth="0" w:num="1">
            <w:col w:w="10040"/>
          </w:cols>
          <w:pgMar w:left="920" w:top="770" w:right="920" w:bottom="0" w:gutter="0" w:footer="0" w:header="0"/>
          <w:type w:val="continuous"/>
        </w:sectPr>
      </w:pPr>
    </w:p>
    <w:bookmarkStart w:id="176" w:name="page177"/>
    <w:bookmarkEnd w:id="176"/>
    <w:p>
      <w:pPr>
        <w:ind w:left="347"/>
        <w:spacing w:after="0"/>
        <w:rPr>
          <w:sz w:val="20"/>
          <w:szCs w:val="20"/>
          <w:color w:val="auto"/>
        </w:rPr>
      </w:pPr>
      <w:r>
        <w:rPr>
          <w:rFonts w:ascii="Arial" w:cs="Arial" w:eastAsia="Arial" w:hAnsi="Arial"/>
          <w:sz w:val="17"/>
          <w:szCs w:val="17"/>
          <w:color w:val="auto"/>
        </w:rPr>
        <w:t>The following summarizes our reinsurance recoverable as of December 31, 2025 and 2024:</w:t>
      </w:r>
    </w:p>
    <w:p>
      <w:pPr>
        <w:sectPr>
          <w:pgSz w:w="11880" w:h="15480" w:orient="portrait"/>
          <w:cols w:equalWidth="0" w:num="1">
            <w:col w:w="10047"/>
          </w:cols>
          <w:pgMar w:left="913" w:top="772" w:right="920" w:bottom="0" w:gutter="0" w:footer="0" w:header="0"/>
        </w:sectPr>
      </w:pPr>
    </w:p>
    <w:p>
      <w:pPr>
        <w:spacing w:after="0" w:line="214" w:lineRule="exact"/>
        <w:rPr>
          <w:sz w:val="20"/>
          <w:szCs w:val="20"/>
          <w:color w:val="auto"/>
        </w:rPr>
      </w:pPr>
    </w:p>
    <w:tbl>
      <w:tblPr>
        <w:tblLayout w:type="fixed"/>
        <w:tblInd w:w="7" w:type="dxa"/>
        <w:tblCellMar>
          <w:top w:w="0" w:type="dxa"/>
          <w:left w:w="0" w:type="dxa"/>
          <w:bottom w:w="0" w:type="dxa"/>
          <w:right w:w="0" w:type="dxa"/>
        </w:tblCellMar>
      </w:tblPr>
      <w:tr>
        <w:trPr>
          <w:trHeight w:val="184"/>
        </w:trPr>
        <w:tc>
          <w:tcPr>
            <w:tcW w:w="2280" w:type="dxa"/>
            <w:vAlign w:val="bottom"/>
          </w:tcPr>
          <w:p>
            <w:pPr>
              <w:ind w:left="540"/>
              <w:spacing w:after="0"/>
              <w:rPr>
                <w:sz w:val="20"/>
                <w:szCs w:val="20"/>
                <w:color w:val="auto"/>
              </w:rPr>
            </w:pPr>
            <w:r>
              <w:rPr>
                <w:rFonts w:ascii="Arial" w:cs="Arial" w:eastAsia="Arial" w:hAnsi="Arial"/>
                <w:sz w:val="16"/>
                <w:szCs w:val="16"/>
                <w:b w:val="1"/>
                <w:bCs w:val="1"/>
                <w:color w:val="auto"/>
              </w:rPr>
              <w:t>Parent Company/</w:t>
            </w:r>
          </w:p>
        </w:tc>
        <w:tc>
          <w:tcPr>
            <w:tcW w:w="40" w:type="dxa"/>
            <w:vAlign w:val="bottom"/>
          </w:tcPr>
          <w:p>
            <w:pPr>
              <w:spacing w:after="0"/>
              <w:rPr>
                <w:sz w:val="16"/>
                <w:szCs w:val="16"/>
                <w:color w:val="auto"/>
              </w:rPr>
            </w:pPr>
          </w:p>
        </w:tc>
        <w:tc>
          <w:tcPr>
            <w:tcW w:w="2160" w:type="dxa"/>
            <w:vAlign w:val="bottom"/>
            <w:gridSpan w:val="5"/>
            <w:vMerge w:val="restart"/>
          </w:tcPr>
          <w:p>
            <w:pPr>
              <w:jc w:val="right"/>
              <w:ind w:right="42"/>
              <w:spacing w:after="0"/>
              <w:rPr>
                <w:sz w:val="20"/>
                <w:szCs w:val="20"/>
                <w:color w:val="auto"/>
              </w:rPr>
            </w:pPr>
            <w:r>
              <w:rPr>
                <w:rFonts w:ascii="Arial" w:cs="Arial" w:eastAsia="Arial" w:hAnsi="Arial"/>
                <w:sz w:val="16"/>
                <w:szCs w:val="16"/>
                <w:b w:val="1"/>
                <w:bCs w:val="1"/>
                <w:color w:val="auto"/>
                <w:w w:val="91"/>
              </w:rPr>
              <w:t>Reinsurance Recoverable (a)</w:t>
            </w:r>
          </w:p>
        </w:tc>
        <w:tc>
          <w:tcPr>
            <w:tcW w:w="60" w:type="dxa"/>
            <w:vAlign w:val="bottom"/>
          </w:tcPr>
          <w:p>
            <w:pPr>
              <w:spacing w:after="0"/>
              <w:rPr>
                <w:sz w:val="16"/>
                <w:szCs w:val="16"/>
                <w:color w:val="auto"/>
              </w:rPr>
            </w:pPr>
          </w:p>
        </w:tc>
        <w:tc>
          <w:tcPr>
            <w:tcW w:w="1120" w:type="dxa"/>
            <w:vAlign w:val="bottom"/>
          </w:tcPr>
          <w:p>
            <w:pPr>
              <w:ind w:left="180"/>
              <w:spacing w:after="0"/>
              <w:rPr>
                <w:sz w:val="20"/>
                <w:szCs w:val="20"/>
                <w:color w:val="auto"/>
              </w:rPr>
            </w:pPr>
            <w:r>
              <w:rPr>
                <w:rFonts w:ascii="Arial" w:cs="Arial" w:eastAsia="Arial" w:hAnsi="Arial"/>
                <w:sz w:val="16"/>
                <w:szCs w:val="16"/>
                <w:b w:val="1"/>
                <w:bCs w:val="1"/>
                <w:color w:val="auto"/>
              </w:rPr>
              <w:t>Agreement</w:t>
            </w:r>
          </w:p>
        </w:tc>
        <w:tc>
          <w:tcPr>
            <w:tcW w:w="0" w:type="dxa"/>
            <w:vAlign w:val="bottom"/>
          </w:tcPr>
          <w:p>
            <w:pPr>
              <w:spacing w:after="0"/>
              <w:rPr>
                <w:sz w:val="1"/>
                <w:szCs w:val="1"/>
                <w:color w:val="auto"/>
              </w:rPr>
            </w:pPr>
          </w:p>
        </w:tc>
      </w:tr>
      <w:tr>
        <w:trPr>
          <w:trHeight w:val="207"/>
        </w:trPr>
        <w:tc>
          <w:tcPr>
            <w:tcW w:w="2280" w:type="dxa"/>
            <w:vAlign w:val="bottom"/>
            <w:tcBorders>
              <w:bottom w:val="single" w:sz="8" w:color="auto"/>
            </w:tcBorders>
          </w:tcPr>
          <w:p>
            <w:pPr>
              <w:ind w:left="440"/>
              <w:spacing w:after="0"/>
              <w:rPr>
                <w:sz w:val="20"/>
                <w:szCs w:val="20"/>
                <w:color w:val="auto"/>
              </w:rPr>
            </w:pPr>
            <w:r>
              <w:rPr>
                <w:rFonts w:ascii="Arial" w:cs="Arial" w:eastAsia="Arial" w:hAnsi="Arial"/>
                <w:sz w:val="16"/>
                <w:szCs w:val="16"/>
                <w:b w:val="1"/>
                <w:bCs w:val="1"/>
                <w:color w:val="auto"/>
              </w:rPr>
              <w:t>Principal Reinsurers</w:t>
            </w:r>
          </w:p>
        </w:tc>
        <w:tc>
          <w:tcPr>
            <w:tcW w:w="40" w:type="dxa"/>
            <w:vAlign w:val="bottom"/>
          </w:tcPr>
          <w:p>
            <w:pPr>
              <w:spacing w:after="0"/>
              <w:rPr>
                <w:sz w:val="18"/>
                <w:szCs w:val="18"/>
                <w:color w:val="auto"/>
              </w:rPr>
            </w:pPr>
          </w:p>
        </w:tc>
        <w:tc>
          <w:tcPr>
            <w:tcW w:w="2160" w:type="dxa"/>
            <w:vAlign w:val="bottom"/>
            <w:tcBorders>
              <w:bottom w:val="single" w:sz="8" w:color="auto"/>
            </w:tcBorders>
            <w:gridSpan w:val="5"/>
            <w:vMerge w:val="continue"/>
          </w:tcPr>
          <w:p>
            <w:pPr>
              <w:spacing w:after="0"/>
              <w:rPr>
                <w:sz w:val="18"/>
                <w:szCs w:val="18"/>
                <w:color w:val="auto"/>
              </w:rPr>
            </w:pPr>
          </w:p>
        </w:tc>
        <w:tc>
          <w:tcPr>
            <w:tcW w:w="60" w:type="dxa"/>
            <w:vAlign w:val="bottom"/>
          </w:tcPr>
          <w:p>
            <w:pPr>
              <w:spacing w:after="0"/>
              <w:rPr>
                <w:sz w:val="18"/>
                <w:szCs w:val="18"/>
                <w:color w:val="auto"/>
              </w:rPr>
            </w:pPr>
          </w:p>
        </w:tc>
        <w:tc>
          <w:tcPr>
            <w:tcW w:w="1120" w:type="dxa"/>
            <w:vAlign w:val="bottom"/>
            <w:tcBorders>
              <w:bottom w:val="single" w:sz="8" w:color="auto"/>
            </w:tcBorders>
          </w:tcPr>
          <w:p>
            <w:pPr>
              <w:ind w:left="380"/>
              <w:spacing w:after="0"/>
              <w:rPr>
                <w:sz w:val="20"/>
                <w:szCs w:val="20"/>
                <w:color w:val="auto"/>
              </w:rPr>
            </w:pPr>
            <w:r>
              <w:rPr>
                <w:rFonts w:ascii="Arial" w:cs="Arial" w:eastAsia="Arial" w:hAnsi="Arial"/>
                <w:sz w:val="16"/>
                <w:szCs w:val="16"/>
                <w:b w:val="1"/>
                <w:bCs w:val="1"/>
                <w:color w:val="auto"/>
              </w:rPr>
              <w:t>Type</w:t>
            </w:r>
          </w:p>
        </w:tc>
        <w:tc>
          <w:tcPr>
            <w:tcW w:w="0" w:type="dxa"/>
            <w:vAlign w:val="bottom"/>
          </w:tcPr>
          <w:p>
            <w:pPr>
              <w:spacing w:after="0"/>
              <w:rPr>
                <w:sz w:val="1"/>
                <w:szCs w:val="1"/>
                <w:color w:val="auto"/>
              </w:rPr>
            </w:pPr>
          </w:p>
        </w:tc>
      </w:tr>
      <w:tr>
        <w:trPr>
          <w:trHeight w:val="170"/>
        </w:trPr>
        <w:tc>
          <w:tcPr>
            <w:tcW w:w="2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60" w:type="dxa"/>
            <w:vAlign w:val="bottom"/>
            <w:gridSpan w:val="2"/>
          </w:tcPr>
          <w:p>
            <w:pPr>
              <w:ind w:left="80"/>
              <w:spacing w:after="0" w:line="170" w:lineRule="exact"/>
              <w:rPr>
                <w:sz w:val="20"/>
                <w:szCs w:val="20"/>
                <w:color w:val="auto"/>
              </w:rPr>
            </w:pPr>
            <w:r>
              <w:rPr>
                <w:rFonts w:ascii="Arial" w:cs="Arial" w:eastAsia="Arial" w:hAnsi="Arial"/>
                <w:sz w:val="16"/>
                <w:szCs w:val="16"/>
                <w:b w:val="1"/>
                <w:bCs w:val="1"/>
                <w:color w:val="auto"/>
                <w:w w:val="92"/>
              </w:rPr>
              <w:t>December 31,</w:t>
            </w:r>
          </w:p>
        </w:tc>
        <w:tc>
          <w:tcPr>
            <w:tcW w:w="60" w:type="dxa"/>
            <w:vAlign w:val="bottom"/>
          </w:tcPr>
          <w:p>
            <w:pPr>
              <w:spacing w:after="0"/>
              <w:rPr>
                <w:sz w:val="14"/>
                <w:szCs w:val="14"/>
                <w:color w:val="auto"/>
              </w:rPr>
            </w:pPr>
          </w:p>
        </w:tc>
        <w:tc>
          <w:tcPr>
            <w:tcW w:w="1040" w:type="dxa"/>
            <w:vAlign w:val="bottom"/>
            <w:gridSpan w:val="2"/>
          </w:tcPr>
          <w:p>
            <w:pPr>
              <w:ind w:left="60"/>
              <w:spacing w:after="0" w:line="170" w:lineRule="exact"/>
              <w:rPr>
                <w:sz w:val="20"/>
                <w:szCs w:val="20"/>
                <w:color w:val="auto"/>
              </w:rPr>
            </w:pPr>
            <w:r>
              <w:rPr>
                <w:rFonts w:ascii="Arial" w:cs="Arial" w:eastAsia="Arial" w:hAnsi="Arial"/>
                <w:sz w:val="16"/>
                <w:szCs w:val="16"/>
                <w:b w:val="1"/>
                <w:bCs w:val="1"/>
                <w:color w:val="auto"/>
                <w:w w:val="92"/>
              </w:rPr>
              <w:t>December 31,</w:t>
            </w:r>
          </w:p>
        </w:tc>
        <w:tc>
          <w:tcPr>
            <w:tcW w:w="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2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02"/>
              <w:spacing w:after="0"/>
              <w:rPr>
                <w:sz w:val="20"/>
                <w:szCs w:val="20"/>
                <w:color w:val="auto"/>
              </w:rPr>
            </w:pPr>
            <w:r>
              <w:rPr>
                <w:rFonts w:ascii="Arial" w:cs="Arial" w:eastAsia="Arial" w:hAnsi="Arial"/>
                <w:sz w:val="16"/>
                <w:szCs w:val="16"/>
                <w:b w:val="1"/>
                <w:bCs w:val="1"/>
                <w:color w:val="auto"/>
              </w:rPr>
              <w:t>2025</w:t>
            </w:r>
          </w:p>
        </w:tc>
        <w:tc>
          <w:tcPr>
            <w:tcW w:w="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82"/>
              <w:spacing w:after="0"/>
              <w:rPr>
                <w:sz w:val="20"/>
                <w:szCs w:val="20"/>
                <w:color w:val="auto"/>
              </w:rPr>
            </w:pPr>
            <w:r>
              <w:rPr>
                <w:rFonts w:ascii="Arial" w:cs="Arial" w:eastAsia="Arial" w:hAnsi="Arial"/>
                <w:sz w:val="16"/>
                <w:szCs w:val="16"/>
                <w:b w:val="1"/>
                <w:bCs w:val="1"/>
                <w:color w:val="auto"/>
              </w:rPr>
              <w:t>2024</w:t>
            </w:r>
          </w:p>
        </w:tc>
        <w:tc>
          <w:tcPr>
            <w:tcW w:w="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2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jc w:val="right"/>
              <w:ind w:right="102"/>
              <w:spacing w:after="0"/>
              <w:rPr>
                <w:sz w:val="20"/>
                <w:szCs w:val="20"/>
                <w:color w:val="auto"/>
              </w:rPr>
            </w:pPr>
            <w:r>
              <w:rPr>
                <w:rFonts w:ascii="Arial" w:cs="Arial" w:eastAsia="Arial" w:hAnsi="Arial"/>
                <w:sz w:val="16"/>
                <w:szCs w:val="16"/>
                <w:b w:val="1"/>
                <w:bCs w:val="1"/>
                <w:color w:val="auto"/>
              </w:rPr>
              <w:t>(In</w:t>
            </w:r>
          </w:p>
        </w:tc>
        <w:tc>
          <w:tcPr>
            <w:tcW w:w="1100" w:type="dxa"/>
            <w:vAlign w:val="bottom"/>
            <w:gridSpan w:val="3"/>
          </w:tcPr>
          <w:p>
            <w:pPr>
              <w:jc w:val="right"/>
              <w:ind w:right="582"/>
              <w:spacing w:after="0"/>
              <w:rPr>
                <w:sz w:val="20"/>
                <w:szCs w:val="20"/>
                <w:color w:val="auto"/>
              </w:rPr>
            </w:pPr>
            <w:r>
              <w:rPr>
                <w:rFonts w:ascii="Arial" w:cs="Arial" w:eastAsia="Arial" w:hAnsi="Arial"/>
                <w:sz w:val="13"/>
                <w:szCs w:val="13"/>
                <w:b w:val="1"/>
                <w:bCs w:val="1"/>
                <w:color w:val="auto"/>
                <w:w w:val="78"/>
              </w:rPr>
              <w:t>millions)</w:t>
            </w:r>
          </w:p>
        </w:tc>
        <w:tc>
          <w:tcPr>
            <w:tcW w:w="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8"/>
        </w:trPr>
        <w:tc>
          <w:tcPr>
            <w:tcW w:w="2280" w:type="dxa"/>
            <w:vAlign w:val="bottom"/>
            <w:vMerge w:val="restart"/>
          </w:tcPr>
          <w:p>
            <w:pPr>
              <w:ind w:left="40"/>
              <w:spacing w:after="0"/>
              <w:rPr>
                <w:sz w:val="20"/>
                <w:szCs w:val="20"/>
                <w:color w:val="auto"/>
              </w:rPr>
            </w:pPr>
            <w:r>
              <w:rPr>
                <w:rFonts w:ascii="Arial" w:cs="Arial" w:eastAsia="Arial" w:hAnsi="Arial"/>
                <w:sz w:val="16"/>
                <w:szCs w:val="16"/>
                <w:color w:val="auto"/>
              </w:rPr>
              <w:t>Aspida (b)</w:t>
            </w:r>
          </w:p>
        </w:tc>
        <w:tc>
          <w:tcPr>
            <w:tcW w:w="300" w:type="dxa"/>
            <w:vAlign w:val="bottom"/>
            <w:gridSpan w:val="2"/>
            <w:vMerge w:val="restart"/>
          </w:tcPr>
          <w:p>
            <w:pPr>
              <w:ind w:left="100"/>
              <w:spacing w:after="0"/>
              <w:rPr>
                <w:sz w:val="20"/>
                <w:szCs w:val="20"/>
                <w:color w:val="auto"/>
              </w:rPr>
            </w:pPr>
            <w:r>
              <w:rPr>
                <w:rFonts w:ascii="Arial" w:cs="Arial" w:eastAsia="Arial" w:hAnsi="Arial"/>
                <w:sz w:val="16"/>
                <w:szCs w:val="16"/>
                <w:color w:val="auto"/>
              </w:rPr>
              <w:t>$</w:t>
            </w:r>
          </w:p>
        </w:tc>
        <w:tc>
          <w:tcPr>
            <w:tcW w:w="800" w:type="dxa"/>
            <w:vAlign w:val="bottom"/>
            <w:vMerge w:val="restart"/>
          </w:tcPr>
          <w:p>
            <w:pPr>
              <w:jc w:val="right"/>
              <w:ind w:right="2"/>
              <w:spacing w:after="0"/>
              <w:rPr>
                <w:sz w:val="20"/>
                <w:szCs w:val="20"/>
                <w:color w:val="auto"/>
              </w:rPr>
            </w:pPr>
            <w:r>
              <w:rPr>
                <w:rFonts w:ascii="Arial" w:cs="Arial" w:eastAsia="Arial" w:hAnsi="Arial"/>
                <w:sz w:val="16"/>
                <w:szCs w:val="16"/>
                <w:color w:val="auto"/>
              </w:rPr>
              <w:t>8,589</w:t>
            </w:r>
          </w:p>
        </w:tc>
        <w:tc>
          <w:tcPr>
            <w:tcW w:w="300" w:type="dxa"/>
            <w:vAlign w:val="bottom"/>
            <w:gridSpan w:val="2"/>
            <w:vMerge w:val="restart"/>
          </w:tcPr>
          <w:p>
            <w:pPr>
              <w:ind w:left="100"/>
              <w:spacing w:after="0"/>
              <w:rPr>
                <w:sz w:val="20"/>
                <w:szCs w:val="20"/>
                <w:color w:val="auto"/>
              </w:rPr>
            </w:pPr>
            <w:r>
              <w:rPr>
                <w:rFonts w:ascii="Arial" w:cs="Arial" w:eastAsia="Arial" w:hAnsi="Arial"/>
                <w:sz w:val="16"/>
                <w:szCs w:val="16"/>
                <w:color w:val="auto"/>
              </w:rPr>
              <w:t>$</w:t>
            </w:r>
          </w:p>
        </w:tc>
        <w:tc>
          <w:tcPr>
            <w:tcW w:w="800" w:type="dxa"/>
            <w:vAlign w:val="bottom"/>
            <w:vMerge w:val="restart"/>
          </w:tcPr>
          <w:p>
            <w:pPr>
              <w:jc w:val="right"/>
              <w:ind w:right="2"/>
              <w:spacing w:after="0"/>
              <w:rPr>
                <w:sz w:val="20"/>
                <w:szCs w:val="20"/>
                <w:color w:val="auto"/>
              </w:rPr>
            </w:pPr>
            <w:r>
              <w:rPr>
                <w:rFonts w:ascii="Arial" w:cs="Arial" w:eastAsia="Arial" w:hAnsi="Arial"/>
                <w:sz w:val="16"/>
                <w:szCs w:val="16"/>
                <w:color w:val="auto"/>
              </w:rPr>
              <w:t>7,844</w:t>
            </w:r>
          </w:p>
        </w:tc>
        <w:tc>
          <w:tcPr>
            <w:tcW w:w="60" w:type="dxa"/>
            <w:vAlign w:val="bottom"/>
          </w:tcPr>
          <w:p>
            <w:pPr>
              <w:spacing w:after="0"/>
              <w:rPr>
                <w:sz w:val="13"/>
                <w:szCs w:val="13"/>
                <w:color w:val="auto"/>
              </w:rPr>
            </w:pPr>
          </w:p>
        </w:tc>
        <w:tc>
          <w:tcPr>
            <w:tcW w:w="1120" w:type="dxa"/>
            <w:vAlign w:val="bottom"/>
          </w:tcPr>
          <w:p>
            <w:pPr>
              <w:ind w:left="40"/>
              <w:spacing w:after="0" w:line="158" w:lineRule="exact"/>
              <w:rPr>
                <w:sz w:val="20"/>
                <w:szCs w:val="20"/>
                <w:color w:val="auto"/>
              </w:rPr>
            </w:pPr>
            <w:r>
              <w:rPr>
                <w:rFonts w:ascii="Arial" w:cs="Arial" w:eastAsia="Arial" w:hAnsi="Arial"/>
                <w:sz w:val="16"/>
                <w:szCs w:val="16"/>
                <w:color w:val="auto"/>
              </w:rPr>
              <w:t>Coinsurance</w:t>
            </w:r>
          </w:p>
        </w:tc>
        <w:tc>
          <w:tcPr>
            <w:tcW w:w="0" w:type="dxa"/>
            <w:vAlign w:val="bottom"/>
          </w:tcPr>
          <w:p>
            <w:pPr>
              <w:spacing w:after="0"/>
              <w:rPr>
                <w:sz w:val="1"/>
                <w:szCs w:val="1"/>
                <w:color w:val="auto"/>
              </w:rPr>
            </w:pPr>
          </w:p>
        </w:tc>
      </w:tr>
      <w:tr>
        <w:trPr>
          <w:trHeight w:val="204"/>
        </w:trPr>
        <w:tc>
          <w:tcPr>
            <w:tcW w:w="2280" w:type="dxa"/>
            <w:vAlign w:val="bottom"/>
            <w:vMerge w:val="continue"/>
          </w:tcPr>
          <w:p>
            <w:pPr>
              <w:spacing w:after="0"/>
              <w:rPr>
                <w:sz w:val="17"/>
                <w:szCs w:val="17"/>
                <w:color w:val="auto"/>
              </w:rPr>
            </w:pPr>
          </w:p>
        </w:tc>
        <w:tc>
          <w:tcPr>
            <w:tcW w:w="300" w:type="dxa"/>
            <w:vAlign w:val="bottom"/>
            <w:gridSpan w:val="2"/>
            <w:vMerge w:val="continue"/>
          </w:tcPr>
          <w:p>
            <w:pPr>
              <w:spacing w:after="0"/>
              <w:rPr>
                <w:sz w:val="17"/>
                <w:szCs w:val="17"/>
                <w:color w:val="auto"/>
              </w:rPr>
            </w:pPr>
          </w:p>
        </w:tc>
        <w:tc>
          <w:tcPr>
            <w:tcW w:w="800" w:type="dxa"/>
            <w:vAlign w:val="bottom"/>
            <w:vMerge w:val="continue"/>
          </w:tcPr>
          <w:p>
            <w:pPr>
              <w:spacing w:after="0"/>
              <w:rPr>
                <w:sz w:val="17"/>
                <w:szCs w:val="17"/>
                <w:color w:val="auto"/>
              </w:rPr>
            </w:pPr>
          </w:p>
        </w:tc>
        <w:tc>
          <w:tcPr>
            <w:tcW w:w="300" w:type="dxa"/>
            <w:vAlign w:val="bottom"/>
            <w:gridSpan w:val="2"/>
            <w:vMerge w:val="continue"/>
          </w:tcPr>
          <w:p>
            <w:pPr>
              <w:spacing w:after="0"/>
              <w:rPr>
                <w:sz w:val="17"/>
                <w:szCs w:val="17"/>
                <w:color w:val="auto"/>
              </w:rPr>
            </w:pPr>
          </w:p>
        </w:tc>
        <w:tc>
          <w:tcPr>
            <w:tcW w:w="80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1120" w:type="dxa"/>
            <w:vAlign w:val="bottom"/>
          </w:tcPr>
          <w:p>
            <w:pPr>
              <w:ind w:left="40"/>
              <w:spacing w:after="0"/>
              <w:rPr>
                <w:sz w:val="20"/>
                <w:szCs w:val="20"/>
                <w:color w:val="auto"/>
              </w:rPr>
            </w:pPr>
            <w:r>
              <w:rPr>
                <w:rFonts w:ascii="Arial" w:cs="Arial" w:eastAsia="Arial" w:hAnsi="Arial"/>
                <w:sz w:val="16"/>
                <w:szCs w:val="16"/>
                <w:color w:val="auto"/>
                <w:w w:val="95"/>
              </w:rPr>
              <w:t>Funds Withheld</w:t>
            </w:r>
          </w:p>
        </w:tc>
        <w:tc>
          <w:tcPr>
            <w:tcW w:w="0" w:type="dxa"/>
            <w:vAlign w:val="bottom"/>
          </w:tcPr>
          <w:p>
            <w:pPr>
              <w:spacing w:after="0"/>
              <w:rPr>
                <w:sz w:val="1"/>
                <w:szCs w:val="1"/>
                <w:color w:val="auto"/>
              </w:rPr>
            </w:pPr>
          </w:p>
        </w:tc>
      </w:tr>
      <w:tr>
        <w:trPr>
          <w:trHeight w:val="164"/>
        </w:trPr>
        <w:tc>
          <w:tcPr>
            <w:tcW w:w="2280" w:type="dxa"/>
            <w:vAlign w:val="bottom"/>
            <w:vMerge w:val="restart"/>
          </w:tcPr>
          <w:p>
            <w:pPr>
              <w:ind w:left="40"/>
              <w:spacing w:after="0"/>
              <w:rPr>
                <w:sz w:val="20"/>
                <w:szCs w:val="20"/>
                <w:color w:val="auto"/>
              </w:rPr>
            </w:pPr>
            <w:r>
              <w:rPr>
                <w:rFonts w:ascii="Arial" w:cs="Arial" w:eastAsia="Arial" w:hAnsi="Arial"/>
                <w:sz w:val="16"/>
                <w:szCs w:val="16"/>
                <w:color w:val="auto"/>
              </w:rPr>
              <w:t>Somerset Reinsurance Ltd. (c)</w:t>
            </w: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vMerge w:val="restart"/>
          </w:tcPr>
          <w:p>
            <w:pPr>
              <w:jc w:val="right"/>
              <w:ind w:right="2"/>
              <w:spacing w:after="0"/>
              <w:rPr>
                <w:sz w:val="20"/>
                <w:szCs w:val="20"/>
                <w:color w:val="auto"/>
              </w:rPr>
            </w:pPr>
            <w:r>
              <w:rPr>
                <w:rFonts w:ascii="Arial" w:cs="Arial" w:eastAsia="Arial" w:hAnsi="Arial"/>
                <w:sz w:val="16"/>
                <w:szCs w:val="16"/>
                <w:color w:val="auto"/>
              </w:rPr>
              <w:t>5,071</w:t>
            </w: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vMerge w:val="restart"/>
          </w:tcPr>
          <w:p>
            <w:pPr>
              <w:jc w:val="right"/>
              <w:ind w:right="2"/>
              <w:spacing w:after="0"/>
              <w:rPr>
                <w:sz w:val="20"/>
                <w:szCs w:val="20"/>
                <w:color w:val="auto"/>
              </w:rPr>
            </w:pPr>
            <w:r>
              <w:rPr>
                <w:rFonts w:ascii="Arial" w:cs="Arial" w:eastAsia="Arial" w:hAnsi="Arial"/>
                <w:sz w:val="16"/>
                <w:szCs w:val="16"/>
                <w:color w:val="auto"/>
              </w:rPr>
              <w:t>2,822</w:t>
            </w:r>
          </w:p>
        </w:tc>
        <w:tc>
          <w:tcPr>
            <w:tcW w:w="60" w:type="dxa"/>
            <w:vAlign w:val="bottom"/>
          </w:tcPr>
          <w:p>
            <w:pPr>
              <w:spacing w:after="0"/>
              <w:rPr>
                <w:sz w:val="14"/>
                <w:szCs w:val="14"/>
                <w:color w:val="auto"/>
              </w:rPr>
            </w:pPr>
          </w:p>
        </w:tc>
        <w:tc>
          <w:tcPr>
            <w:tcW w:w="1120" w:type="dxa"/>
            <w:vAlign w:val="bottom"/>
          </w:tcPr>
          <w:p>
            <w:pPr>
              <w:ind w:left="40"/>
              <w:spacing w:after="0" w:line="164" w:lineRule="exact"/>
              <w:rPr>
                <w:sz w:val="20"/>
                <w:szCs w:val="20"/>
                <w:color w:val="auto"/>
              </w:rPr>
            </w:pPr>
            <w:r>
              <w:rPr>
                <w:rFonts w:ascii="Arial" w:cs="Arial" w:eastAsia="Arial" w:hAnsi="Arial"/>
                <w:sz w:val="16"/>
                <w:szCs w:val="16"/>
                <w:color w:val="auto"/>
              </w:rPr>
              <w:t>Coinsurance</w:t>
            </w:r>
          </w:p>
        </w:tc>
        <w:tc>
          <w:tcPr>
            <w:tcW w:w="0" w:type="dxa"/>
            <w:vAlign w:val="bottom"/>
          </w:tcPr>
          <w:p>
            <w:pPr>
              <w:spacing w:after="0"/>
              <w:rPr>
                <w:sz w:val="1"/>
                <w:szCs w:val="1"/>
                <w:color w:val="auto"/>
              </w:rPr>
            </w:pPr>
          </w:p>
        </w:tc>
      </w:tr>
      <w:tr>
        <w:trPr>
          <w:trHeight w:val="204"/>
        </w:trPr>
        <w:tc>
          <w:tcPr>
            <w:tcW w:w="228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1120" w:type="dxa"/>
            <w:vAlign w:val="bottom"/>
          </w:tcPr>
          <w:p>
            <w:pPr>
              <w:ind w:left="40"/>
              <w:spacing w:after="0"/>
              <w:rPr>
                <w:sz w:val="20"/>
                <w:szCs w:val="20"/>
                <w:color w:val="auto"/>
              </w:rPr>
            </w:pPr>
            <w:r>
              <w:rPr>
                <w:rFonts w:ascii="Arial" w:cs="Arial" w:eastAsia="Arial" w:hAnsi="Arial"/>
                <w:sz w:val="16"/>
                <w:szCs w:val="16"/>
                <w:color w:val="auto"/>
                <w:w w:val="95"/>
              </w:rPr>
              <w:t>Funds Withheld</w:t>
            </w:r>
          </w:p>
        </w:tc>
        <w:tc>
          <w:tcPr>
            <w:tcW w:w="0" w:type="dxa"/>
            <w:vAlign w:val="bottom"/>
          </w:tcPr>
          <w:p>
            <w:pPr>
              <w:spacing w:after="0"/>
              <w:rPr>
                <w:sz w:val="1"/>
                <w:szCs w:val="1"/>
                <w:color w:val="auto"/>
              </w:rPr>
            </w:pPr>
          </w:p>
        </w:tc>
      </w:tr>
      <w:tr>
        <w:trPr>
          <w:trHeight w:val="164"/>
        </w:trPr>
        <w:tc>
          <w:tcPr>
            <w:tcW w:w="2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20" w:type="dxa"/>
            <w:vAlign w:val="bottom"/>
          </w:tcPr>
          <w:p>
            <w:pPr>
              <w:ind w:left="40"/>
              <w:spacing w:after="0" w:line="164" w:lineRule="exact"/>
              <w:rPr>
                <w:sz w:val="20"/>
                <w:szCs w:val="20"/>
                <w:color w:val="auto"/>
              </w:rPr>
            </w:pPr>
            <w:r>
              <w:rPr>
                <w:rFonts w:ascii="Arial" w:cs="Arial" w:eastAsia="Arial" w:hAnsi="Arial"/>
                <w:sz w:val="16"/>
                <w:szCs w:val="16"/>
                <w:color w:val="auto"/>
              </w:rPr>
              <w:t>Coinsurance</w:t>
            </w:r>
          </w:p>
        </w:tc>
        <w:tc>
          <w:tcPr>
            <w:tcW w:w="0" w:type="dxa"/>
            <w:vAlign w:val="bottom"/>
          </w:tcPr>
          <w:p>
            <w:pPr>
              <w:spacing w:after="0"/>
              <w:rPr>
                <w:sz w:val="1"/>
                <w:szCs w:val="1"/>
                <w:color w:val="auto"/>
              </w:rPr>
            </w:pPr>
          </w:p>
        </w:tc>
      </w:tr>
      <w:tr>
        <w:trPr>
          <w:trHeight w:val="204"/>
        </w:trPr>
        <w:tc>
          <w:tcPr>
            <w:tcW w:w="2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20" w:type="dxa"/>
            <w:vAlign w:val="bottom"/>
          </w:tcPr>
          <w:p>
            <w:pPr>
              <w:ind w:left="40"/>
              <w:spacing w:after="0"/>
              <w:rPr>
                <w:sz w:val="20"/>
                <w:szCs w:val="20"/>
                <w:color w:val="auto"/>
              </w:rPr>
            </w:pPr>
            <w:r>
              <w:rPr>
                <w:rFonts w:ascii="Arial" w:cs="Arial" w:eastAsia="Arial" w:hAnsi="Arial"/>
                <w:sz w:val="16"/>
                <w:szCs w:val="16"/>
                <w:color w:val="auto"/>
                <w:w w:val="95"/>
              </w:rPr>
              <w:t>Funds Withheld</w:t>
            </w:r>
          </w:p>
        </w:tc>
        <w:tc>
          <w:tcPr>
            <w:tcW w:w="0" w:type="dxa"/>
            <w:vAlign w:val="bottom"/>
          </w:tcPr>
          <w:p>
            <w:pPr>
              <w:spacing w:after="0"/>
              <w:rPr>
                <w:sz w:val="1"/>
                <w:szCs w:val="1"/>
                <w:color w:val="auto"/>
              </w:rPr>
            </w:pPr>
          </w:p>
        </w:tc>
      </w:tr>
      <w:tr>
        <w:trPr>
          <w:trHeight w:val="367"/>
        </w:trPr>
        <w:tc>
          <w:tcPr>
            <w:tcW w:w="2280" w:type="dxa"/>
            <w:vAlign w:val="bottom"/>
          </w:tcPr>
          <w:p>
            <w:pPr>
              <w:ind w:left="40"/>
              <w:spacing w:after="0"/>
              <w:rPr>
                <w:sz w:val="20"/>
                <w:szCs w:val="20"/>
                <w:color w:val="auto"/>
              </w:rPr>
            </w:pPr>
            <w:r>
              <w:rPr>
                <w:rFonts w:ascii="Arial" w:cs="Arial" w:eastAsia="Arial" w:hAnsi="Arial"/>
                <w:sz w:val="16"/>
                <w:szCs w:val="16"/>
                <w:color w:val="auto"/>
              </w:rPr>
              <w:t>Everlake</w:t>
            </w: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jc w:val="right"/>
              <w:ind w:right="2"/>
              <w:spacing w:after="0"/>
              <w:rPr>
                <w:sz w:val="20"/>
                <w:szCs w:val="20"/>
                <w:color w:val="auto"/>
              </w:rPr>
            </w:pPr>
            <w:r>
              <w:rPr>
                <w:rFonts w:ascii="Arial" w:cs="Arial" w:eastAsia="Arial" w:hAnsi="Arial"/>
                <w:sz w:val="16"/>
                <w:szCs w:val="16"/>
                <w:color w:val="auto"/>
              </w:rPr>
              <w:t>1,868</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jc w:val="right"/>
              <w:ind w:right="2"/>
              <w:spacing w:after="0"/>
              <w:rPr>
                <w:sz w:val="20"/>
                <w:szCs w:val="20"/>
                <w:color w:val="auto"/>
              </w:rPr>
            </w:pPr>
            <w:r>
              <w:rPr>
                <w:rFonts w:ascii="Arial" w:cs="Arial" w:eastAsia="Arial" w:hAnsi="Arial"/>
                <w:sz w:val="16"/>
                <w:szCs w:val="16"/>
                <w:color w:val="auto"/>
              </w:rPr>
              <w:t>1,168</w:t>
            </w:r>
          </w:p>
        </w:tc>
        <w:tc>
          <w:tcPr>
            <w:tcW w:w="60" w:type="dxa"/>
            <w:vAlign w:val="bottom"/>
          </w:tcPr>
          <w:p>
            <w:pPr>
              <w:spacing w:after="0"/>
              <w:rPr>
                <w:sz w:val="24"/>
                <w:szCs w:val="24"/>
                <w:color w:val="auto"/>
              </w:rPr>
            </w:pPr>
          </w:p>
        </w:tc>
        <w:tc>
          <w:tcPr>
            <w:tcW w:w="1120" w:type="dxa"/>
            <w:vAlign w:val="bottom"/>
          </w:tcPr>
          <w:p>
            <w:pPr>
              <w:ind w:left="40"/>
              <w:spacing w:after="0"/>
              <w:rPr>
                <w:sz w:val="20"/>
                <w:szCs w:val="20"/>
                <w:color w:val="auto"/>
              </w:rPr>
            </w:pPr>
            <w:r>
              <w:rPr>
                <w:rFonts w:ascii="Arial" w:cs="Arial" w:eastAsia="Arial" w:hAnsi="Arial"/>
                <w:sz w:val="16"/>
                <w:szCs w:val="16"/>
                <w:color w:val="auto"/>
              </w:rPr>
              <w:t>Coinsurance</w:t>
            </w:r>
          </w:p>
        </w:tc>
        <w:tc>
          <w:tcPr>
            <w:tcW w:w="0" w:type="dxa"/>
            <w:vAlign w:val="bottom"/>
          </w:tcPr>
          <w:p>
            <w:pPr>
              <w:spacing w:after="0"/>
              <w:rPr>
                <w:sz w:val="1"/>
                <w:szCs w:val="1"/>
                <w:color w:val="auto"/>
              </w:rPr>
            </w:pPr>
          </w:p>
        </w:tc>
      </w:tr>
      <w:tr>
        <w:trPr>
          <w:trHeight w:val="368"/>
        </w:trPr>
        <w:tc>
          <w:tcPr>
            <w:tcW w:w="2280" w:type="dxa"/>
            <w:vAlign w:val="bottom"/>
          </w:tcPr>
          <w:p>
            <w:pPr>
              <w:ind w:left="40"/>
              <w:spacing w:after="0"/>
              <w:rPr>
                <w:sz w:val="20"/>
                <w:szCs w:val="20"/>
                <w:color w:val="auto"/>
              </w:rPr>
            </w:pPr>
            <w:r>
              <w:rPr>
                <w:rFonts w:ascii="Arial" w:cs="Arial" w:eastAsia="Arial" w:hAnsi="Arial"/>
                <w:sz w:val="16"/>
                <w:szCs w:val="16"/>
                <w:color w:val="auto"/>
              </w:rPr>
              <w:t>Wilton Reassurance Company</w:t>
            </w: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jc w:val="right"/>
              <w:ind w:right="2"/>
              <w:spacing w:after="0"/>
              <w:rPr>
                <w:sz w:val="20"/>
                <w:szCs w:val="20"/>
                <w:color w:val="auto"/>
              </w:rPr>
            </w:pPr>
            <w:r>
              <w:rPr>
                <w:rFonts w:ascii="Arial" w:cs="Arial" w:eastAsia="Arial" w:hAnsi="Arial"/>
                <w:sz w:val="16"/>
                <w:szCs w:val="16"/>
                <w:color w:val="auto"/>
              </w:rPr>
              <w:t>1,032</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jc w:val="right"/>
              <w:ind w:right="2"/>
              <w:spacing w:after="0"/>
              <w:rPr>
                <w:sz w:val="20"/>
                <w:szCs w:val="20"/>
                <w:color w:val="auto"/>
              </w:rPr>
            </w:pPr>
            <w:r>
              <w:rPr>
                <w:rFonts w:ascii="Arial" w:cs="Arial" w:eastAsia="Arial" w:hAnsi="Arial"/>
                <w:sz w:val="16"/>
                <w:szCs w:val="16"/>
                <w:color w:val="auto"/>
              </w:rPr>
              <w:t>1,066</w:t>
            </w:r>
          </w:p>
        </w:tc>
        <w:tc>
          <w:tcPr>
            <w:tcW w:w="60" w:type="dxa"/>
            <w:vAlign w:val="bottom"/>
          </w:tcPr>
          <w:p>
            <w:pPr>
              <w:spacing w:after="0"/>
              <w:rPr>
                <w:sz w:val="24"/>
                <w:szCs w:val="24"/>
                <w:color w:val="auto"/>
              </w:rPr>
            </w:pPr>
          </w:p>
        </w:tc>
        <w:tc>
          <w:tcPr>
            <w:tcW w:w="1120" w:type="dxa"/>
            <w:vAlign w:val="bottom"/>
          </w:tcPr>
          <w:p>
            <w:pPr>
              <w:ind w:left="40"/>
              <w:spacing w:after="0"/>
              <w:rPr>
                <w:sz w:val="20"/>
                <w:szCs w:val="20"/>
                <w:color w:val="auto"/>
              </w:rPr>
            </w:pPr>
            <w:r>
              <w:rPr>
                <w:rFonts w:ascii="Arial" w:cs="Arial" w:eastAsia="Arial" w:hAnsi="Arial"/>
                <w:sz w:val="16"/>
                <w:szCs w:val="16"/>
                <w:color w:val="auto"/>
              </w:rPr>
              <w:t>Coinsurance</w:t>
            </w:r>
          </w:p>
        </w:tc>
        <w:tc>
          <w:tcPr>
            <w:tcW w:w="0" w:type="dxa"/>
            <w:vAlign w:val="bottom"/>
          </w:tcPr>
          <w:p>
            <w:pPr>
              <w:spacing w:after="0"/>
              <w:rPr>
                <w:sz w:val="1"/>
                <w:szCs w:val="1"/>
                <w:color w:val="auto"/>
              </w:rPr>
            </w:pPr>
          </w:p>
        </w:tc>
      </w:tr>
      <w:tr>
        <w:trPr>
          <w:trHeight w:val="165"/>
        </w:trPr>
        <w:tc>
          <w:tcPr>
            <w:tcW w:w="2280" w:type="dxa"/>
            <w:vAlign w:val="bottom"/>
            <w:vMerge w:val="restart"/>
          </w:tcPr>
          <w:p>
            <w:pPr>
              <w:ind w:left="40"/>
              <w:spacing w:after="0"/>
              <w:rPr>
                <w:sz w:val="20"/>
                <w:szCs w:val="20"/>
                <w:color w:val="auto"/>
              </w:rPr>
            </w:pPr>
            <w:r>
              <w:rPr>
                <w:rFonts w:ascii="Arial" w:cs="Arial" w:eastAsia="Arial" w:hAnsi="Arial"/>
                <w:sz w:val="16"/>
                <w:szCs w:val="16"/>
                <w:color w:val="auto"/>
              </w:rPr>
              <w:t>Fort Greene</w:t>
            </w: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vMerge w:val="restart"/>
          </w:tcPr>
          <w:p>
            <w:pPr>
              <w:jc w:val="right"/>
              <w:ind w:right="2"/>
              <w:spacing w:after="0"/>
              <w:rPr>
                <w:sz w:val="20"/>
                <w:szCs w:val="20"/>
                <w:color w:val="auto"/>
              </w:rPr>
            </w:pPr>
            <w:r>
              <w:rPr>
                <w:rFonts w:ascii="Arial" w:cs="Arial" w:eastAsia="Arial" w:hAnsi="Arial"/>
                <w:sz w:val="16"/>
                <w:szCs w:val="16"/>
                <w:color w:val="auto"/>
              </w:rPr>
              <w:t>502</w:t>
            </w: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vMerge w:val="restart"/>
          </w:tcPr>
          <w:p>
            <w:pPr>
              <w:jc w:val="right"/>
              <w:ind w:right="2"/>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4"/>
                <w:szCs w:val="14"/>
                <w:color w:val="auto"/>
              </w:rPr>
            </w:pPr>
          </w:p>
        </w:tc>
        <w:tc>
          <w:tcPr>
            <w:tcW w:w="1120" w:type="dxa"/>
            <w:vAlign w:val="bottom"/>
          </w:tcPr>
          <w:p>
            <w:pPr>
              <w:ind w:left="40"/>
              <w:spacing w:after="0" w:line="165" w:lineRule="exact"/>
              <w:rPr>
                <w:sz w:val="20"/>
                <w:szCs w:val="20"/>
                <w:color w:val="auto"/>
              </w:rPr>
            </w:pPr>
            <w:r>
              <w:rPr>
                <w:rFonts w:ascii="Arial" w:cs="Arial" w:eastAsia="Arial" w:hAnsi="Arial"/>
                <w:sz w:val="16"/>
                <w:szCs w:val="16"/>
                <w:color w:val="auto"/>
              </w:rPr>
              <w:t>Coinsurance</w:t>
            </w:r>
          </w:p>
        </w:tc>
        <w:tc>
          <w:tcPr>
            <w:tcW w:w="0" w:type="dxa"/>
            <w:vAlign w:val="bottom"/>
          </w:tcPr>
          <w:p>
            <w:pPr>
              <w:spacing w:after="0"/>
              <w:rPr>
                <w:sz w:val="1"/>
                <w:szCs w:val="1"/>
                <w:color w:val="auto"/>
              </w:rPr>
            </w:pPr>
          </w:p>
        </w:tc>
      </w:tr>
      <w:tr>
        <w:trPr>
          <w:trHeight w:val="204"/>
        </w:trPr>
        <w:tc>
          <w:tcPr>
            <w:tcW w:w="228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1120" w:type="dxa"/>
            <w:vAlign w:val="bottom"/>
          </w:tcPr>
          <w:p>
            <w:pPr>
              <w:ind w:left="40"/>
              <w:spacing w:after="0"/>
              <w:rPr>
                <w:sz w:val="20"/>
                <w:szCs w:val="20"/>
                <w:color w:val="auto"/>
              </w:rPr>
            </w:pPr>
            <w:r>
              <w:rPr>
                <w:rFonts w:ascii="Arial" w:cs="Arial" w:eastAsia="Arial" w:hAnsi="Arial"/>
                <w:sz w:val="16"/>
                <w:szCs w:val="16"/>
                <w:color w:val="auto"/>
                <w:w w:val="95"/>
              </w:rPr>
              <w:t>Funds Withheld</w:t>
            </w:r>
          </w:p>
        </w:tc>
        <w:tc>
          <w:tcPr>
            <w:tcW w:w="0" w:type="dxa"/>
            <w:vAlign w:val="bottom"/>
          </w:tcPr>
          <w:p>
            <w:pPr>
              <w:spacing w:after="0"/>
              <w:rPr>
                <w:sz w:val="1"/>
                <w:szCs w:val="1"/>
                <w:color w:val="auto"/>
              </w:rPr>
            </w:pPr>
          </w:p>
        </w:tc>
      </w:tr>
      <w:tr>
        <w:trPr>
          <w:trHeight w:val="374"/>
        </w:trPr>
        <w:tc>
          <w:tcPr>
            <w:tcW w:w="2280" w:type="dxa"/>
            <w:vAlign w:val="bottom"/>
          </w:tcPr>
          <w:p>
            <w:pPr>
              <w:ind w:left="40"/>
              <w:spacing w:after="0"/>
              <w:rPr>
                <w:sz w:val="20"/>
                <w:szCs w:val="20"/>
                <w:color w:val="auto"/>
              </w:rPr>
            </w:pPr>
            <w:r>
              <w:rPr>
                <w:rFonts w:ascii="Arial" w:cs="Arial" w:eastAsia="Arial" w:hAnsi="Arial"/>
                <w:sz w:val="16"/>
                <w:szCs w:val="16"/>
                <w:color w:val="auto"/>
              </w:rPr>
              <w:t>Other (f)</w:t>
            </w:r>
          </w:p>
        </w:tc>
        <w:tc>
          <w:tcPr>
            <w:tcW w:w="4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501</w:t>
            </w:r>
          </w:p>
        </w:tc>
        <w:tc>
          <w:tcPr>
            <w:tcW w:w="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489</w:t>
            </w:r>
          </w:p>
        </w:tc>
        <w:tc>
          <w:tcPr>
            <w:tcW w:w="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8"/>
        </w:trPr>
        <w:tc>
          <w:tcPr>
            <w:tcW w:w="2280" w:type="dxa"/>
            <w:vAlign w:val="bottom"/>
          </w:tcPr>
          <w:p>
            <w:pPr>
              <w:ind w:left="220"/>
              <w:spacing w:after="0" w:line="138" w:lineRule="exact"/>
              <w:rPr>
                <w:sz w:val="20"/>
                <w:szCs w:val="20"/>
                <w:color w:val="auto"/>
              </w:rPr>
            </w:pPr>
            <w:r>
              <w:rPr>
                <w:rFonts w:ascii="Arial" w:cs="Arial" w:eastAsia="Arial" w:hAnsi="Arial"/>
                <w:sz w:val="15"/>
                <w:szCs w:val="15"/>
                <w:color w:val="auto"/>
                <w:w w:val="96"/>
              </w:rPr>
              <w:t>Reinsurance recoverable, gross</w:t>
            </w: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vMerge w:val="restart"/>
          </w:tcPr>
          <w:p>
            <w:pPr>
              <w:jc w:val="right"/>
              <w:ind w:right="2"/>
              <w:spacing w:after="0"/>
              <w:rPr>
                <w:sz w:val="20"/>
                <w:szCs w:val="20"/>
                <w:color w:val="auto"/>
              </w:rPr>
            </w:pPr>
            <w:r>
              <w:rPr>
                <w:rFonts w:ascii="Arial" w:cs="Arial" w:eastAsia="Arial" w:hAnsi="Arial"/>
                <w:sz w:val="16"/>
                <w:szCs w:val="16"/>
                <w:color w:val="auto"/>
              </w:rPr>
              <w:t>17,563</w:t>
            </w: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vMerge w:val="restart"/>
          </w:tcPr>
          <w:p>
            <w:pPr>
              <w:jc w:val="right"/>
              <w:ind w:right="2"/>
              <w:spacing w:after="0"/>
              <w:rPr>
                <w:sz w:val="20"/>
                <w:szCs w:val="20"/>
                <w:color w:val="auto"/>
              </w:rPr>
            </w:pPr>
            <w:r>
              <w:rPr>
                <w:rFonts w:ascii="Arial" w:cs="Arial" w:eastAsia="Arial" w:hAnsi="Arial"/>
                <w:sz w:val="16"/>
                <w:szCs w:val="16"/>
                <w:color w:val="auto"/>
              </w:rPr>
              <w:t>13,389</w:t>
            </w:r>
          </w:p>
        </w:tc>
        <w:tc>
          <w:tcPr>
            <w:tcW w:w="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4"/>
        </w:trPr>
        <w:tc>
          <w:tcPr>
            <w:tcW w:w="2280" w:type="dxa"/>
            <w:vAlign w:val="bottom"/>
          </w:tcPr>
          <w:p>
            <w:pPr>
              <w:ind w:left="220"/>
              <w:spacing w:after="0"/>
              <w:rPr>
                <w:sz w:val="20"/>
                <w:szCs w:val="20"/>
                <w:color w:val="auto"/>
              </w:rPr>
            </w:pPr>
            <w:r>
              <w:rPr>
                <w:rFonts w:ascii="Arial" w:cs="Arial" w:eastAsia="Arial" w:hAnsi="Arial"/>
                <w:sz w:val="16"/>
                <w:szCs w:val="16"/>
                <w:color w:val="auto"/>
              </w:rPr>
              <w:t>of allowance</w:t>
            </w: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4"/>
        </w:trPr>
        <w:tc>
          <w:tcPr>
            <w:tcW w:w="2280" w:type="dxa"/>
            <w:vAlign w:val="bottom"/>
          </w:tcPr>
          <w:p>
            <w:pPr>
              <w:ind w:left="40"/>
              <w:spacing w:after="0" w:line="164" w:lineRule="exact"/>
              <w:rPr>
                <w:sz w:val="20"/>
                <w:szCs w:val="20"/>
                <w:color w:val="auto"/>
              </w:rPr>
            </w:pPr>
            <w:r>
              <w:rPr>
                <w:rFonts w:ascii="Arial" w:cs="Arial" w:eastAsia="Arial" w:hAnsi="Arial"/>
                <w:sz w:val="16"/>
                <w:szCs w:val="16"/>
                <w:color w:val="auto"/>
              </w:rPr>
              <w:t>Allowance for expected credit</w:t>
            </w: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(18)</w:t>
            </w: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(20)</w:t>
            </w:r>
          </w:p>
        </w:tc>
        <w:tc>
          <w:tcPr>
            <w:tcW w:w="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280" w:type="dxa"/>
            <w:vAlign w:val="bottom"/>
          </w:tcPr>
          <w:p>
            <w:pPr>
              <w:ind w:left="40"/>
              <w:spacing w:after="0"/>
              <w:rPr>
                <w:sz w:val="20"/>
                <w:szCs w:val="20"/>
                <w:color w:val="auto"/>
              </w:rPr>
            </w:pPr>
            <w:r>
              <w:rPr>
                <w:rFonts w:ascii="Arial" w:cs="Arial" w:eastAsia="Arial" w:hAnsi="Arial"/>
                <w:sz w:val="16"/>
                <w:szCs w:val="16"/>
                <w:color w:val="auto"/>
              </w:rPr>
              <w:t>loss</w:t>
            </w:r>
          </w:p>
        </w:tc>
        <w:tc>
          <w:tcPr>
            <w:tcW w:w="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vMerge w:val="continue"/>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vMerge w:val="continue"/>
          </w:tcPr>
          <w:p>
            <w:pPr>
              <w:spacing w:after="0"/>
              <w:rPr>
                <w:sz w:val="18"/>
                <w:szCs w:val="18"/>
                <w:color w:val="auto"/>
              </w:rPr>
            </w:pPr>
          </w:p>
        </w:tc>
        <w:tc>
          <w:tcPr>
            <w:tcW w:w="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8"/>
        </w:trPr>
        <w:tc>
          <w:tcPr>
            <w:tcW w:w="2280" w:type="dxa"/>
            <w:vAlign w:val="bottom"/>
          </w:tcPr>
          <w:p>
            <w:pPr>
              <w:ind w:left="220"/>
              <w:spacing w:after="0" w:line="128" w:lineRule="exact"/>
              <w:rPr>
                <w:sz w:val="20"/>
                <w:szCs w:val="20"/>
                <w:color w:val="auto"/>
              </w:rPr>
            </w:pPr>
            <w:r>
              <w:rPr>
                <w:rFonts w:ascii="Arial" w:cs="Arial" w:eastAsia="Arial" w:hAnsi="Arial"/>
                <w:sz w:val="13"/>
                <w:szCs w:val="13"/>
                <w:b w:val="1"/>
                <w:bCs w:val="1"/>
                <w:color w:val="auto"/>
              </w:rPr>
              <w:t>Reinsurance recoverable, net</w:t>
            </w: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2280" w:type="dxa"/>
            <w:vAlign w:val="bottom"/>
          </w:tcPr>
          <w:p>
            <w:pPr>
              <w:ind w:left="220"/>
              <w:spacing w:after="0" w:line="157" w:lineRule="exact"/>
              <w:rPr>
                <w:sz w:val="20"/>
                <w:szCs w:val="20"/>
                <w:color w:val="auto"/>
              </w:rPr>
            </w:pPr>
            <w:r>
              <w:rPr>
                <w:rFonts w:ascii="Arial" w:cs="Arial" w:eastAsia="Arial" w:hAnsi="Arial"/>
                <w:sz w:val="16"/>
                <w:szCs w:val="16"/>
                <w:b w:val="1"/>
                <w:bCs w:val="1"/>
                <w:color w:val="auto"/>
              </w:rPr>
              <w:t>of allowance for expected</w:t>
            </w:r>
          </w:p>
        </w:tc>
        <w:tc>
          <w:tcPr>
            <w:tcW w:w="300" w:type="dxa"/>
            <w:vAlign w:val="bottom"/>
            <w:gridSpan w:val="2"/>
            <w:vMerge w:val="restart"/>
          </w:tcPr>
          <w:p>
            <w:pPr>
              <w:ind w:left="100"/>
              <w:spacing w:after="0"/>
              <w:rPr>
                <w:sz w:val="20"/>
                <w:szCs w:val="20"/>
                <w:color w:val="auto"/>
              </w:rPr>
            </w:pPr>
            <w:r>
              <w:rPr>
                <w:rFonts w:ascii="Arial" w:cs="Arial" w:eastAsia="Arial" w:hAnsi="Arial"/>
                <w:sz w:val="16"/>
                <w:szCs w:val="16"/>
                <w:color w:val="auto"/>
              </w:rPr>
              <w:t>$</w:t>
            </w:r>
          </w:p>
        </w:tc>
        <w:tc>
          <w:tcPr>
            <w:tcW w:w="800" w:type="dxa"/>
            <w:vAlign w:val="bottom"/>
            <w:vMerge w:val="restart"/>
          </w:tcPr>
          <w:p>
            <w:pPr>
              <w:jc w:val="right"/>
              <w:ind w:right="2"/>
              <w:spacing w:after="0"/>
              <w:rPr>
                <w:sz w:val="20"/>
                <w:szCs w:val="20"/>
                <w:color w:val="auto"/>
              </w:rPr>
            </w:pPr>
            <w:r>
              <w:rPr>
                <w:rFonts w:ascii="Arial" w:cs="Arial" w:eastAsia="Arial" w:hAnsi="Arial"/>
                <w:sz w:val="16"/>
                <w:szCs w:val="16"/>
                <w:color w:val="auto"/>
              </w:rPr>
              <w:t>17,545</w:t>
            </w:r>
          </w:p>
        </w:tc>
        <w:tc>
          <w:tcPr>
            <w:tcW w:w="300" w:type="dxa"/>
            <w:vAlign w:val="bottom"/>
            <w:gridSpan w:val="2"/>
            <w:vMerge w:val="restart"/>
          </w:tcPr>
          <w:p>
            <w:pPr>
              <w:ind w:left="100"/>
              <w:spacing w:after="0"/>
              <w:rPr>
                <w:sz w:val="20"/>
                <w:szCs w:val="20"/>
                <w:color w:val="auto"/>
              </w:rPr>
            </w:pPr>
            <w:r>
              <w:rPr>
                <w:rFonts w:ascii="Arial" w:cs="Arial" w:eastAsia="Arial" w:hAnsi="Arial"/>
                <w:sz w:val="16"/>
                <w:szCs w:val="16"/>
                <w:color w:val="auto"/>
              </w:rPr>
              <w:t>$</w:t>
            </w:r>
          </w:p>
        </w:tc>
        <w:tc>
          <w:tcPr>
            <w:tcW w:w="800" w:type="dxa"/>
            <w:vAlign w:val="bottom"/>
            <w:vMerge w:val="restart"/>
          </w:tcPr>
          <w:p>
            <w:pPr>
              <w:jc w:val="right"/>
              <w:ind w:right="2"/>
              <w:spacing w:after="0"/>
              <w:rPr>
                <w:sz w:val="20"/>
                <w:szCs w:val="20"/>
                <w:color w:val="auto"/>
              </w:rPr>
            </w:pPr>
            <w:r>
              <w:rPr>
                <w:rFonts w:ascii="Arial" w:cs="Arial" w:eastAsia="Arial" w:hAnsi="Arial"/>
                <w:sz w:val="16"/>
                <w:szCs w:val="16"/>
                <w:color w:val="auto"/>
              </w:rPr>
              <w:t>13,369</w:t>
            </w:r>
          </w:p>
        </w:tc>
        <w:tc>
          <w:tcPr>
            <w:tcW w:w="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2280" w:type="dxa"/>
            <w:vAlign w:val="bottom"/>
          </w:tcPr>
          <w:p>
            <w:pPr>
              <w:ind w:left="220"/>
              <w:spacing w:after="0"/>
              <w:rPr>
                <w:sz w:val="20"/>
                <w:szCs w:val="20"/>
                <w:color w:val="auto"/>
              </w:rPr>
            </w:pPr>
            <w:r>
              <w:rPr>
                <w:rFonts w:ascii="Arial" w:cs="Arial" w:eastAsia="Arial" w:hAnsi="Arial"/>
                <w:sz w:val="16"/>
                <w:szCs w:val="16"/>
                <w:b w:val="1"/>
                <w:bCs w:val="1"/>
                <w:color w:val="auto"/>
              </w:rPr>
              <w:t>credit losses</w:t>
            </w:r>
          </w:p>
        </w:tc>
        <w:tc>
          <w:tcPr>
            <w:tcW w:w="300" w:type="dxa"/>
            <w:vAlign w:val="bottom"/>
            <w:gridSpan w:val="2"/>
            <w:vMerge w:val="continue"/>
          </w:tcPr>
          <w:p>
            <w:pPr>
              <w:spacing w:after="0"/>
              <w:rPr>
                <w:sz w:val="16"/>
                <w:szCs w:val="16"/>
                <w:color w:val="auto"/>
              </w:rPr>
            </w:pPr>
          </w:p>
        </w:tc>
        <w:tc>
          <w:tcPr>
            <w:tcW w:w="800" w:type="dxa"/>
            <w:vAlign w:val="bottom"/>
            <w:vMerge w:val="continue"/>
          </w:tcPr>
          <w:p>
            <w:pPr>
              <w:spacing w:after="0"/>
              <w:rPr>
                <w:sz w:val="16"/>
                <w:szCs w:val="16"/>
                <w:color w:val="auto"/>
              </w:rPr>
            </w:pPr>
          </w:p>
        </w:tc>
        <w:tc>
          <w:tcPr>
            <w:tcW w:w="300" w:type="dxa"/>
            <w:vAlign w:val="bottom"/>
            <w:gridSpan w:val="2"/>
            <w:vMerge w:val="continue"/>
          </w:tcPr>
          <w:p>
            <w:pPr>
              <w:spacing w:after="0"/>
              <w:rPr>
                <w:sz w:val="16"/>
                <w:szCs w:val="16"/>
                <w:color w:val="auto"/>
              </w:rPr>
            </w:pPr>
          </w:p>
        </w:tc>
        <w:tc>
          <w:tcPr>
            <w:tcW w:w="80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-2458085</wp:posOffset>
            </wp:positionV>
            <wp:extent cx="5850255" cy="246507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39">
                      <a:extLst>
                        <a:ext uri="{28A0092B-C50C-407E-A947-70E740481C1C}"/>
                      </a:extLst>
                    </a:blip>
                    <a:srcRect/>
                    <a:stretch>
                      <a:fillRect/>
                    </a:stretch>
                  </pic:blipFill>
                  <pic:spPr bwMode="auto">
                    <a:xfrm>
                      <a:off x="0" y="0"/>
                      <a:ext cx="5850255" cy="246507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8" w:lineRule="exact"/>
        <w:rPr>
          <w:sz w:val="20"/>
          <w:szCs w:val="20"/>
          <w:color w:val="auto"/>
        </w:rPr>
      </w:pPr>
    </w:p>
    <w:p>
      <w:pPr>
        <w:ind w:left="900"/>
        <w:spacing w:after="0"/>
        <w:rPr>
          <w:sz w:val="20"/>
          <w:szCs w:val="20"/>
          <w:color w:val="auto"/>
        </w:rPr>
      </w:pPr>
      <w:r>
        <w:rPr>
          <w:rFonts w:ascii="Arial" w:cs="Arial" w:eastAsia="Arial" w:hAnsi="Arial"/>
          <w:sz w:val="16"/>
          <w:szCs w:val="16"/>
          <w:b w:val="1"/>
          <w:bCs w:val="1"/>
          <w:color w:val="auto"/>
        </w:rPr>
        <w:t>Products</w:t>
      </w:r>
    </w:p>
    <w:p>
      <w:pPr>
        <w:ind w:left="920"/>
        <w:spacing w:after="0"/>
        <w:tabs>
          <w:tab w:leader="none" w:pos="2560" w:val="left"/>
        </w:tabs>
        <w:rPr>
          <w:sz w:val="20"/>
          <w:szCs w:val="20"/>
          <w:color w:val="auto"/>
        </w:rPr>
      </w:pPr>
      <w:r>
        <w:rPr>
          <w:rFonts w:ascii="Arial" w:cs="Arial" w:eastAsia="Arial" w:hAnsi="Arial"/>
          <w:sz w:val="13"/>
          <w:szCs w:val="13"/>
          <w:b w:val="1"/>
          <w:bCs w:val="1"/>
          <w:color w:val="auto"/>
        </w:rPr>
        <w:t>Covered</w:t>
      </w:r>
      <w:r>
        <w:rPr>
          <w:sz w:val="20"/>
          <w:szCs w:val="20"/>
          <w:color w:val="auto"/>
        </w:rPr>
        <w:tab/>
      </w:r>
      <w:r>
        <w:rPr>
          <w:rFonts w:ascii="Arial" w:cs="Arial" w:eastAsia="Arial" w:hAnsi="Arial"/>
          <w:sz w:val="13"/>
          <w:szCs w:val="13"/>
          <w:b w:val="1"/>
          <w:bCs w:val="1"/>
          <w:u w:val="single" w:color="auto"/>
          <w:color w:val="auto"/>
        </w:rPr>
        <w:t>Accounting</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-31115</wp:posOffset>
                </wp:positionH>
                <wp:positionV relativeFrom="paragraph">
                  <wp:posOffset>33655</wp:posOffset>
                </wp:positionV>
                <wp:extent cx="1595755" cy="0"/>
                <wp:wrapNone/>
                <wp:docPr id="179" name="Shape 17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9575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179" o:spid="_x0000_s120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4499pt,2.65pt" to="123.2pt,2.65pt" o:allowincell="f" strokecolor="#000000" strokeweight="1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460" w:type="dxa"/>
            <w:vAlign w:val="bottom"/>
          </w:tcPr>
          <w:p>
            <w:pPr>
              <w:spacing w:after="0"/>
              <w:rPr>
                <w:sz w:val="20"/>
                <w:szCs w:val="20"/>
                <w:color w:val="auto"/>
              </w:rPr>
            </w:pPr>
            <w:r>
              <w:rPr>
                <w:rFonts w:ascii="Arial" w:cs="Arial" w:eastAsia="Arial" w:hAnsi="Arial"/>
                <w:sz w:val="16"/>
                <w:szCs w:val="16"/>
                <w:color w:val="auto"/>
              </w:rPr>
              <w:t>Certain MYGA</w:t>
            </w:r>
          </w:p>
        </w:tc>
        <w:tc>
          <w:tcPr>
            <w:tcW w:w="900" w:type="dxa"/>
            <w:vAlign w:val="bottom"/>
          </w:tcPr>
          <w:p>
            <w:pPr>
              <w:ind w:left="120"/>
              <w:spacing w:after="0"/>
              <w:rPr>
                <w:sz w:val="20"/>
                <w:szCs w:val="20"/>
                <w:color w:val="auto"/>
              </w:rPr>
            </w:pPr>
            <w:r>
              <w:rPr>
                <w:rFonts w:ascii="Arial" w:cs="Arial" w:eastAsia="Arial" w:hAnsi="Arial"/>
                <w:sz w:val="16"/>
                <w:szCs w:val="16"/>
                <w:color w:val="auto"/>
              </w:rPr>
              <w:t>Deposit</w:t>
            </w:r>
          </w:p>
        </w:tc>
        <w:tc>
          <w:tcPr>
            <w:tcW w:w="0" w:type="dxa"/>
            <w:vAlign w:val="bottom"/>
          </w:tcPr>
          <w:p>
            <w:pPr>
              <w:spacing w:after="0"/>
              <w:rPr>
                <w:sz w:val="1"/>
                <w:szCs w:val="1"/>
                <w:color w:val="auto"/>
              </w:rPr>
            </w:pPr>
          </w:p>
        </w:tc>
      </w:tr>
      <w:tr>
        <w:trPr>
          <w:trHeight w:val="199"/>
        </w:trPr>
        <w:tc>
          <w:tcPr>
            <w:tcW w:w="2460" w:type="dxa"/>
            <w:vAlign w:val="bottom"/>
          </w:tcPr>
          <w:p>
            <w:pPr>
              <w:spacing w:after="0"/>
              <w:rPr>
                <w:sz w:val="20"/>
                <w:szCs w:val="20"/>
                <w:color w:val="auto"/>
              </w:rPr>
            </w:pPr>
            <w:r>
              <w:rPr>
                <w:rFonts w:ascii="Arial" w:cs="Arial" w:eastAsia="Arial" w:hAnsi="Arial"/>
                <w:sz w:val="16"/>
                <w:szCs w:val="16"/>
                <w:color w:val="auto"/>
              </w:rPr>
              <w:t>Certain MYGA and deferred</w:t>
            </w:r>
          </w:p>
        </w:tc>
        <w:tc>
          <w:tcPr>
            <w:tcW w:w="900" w:type="dxa"/>
            <w:vAlign w:val="bottom"/>
            <w:vMerge w:val="restart"/>
          </w:tcPr>
          <w:p>
            <w:pPr>
              <w:ind w:left="120"/>
              <w:spacing w:after="0"/>
              <w:rPr>
                <w:sz w:val="20"/>
                <w:szCs w:val="20"/>
                <w:color w:val="auto"/>
              </w:rPr>
            </w:pPr>
            <w:r>
              <w:rPr>
                <w:rFonts w:ascii="Arial" w:cs="Arial" w:eastAsia="Arial" w:hAnsi="Arial"/>
                <w:sz w:val="16"/>
                <w:szCs w:val="16"/>
                <w:color w:val="auto"/>
              </w:rPr>
              <w:t>Deposit</w:t>
            </w:r>
          </w:p>
        </w:tc>
        <w:tc>
          <w:tcPr>
            <w:tcW w:w="0" w:type="dxa"/>
            <w:vAlign w:val="bottom"/>
          </w:tcPr>
          <w:p>
            <w:pPr>
              <w:spacing w:after="0"/>
              <w:rPr>
                <w:sz w:val="1"/>
                <w:szCs w:val="1"/>
                <w:color w:val="auto"/>
              </w:rPr>
            </w:pPr>
          </w:p>
        </w:tc>
      </w:tr>
      <w:tr>
        <w:trPr>
          <w:trHeight w:val="204"/>
        </w:trPr>
        <w:tc>
          <w:tcPr>
            <w:tcW w:w="2460" w:type="dxa"/>
            <w:vAlign w:val="bottom"/>
          </w:tcPr>
          <w:p>
            <w:pPr>
              <w:spacing w:after="0"/>
              <w:rPr>
                <w:sz w:val="20"/>
                <w:szCs w:val="20"/>
                <w:color w:val="auto"/>
              </w:rPr>
            </w:pPr>
            <w:r>
              <w:rPr>
                <w:rFonts w:ascii="Arial" w:cs="Arial" w:eastAsia="Arial" w:hAnsi="Arial"/>
                <w:sz w:val="16"/>
                <w:szCs w:val="16"/>
                <w:color w:val="auto"/>
              </w:rPr>
              <w:t>annuities</w:t>
            </w:r>
          </w:p>
        </w:tc>
        <w:tc>
          <w:tcPr>
            <w:tcW w:w="9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332"/>
        </w:trPr>
        <w:tc>
          <w:tcPr>
            <w:tcW w:w="2460" w:type="dxa"/>
            <w:vAlign w:val="bottom"/>
          </w:tcPr>
          <w:p>
            <w:pPr>
              <w:spacing w:after="0"/>
              <w:rPr>
                <w:sz w:val="20"/>
                <w:szCs w:val="20"/>
                <w:color w:val="auto"/>
              </w:rPr>
            </w:pPr>
            <w:r>
              <w:rPr>
                <w:rFonts w:ascii="Arial" w:cs="Arial" w:eastAsia="Arial" w:hAnsi="Arial"/>
                <w:sz w:val="16"/>
                <w:szCs w:val="16"/>
                <w:color w:val="auto"/>
              </w:rPr>
              <w:t>Certain FIA</w:t>
            </w:r>
          </w:p>
        </w:tc>
        <w:tc>
          <w:tcPr>
            <w:tcW w:w="900" w:type="dxa"/>
            <w:vAlign w:val="bottom"/>
          </w:tcPr>
          <w:p>
            <w:pPr>
              <w:ind w:left="120"/>
              <w:spacing w:after="0"/>
              <w:rPr>
                <w:sz w:val="20"/>
                <w:szCs w:val="20"/>
                <w:color w:val="auto"/>
              </w:rPr>
            </w:pPr>
            <w:r>
              <w:rPr>
                <w:rFonts w:ascii="Arial" w:cs="Arial" w:eastAsia="Arial" w:hAnsi="Arial"/>
                <w:sz w:val="16"/>
                <w:szCs w:val="16"/>
                <w:color w:val="auto"/>
                <w:w w:val="84"/>
              </w:rPr>
              <w:t>Reinsurance</w:t>
            </w:r>
          </w:p>
        </w:tc>
        <w:tc>
          <w:tcPr>
            <w:tcW w:w="0" w:type="dxa"/>
            <w:vAlign w:val="bottom"/>
          </w:tcPr>
          <w:p>
            <w:pPr>
              <w:spacing w:after="0"/>
              <w:rPr>
                <w:sz w:val="1"/>
                <w:szCs w:val="1"/>
                <w:color w:val="auto"/>
              </w:rPr>
            </w:pPr>
          </w:p>
        </w:tc>
      </w:tr>
      <w:tr>
        <w:trPr>
          <w:trHeight w:val="368"/>
        </w:trPr>
        <w:tc>
          <w:tcPr>
            <w:tcW w:w="2460" w:type="dxa"/>
            <w:vAlign w:val="bottom"/>
          </w:tcPr>
          <w:p>
            <w:pPr>
              <w:spacing w:after="0"/>
              <w:rPr>
                <w:sz w:val="20"/>
                <w:szCs w:val="20"/>
                <w:color w:val="auto"/>
              </w:rPr>
            </w:pPr>
            <w:r>
              <w:rPr>
                <w:rFonts w:ascii="Arial" w:cs="Arial" w:eastAsia="Arial" w:hAnsi="Arial"/>
                <w:sz w:val="16"/>
                <w:szCs w:val="16"/>
                <w:color w:val="auto"/>
              </w:rPr>
              <w:t>Certain MYGA (d)</w:t>
            </w:r>
          </w:p>
        </w:tc>
        <w:tc>
          <w:tcPr>
            <w:tcW w:w="900" w:type="dxa"/>
            <w:vAlign w:val="bottom"/>
          </w:tcPr>
          <w:p>
            <w:pPr>
              <w:ind w:left="120"/>
              <w:spacing w:after="0"/>
              <w:rPr>
                <w:sz w:val="20"/>
                <w:szCs w:val="20"/>
                <w:color w:val="auto"/>
              </w:rPr>
            </w:pPr>
            <w:r>
              <w:rPr>
                <w:rFonts w:ascii="Arial" w:cs="Arial" w:eastAsia="Arial" w:hAnsi="Arial"/>
                <w:sz w:val="16"/>
                <w:szCs w:val="16"/>
                <w:color w:val="auto"/>
              </w:rPr>
              <w:t>Deposit</w:t>
            </w:r>
          </w:p>
        </w:tc>
        <w:tc>
          <w:tcPr>
            <w:tcW w:w="0" w:type="dxa"/>
            <w:vAlign w:val="bottom"/>
          </w:tcPr>
          <w:p>
            <w:pPr>
              <w:spacing w:after="0"/>
              <w:rPr>
                <w:sz w:val="1"/>
                <w:szCs w:val="1"/>
                <w:color w:val="auto"/>
              </w:rPr>
            </w:pPr>
          </w:p>
        </w:tc>
      </w:tr>
      <w:tr>
        <w:trPr>
          <w:trHeight w:val="368"/>
        </w:trPr>
        <w:tc>
          <w:tcPr>
            <w:tcW w:w="2460" w:type="dxa"/>
            <w:vAlign w:val="bottom"/>
          </w:tcPr>
          <w:p>
            <w:pPr>
              <w:spacing w:after="0"/>
              <w:rPr>
                <w:sz w:val="20"/>
                <w:szCs w:val="20"/>
                <w:color w:val="auto"/>
              </w:rPr>
            </w:pPr>
            <w:r>
              <w:rPr>
                <w:rFonts w:ascii="Arial" w:cs="Arial" w:eastAsia="Arial" w:hAnsi="Arial"/>
                <w:sz w:val="16"/>
                <w:szCs w:val="16"/>
                <w:color w:val="auto"/>
                <w:w w:val="97"/>
              </w:rPr>
              <w:t>Block of traditional, IUL, and UL (e)</w:t>
            </w:r>
          </w:p>
        </w:tc>
        <w:tc>
          <w:tcPr>
            <w:tcW w:w="900" w:type="dxa"/>
            <w:vAlign w:val="bottom"/>
          </w:tcPr>
          <w:p>
            <w:pPr>
              <w:ind w:left="120"/>
              <w:spacing w:after="0"/>
              <w:rPr>
                <w:sz w:val="20"/>
                <w:szCs w:val="20"/>
                <w:color w:val="auto"/>
              </w:rPr>
            </w:pPr>
            <w:r>
              <w:rPr>
                <w:rFonts w:ascii="Arial" w:cs="Arial" w:eastAsia="Arial" w:hAnsi="Arial"/>
                <w:sz w:val="16"/>
                <w:szCs w:val="16"/>
                <w:color w:val="auto"/>
                <w:w w:val="84"/>
              </w:rPr>
              <w:t>Reinsurance</w:t>
            </w:r>
          </w:p>
        </w:tc>
        <w:tc>
          <w:tcPr>
            <w:tcW w:w="0" w:type="dxa"/>
            <w:vAlign w:val="bottom"/>
          </w:tcPr>
          <w:p>
            <w:pPr>
              <w:spacing w:after="0"/>
              <w:rPr>
                <w:sz w:val="1"/>
                <w:szCs w:val="1"/>
                <w:color w:val="auto"/>
              </w:rPr>
            </w:pPr>
          </w:p>
        </w:tc>
      </w:tr>
      <w:tr>
        <w:trPr>
          <w:trHeight w:val="368"/>
        </w:trPr>
        <w:tc>
          <w:tcPr>
            <w:tcW w:w="2460" w:type="dxa"/>
            <w:vAlign w:val="bottom"/>
          </w:tcPr>
          <w:p>
            <w:pPr>
              <w:spacing w:after="0"/>
              <w:rPr>
                <w:sz w:val="20"/>
                <w:szCs w:val="20"/>
                <w:color w:val="auto"/>
              </w:rPr>
            </w:pPr>
            <w:r>
              <w:rPr>
                <w:rFonts w:ascii="Arial" w:cs="Arial" w:eastAsia="Arial" w:hAnsi="Arial"/>
                <w:sz w:val="16"/>
                <w:szCs w:val="16"/>
                <w:color w:val="auto"/>
              </w:rPr>
              <w:t>Certain FIA</w:t>
            </w:r>
          </w:p>
        </w:tc>
        <w:tc>
          <w:tcPr>
            <w:tcW w:w="900" w:type="dxa"/>
            <w:vAlign w:val="bottom"/>
          </w:tcPr>
          <w:p>
            <w:pPr>
              <w:ind w:left="120"/>
              <w:spacing w:after="0"/>
              <w:rPr>
                <w:sz w:val="20"/>
                <w:szCs w:val="20"/>
                <w:color w:val="auto"/>
              </w:rPr>
            </w:pPr>
            <w:r>
              <w:rPr>
                <w:rFonts w:ascii="Arial" w:cs="Arial" w:eastAsia="Arial" w:hAnsi="Arial"/>
                <w:sz w:val="16"/>
                <w:szCs w:val="16"/>
                <w:color w:val="auto"/>
              </w:rPr>
              <w:t>Deposit</w:t>
            </w:r>
          </w:p>
        </w:tc>
        <w:tc>
          <w:tcPr>
            <w:tcW w:w="0" w:type="dxa"/>
            <w:vAlign w:val="bottom"/>
          </w:tcPr>
          <w:p>
            <w:pPr>
              <w:spacing w:after="0"/>
              <w:rPr>
                <w:sz w:val="1"/>
                <w:szCs w:val="1"/>
                <w:color w:val="auto"/>
              </w:rPr>
            </w:pPr>
          </w:p>
        </w:tc>
      </w:tr>
    </w:tbl>
    <w:p>
      <w:pPr>
        <w:spacing w:after="0" w:line="1800" w:lineRule="exact"/>
        <w:rPr>
          <w:sz w:val="20"/>
          <w:szCs w:val="20"/>
          <w:color w:val="auto"/>
        </w:rPr>
      </w:pPr>
    </w:p>
    <w:p>
      <w:pPr>
        <w:sectPr>
          <w:pgSz w:w="11880" w:h="15480" w:orient="portrait"/>
          <w:cols w:equalWidth="0" w:num="2">
            <w:col w:w="5667" w:space="100"/>
            <w:col w:w="4280"/>
          </w:cols>
          <w:pgMar w:left="913" w:top="772" w:right="920" w:bottom="0" w:gutter="0" w:footer="0" w:header="0"/>
          <w:type w:val="continuous"/>
        </w:sectPr>
      </w:pPr>
    </w:p>
    <w:p>
      <w:pPr>
        <w:ind w:left="347" w:hanging="347"/>
        <w:spacing w:after="0" w:line="271" w:lineRule="auto"/>
        <w:tabs>
          <w:tab w:leader="none" w:pos="347" w:val="left"/>
        </w:tabs>
        <w:numPr>
          <w:ilvl w:val="0"/>
          <w:numId w:val="58"/>
        </w:numPr>
        <w:rPr>
          <w:rFonts w:ascii="Arial" w:cs="Arial" w:eastAsia="Arial" w:hAnsi="Arial"/>
          <w:sz w:val="16"/>
          <w:szCs w:val="16"/>
          <w:color w:val="auto"/>
        </w:rPr>
      </w:pPr>
      <w:r>
        <w:rPr>
          <w:rFonts w:ascii="Arial" w:cs="Arial" w:eastAsia="Arial" w:hAnsi="Arial"/>
          <w:sz w:val="16"/>
          <w:szCs w:val="16"/>
          <w:color w:val="auto"/>
        </w:rPr>
        <w:t>Reinsurance recoverables do not include unearned ceded premiums that would be recovered in the event of early termination of certain traditional life policies.</w:t>
      </w:r>
    </w:p>
    <w:p>
      <w:pPr>
        <w:spacing w:after="0" w:line="78" w:lineRule="exact"/>
        <w:rPr>
          <w:rFonts w:ascii="Arial" w:cs="Arial" w:eastAsia="Arial" w:hAnsi="Arial"/>
          <w:sz w:val="16"/>
          <w:szCs w:val="16"/>
          <w:color w:val="auto"/>
        </w:rPr>
      </w:pPr>
    </w:p>
    <w:p>
      <w:pPr>
        <w:ind w:left="347" w:hanging="347"/>
        <w:spacing w:after="0"/>
        <w:tabs>
          <w:tab w:leader="none" w:pos="347" w:val="left"/>
        </w:tabs>
        <w:numPr>
          <w:ilvl w:val="0"/>
          <w:numId w:val="58"/>
        </w:numPr>
        <w:rPr>
          <w:rFonts w:ascii="Arial" w:cs="Arial" w:eastAsia="Arial" w:hAnsi="Arial"/>
          <w:sz w:val="16"/>
          <w:szCs w:val="16"/>
          <w:color w:val="auto"/>
        </w:rPr>
      </w:pPr>
      <w:r>
        <w:rPr>
          <w:rFonts w:ascii="Arial" w:cs="Arial" w:eastAsia="Arial" w:hAnsi="Arial"/>
          <w:sz w:val="16"/>
          <w:szCs w:val="16"/>
          <w:color w:val="auto"/>
        </w:rPr>
        <w:t>Includes Aspida Life Re Ltd. and Aspida Re Cayman Ltd.</w:t>
      </w:r>
    </w:p>
    <w:p>
      <w:pPr>
        <w:spacing w:after="0" w:line="19" w:lineRule="exact"/>
        <w:rPr>
          <w:rFonts w:ascii="Arial" w:cs="Arial" w:eastAsia="Arial" w:hAnsi="Arial"/>
          <w:sz w:val="16"/>
          <w:szCs w:val="16"/>
          <w:color w:val="auto"/>
        </w:rPr>
      </w:pPr>
    </w:p>
    <w:p>
      <w:pPr>
        <w:ind w:left="347" w:hanging="347"/>
        <w:spacing w:after="0"/>
        <w:tabs>
          <w:tab w:leader="none" w:pos="347" w:val="left"/>
        </w:tabs>
        <w:numPr>
          <w:ilvl w:val="0"/>
          <w:numId w:val="58"/>
        </w:numPr>
        <w:rPr>
          <w:rFonts w:ascii="Arial" w:cs="Arial" w:eastAsia="Arial" w:hAnsi="Arial"/>
          <w:sz w:val="16"/>
          <w:szCs w:val="16"/>
          <w:color w:val="auto"/>
        </w:rPr>
      </w:pPr>
      <w:r>
        <w:rPr>
          <w:rFonts w:ascii="Arial" w:cs="Arial" w:eastAsia="Arial" w:hAnsi="Arial"/>
          <w:sz w:val="16"/>
          <w:szCs w:val="16"/>
          <w:color w:val="auto"/>
        </w:rPr>
        <w:t>The balance represents the total reinsurance recoverable for all reinsurance agreements with Somerset.</w:t>
      </w:r>
    </w:p>
    <w:p>
      <w:pPr>
        <w:spacing w:after="0" w:line="4" w:lineRule="exact"/>
        <w:rPr>
          <w:rFonts w:ascii="Arial" w:cs="Arial" w:eastAsia="Arial" w:hAnsi="Arial"/>
          <w:sz w:val="16"/>
          <w:szCs w:val="16"/>
          <w:color w:val="auto"/>
        </w:rPr>
      </w:pPr>
    </w:p>
    <w:p>
      <w:pPr>
        <w:ind w:left="347" w:hanging="347"/>
        <w:spacing w:after="0"/>
        <w:tabs>
          <w:tab w:leader="none" w:pos="347" w:val="left"/>
        </w:tabs>
        <w:numPr>
          <w:ilvl w:val="0"/>
          <w:numId w:val="58"/>
        </w:numPr>
        <w:rPr>
          <w:rFonts w:ascii="Arial" w:cs="Arial" w:eastAsia="Arial" w:hAnsi="Arial"/>
          <w:sz w:val="15"/>
          <w:szCs w:val="15"/>
          <w:color w:val="auto"/>
        </w:rPr>
      </w:pPr>
      <w:r>
        <w:rPr>
          <w:rFonts w:ascii="Arial" w:cs="Arial" w:eastAsia="Arial" w:hAnsi="Arial"/>
          <w:sz w:val="15"/>
          <w:szCs w:val="15"/>
          <w:color w:val="auto"/>
        </w:rPr>
        <w:t>Reinsurance recoverable is collateralized by assets placed in a statutory comfort trust by the reinsurer and maintained for our sole benefit.</w:t>
      </w:r>
    </w:p>
    <w:p>
      <w:pPr>
        <w:spacing w:after="0" w:line="15" w:lineRule="exact"/>
        <w:rPr>
          <w:rFonts w:ascii="Arial" w:cs="Arial" w:eastAsia="Arial" w:hAnsi="Arial"/>
          <w:sz w:val="15"/>
          <w:szCs w:val="15"/>
          <w:color w:val="auto"/>
        </w:rPr>
      </w:pPr>
    </w:p>
    <w:p>
      <w:pPr>
        <w:ind w:left="347" w:hanging="347"/>
        <w:spacing w:after="0" w:line="245" w:lineRule="auto"/>
        <w:tabs>
          <w:tab w:leader="none" w:pos="347" w:val="left"/>
        </w:tabs>
        <w:numPr>
          <w:ilvl w:val="0"/>
          <w:numId w:val="58"/>
        </w:numPr>
        <w:rPr>
          <w:rFonts w:ascii="Arial" w:cs="Arial" w:eastAsia="Arial" w:hAnsi="Arial"/>
          <w:sz w:val="16"/>
          <w:szCs w:val="16"/>
          <w:color w:val="auto"/>
        </w:rPr>
      </w:pPr>
      <w:r>
        <w:rPr>
          <w:rFonts w:ascii="Arial" w:cs="Arial" w:eastAsia="Arial" w:hAnsi="Arial"/>
          <w:sz w:val="16"/>
          <w:szCs w:val="16"/>
          <w:color w:val="auto"/>
        </w:rPr>
        <w:t>Also includes certain FGL Insurance life insurance policies that are subject to redundant reserves, reported on a statutory basis, under Regulation XXX and Guideline AXXX.</w:t>
      </w:r>
    </w:p>
    <w:p>
      <w:pPr>
        <w:ind w:left="347" w:hanging="347"/>
        <w:spacing w:after="0"/>
        <w:tabs>
          <w:tab w:leader="none" w:pos="347" w:val="left"/>
        </w:tabs>
        <w:numPr>
          <w:ilvl w:val="0"/>
          <w:numId w:val="58"/>
        </w:numPr>
        <w:rPr>
          <w:rFonts w:ascii="Arial" w:cs="Arial" w:eastAsia="Arial" w:hAnsi="Arial"/>
          <w:sz w:val="16"/>
          <w:szCs w:val="16"/>
          <w:color w:val="auto"/>
        </w:rPr>
      </w:pPr>
      <w:r>
        <w:rPr>
          <w:rFonts w:ascii="Arial" w:cs="Arial" w:eastAsia="Arial" w:hAnsi="Arial"/>
          <w:sz w:val="16"/>
          <w:szCs w:val="16"/>
          <w:color w:val="auto"/>
        </w:rPr>
        <w:t>Represents all other reinsurers, with no single reinsurer having a carrying value in excess of 5% of total reinsurance recoverable.</w:t>
      </w:r>
    </w:p>
    <w:p>
      <w:pPr>
        <w:spacing w:after="0" w:line="165" w:lineRule="exact"/>
        <w:rPr>
          <w:sz w:val="20"/>
          <w:szCs w:val="20"/>
          <w:color w:val="auto"/>
        </w:rPr>
      </w:pPr>
    </w:p>
    <w:p>
      <w:pPr>
        <w:jc w:val="both"/>
        <w:ind w:left="7" w:firstLine="353"/>
        <w:spacing w:after="0" w:line="360" w:lineRule="auto"/>
        <w:rPr>
          <w:sz w:val="20"/>
          <w:szCs w:val="20"/>
          <w:color w:val="auto"/>
        </w:rPr>
      </w:pPr>
      <w:r>
        <w:rPr>
          <w:rFonts w:ascii="Arial" w:cs="Arial" w:eastAsia="Arial" w:hAnsi="Arial"/>
          <w:sz w:val="17"/>
          <w:szCs w:val="17"/>
          <w:color w:val="auto"/>
        </w:rPr>
        <w:t xml:space="preserve">As of December 31, 2025 and 2024, the Company had a deposit asset of </w:t>
      </w:r>
      <w:r>
        <w:rPr>
          <w:rFonts w:ascii="Arial" w:cs="Arial" w:eastAsia="Arial" w:hAnsi="Arial"/>
          <w:sz w:val="15"/>
          <w:szCs w:val="15"/>
          <w:color w:val="auto"/>
        </w:rPr>
        <w:t>$13,279</w:t>
      </w:r>
      <w:r>
        <w:rPr>
          <w:rFonts w:ascii="Arial" w:cs="Arial" w:eastAsia="Arial" w:hAnsi="Arial"/>
          <w:sz w:val="17"/>
          <w:szCs w:val="17"/>
          <w:color w:val="auto"/>
        </w:rPr>
        <w:t xml:space="preserve"> million and </w:t>
      </w:r>
      <w:r>
        <w:rPr>
          <w:rFonts w:ascii="Arial" w:cs="Arial" w:eastAsia="Arial" w:hAnsi="Arial"/>
          <w:sz w:val="15"/>
          <w:szCs w:val="15"/>
          <w:color w:val="auto"/>
        </w:rPr>
        <w:t>$11,039</w:t>
      </w:r>
      <w:r>
        <w:rPr>
          <w:rFonts w:ascii="Arial" w:cs="Arial" w:eastAsia="Arial" w:hAnsi="Arial"/>
          <w:sz w:val="17"/>
          <w:szCs w:val="17"/>
          <w:color w:val="auto"/>
        </w:rPr>
        <w:t xml:space="preserve"> million, respectively, which is reported in the Reinsurance recoverable, net of allowance for credit losses on the Consolidated Balance Sheets.</w:t>
      </w:r>
    </w:p>
    <w:p>
      <w:pPr>
        <w:spacing w:after="0" w:line="2" w:lineRule="exact"/>
        <w:rPr>
          <w:sz w:val="20"/>
          <w:szCs w:val="20"/>
          <w:color w:val="auto"/>
        </w:rPr>
      </w:pPr>
    </w:p>
    <w:p>
      <w:pPr>
        <w:jc w:val="both"/>
        <w:ind w:left="7" w:firstLine="353"/>
        <w:spacing w:after="0" w:line="271" w:lineRule="auto"/>
        <w:rPr>
          <w:sz w:val="20"/>
          <w:szCs w:val="20"/>
          <w:color w:val="auto"/>
        </w:rPr>
      </w:pPr>
      <w:r>
        <w:rPr>
          <w:rFonts w:ascii="Arial" w:cs="Arial" w:eastAsia="Arial" w:hAnsi="Arial"/>
          <w:sz w:val="20"/>
          <w:szCs w:val="20"/>
          <w:color w:val="auto"/>
        </w:rPr>
        <w:t>The Company incurred risk charge fees of $42 million, $42 million, and $39 million during the years ended December 31, 2025, 2024, and 2023, respectively, in relation to reinsurance agreements.</w:t>
      </w:r>
    </w:p>
    <w:p>
      <w:pPr>
        <w:spacing w:after="0" w:line="61" w:lineRule="exact"/>
        <w:rPr>
          <w:sz w:val="20"/>
          <w:szCs w:val="20"/>
          <w:color w:val="auto"/>
        </w:rPr>
      </w:pPr>
    </w:p>
    <w:p>
      <w:pPr>
        <w:ind w:left="7"/>
        <w:spacing w:after="0"/>
        <w:rPr>
          <w:sz w:val="20"/>
          <w:szCs w:val="20"/>
          <w:color w:val="auto"/>
        </w:rPr>
      </w:pPr>
      <w:r>
        <w:rPr>
          <w:rFonts w:ascii="Arial" w:cs="Arial" w:eastAsia="Arial" w:hAnsi="Arial"/>
          <w:sz w:val="20"/>
          <w:szCs w:val="20"/>
          <w:b w:val="1"/>
          <w:bCs w:val="1"/>
          <w:i w:val="1"/>
          <w:iCs w:val="1"/>
          <w:color w:val="auto"/>
        </w:rPr>
        <w:t>Credit Losses</w:t>
      </w:r>
    </w:p>
    <w:p>
      <w:pPr>
        <w:spacing w:after="0" w:line="130" w:lineRule="exact"/>
        <w:rPr>
          <w:sz w:val="20"/>
          <w:szCs w:val="20"/>
          <w:color w:val="auto"/>
        </w:rPr>
      </w:pPr>
    </w:p>
    <w:p>
      <w:pPr>
        <w:jc w:val="both"/>
        <w:ind w:left="7" w:firstLine="353"/>
        <w:spacing w:after="0" w:line="278" w:lineRule="auto"/>
        <w:rPr>
          <w:sz w:val="20"/>
          <w:szCs w:val="20"/>
          <w:color w:val="auto"/>
        </w:rPr>
      </w:pPr>
      <w:r>
        <w:rPr>
          <w:rFonts w:ascii="Arial" w:cs="Arial" w:eastAsia="Arial" w:hAnsi="Arial"/>
          <w:sz w:val="19"/>
          <w:szCs w:val="19"/>
          <w:color w:val="auto"/>
        </w:rPr>
        <w:t>The Company estimates expected credit losses on reinsurance recoverables using a probability of default/loss given default model. Significant inputs to the model include the reinsurer's credit risk, expected timing of recovery, industry-wide historical default experience, senior unsecured bond recovery rates, and credit enhancement features.</w:t>
      </w:r>
    </w:p>
    <w:p>
      <w:pPr>
        <w:spacing w:after="0" w:line="64" w:lineRule="exact"/>
        <w:rPr>
          <w:sz w:val="20"/>
          <w:szCs w:val="20"/>
          <w:color w:val="auto"/>
        </w:rPr>
      </w:pPr>
    </w:p>
    <w:p>
      <w:pPr>
        <w:ind w:left="347"/>
        <w:spacing w:after="0"/>
        <w:rPr>
          <w:sz w:val="20"/>
          <w:szCs w:val="20"/>
          <w:color w:val="auto"/>
        </w:rPr>
      </w:pPr>
      <w:r>
        <w:rPr>
          <w:rFonts w:ascii="Arial" w:cs="Arial" w:eastAsia="Arial" w:hAnsi="Arial"/>
          <w:sz w:val="20"/>
          <w:szCs w:val="20"/>
          <w:color w:val="auto"/>
        </w:rPr>
        <w:t>The expected credit loss reserves were as follows:</w:t>
      </w:r>
    </w:p>
    <w:p>
      <w:pPr>
        <w:spacing w:after="0" w:line="93" w:lineRule="exact"/>
        <w:rPr>
          <w:sz w:val="20"/>
          <w:szCs w:val="20"/>
          <w:color w:val="auto"/>
        </w:rPr>
      </w:pPr>
    </w:p>
    <w:tbl>
      <w:tblPr>
        <w:tblLayout w:type="fixed"/>
        <w:tblInd w:w="47" w:type="dxa"/>
        <w:tblCellMar>
          <w:top w:w="0" w:type="dxa"/>
          <w:left w:w="0" w:type="dxa"/>
          <w:bottom w:w="0" w:type="dxa"/>
          <w:right w:w="0" w:type="dxa"/>
        </w:tblCellMar>
      </w:tblPr>
      <w:tr>
        <w:trPr>
          <w:trHeight w:val="213"/>
        </w:trPr>
        <w:tc>
          <w:tcPr>
            <w:tcW w:w="6180" w:type="dxa"/>
            <w:vAlign w:val="bottom"/>
          </w:tcPr>
          <w:p>
            <w:pPr>
              <w:spacing w:after="0"/>
              <w:rPr>
                <w:sz w:val="18"/>
                <w:szCs w:val="18"/>
                <w:color w:val="auto"/>
              </w:rPr>
            </w:pPr>
          </w:p>
        </w:tc>
        <w:tc>
          <w:tcPr>
            <w:tcW w:w="2540" w:type="dxa"/>
            <w:vAlign w:val="bottom"/>
            <w:tcBorders>
              <w:bottom w:val="single" w:sz="8" w:color="auto"/>
            </w:tcBorders>
            <w:gridSpan w:val="4"/>
          </w:tcPr>
          <w:p>
            <w:pPr>
              <w:jc w:val="right"/>
              <w:ind w:right="82"/>
              <w:spacing w:after="0"/>
              <w:rPr>
                <w:sz w:val="20"/>
                <w:szCs w:val="20"/>
                <w:color w:val="auto"/>
              </w:rPr>
            </w:pPr>
            <w:r>
              <w:rPr>
                <w:rFonts w:ascii="Arial" w:cs="Arial" w:eastAsia="Arial" w:hAnsi="Arial"/>
                <w:sz w:val="16"/>
                <w:szCs w:val="16"/>
                <w:b w:val="1"/>
                <w:bCs w:val="1"/>
                <w:color w:val="auto"/>
              </w:rPr>
              <w:t>Year Ended December 31,</w:t>
            </w:r>
          </w:p>
        </w:tc>
        <w:tc>
          <w:tcPr>
            <w:tcW w:w="420" w:type="dxa"/>
            <w:vAlign w:val="bottom"/>
            <w:tcBorders>
              <w:bottom w:val="single" w:sz="8" w:color="auto"/>
            </w:tcBorders>
          </w:tcPr>
          <w:p>
            <w:pPr>
              <w:spacing w:after="0"/>
              <w:rPr>
                <w:sz w:val="18"/>
                <w:szCs w:val="18"/>
                <w:color w:val="auto"/>
              </w:rPr>
            </w:pPr>
          </w:p>
        </w:tc>
      </w:tr>
      <w:tr>
        <w:trPr>
          <w:trHeight w:val="230"/>
        </w:trPr>
        <w:tc>
          <w:tcPr>
            <w:tcW w:w="6180" w:type="dxa"/>
            <w:vAlign w:val="bottom"/>
          </w:tcPr>
          <w:p>
            <w:pPr>
              <w:spacing w:after="0"/>
              <w:rPr>
                <w:sz w:val="19"/>
                <w:szCs w:val="19"/>
                <w:color w:val="auto"/>
              </w:rPr>
            </w:pPr>
          </w:p>
        </w:tc>
        <w:tc>
          <w:tcPr>
            <w:tcW w:w="98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b w:val="1"/>
                <w:bCs w:val="1"/>
                <w:color w:val="auto"/>
              </w:rPr>
              <w:t>2025</w:t>
            </w:r>
          </w:p>
        </w:tc>
        <w:tc>
          <w:tcPr>
            <w:tcW w:w="46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040" w:type="dxa"/>
            <w:vAlign w:val="bottom"/>
            <w:tcBorders>
              <w:bottom w:val="single" w:sz="8" w:color="auto"/>
            </w:tcBorders>
          </w:tcPr>
          <w:p>
            <w:pPr>
              <w:jc w:val="right"/>
              <w:ind w:right="82"/>
              <w:spacing w:after="0"/>
              <w:rPr>
                <w:sz w:val="20"/>
                <w:szCs w:val="20"/>
                <w:color w:val="auto"/>
              </w:rPr>
            </w:pPr>
            <w:r>
              <w:rPr>
                <w:rFonts w:ascii="Arial" w:cs="Arial" w:eastAsia="Arial" w:hAnsi="Arial"/>
                <w:sz w:val="16"/>
                <w:szCs w:val="16"/>
                <w:b w:val="1"/>
                <w:bCs w:val="1"/>
                <w:color w:val="auto"/>
              </w:rPr>
              <w:t>2024</w:t>
            </w:r>
          </w:p>
        </w:tc>
        <w:tc>
          <w:tcPr>
            <w:tcW w:w="420" w:type="dxa"/>
            <w:vAlign w:val="bottom"/>
            <w:tcBorders>
              <w:bottom w:val="single" w:sz="8" w:color="auto"/>
            </w:tcBorders>
          </w:tcPr>
          <w:p>
            <w:pPr>
              <w:spacing w:after="0"/>
              <w:rPr>
                <w:sz w:val="19"/>
                <w:szCs w:val="19"/>
                <w:color w:val="auto"/>
              </w:rPr>
            </w:pPr>
          </w:p>
        </w:tc>
      </w:tr>
      <w:tr>
        <w:trPr>
          <w:trHeight w:val="223"/>
        </w:trPr>
        <w:tc>
          <w:tcPr>
            <w:tcW w:w="6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560" w:type="dxa"/>
            <w:vAlign w:val="bottom"/>
            <w:gridSpan w:val="3"/>
          </w:tcPr>
          <w:p>
            <w:pPr>
              <w:jc w:val="right"/>
              <w:ind w:right="562"/>
              <w:spacing w:after="0"/>
              <w:rPr>
                <w:sz w:val="20"/>
                <w:szCs w:val="20"/>
                <w:color w:val="auto"/>
              </w:rPr>
            </w:pPr>
            <w:r>
              <w:rPr>
                <w:rFonts w:ascii="Arial" w:cs="Arial" w:eastAsia="Arial" w:hAnsi="Arial"/>
                <w:sz w:val="16"/>
                <w:szCs w:val="16"/>
                <w:b w:val="1"/>
                <w:bCs w:val="1"/>
                <w:color w:val="auto"/>
              </w:rPr>
              <w:t>(In millions)</w:t>
            </w:r>
          </w:p>
        </w:tc>
        <w:tc>
          <w:tcPr>
            <w:tcW w:w="420" w:type="dxa"/>
            <w:vAlign w:val="bottom"/>
          </w:tcPr>
          <w:p>
            <w:pPr>
              <w:spacing w:after="0"/>
              <w:rPr>
                <w:sz w:val="19"/>
                <w:szCs w:val="19"/>
                <w:color w:val="auto"/>
              </w:rPr>
            </w:pPr>
          </w:p>
        </w:tc>
      </w:tr>
      <w:tr>
        <w:trPr>
          <w:trHeight w:val="250"/>
        </w:trPr>
        <w:tc>
          <w:tcPr>
            <w:tcW w:w="6180" w:type="dxa"/>
            <w:vAlign w:val="bottom"/>
          </w:tcPr>
          <w:p>
            <w:pPr>
              <w:spacing w:after="0"/>
              <w:rPr>
                <w:sz w:val="20"/>
                <w:szCs w:val="20"/>
                <w:color w:val="auto"/>
              </w:rPr>
            </w:pPr>
            <w:r>
              <w:rPr>
                <w:rFonts w:ascii="Arial" w:cs="Arial" w:eastAsia="Arial" w:hAnsi="Arial"/>
                <w:sz w:val="16"/>
                <w:szCs w:val="16"/>
                <w:color w:val="auto"/>
              </w:rPr>
              <w:t>Balance at Beginning of Period</w:t>
            </w:r>
          </w:p>
        </w:tc>
        <w:tc>
          <w:tcPr>
            <w:tcW w:w="980" w:type="dxa"/>
            <w:vAlign w:val="bottom"/>
          </w:tcPr>
          <w:p>
            <w:pPr>
              <w:jc w:val="right"/>
              <w:ind w:right="782"/>
              <w:spacing w:after="0"/>
              <w:rPr>
                <w:sz w:val="20"/>
                <w:szCs w:val="20"/>
                <w:color w:val="auto"/>
              </w:rPr>
            </w:pPr>
            <w:r>
              <w:rPr>
                <w:rFonts w:ascii="Arial" w:cs="Arial" w:eastAsia="Arial" w:hAnsi="Arial"/>
                <w:sz w:val="16"/>
                <w:szCs w:val="16"/>
                <w:color w:val="auto"/>
              </w:rPr>
              <w:t>$</w:t>
            </w:r>
          </w:p>
        </w:tc>
        <w:tc>
          <w:tcPr>
            <w:tcW w:w="460" w:type="dxa"/>
            <w:vAlign w:val="bottom"/>
          </w:tcPr>
          <w:p>
            <w:pPr>
              <w:jc w:val="right"/>
              <w:spacing w:after="0"/>
              <w:rPr>
                <w:sz w:val="20"/>
                <w:szCs w:val="20"/>
                <w:color w:val="auto"/>
              </w:rPr>
            </w:pPr>
            <w:r>
              <w:rPr>
                <w:rFonts w:ascii="Arial" w:cs="Arial" w:eastAsia="Arial" w:hAnsi="Arial"/>
                <w:sz w:val="16"/>
                <w:szCs w:val="16"/>
                <w:color w:val="auto"/>
              </w:rPr>
              <w:t>(20)</w:t>
            </w:r>
          </w:p>
        </w:tc>
        <w:tc>
          <w:tcPr>
            <w:tcW w:w="1100" w:type="dxa"/>
            <w:vAlign w:val="bottom"/>
            <w:gridSpan w:val="2"/>
          </w:tcPr>
          <w:p>
            <w:pPr>
              <w:jc w:val="right"/>
              <w:ind w:right="822"/>
              <w:spacing w:after="0"/>
              <w:rPr>
                <w:sz w:val="20"/>
                <w:szCs w:val="20"/>
                <w:color w:val="auto"/>
              </w:rPr>
            </w:pPr>
            <w:r>
              <w:rPr>
                <w:rFonts w:ascii="Arial" w:cs="Arial" w:eastAsia="Arial" w:hAnsi="Arial"/>
                <w:sz w:val="16"/>
                <w:szCs w:val="16"/>
                <w:color w:val="auto"/>
              </w:rPr>
              <w:t>$</w:t>
            </w:r>
          </w:p>
        </w:tc>
        <w:tc>
          <w:tcPr>
            <w:tcW w:w="420" w:type="dxa"/>
            <w:vAlign w:val="bottom"/>
          </w:tcPr>
          <w:p>
            <w:pPr>
              <w:jc w:val="right"/>
              <w:spacing w:after="0"/>
              <w:rPr>
                <w:sz w:val="20"/>
                <w:szCs w:val="20"/>
                <w:color w:val="auto"/>
              </w:rPr>
            </w:pPr>
            <w:r>
              <w:rPr>
                <w:rFonts w:ascii="Arial" w:cs="Arial" w:eastAsia="Arial" w:hAnsi="Arial"/>
                <w:sz w:val="16"/>
                <w:szCs w:val="16"/>
                <w:color w:val="auto"/>
              </w:rPr>
              <w:t>(21)</w:t>
            </w:r>
          </w:p>
        </w:tc>
      </w:tr>
      <w:tr>
        <w:trPr>
          <w:trHeight w:val="257"/>
        </w:trPr>
        <w:tc>
          <w:tcPr>
            <w:tcW w:w="6180" w:type="dxa"/>
            <w:vAlign w:val="bottom"/>
          </w:tcPr>
          <w:p>
            <w:pPr>
              <w:spacing w:after="0"/>
              <w:rPr>
                <w:sz w:val="20"/>
                <w:szCs w:val="20"/>
                <w:color w:val="auto"/>
              </w:rPr>
            </w:pPr>
            <w:r>
              <w:rPr>
                <w:rFonts w:ascii="Arial" w:cs="Arial" w:eastAsia="Arial" w:hAnsi="Arial"/>
                <w:sz w:val="16"/>
                <w:szCs w:val="16"/>
                <w:color w:val="auto"/>
              </w:rPr>
              <w:t>Changes in the expected credit loss reserve</w:t>
            </w:r>
          </w:p>
        </w:tc>
        <w:tc>
          <w:tcPr>
            <w:tcW w:w="98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60" w:type="dxa"/>
            <w:vAlign w:val="bottom"/>
          </w:tcPr>
          <w:p>
            <w:pPr>
              <w:spacing w:after="0"/>
              <w:rPr>
                <w:sz w:val="22"/>
                <w:szCs w:val="22"/>
                <w:color w:val="auto"/>
              </w:rPr>
            </w:pPr>
          </w:p>
        </w:tc>
        <w:tc>
          <w:tcPr>
            <w:tcW w:w="104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r>
      <w:tr>
        <w:trPr>
          <w:trHeight w:val="210"/>
        </w:trPr>
        <w:tc>
          <w:tcPr>
            <w:tcW w:w="6180" w:type="dxa"/>
            <w:vAlign w:val="bottom"/>
          </w:tcPr>
          <w:p>
            <w:pPr>
              <w:spacing w:after="0"/>
              <w:rPr>
                <w:sz w:val="20"/>
                <w:szCs w:val="20"/>
                <w:color w:val="auto"/>
              </w:rPr>
            </w:pPr>
            <w:r>
              <w:rPr>
                <w:rFonts w:ascii="Arial" w:cs="Arial" w:eastAsia="Arial" w:hAnsi="Arial"/>
                <w:sz w:val="16"/>
                <w:szCs w:val="16"/>
                <w:color w:val="auto"/>
              </w:rPr>
              <w:t>Balance at End of Period</w:t>
            </w:r>
          </w:p>
        </w:tc>
        <w:tc>
          <w:tcPr>
            <w:tcW w:w="980" w:type="dxa"/>
            <w:vAlign w:val="bottom"/>
          </w:tcPr>
          <w:p>
            <w:pPr>
              <w:jc w:val="right"/>
              <w:ind w:right="782"/>
              <w:spacing w:after="0"/>
              <w:rPr>
                <w:sz w:val="20"/>
                <w:szCs w:val="20"/>
                <w:color w:val="auto"/>
              </w:rPr>
            </w:pPr>
            <w:r>
              <w:rPr>
                <w:rFonts w:ascii="Arial" w:cs="Arial" w:eastAsia="Arial" w:hAnsi="Arial"/>
                <w:sz w:val="16"/>
                <w:szCs w:val="16"/>
                <w:color w:val="auto"/>
              </w:rPr>
              <w:t>$</w:t>
            </w:r>
          </w:p>
        </w:tc>
        <w:tc>
          <w:tcPr>
            <w:tcW w:w="460" w:type="dxa"/>
            <w:vAlign w:val="bottom"/>
          </w:tcPr>
          <w:p>
            <w:pPr>
              <w:jc w:val="right"/>
              <w:spacing w:after="0"/>
              <w:rPr>
                <w:sz w:val="20"/>
                <w:szCs w:val="20"/>
                <w:color w:val="auto"/>
              </w:rPr>
            </w:pPr>
            <w:r>
              <w:rPr>
                <w:rFonts w:ascii="Arial" w:cs="Arial" w:eastAsia="Arial" w:hAnsi="Arial"/>
                <w:sz w:val="16"/>
                <w:szCs w:val="16"/>
                <w:color w:val="auto"/>
              </w:rPr>
              <w:t>(18)</w:t>
            </w:r>
          </w:p>
        </w:tc>
        <w:tc>
          <w:tcPr>
            <w:tcW w:w="1100" w:type="dxa"/>
            <w:vAlign w:val="bottom"/>
            <w:gridSpan w:val="2"/>
          </w:tcPr>
          <w:p>
            <w:pPr>
              <w:jc w:val="right"/>
              <w:ind w:right="822"/>
              <w:spacing w:after="0"/>
              <w:rPr>
                <w:sz w:val="20"/>
                <w:szCs w:val="20"/>
                <w:color w:val="auto"/>
              </w:rPr>
            </w:pPr>
            <w:r>
              <w:rPr>
                <w:rFonts w:ascii="Arial" w:cs="Arial" w:eastAsia="Arial" w:hAnsi="Arial"/>
                <w:sz w:val="16"/>
                <w:szCs w:val="16"/>
                <w:color w:val="auto"/>
              </w:rPr>
              <w:t>$</w:t>
            </w:r>
          </w:p>
        </w:tc>
        <w:tc>
          <w:tcPr>
            <w:tcW w:w="420" w:type="dxa"/>
            <w:vAlign w:val="bottom"/>
          </w:tcPr>
          <w:p>
            <w:pPr>
              <w:jc w:val="right"/>
              <w:spacing w:after="0"/>
              <w:rPr>
                <w:sz w:val="20"/>
                <w:szCs w:val="20"/>
                <w:color w:val="auto"/>
              </w:rPr>
            </w:pPr>
            <w:r>
              <w:rPr>
                <w:rFonts w:ascii="Arial" w:cs="Arial" w:eastAsia="Arial" w:hAnsi="Arial"/>
                <w:sz w:val="16"/>
                <w:szCs w:val="16"/>
                <w:color w:val="auto"/>
              </w:rPr>
              <w:t>(20)</w:t>
            </w:r>
          </w:p>
        </w:tc>
      </w:tr>
      <w:tr>
        <w:trPr>
          <w:trHeight w:val="20"/>
        </w:trPr>
        <w:tc>
          <w:tcPr>
            <w:tcW w:w="618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-506730</wp:posOffset>
            </wp:positionV>
            <wp:extent cx="5859780" cy="51371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40">
                      <a:extLst>
                        <a:ext uri="{28A0092B-C50C-407E-A947-70E740481C1C}"/>
                      </a:extLst>
                    </a:blip>
                    <a:srcRect/>
                    <a:stretch>
                      <a:fillRect/>
                    </a:stretch>
                  </pic:blipFill>
                  <pic:spPr bwMode="auto">
                    <a:xfrm>
                      <a:off x="0" y="0"/>
                      <a:ext cx="5859780" cy="513715"/>
                    </a:xfrm>
                    <a:prstGeom prst="rect">
                      <a:avLst/>
                    </a:prstGeom>
                    <a:noFill/>
                  </pic:spPr>
                </pic:pic>
              </a:graphicData>
            </a:graphic>
          </wp:anchor>
        </w:drawing>
      </w:r>
    </w:p>
    <w:p>
      <w:pPr>
        <w:spacing w:after="0" w:line="98" w:lineRule="exact"/>
        <w:rPr>
          <w:sz w:val="20"/>
          <w:szCs w:val="20"/>
          <w:color w:val="auto"/>
        </w:rPr>
      </w:pPr>
    </w:p>
    <w:p>
      <w:pPr>
        <w:ind w:left="7"/>
        <w:spacing w:after="0"/>
        <w:rPr>
          <w:sz w:val="20"/>
          <w:szCs w:val="20"/>
          <w:color w:val="auto"/>
        </w:rPr>
      </w:pPr>
      <w:r>
        <w:rPr>
          <w:rFonts w:ascii="Arial" w:cs="Arial" w:eastAsia="Arial" w:hAnsi="Arial"/>
          <w:sz w:val="20"/>
          <w:szCs w:val="20"/>
          <w:b w:val="1"/>
          <w:bCs w:val="1"/>
          <w:i w:val="1"/>
          <w:iCs w:val="1"/>
          <w:color w:val="auto"/>
        </w:rPr>
        <w:t>Concentration of Reinsurance Risk</w:t>
      </w:r>
    </w:p>
    <w:p>
      <w:pPr>
        <w:spacing w:after="0" w:line="130" w:lineRule="exact"/>
        <w:rPr>
          <w:sz w:val="20"/>
          <w:szCs w:val="20"/>
          <w:color w:val="auto"/>
        </w:rPr>
      </w:pPr>
    </w:p>
    <w:p>
      <w:pPr>
        <w:jc w:val="both"/>
        <w:ind w:left="7" w:firstLine="353"/>
        <w:spacing w:after="0" w:line="300" w:lineRule="auto"/>
        <w:rPr>
          <w:sz w:val="20"/>
          <w:szCs w:val="20"/>
          <w:color w:val="auto"/>
        </w:rPr>
      </w:pPr>
      <w:r>
        <w:rPr>
          <w:rFonts w:ascii="Arial" w:cs="Arial" w:eastAsia="Arial" w:hAnsi="Arial"/>
          <w:sz w:val="17"/>
          <w:szCs w:val="17"/>
          <w:color w:val="auto"/>
        </w:rPr>
        <w:t>As indicated above, the Company has a significant concentration of reinsurance risk with third party reinsurers, Aspida, Somerset Reinsurance Ltd (“Somerset Re”), Everlake, Wilton Reassurance (“Wilton Re”), and Fort Greene that could have a material impact on our financial position in the event that any of these reinsurers fails to perform its obligations under the various reinsurance treaties. We monitor the financial condition and financial strength of individual reinsurers using public ratings (refer to table below) and ratings reports of individual reinsurers to attempt to reduce the risk of default by such reinsurers. In addition, the risk of non-performance is further mitigated with various forms of collateral or collateral arrangements, including secured trusts, funds withheld accounts and irrevocable letters of credit. We believe that all amounts</w:t>
      </w:r>
    </w:p>
    <w:p>
      <w:pPr>
        <w:sectPr>
          <w:pgSz w:w="11880" w:h="15480" w:orient="portrait"/>
          <w:cols w:equalWidth="0" w:num="1">
            <w:col w:w="10047"/>
          </w:cols>
          <w:pgMar w:left="913" w:top="772" w:right="920" w:bottom="0" w:gutter="0" w:footer="0" w:header="0"/>
          <w:type w:val="continuous"/>
        </w:sectPr>
      </w:pPr>
    </w:p>
    <w:p>
      <w:pPr>
        <w:spacing w:after="0" w:line="200" w:lineRule="exact"/>
        <w:rPr>
          <w:sz w:val="20"/>
          <w:szCs w:val="20"/>
          <w:color w:val="auto"/>
        </w:rPr>
      </w:pPr>
    </w:p>
    <w:p>
      <w:pPr>
        <w:spacing w:after="0" w:line="329" w:lineRule="exact"/>
        <w:rPr>
          <w:sz w:val="20"/>
          <w:szCs w:val="20"/>
          <w:color w:val="auto"/>
        </w:rPr>
      </w:pPr>
    </w:p>
    <w:p>
      <w:pPr>
        <w:jc w:val="center"/>
        <w:ind w:right="-6"/>
        <w:spacing w:after="0"/>
        <w:rPr>
          <w:sz w:val="20"/>
          <w:szCs w:val="20"/>
          <w:color w:val="auto"/>
        </w:rPr>
      </w:pPr>
      <w:r>
        <w:rPr>
          <w:rFonts w:ascii="Arial" w:cs="Arial" w:eastAsia="Arial" w:hAnsi="Arial"/>
          <w:sz w:val="16"/>
          <w:szCs w:val="16"/>
          <w:color w:val="auto"/>
        </w:rPr>
        <w:t>165</w:t>
      </w:r>
    </w:p>
    <w:p>
      <w:pPr>
        <w:sectPr>
          <w:pgSz w:w="11880" w:h="15480" w:orient="portrait"/>
          <w:cols w:equalWidth="0" w:num="1">
            <w:col w:w="10047"/>
          </w:cols>
          <w:pgMar w:left="913" w:top="772" w:right="920" w:bottom="0" w:gutter="0" w:footer="0" w:header="0"/>
          <w:type w:val="continuous"/>
        </w:sectPr>
      </w:pPr>
    </w:p>
    <w:bookmarkStart w:id="177" w:name="page178"/>
    <w:bookmarkEnd w:id="177"/>
    <w:p>
      <w:pPr>
        <w:jc w:val="both"/>
        <w:spacing w:after="0" w:line="271" w:lineRule="auto"/>
        <w:rPr>
          <w:sz w:val="20"/>
          <w:szCs w:val="20"/>
          <w:color w:val="auto"/>
        </w:rPr>
      </w:pPr>
      <w:r>
        <w:rPr>
          <w:rFonts w:ascii="Arial" w:cs="Arial" w:eastAsia="Arial" w:hAnsi="Arial"/>
          <w:sz w:val="20"/>
          <w:szCs w:val="20"/>
          <w:color w:val="auto"/>
        </w:rPr>
        <w:t>due from Aspida, Somerset Re, Everlake, Wilton Re, and Fort Greene for periodic treaty settlements, net of any applicable credit loss reserves, are collectible as of December 31, 2025:</w:t>
      </w:r>
    </w:p>
    <w:p>
      <w:pPr>
        <w:spacing w:after="0" w:line="112" w:lineRule="exact"/>
        <w:rPr>
          <w:sz w:val="20"/>
          <w:szCs w:val="20"/>
          <w:color w:val="auto"/>
        </w:rPr>
      </w:pPr>
    </w:p>
    <w:tbl>
      <w:tblPr>
        <w:tblLayout w:type="fixed"/>
        <w:tblInd w:w="40" w:type="dxa"/>
        <w:tblCellMar>
          <w:top w:w="0" w:type="dxa"/>
          <w:left w:w="0" w:type="dxa"/>
          <w:bottom w:w="0" w:type="dxa"/>
          <w:right w:w="0" w:type="dxa"/>
        </w:tblCellMar>
      </w:tblPr>
      <w:tr>
        <w:trPr>
          <w:trHeight w:val="213"/>
        </w:trPr>
        <w:tc>
          <w:tcPr>
            <w:tcW w:w="1080" w:type="dxa"/>
            <w:vAlign w:val="bottom"/>
          </w:tcPr>
          <w:p>
            <w:pPr>
              <w:spacing w:after="0"/>
              <w:rPr>
                <w:sz w:val="18"/>
                <w:szCs w:val="18"/>
                <w:color w:val="auto"/>
              </w:rPr>
            </w:pPr>
          </w:p>
        </w:tc>
        <w:tc>
          <w:tcPr>
            <w:tcW w:w="5440" w:type="dxa"/>
            <w:vAlign w:val="bottom"/>
            <w:gridSpan w:val="2"/>
          </w:tcPr>
          <w:p>
            <w:pPr>
              <w:ind w:left="280"/>
              <w:spacing w:after="0"/>
              <w:rPr>
                <w:sz w:val="20"/>
                <w:szCs w:val="20"/>
                <w:color w:val="auto"/>
              </w:rPr>
            </w:pPr>
            <w:r>
              <w:rPr>
                <w:rFonts w:ascii="Arial" w:cs="Arial" w:eastAsia="Arial" w:hAnsi="Arial"/>
                <w:sz w:val="16"/>
                <w:szCs w:val="16"/>
                <w:b w:val="1"/>
                <w:bCs w:val="1"/>
                <w:color w:val="auto"/>
              </w:rPr>
              <w:t>Parent Company/Principal Reinsurers</w:t>
            </w:r>
          </w:p>
        </w:tc>
        <w:tc>
          <w:tcPr>
            <w:tcW w:w="60" w:type="dxa"/>
            <w:vAlign w:val="bottom"/>
          </w:tcPr>
          <w:p>
            <w:pPr>
              <w:spacing w:after="0"/>
              <w:rPr>
                <w:sz w:val="18"/>
                <w:szCs w:val="18"/>
                <w:color w:val="auto"/>
              </w:rPr>
            </w:pPr>
          </w:p>
        </w:tc>
        <w:tc>
          <w:tcPr>
            <w:tcW w:w="2260" w:type="dxa"/>
            <w:vAlign w:val="bottom"/>
            <w:gridSpan w:val="3"/>
          </w:tcPr>
          <w:p>
            <w:pPr>
              <w:ind w:left="260"/>
              <w:spacing w:after="0"/>
              <w:rPr>
                <w:sz w:val="20"/>
                <w:szCs w:val="20"/>
                <w:color w:val="auto"/>
              </w:rPr>
            </w:pPr>
            <w:r>
              <w:rPr>
                <w:rFonts w:ascii="Arial" w:cs="Arial" w:eastAsia="Arial" w:hAnsi="Arial"/>
                <w:sz w:val="16"/>
                <w:szCs w:val="16"/>
                <w:b w:val="1"/>
                <w:bCs w:val="1"/>
                <w:color w:val="auto"/>
              </w:rPr>
              <w:t>Financial Strength Rating</w:t>
            </w:r>
          </w:p>
        </w:tc>
        <w:tc>
          <w:tcPr>
            <w:tcW w:w="6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5"/>
        </w:trPr>
        <w:tc>
          <w:tcPr>
            <w:tcW w:w="108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11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0"/>
              </w:rPr>
              <w:t>AM Best</w:t>
            </w:r>
          </w:p>
        </w:tc>
        <w:tc>
          <w:tcPr>
            <w:tcW w:w="60" w:type="dxa"/>
            <w:vAlign w:val="bottom"/>
            <w:tcBorders>
              <w:top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7"/>
              </w:rPr>
              <w:t>S&amp;P</w:t>
            </w:r>
          </w:p>
        </w:tc>
        <w:tc>
          <w:tcPr>
            <w:tcW w:w="60" w:type="dxa"/>
            <w:vAlign w:val="bottom"/>
            <w:tcBorders>
              <w:top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Fitch</w:t>
            </w:r>
          </w:p>
        </w:tc>
        <w:tc>
          <w:tcPr>
            <w:tcW w:w="60" w:type="dxa"/>
            <w:vAlign w:val="bottom"/>
            <w:tcBorders>
              <w:top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0"/>
              </w:rPr>
              <w:t>Moody's</w:t>
            </w:r>
          </w:p>
        </w:tc>
      </w:tr>
      <w:tr>
        <w:trPr>
          <w:trHeight w:val="208"/>
        </w:trPr>
        <w:tc>
          <w:tcPr>
            <w:tcW w:w="1080" w:type="dxa"/>
            <w:vAlign w:val="bottom"/>
          </w:tcPr>
          <w:p>
            <w:pPr>
              <w:spacing w:after="0"/>
              <w:rPr>
                <w:sz w:val="20"/>
                <w:szCs w:val="20"/>
                <w:color w:val="auto"/>
              </w:rPr>
            </w:pPr>
            <w:r>
              <w:rPr>
                <w:rFonts w:ascii="Arial" w:cs="Arial" w:eastAsia="Arial" w:hAnsi="Arial"/>
                <w:sz w:val="16"/>
                <w:szCs w:val="16"/>
                <w:color w:val="auto"/>
              </w:rPr>
              <w:t>Aspida</w:t>
            </w:r>
          </w:p>
        </w:tc>
        <w:tc>
          <w:tcPr>
            <w:tcW w:w="434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6"/>
                <w:szCs w:val="16"/>
                <w:color w:val="auto"/>
              </w:rPr>
              <w:t>A-</w:t>
            </w:r>
          </w:p>
        </w:tc>
        <w:tc>
          <w:tcPr>
            <w:tcW w:w="6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6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6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6"/>
                <w:szCs w:val="16"/>
                <w:color w:val="auto"/>
                <w:w w:val="99"/>
              </w:rPr>
              <w:t>—</w:t>
            </w:r>
          </w:p>
        </w:tc>
      </w:tr>
      <w:tr>
        <w:trPr>
          <w:trHeight w:val="235"/>
        </w:trPr>
        <w:tc>
          <w:tcPr>
            <w:tcW w:w="1080" w:type="dxa"/>
            <w:vAlign w:val="bottom"/>
          </w:tcPr>
          <w:p>
            <w:pPr>
              <w:spacing w:after="0"/>
              <w:rPr>
                <w:sz w:val="20"/>
                <w:szCs w:val="20"/>
                <w:color w:val="auto"/>
              </w:rPr>
            </w:pPr>
            <w:r>
              <w:rPr>
                <w:rFonts w:ascii="Arial" w:cs="Arial" w:eastAsia="Arial" w:hAnsi="Arial"/>
                <w:sz w:val="16"/>
                <w:szCs w:val="16"/>
                <w:color w:val="auto"/>
              </w:rPr>
              <w:t>Somerset Re</w:t>
            </w:r>
          </w:p>
        </w:tc>
        <w:tc>
          <w:tcPr>
            <w:tcW w:w="4340" w:type="dxa"/>
            <w:vAlign w:val="bottom"/>
          </w:tcPr>
          <w:p>
            <w:pPr>
              <w:spacing w:after="0"/>
              <w:rPr>
                <w:sz w:val="20"/>
                <w:szCs w:val="20"/>
                <w:color w:val="auto"/>
              </w:rPr>
            </w:pPr>
          </w:p>
        </w:tc>
        <w:tc>
          <w:tcPr>
            <w:tcW w:w="1100" w:type="dxa"/>
            <w:vAlign w:val="bottom"/>
          </w:tcPr>
          <w:p>
            <w:pPr>
              <w:jc w:val="center"/>
              <w:spacing w:after="0"/>
              <w:rPr>
                <w:sz w:val="20"/>
                <w:szCs w:val="20"/>
                <w:color w:val="auto"/>
              </w:rPr>
            </w:pPr>
            <w:r>
              <w:rPr>
                <w:rFonts w:ascii="Arial" w:cs="Arial" w:eastAsia="Arial" w:hAnsi="Arial"/>
                <w:sz w:val="16"/>
                <w:szCs w:val="16"/>
                <w:color w:val="auto"/>
                <w:w w:val="93"/>
              </w:rPr>
              <w:t>A</w:t>
            </w:r>
          </w:p>
        </w:tc>
        <w:tc>
          <w:tcPr>
            <w:tcW w:w="60" w:type="dxa"/>
            <w:vAlign w:val="bottom"/>
          </w:tcPr>
          <w:p>
            <w:pPr>
              <w:spacing w:after="0"/>
              <w:rPr>
                <w:sz w:val="20"/>
                <w:szCs w:val="20"/>
                <w:color w:val="auto"/>
              </w:rPr>
            </w:pPr>
          </w:p>
        </w:tc>
        <w:tc>
          <w:tcPr>
            <w:tcW w:w="1100" w:type="dxa"/>
            <w:vAlign w:val="bottom"/>
          </w:tcPr>
          <w:p>
            <w:pPr>
              <w:jc w:val="center"/>
              <w:spacing w:after="0"/>
              <w:rPr>
                <w:sz w:val="20"/>
                <w:szCs w:val="20"/>
                <w:color w:val="auto"/>
              </w:rPr>
            </w:pPr>
            <w:r>
              <w:rPr>
                <w:rFonts w:ascii="Arial" w:cs="Arial" w:eastAsia="Arial" w:hAnsi="Arial"/>
                <w:sz w:val="16"/>
                <w:szCs w:val="16"/>
                <w:color w:val="auto"/>
                <w:w w:val="96"/>
              </w:rPr>
              <w:t>BBB+</w:t>
            </w:r>
          </w:p>
        </w:tc>
        <w:tc>
          <w:tcPr>
            <w:tcW w:w="60" w:type="dxa"/>
            <w:vAlign w:val="bottom"/>
          </w:tcPr>
          <w:p>
            <w:pPr>
              <w:spacing w:after="0"/>
              <w:rPr>
                <w:sz w:val="20"/>
                <w:szCs w:val="20"/>
                <w:color w:val="auto"/>
              </w:rPr>
            </w:pPr>
          </w:p>
        </w:tc>
        <w:tc>
          <w:tcPr>
            <w:tcW w:w="110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60" w:type="dxa"/>
            <w:vAlign w:val="bottom"/>
          </w:tcPr>
          <w:p>
            <w:pPr>
              <w:spacing w:after="0"/>
              <w:rPr>
                <w:sz w:val="20"/>
                <w:szCs w:val="20"/>
                <w:color w:val="auto"/>
              </w:rPr>
            </w:pPr>
          </w:p>
        </w:tc>
        <w:tc>
          <w:tcPr>
            <w:tcW w:w="1100" w:type="dxa"/>
            <w:vAlign w:val="bottom"/>
          </w:tcPr>
          <w:p>
            <w:pPr>
              <w:jc w:val="center"/>
              <w:spacing w:after="0"/>
              <w:rPr>
                <w:sz w:val="20"/>
                <w:szCs w:val="20"/>
                <w:color w:val="auto"/>
              </w:rPr>
            </w:pPr>
            <w:r>
              <w:rPr>
                <w:rFonts w:ascii="Arial" w:cs="Arial" w:eastAsia="Arial" w:hAnsi="Arial"/>
                <w:sz w:val="16"/>
                <w:szCs w:val="16"/>
                <w:color w:val="auto"/>
                <w:w w:val="99"/>
              </w:rPr>
              <w:t>—</w:t>
            </w:r>
          </w:p>
        </w:tc>
      </w:tr>
      <w:tr>
        <w:trPr>
          <w:trHeight w:val="235"/>
        </w:trPr>
        <w:tc>
          <w:tcPr>
            <w:tcW w:w="1080" w:type="dxa"/>
            <w:vAlign w:val="bottom"/>
          </w:tcPr>
          <w:p>
            <w:pPr>
              <w:spacing w:after="0"/>
              <w:rPr>
                <w:sz w:val="20"/>
                <w:szCs w:val="20"/>
                <w:color w:val="auto"/>
              </w:rPr>
            </w:pPr>
            <w:r>
              <w:rPr>
                <w:rFonts w:ascii="Arial" w:cs="Arial" w:eastAsia="Arial" w:hAnsi="Arial"/>
                <w:sz w:val="16"/>
                <w:szCs w:val="16"/>
                <w:color w:val="auto"/>
              </w:rPr>
              <w:t>Everlake</w:t>
            </w:r>
          </w:p>
        </w:tc>
        <w:tc>
          <w:tcPr>
            <w:tcW w:w="4340" w:type="dxa"/>
            <w:vAlign w:val="bottom"/>
          </w:tcPr>
          <w:p>
            <w:pPr>
              <w:spacing w:after="0"/>
              <w:rPr>
                <w:sz w:val="20"/>
                <w:szCs w:val="20"/>
                <w:color w:val="auto"/>
              </w:rPr>
            </w:pPr>
          </w:p>
        </w:tc>
        <w:tc>
          <w:tcPr>
            <w:tcW w:w="1100" w:type="dxa"/>
            <w:vAlign w:val="bottom"/>
          </w:tcPr>
          <w:p>
            <w:pPr>
              <w:jc w:val="center"/>
              <w:spacing w:after="0"/>
              <w:rPr>
                <w:sz w:val="20"/>
                <w:szCs w:val="20"/>
                <w:color w:val="auto"/>
              </w:rPr>
            </w:pPr>
            <w:r>
              <w:rPr>
                <w:rFonts w:ascii="Arial" w:cs="Arial" w:eastAsia="Arial" w:hAnsi="Arial"/>
                <w:sz w:val="16"/>
                <w:szCs w:val="16"/>
                <w:color w:val="auto"/>
                <w:w w:val="93"/>
              </w:rPr>
              <w:t>A</w:t>
            </w:r>
          </w:p>
        </w:tc>
        <w:tc>
          <w:tcPr>
            <w:tcW w:w="60" w:type="dxa"/>
            <w:vAlign w:val="bottom"/>
          </w:tcPr>
          <w:p>
            <w:pPr>
              <w:spacing w:after="0"/>
              <w:rPr>
                <w:sz w:val="20"/>
                <w:szCs w:val="20"/>
                <w:color w:val="auto"/>
              </w:rPr>
            </w:pPr>
          </w:p>
        </w:tc>
        <w:tc>
          <w:tcPr>
            <w:tcW w:w="110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60" w:type="dxa"/>
            <w:vAlign w:val="bottom"/>
          </w:tcPr>
          <w:p>
            <w:pPr>
              <w:spacing w:after="0"/>
              <w:rPr>
                <w:sz w:val="20"/>
                <w:szCs w:val="20"/>
                <w:color w:val="auto"/>
              </w:rPr>
            </w:pPr>
          </w:p>
        </w:tc>
        <w:tc>
          <w:tcPr>
            <w:tcW w:w="110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60" w:type="dxa"/>
            <w:vAlign w:val="bottom"/>
          </w:tcPr>
          <w:p>
            <w:pPr>
              <w:spacing w:after="0"/>
              <w:rPr>
                <w:sz w:val="20"/>
                <w:szCs w:val="20"/>
                <w:color w:val="auto"/>
              </w:rPr>
            </w:pPr>
          </w:p>
        </w:tc>
        <w:tc>
          <w:tcPr>
            <w:tcW w:w="1100" w:type="dxa"/>
            <w:vAlign w:val="bottom"/>
          </w:tcPr>
          <w:p>
            <w:pPr>
              <w:jc w:val="center"/>
              <w:spacing w:after="0"/>
              <w:rPr>
                <w:sz w:val="20"/>
                <w:szCs w:val="20"/>
                <w:color w:val="auto"/>
              </w:rPr>
            </w:pPr>
            <w:r>
              <w:rPr>
                <w:rFonts w:ascii="Arial" w:cs="Arial" w:eastAsia="Arial" w:hAnsi="Arial"/>
                <w:sz w:val="16"/>
                <w:szCs w:val="16"/>
                <w:color w:val="auto"/>
                <w:w w:val="99"/>
              </w:rPr>
              <w:t>—</w:t>
            </w:r>
          </w:p>
        </w:tc>
      </w:tr>
      <w:tr>
        <w:trPr>
          <w:trHeight w:val="235"/>
        </w:trPr>
        <w:tc>
          <w:tcPr>
            <w:tcW w:w="1080" w:type="dxa"/>
            <w:vAlign w:val="bottom"/>
          </w:tcPr>
          <w:p>
            <w:pPr>
              <w:spacing w:after="0"/>
              <w:rPr>
                <w:sz w:val="20"/>
                <w:szCs w:val="20"/>
                <w:color w:val="auto"/>
              </w:rPr>
            </w:pPr>
            <w:r>
              <w:rPr>
                <w:rFonts w:ascii="Arial" w:cs="Arial" w:eastAsia="Arial" w:hAnsi="Arial"/>
                <w:sz w:val="16"/>
                <w:szCs w:val="16"/>
                <w:color w:val="auto"/>
              </w:rPr>
              <w:t>Wilton Re</w:t>
            </w:r>
          </w:p>
        </w:tc>
        <w:tc>
          <w:tcPr>
            <w:tcW w:w="4340" w:type="dxa"/>
            <w:vAlign w:val="bottom"/>
          </w:tcPr>
          <w:p>
            <w:pPr>
              <w:spacing w:after="0"/>
              <w:rPr>
                <w:sz w:val="20"/>
                <w:szCs w:val="20"/>
                <w:color w:val="auto"/>
              </w:rPr>
            </w:pPr>
          </w:p>
        </w:tc>
        <w:tc>
          <w:tcPr>
            <w:tcW w:w="1100" w:type="dxa"/>
            <w:vAlign w:val="bottom"/>
          </w:tcPr>
          <w:p>
            <w:pPr>
              <w:jc w:val="center"/>
              <w:spacing w:after="0"/>
              <w:rPr>
                <w:sz w:val="20"/>
                <w:szCs w:val="20"/>
                <w:color w:val="auto"/>
              </w:rPr>
            </w:pPr>
            <w:r>
              <w:rPr>
                <w:rFonts w:ascii="Arial" w:cs="Arial" w:eastAsia="Arial" w:hAnsi="Arial"/>
                <w:sz w:val="16"/>
                <w:szCs w:val="16"/>
                <w:color w:val="auto"/>
                <w:w w:val="99"/>
              </w:rPr>
              <w:t>A+</w:t>
            </w:r>
          </w:p>
        </w:tc>
        <w:tc>
          <w:tcPr>
            <w:tcW w:w="60" w:type="dxa"/>
            <w:vAlign w:val="bottom"/>
          </w:tcPr>
          <w:p>
            <w:pPr>
              <w:spacing w:after="0"/>
              <w:rPr>
                <w:sz w:val="20"/>
                <w:szCs w:val="20"/>
                <w:color w:val="auto"/>
              </w:rPr>
            </w:pPr>
          </w:p>
        </w:tc>
        <w:tc>
          <w:tcPr>
            <w:tcW w:w="110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60" w:type="dxa"/>
            <w:vAlign w:val="bottom"/>
          </w:tcPr>
          <w:p>
            <w:pPr>
              <w:spacing w:after="0"/>
              <w:rPr>
                <w:sz w:val="20"/>
                <w:szCs w:val="20"/>
                <w:color w:val="auto"/>
              </w:rPr>
            </w:pPr>
          </w:p>
        </w:tc>
        <w:tc>
          <w:tcPr>
            <w:tcW w:w="1100" w:type="dxa"/>
            <w:vAlign w:val="bottom"/>
          </w:tcPr>
          <w:p>
            <w:pPr>
              <w:jc w:val="center"/>
              <w:spacing w:after="0"/>
              <w:rPr>
                <w:sz w:val="20"/>
                <w:szCs w:val="20"/>
                <w:color w:val="auto"/>
              </w:rPr>
            </w:pPr>
            <w:r>
              <w:rPr>
                <w:rFonts w:ascii="Arial" w:cs="Arial" w:eastAsia="Arial" w:hAnsi="Arial"/>
                <w:sz w:val="16"/>
                <w:szCs w:val="16"/>
                <w:color w:val="auto"/>
                <w:w w:val="99"/>
              </w:rPr>
              <w:t>A-</w:t>
            </w:r>
          </w:p>
        </w:tc>
        <w:tc>
          <w:tcPr>
            <w:tcW w:w="60" w:type="dxa"/>
            <w:vAlign w:val="bottom"/>
          </w:tcPr>
          <w:p>
            <w:pPr>
              <w:spacing w:after="0"/>
              <w:rPr>
                <w:sz w:val="20"/>
                <w:szCs w:val="20"/>
                <w:color w:val="auto"/>
              </w:rPr>
            </w:pPr>
          </w:p>
        </w:tc>
        <w:tc>
          <w:tcPr>
            <w:tcW w:w="1100" w:type="dxa"/>
            <w:vAlign w:val="bottom"/>
          </w:tcPr>
          <w:p>
            <w:pPr>
              <w:jc w:val="center"/>
              <w:spacing w:after="0"/>
              <w:rPr>
                <w:sz w:val="20"/>
                <w:szCs w:val="20"/>
                <w:color w:val="auto"/>
              </w:rPr>
            </w:pPr>
            <w:r>
              <w:rPr>
                <w:rFonts w:ascii="Arial" w:cs="Arial" w:eastAsia="Arial" w:hAnsi="Arial"/>
                <w:sz w:val="16"/>
                <w:szCs w:val="16"/>
                <w:color w:val="auto"/>
                <w:w w:val="99"/>
              </w:rPr>
              <w:t>—</w:t>
            </w:r>
          </w:p>
        </w:tc>
      </w:tr>
      <w:tr>
        <w:trPr>
          <w:trHeight w:val="235"/>
        </w:trPr>
        <w:tc>
          <w:tcPr>
            <w:tcW w:w="1080" w:type="dxa"/>
            <w:vAlign w:val="bottom"/>
          </w:tcPr>
          <w:p>
            <w:pPr>
              <w:spacing w:after="0"/>
              <w:rPr>
                <w:sz w:val="20"/>
                <w:szCs w:val="20"/>
                <w:color w:val="auto"/>
              </w:rPr>
            </w:pPr>
            <w:r>
              <w:rPr>
                <w:rFonts w:ascii="Arial" w:cs="Arial" w:eastAsia="Arial" w:hAnsi="Arial"/>
                <w:sz w:val="16"/>
                <w:szCs w:val="16"/>
                <w:color w:val="auto"/>
              </w:rPr>
              <w:t>Fort Greene</w:t>
            </w:r>
          </w:p>
        </w:tc>
        <w:tc>
          <w:tcPr>
            <w:tcW w:w="4340" w:type="dxa"/>
            <w:vAlign w:val="bottom"/>
          </w:tcPr>
          <w:p>
            <w:pPr>
              <w:spacing w:after="0"/>
              <w:rPr>
                <w:sz w:val="20"/>
                <w:szCs w:val="20"/>
                <w:color w:val="auto"/>
              </w:rPr>
            </w:pPr>
          </w:p>
        </w:tc>
        <w:tc>
          <w:tcPr>
            <w:tcW w:w="1100" w:type="dxa"/>
            <w:vAlign w:val="bottom"/>
          </w:tcPr>
          <w:p>
            <w:pPr>
              <w:jc w:val="center"/>
              <w:spacing w:after="0"/>
              <w:rPr>
                <w:sz w:val="20"/>
                <w:szCs w:val="20"/>
                <w:color w:val="auto"/>
              </w:rPr>
            </w:pPr>
            <w:r>
              <w:rPr>
                <w:rFonts w:ascii="Arial" w:cs="Arial" w:eastAsia="Arial" w:hAnsi="Arial"/>
                <w:sz w:val="16"/>
                <w:szCs w:val="16"/>
                <w:color w:val="auto"/>
                <w:w w:val="87"/>
              </w:rPr>
              <w:t>—</w:t>
            </w:r>
          </w:p>
        </w:tc>
        <w:tc>
          <w:tcPr>
            <w:tcW w:w="60" w:type="dxa"/>
            <w:vAlign w:val="bottom"/>
          </w:tcPr>
          <w:p>
            <w:pPr>
              <w:spacing w:after="0"/>
              <w:rPr>
                <w:sz w:val="20"/>
                <w:szCs w:val="20"/>
                <w:color w:val="auto"/>
              </w:rPr>
            </w:pPr>
          </w:p>
        </w:tc>
        <w:tc>
          <w:tcPr>
            <w:tcW w:w="110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60" w:type="dxa"/>
            <w:vAlign w:val="bottom"/>
          </w:tcPr>
          <w:p>
            <w:pPr>
              <w:spacing w:after="0"/>
              <w:rPr>
                <w:sz w:val="20"/>
                <w:szCs w:val="20"/>
                <w:color w:val="auto"/>
              </w:rPr>
            </w:pPr>
          </w:p>
        </w:tc>
        <w:tc>
          <w:tcPr>
            <w:tcW w:w="110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60" w:type="dxa"/>
            <w:vAlign w:val="bottom"/>
          </w:tcPr>
          <w:p>
            <w:pPr>
              <w:spacing w:after="0"/>
              <w:rPr>
                <w:sz w:val="20"/>
                <w:szCs w:val="20"/>
                <w:color w:val="auto"/>
              </w:rPr>
            </w:pPr>
          </w:p>
        </w:tc>
        <w:tc>
          <w:tcPr>
            <w:tcW w:w="1100" w:type="dxa"/>
            <w:vAlign w:val="bottom"/>
          </w:tcPr>
          <w:p>
            <w:pPr>
              <w:jc w:val="center"/>
              <w:spacing w:after="0"/>
              <w:rPr>
                <w:sz w:val="20"/>
                <w:szCs w:val="20"/>
                <w:color w:val="auto"/>
              </w:rPr>
            </w:pPr>
            <w:r>
              <w:rPr>
                <w:rFonts w:ascii="Arial" w:cs="Arial" w:eastAsia="Arial" w:hAnsi="Arial"/>
                <w:sz w:val="16"/>
                <w:szCs w:val="16"/>
                <w:color w:val="auto"/>
                <w:w w:val="99"/>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-748030</wp:posOffset>
            </wp:positionV>
            <wp:extent cx="6410325" cy="77216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41">
                      <a:extLst>
                        <a:ext uri="{28A0092B-C50C-407E-A947-70E740481C1C}"/>
                      </a:extLst>
                    </a:blip>
                    <a:srcRect/>
                    <a:stretch>
                      <a:fillRect/>
                    </a:stretch>
                  </pic:blipFill>
                  <pic:spPr bwMode="auto">
                    <a:xfrm>
                      <a:off x="0" y="0"/>
                      <a:ext cx="6410325" cy="772160"/>
                    </a:xfrm>
                    <a:prstGeom prst="rect">
                      <a:avLst/>
                    </a:prstGeom>
                    <a:noFill/>
                  </pic:spPr>
                </pic:pic>
              </a:graphicData>
            </a:graphic>
          </wp:anchor>
        </w:drawing>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color w:val="auto"/>
        </w:rPr>
        <w:t>“—” indicates not rated</w:t>
      </w:r>
    </w:p>
    <w:p>
      <w:pPr>
        <w:spacing w:after="0" w:line="9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Intercompany Reinsurance Agreements</w:t>
      </w:r>
    </w:p>
    <w:p>
      <w:pPr>
        <w:spacing w:after="0" w:line="130" w:lineRule="exact"/>
        <w:rPr>
          <w:sz w:val="20"/>
          <w:szCs w:val="20"/>
          <w:color w:val="auto"/>
        </w:rPr>
      </w:pPr>
    </w:p>
    <w:p>
      <w:pPr>
        <w:jc w:val="both"/>
        <w:ind w:firstLine="353"/>
        <w:spacing w:after="0" w:line="254" w:lineRule="auto"/>
        <w:rPr>
          <w:sz w:val="20"/>
          <w:szCs w:val="20"/>
          <w:color w:val="auto"/>
        </w:rPr>
      </w:pPr>
      <w:r>
        <w:rPr>
          <w:rFonts w:ascii="Arial" w:cs="Arial" w:eastAsia="Arial" w:hAnsi="Arial"/>
          <w:sz w:val="20"/>
          <w:szCs w:val="20"/>
          <w:color w:val="auto"/>
        </w:rPr>
        <w:t>The Company executes various intercompany reinsurance agreements between its insurance subsidiaries, including off shore entities, for purposes of managing regulatory statutory capital and risk. Since these agreements are intercompany, the financial impacts are eliminated in the preparation of the Consolidated Financial Statements included within this Annual Report on Form 10-K.</w:t>
      </w:r>
    </w:p>
    <w:p>
      <w:pPr>
        <w:spacing w:after="0" w:line="85" w:lineRule="exact"/>
        <w:rPr>
          <w:sz w:val="20"/>
          <w:szCs w:val="20"/>
          <w:color w:val="auto"/>
        </w:rPr>
      </w:pPr>
    </w:p>
    <w:p>
      <w:pPr>
        <w:jc w:val="both"/>
        <w:ind w:firstLine="353"/>
        <w:spacing w:after="0" w:line="268" w:lineRule="auto"/>
        <w:rPr>
          <w:sz w:val="20"/>
          <w:szCs w:val="20"/>
          <w:color w:val="auto"/>
        </w:rPr>
      </w:pPr>
      <w:r>
        <w:rPr>
          <w:rFonts w:ascii="Arial" w:cs="Arial" w:eastAsia="Arial" w:hAnsi="Arial"/>
          <w:sz w:val="19"/>
          <w:szCs w:val="19"/>
          <w:color w:val="auto"/>
        </w:rPr>
        <w:t>Some of these intercompany transactions are executed with wholly owned reinsurance subsidiaries, Corbeau Re, Inc. (“Corbeau Re”), Raven Reinsurance Company (“Raven Re”), and F&amp;G Cayman Re (“Cayman Re”), to finance the portion of statutory reserves considered to be non-economic. The financing arrangements involve Fidelity &amp; Guaranty Life Insurance Company reinsuring certain annuity products and their related rider benefits to the captives and the captives executing third-party financing facilities that are classified as capital for statutory purposes.</w:t>
      </w:r>
    </w:p>
    <w:p>
      <w:pPr>
        <w:spacing w:after="0" w:line="74" w:lineRule="exact"/>
        <w:rPr>
          <w:sz w:val="20"/>
          <w:szCs w:val="20"/>
          <w:color w:val="auto"/>
        </w:rPr>
      </w:pPr>
    </w:p>
    <w:p>
      <w:pPr>
        <w:jc w:val="both"/>
        <w:ind w:firstLine="353"/>
        <w:spacing w:after="0" w:line="249" w:lineRule="auto"/>
        <w:rPr>
          <w:sz w:val="20"/>
          <w:szCs w:val="20"/>
          <w:color w:val="auto"/>
        </w:rPr>
      </w:pPr>
      <w:r>
        <w:rPr>
          <w:rFonts w:ascii="Arial" w:cs="Arial" w:eastAsia="Arial" w:hAnsi="Arial"/>
          <w:sz w:val="20"/>
          <w:szCs w:val="20"/>
          <w:color w:val="auto"/>
        </w:rPr>
        <w:t>The transactions with Raven Re and Cayman Re included the execution of letter of credits with Nomura Bank International plc (“NBI”) and Deutsche Bank AG, respectively, that are undrawn and have maximum borrowing capacities of $150 million and $610 million, respectively, as of December 31, 2025. The transaction with Corbeau Re included the execution of an excess of loss agreement (“XOL”) with Canada Life Barbados Branch that matures on December 31, 2043, and provides for coverage on losses up to $2,400 million as of December 31, 2025. With Corbeau Re, non-economic reserves were financed through the maturity date of the XOL and statutory reserves are recorded for all risks expected to be incurred after the maturity date of the XOL.</w:t>
      </w:r>
    </w:p>
    <w:p>
      <w:pPr>
        <w:spacing w:after="0" w:line="8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O — Regulation and Equity</w:t>
      </w:r>
    </w:p>
    <w:p>
      <w:pPr>
        <w:spacing w:after="0" w:line="123" w:lineRule="exact"/>
        <w:rPr>
          <w:sz w:val="20"/>
          <w:szCs w:val="20"/>
          <w:color w:val="auto"/>
        </w:rPr>
      </w:pPr>
    </w:p>
    <w:p>
      <w:pPr>
        <w:ind w:left="340"/>
        <w:spacing w:after="0"/>
        <w:rPr>
          <w:sz w:val="20"/>
          <w:szCs w:val="20"/>
          <w:color w:val="auto"/>
        </w:rPr>
      </w:pPr>
      <w:r>
        <w:rPr>
          <w:rFonts w:ascii="Arial" w:cs="Arial" w:eastAsia="Arial" w:hAnsi="Arial"/>
          <w:sz w:val="20"/>
          <w:szCs w:val="20"/>
          <w:b w:val="1"/>
          <w:bCs w:val="1"/>
          <w:i w:val="1"/>
          <w:iCs w:val="1"/>
          <w:color w:val="auto"/>
        </w:rPr>
        <w:t>Regulation</w:t>
      </w:r>
    </w:p>
    <w:p>
      <w:pPr>
        <w:spacing w:after="0" w:line="128" w:lineRule="exact"/>
        <w:rPr>
          <w:sz w:val="20"/>
          <w:szCs w:val="20"/>
          <w:color w:val="auto"/>
        </w:rPr>
      </w:pPr>
    </w:p>
    <w:p>
      <w:pPr>
        <w:ind w:left="340"/>
        <w:spacing w:after="0"/>
        <w:rPr>
          <w:sz w:val="20"/>
          <w:szCs w:val="20"/>
          <w:color w:val="auto"/>
        </w:rPr>
      </w:pPr>
      <w:r>
        <w:rPr>
          <w:rFonts w:ascii="Arial" w:cs="Arial" w:eastAsia="Arial" w:hAnsi="Arial"/>
          <w:sz w:val="20"/>
          <w:szCs w:val="20"/>
          <w:b w:val="1"/>
          <w:bCs w:val="1"/>
          <w:i w:val="1"/>
          <w:iCs w:val="1"/>
          <w:color w:val="auto"/>
        </w:rPr>
        <w:t>Title</w:t>
      </w:r>
    </w:p>
    <w:p>
      <w:pPr>
        <w:spacing w:after="0" w:line="125" w:lineRule="exact"/>
        <w:rPr>
          <w:sz w:val="20"/>
          <w:szCs w:val="20"/>
          <w:color w:val="auto"/>
        </w:rPr>
      </w:pPr>
    </w:p>
    <w:p>
      <w:pPr>
        <w:jc w:val="both"/>
        <w:ind w:firstLine="353"/>
        <w:spacing w:after="0" w:line="262" w:lineRule="auto"/>
        <w:rPr>
          <w:sz w:val="20"/>
          <w:szCs w:val="20"/>
          <w:color w:val="auto"/>
        </w:rPr>
      </w:pPr>
      <w:r>
        <w:rPr>
          <w:rFonts w:ascii="Arial" w:cs="Arial" w:eastAsia="Arial" w:hAnsi="Arial"/>
          <w:sz w:val="19"/>
          <w:szCs w:val="19"/>
          <w:color w:val="auto"/>
        </w:rPr>
        <w:t>Our insurance subsidiaries, including title insurers, underwritten title companies and insurance agencies, are subject to extensive regulation under applicable state laws. Each of the insurance underwriters is subject to a holding company act in its state of domicile that regulates, among other matters, the ability to pay dividends and enter into transactions with affiliates. The laws of most states in which we transact business establish supervisory agencies with broad administrative powers relating to issuing and revoking licenses to transact business, regulating trade practices, licensing agents, approving policy forms, accounting practices, financial practices, establishing reserve and capital and surplus as regards policyholders (“capital and surplus”) requirements, defining suitable investments for reserves and capital and surplus and approving rate schedules. The process of state regulation of changes in rates ranges from states that set rates, to states where individual companies or associations of companies prepare rate filings that are submitted for approval, to a few states in which rate changes do not need to be filed for approval.</w:t>
      </w:r>
    </w:p>
    <w:p>
      <w:pPr>
        <w:spacing w:after="0" w:line="84" w:lineRule="exact"/>
        <w:rPr>
          <w:sz w:val="20"/>
          <w:szCs w:val="20"/>
          <w:color w:val="auto"/>
        </w:rPr>
      </w:pPr>
    </w:p>
    <w:p>
      <w:pPr>
        <w:jc w:val="both"/>
        <w:ind w:firstLine="353"/>
        <w:spacing w:after="0" w:line="325" w:lineRule="auto"/>
        <w:rPr>
          <w:sz w:val="20"/>
          <w:szCs w:val="20"/>
          <w:color w:val="auto"/>
        </w:rPr>
      </w:pPr>
      <w:r>
        <w:rPr>
          <w:rFonts w:ascii="Arial" w:cs="Arial" w:eastAsia="Arial" w:hAnsi="Arial"/>
          <w:sz w:val="17"/>
          <w:szCs w:val="17"/>
          <w:color w:val="auto"/>
        </w:rPr>
        <w:t>Since we are regulated by both state and federal governments and the applicable insurance laws and regulations are constantly subject to change, it is not possible to predict the potential effects on our insurance operations, particularly the Title segment, of any laws or regulations that may become more restrictive in the future or if new restrictive laws will be enacted.</w:t>
      </w:r>
    </w:p>
    <w:p>
      <w:pPr>
        <w:spacing w:after="0" w:line="9" w:lineRule="exact"/>
        <w:rPr>
          <w:sz w:val="20"/>
          <w:szCs w:val="20"/>
          <w:color w:val="auto"/>
        </w:rPr>
      </w:pPr>
    </w:p>
    <w:p>
      <w:pPr>
        <w:jc w:val="both"/>
        <w:ind w:firstLine="353"/>
        <w:spacing w:after="0" w:line="264" w:lineRule="auto"/>
        <w:rPr>
          <w:sz w:val="20"/>
          <w:szCs w:val="20"/>
          <w:color w:val="auto"/>
        </w:rPr>
      </w:pPr>
      <w:r>
        <w:rPr>
          <w:rFonts w:ascii="Arial" w:cs="Arial" w:eastAsia="Arial" w:hAnsi="Arial"/>
          <w:sz w:val="19"/>
          <w:szCs w:val="19"/>
          <w:color w:val="auto"/>
        </w:rPr>
        <w:t xml:space="preserve">Statutory-basis financial statements are prepared in accordance with accounting practices prescribed or permitted by the various state insurance regulatory authorities. The National Association of Insurance Commissioners' </w:t>
      </w:r>
      <w:r>
        <w:rPr>
          <w:rFonts w:ascii="Arial" w:cs="Arial" w:eastAsia="Arial" w:hAnsi="Arial"/>
          <w:sz w:val="19"/>
          <w:szCs w:val="19"/>
          <w:b w:val="1"/>
          <w:bCs w:val="1"/>
          <w:i w:val="1"/>
          <w:iCs w:val="1"/>
          <w:color w:val="auto"/>
        </w:rPr>
        <w:t>Accounting Practices and</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 xml:space="preserve">Procedures </w:t>
      </w:r>
      <w:r>
        <w:rPr>
          <w:rFonts w:ascii="Arial" w:cs="Arial" w:eastAsia="Arial" w:hAnsi="Arial"/>
          <w:sz w:val="19"/>
          <w:szCs w:val="19"/>
          <w:color w:val="auto"/>
        </w:rPr>
        <w:t>manual (“NAIC SAP”) has been adopted as a component of prescribed or permitted practices by each of the states</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that regulate us. Each of our states of domicile for our title insurance underwriter subsidiaries have adopted a material prescribed accounting practice that differs from that found in NAIC SAP. Specifically, in both years, the timing of amounts released from the statutory unearned premium reserve under NAIC SAP differs from the states' required practice. Statutory surplus at December 31, 2025 and 2024 was lower by approximately $32 million and $33 million than if we had reported such amounts in accordance with NAIC SAP.</w:t>
      </w:r>
    </w:p>
    <w:p>
      <w:pPr>
        <w:sectPr>
          <w:pgSz w:w="11880" w:h="15480" w:orient="portrait"/>
          <w:cols w:equalWidth="0" w:num="1">
            <w:col w:w="10040"/>
          </w:cols>
          <w:pgMar w:left="920" w:top="772"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166</w:t>
      </w:r>
    </w:p>
    <w:p>
      <w:pPr>
        <w:sectPr>
          <w:pgSz w:w="11880" w:h="15480" w:orient="portrait"/>
          <w:cols w:equalWidth="0" w:num="1">
            <w:col w:w="10040"/>
          </w:cols>
          <w:pgMar w:left="920" w:top="772" w:right="920" w:bottom="0" w:gutter="0" w:footer="0" w:header="0"/>
          <w:type w:val="continuous"/>
        </w:sectPr>
      </w:pPr>
    </w:p>
    <w:bookmarkStart w:id="178" w:name="page179"/>
    <w:bookmarkEnd w:id="178"/>
    <w:p>
      <w:pPr>
        <w:jc w:val="both"/>
        <w:ind w:firstLine="353"/>
        <w:spacing w:after="0" w:line="264" w:lineRule="auto"/>
        <w:rPr>
          <w:sz w:val="20"/>
          <w:szCs w:val="20"/>
          <w:color w:val="auto"/>
        </w:rPr>
      </w:pPr>
      <w:r>
        <w:rPr>
          <w:rFonts w:ascii="Arial" w:cs="Arial" w:eastAsia="Arial" w:hAnsi="Arial"/>
          <w:sz w:val="19"/>
          <w:szCs w:val="19"/>
          <w:color w:val="auto"/>
        </w:rPr>
        <w:t>Pursuant to statutory accounting requirements of the various states in which our insurers are domiciled, these insurers must defer a portion of premiums earned as an unearned premium reserve for the protection of policyholders and must maintain qualified assets in an amount equal to the statutory requirements. The level of unearned premium reserve required to be maintained at any time is determined by statutory formula based upon either the age, number of policies and dollar amount of policy liabilities underwritten, or the age and dollar amount of statutory premiums written. As of December 31, 2025, the combined statutory unearned premium reserve required and reported for our title insurers was $1,619 million. In addition to statutory unearned premium reserves, each of our insurers maintains reserves for known claims and surplus funds for policyholder protection and business operations.</w:t>
      </w:r>
    </w:p>
    <w:p>
      <w:pPr>
        <w:spacing w:after="0" w:line="77" w:lineRule="exact"/>
        <w:rPr>
          <w:sz w:val="20"/>
          <w:szCs w:val="20"/>
          <w:color w:val="auto"/>
        </w:rPr>
      </w:pPr>
    </w:p>
    <w:p>
      <w:pPr>
        <w:jc w:val="both"/>
        <w:ind w:firstLine="353"/>
        <w:spacing w:after="0" w:line="254" w:lineRule="auto"/>
        <w:rPr>
          <w:sz w:val="20"/>
          <w:szCs w:val="20"/>
          <w:color w:val="auto"/>
        </w:rPr>
      </w:pPr>
      <w:r>
        <w:rPr>
          <w:rFonts w:ascii="Arial" w:cs="Arial" w:eastAsia="Arial" w:hAnsi="Arial"/>
          <w:sz w:val="20"/>
          <w:szCs w:val="20"/>
          <w:color w:val="auto"/>
        </w:rPr>
        <w:t>Each of our insurance subsidiaries is regulated by the insurance regulatory authority in its respective state of domicile, as well as that of each state in which it is licensed. The insurance commissioners of their respective states of domicile are the primary regulators of our title insurance subsidiaries. Each of the insurers is subject to periodic regulatory financial examination by regulatory authorities.</w:t>
      </w:r>
    </w:p>
    <w:p>
      <w:pPr>
        <w:spacing w:after="0" w:line="85" w:lineRule="exact"/>
        <w:rPr>
          <w:sz w:val="20"/>
          <w:szCs w:val="20"/>
          <w:color w:val="auto"/>
        </w:rPr>
      </w:pPr>
    </w:p>
    <w:p>
      <w:pPr>
        <w:jc w:val="both"/>
        <w:ind w:firstLine="353"/>
        <w:spacing w:after="0" w:line="251" w:lineRule="auto"/>
        <w:rPr>
          <w:sz w:val="20"/>
          <w:szCs w:val="20"/>
          <w:color w:val="auto"/>
        </w:rPr>
      </w:pPr>
      <w:r>
        <w:rPr>
          <w:rFonts w:ascii="Arial" w:cs="Arial" w:eastAsia="Arial" w:hAnsi="Arial"/>
          <w:sz w:val="20"/>
          <w:szCs w:val="20"/>
          <w:color w:val="auto"/>
        </w:rPr>
        <w:t>Our insurance subsidiaries are subject to regulations that restrict their ability to pay dividends or make other distributions of cash or property to their immediate parent company without prior approval from the Department of Insurance of their respective states of domicile. As of December 31, 2025, $1,141 million of our net assets are restricted from dividend payments without prior approval from the Departments of Insurance. During 2026, our title insurers can pay or make distributions to us of approximately $437 million, without prior approval.</w:t>
      </w:r>
    </w:p>
    <w:p>
      <w:pPr>
        <w:spacing w:after="0" w:line="91" w:lineRule="exact"/>
        <w:rPr>
          <w:sz w:val="20"/>
          <w:szCs w:val="20"/>
          <w:color w:val="auto"/>
        </w:rPr>
      </w:pPr>
    </w:p>
    <w:p>
      <w:pPr>
        <w:jc w:val="both"/>
        <w:ind w:firstLine="353"/>
        <w:spacing w:after="0" w:line="325" w:lineRule="auto"/>
        <w:rPr>
          <w:sz w:val="20"/>
          <w:szCs w:val="20"/>
          <w:color w:val="auto"/>
        </w:rPr>
      </w:pPr>
      <w:r>
        <w:rPr>
          <w:rFonts w:ascii="Arial" w:cs="Arial" w:eastAsia="Arial" w:hAnsi="Arial"/>
          <w:sz w:val="17"/>
          <w:szCs w:val="17"/>
          <w:color w:val="auto"/>
        </w:rPr>
        <w:t>The combined statutory capital and surplus of our title insurers was approximately $1,273 million and $1,223 million as of December 31, 2025 and 2024, respectively. The combined statutory net earnings of our title insurance subsidiaries were $488 million, $587 million, and $503 million for the years ended December 31, 2025, 2024, and 2023, respectively.</w:t>
      </w:r>
    </w:p>
    <w:p>
      <w:pPr>
        <w:spacing w:after="0" w:line="29" w:lineRule="exact"/>
        <w:rPr>
          <w:sz w:val="20"/>
          <w:szCs w:val="20"/>
          <w:color w:val="auto"/>
        </w:rPr>
      </w:pPr>
    </w:p>
    <w:p>
      <w:pPr>
        <w:jc w:val="both"/>
        <w:ind w:firstLine="353"/>
        <w:spacing w:after="0" w:line="325" w:lineRule="auto"/>
        <w:rPr>
          <w:sz w:val="20"/>
          <w:szCs w:val="20"/>
          <w:color w:val="auto"/>
        </w:rPr>
      </w:pPr>
      <w:r>
        <w:rPr>
          <w:rFonts w:ascii="Arial" w:cs="Arial" w:eastAsia="Arial" w:hAnsi="Arial"/>
          <w:sz w:val="17"/>
          <w:szCs w:val="17"/>
          <w:color w:val="auto"/>
        </w:rPr>
        <w:t>As a condition to continued authority to underwrite policies in the states in which our insurers conduct their business, the insurers are required to pay certain fees and file information regarding their officers, directors and financial condition. In addition, our escrow and trust business is subject to regulation by various state banking authorities.</w:t>
      </w:r>
    </w:p>
    <w:p>
      <w:pPr>
        <w:spacing w:after="0" w:line="29" w:lineRule="exact"/>
        <w:rPr>
          <w:sz w:val="20"/>
          <w:szCs w:val="20"/>
          <w:color w:val="auto"/>
        </w:rPr>
      </w:pPr>
    </w:p>
    <w:p>
      <w:pPr>
        <w:jc w:val="both"/>
        <w:ind w:firstLine="373"/>
        <w:spacing w:after="0" w:line="254" w:lineRule="auto"/>
        <w:rPr>
          <w:sz w:val="20"/>
          <w:szCs w:val="20"/>
          <w:color w:val="auto"/>
        </w:rPr>
      </w:pPr>
      <w:r>
        <w:rPr>
          <w:rFonts w:ascii="Arial" w:cs="Arial" w:eastAsia="Arial" w:hAnsi="Arial"/>
          <w:sz w:val="20"/>
          <w:szCs w:val="20"/>
          <w:color w:val="auto"/>
        </w:rPr>
        <w:t>Pursuant to statutory requirements of the various states in which our insurers are domiciled, such insurers must maintain certain levels of minimum capital and surplus. Required levels of minimum capital and surplus are not significant to the insurers individually or in the aggregate. Each of our insurers has complied with the minimum statutory requirements as of December 31, 2025.</w:t>
      </w:r>
    </w:p>
    <w:p>
      <w:pPr>
        <w:spacing w:after="0" w:line="85"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9"/>
          <w:szCs w:val="19"/>
          <w:color w:val="auto"/>
        </w:rPr>
        <w:t>Our underwritten title companies, primarily those domiciled in California, are also subject to certain regulation by insurance regulatory or banking authorities relating to their net worth and working capital. Minimum net worth and working capital requirements for each underwritten title company is less than $1 million. These companies were in compliance with their respective minimum net worth and working capital requirements at December 31, 2025.</w:t>
      </w:r>
    </w:p>
    <w:p>
      <w:pPr>
        <w:spacing w:after="0" w:line="72" w:lineRule="exact"/>
        <w:rPr>
          <w:sz w:val="20"/>
          <w:szCs w:val="20"/>
          <w:color w:val="auto"/>
        </w:rPr>
      </w:pPr>
    </w:p>
    <w:p>
      <w:pPr>
        <w:jc w:val="both"/>
        <w:ind w:firstLine="353"/>
        <w:spacing w:after="0" w:line="271" w:lineRule="auto"/>
        <w:rPr>
          <w:sz w:val="20"/>
          <w:szCs w:val="20"/>
          <w:color w:val="auto"/>
        </w:rPr>
      </w:pPr>
      <w:r>
        <w:rPr>
          <w:rFonts w:ascii="Arial" w:cs="Arial" w:eastAsia="Arial" w:hAnsi="Arial"/>
          <w:sz w:val="20"/>
          <w:szCs w:val="20"/>
          <w:color w:val="auto"/>
        </w:rPr>
        <w:t>There are no restrictions on our retained earnings regarding our ability to pay dividends to shareholders although there are limits on the ability of certain subsidiaries to pay dividends to us, as described above.</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F&amp;G</w:t>
      </w:r>
    </w:p>
    <w:p>
      <w:pPr>
        <w:spacing w:after="0" w:line="125" w:lineRule="exact"/>
        <w:rPr>
          <w:sz w:val="20"/>
          <w:szCs w:val="20"/>
          <w:color w:val="auto"/>
        </w:rPr>
      </w:pPr>
    </w:p>
    <w:p>
      <w:pPr>
        <w:jc w:val="both"/>
        <w:ind w:firstLine="353"/>
        <w:spacing w:after="0" w:line="262" w:lineRule="auto"/>
        <w:rPr>
          <w:sz w:val="20"/>
          <w:szCs w:val="20"/>
          <w:color w:val="auto"/>
        </w:rPr>
      </w:pPr>
      <w:r>
        <w:rPr>
          <w:rFonts w:ascii="Arial" w:cs="Arial" w:eastAsia="Arial" w:hAnsi="Arial"/>
          <w:sz w:val="19"/>
          <w:szCs w:val="19"/>
          <w:color w:val="auto"/>
        </w:rPr>
        <w:t>Through our majority owned F&amp;G subsidiary, our insurance subsidiaries, FGL Insurance, FGL NY Insurance, Raven Re and Corbeau Re file financial statements with state insurance regulatory authorities and, except for Raven Re, with the National Association of Insurance Commissioners (“NAIC”) that are prepared in accordance with Statutory Accounting Principles (“SAP”) prescribed or permitted by such authorities. Prescribed SAP includes the Accounting Practices and Procedures Manual of the NAIC as well as state laws, regulations and administrative rules. Permitted SAP encompasses all accounting practices not prescribed but approved by state regulators. The principal differences between SAP financial statements and financial statements prepared in accordance with GAAP are that SAP financial statements do not reflect VOBA, DAC, and DSI, some bond portfolios may be carried at amortized cost, assets and liabilities are presented net of reinsurance, contractholder liabilities are generally valued using more conservative assumptions and certain assets are non-admitted. Accordingly, SAP operating results and SAP capital and surplus may differ substantially from amounts reported in the GAAP basis financial statements for comparable items.</w:t>
      </w:r>
    </w:p>
    <w:p>
      <w:pPr>
        <w:spacing w:after="0" w:line="81" w:lineRule="exact"/>
        <w:rPr>
          <w:sz w:val="20"/>
          <w:szCs w:val="20"/>
          <w:color w:val="auto"/>
        </w:rPr>
      </w:pPr>
    </w:p>
    <w:p>
      <w:pPr>
        <w:jc w:val="both"/>
        <w:ind w:firstLine="353"/>
        <w:spacing w:after="0" w:line="271" w:lineRule="auto"/>
        <w:rPr>
          <w:sz w:val="20"/>
          <w:szCs w:val="20"/>
          <w:color w:val="auto"/>
        </w:rPr>
      </w:pPr>
      <w:r>
        <w:rPr>
          <w:rFonts w:ascii="Arial" w:cs="Arial" w:eastAsia="Arial" w:hAnsi="Arial"/>
          <w:sz w:val="20"/>
          <w:szCs w:val="20"/>
          <w:color w:val="auto"/>
        </w:rPr>
        <w:t>F&amp;G's non-U.S. insurance subsidiaries, F&amp;G Life Re (Bermuda) and F&amp;G Cayman Re (Cayman Islands), file financial statements with their respective regulators.</w:t>
      </w:r>
    </w:p>
    <w:p>
      <w:pPr>
        <w:sectPr>
          <w:pgSz w:w="11880" w:h="15480" w:orient="portrait"/>
          <w:cols w:equalWidth="0" w:num="1">
            <w:col w:w="10040"/>
          </w:cols>
          <w:pgMar w:left="920" w:top="772"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167</w:t>
      </w:r>
    </w:p>
    <w:p>
      <w:pPr>
        <w:sectPr>
          <w:pgSz w:w="11880" w:h="15480" w:orient="portrait"/>
          <w:cols w:equalWidth="0" w:num="1">
            <w:col w:w="10040"/>
          </w:cols>
          <w:pgMar w:left="920" w:top="772" w:right="920" w:bottom="0" w:gutter="0" w:footer="0" w:header="0"/>
          <w:type w:val="continuous"/>
        </w:sectPr>
      </w:pPr>
    </w:p>
    <w:bookmarkStart w:id="179" w:name="page180"/>
    <w:bookmarkEnd w:id="179"/>
    <w:p>
      <w:pPr>
        <w:jc w:val="both"/>
        <w:ind w:left="7" w:firstLine="353"/>
        <w:spacing w:after="0" w:line="258" w:lineRule="auto"/>
        <w:rPr>
          <w:sz w:val="20"/>
          <w:szCs w:val="20"/>
          <w:color w:val="auto"/>
        </w:rPr>
      </w:pPr>
      <w:r>
        <w:rPr>
          <w:rFonts w:ascii="Arial" w:cs="Arial" w:eastAsia="Arial" w:hAnsi="Arial"/>
          <w:sz w:val="20"/>
          <w:szCs w:val="20"/>
          <w:color w:val="auto"/>
        </w:rPr>
        <w:t>In our F&amp;G segment, our principal insurance subsidiaries' statutory financial statements are based on a December 31 year end. Statutory net income and statutory capital and surplus of our wholly owned U.S. regulated insurance subsidiaries were as follows:</w:t>
      </w:r>
    </w:p>
    <w:p>
      <w:pPr>
        <w:spacing w:after="0" w:line="169" w:lineRule="exact"/>
        <w:rPr>
          <w:sz w:val="20"/>
          <w:szCs w:val="20"/>
          <w:color w:val="auto"/>
        </w:rPr>
      </w:pPr>
    </w:p>
    <w:tbl>
      <w:tblPr>
        <w:tblLayout w:type="fixed"/>
        <w:tblInd w:w="47" w:type="dxa"/>
        <w:tblCellMar>
          <w:top w:w="0" w:type="dxa"/>
          <w:left w:w="0" w:type="dxa"/>
          <w:bottom w:w="0" w:type="dxa"/>
          <w:right w:w="0" w:type="dxa"/>
        </w:tblCellMar>
      </w:tblPr>
      <w:tr>
        <w:trPr>
          <w:trHeight w:val="213"/>
        </w:trPr>
        <w:tc>
          <w:tcPr>
            <w:tcW w:w="25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2920" w:type="dxa"/>
            <w:vAlign w:val="bottom"/>
            <w:tcBorders>
              <w:bottom w:val="single" w:sz="8" w:color="auto"/>
            </w:tcBorders>
            <w:gridSpan w:val="3"/>
          </w:tcPr>
          <w:p>
            <w:pPr>
              <w:jc w:val="right"/>
              <w:ind w:right="342"/>
              <w:spacing w:after="0"/>
              <w:rPr>
                <w:sz w:val="20"/>
                <w:szCs w:val="20"/>
                <w:color w:val="auto"/>
              </w:rPr>
            </w:pPr>
            <w:r>
              <w:rPr>
                <w:rFonts w:ascii="Arial" w:cs="Arial" w:eastAsia="Arial" w:hAnsi="Arial"/>
                <w:sz w:val="16"/>
                <w:szCs w:val="16"/>
                <w:b w:val="1"/>
                <w:bCs w:val="1"/>
                <w:color w:val="auto"/>
              </w:rPr>
              <w:t>Subsidiary (state of domicile) (a)</w:t>
            </w:r>
          </w:p>
        </w:tc>
        <w:tc>
          <w:tcPr>
            <w:tcW w:w="34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spacing w:after="0"/>
              <w:rPr>
                <w:sz w:val="18"/>
                <w:szCs w:val="18"/>
                <w:color w:val="auto"/>
              </w:rPr>
            </w:pPr>
          </w:p>
        </w:tc>
      </w:tr>
      <w:tr>
        <w:trPr>
          <w:trHeight w:val="230"/>
        </w:trPr>
        <w:tc>
          <w:tcPr>
            <w:tcW w:w="25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ind w:right="162"/>
              <w:spacing w:after="0"/>
              <w:rPr>
                <w:sz w:val="20"/>
                <w:szCs w:val="20"/>
                <w:color w:val="auto"/>
              </w:rPr>
            </w:pPr>
            <w:r>
              <w:rPr>
                <w:rFonts w:ascii="Arial" w:cs="Arial" w:eastAsia="Arial" w:hAnsi="Arial"/>
                <w:sz w:val="16"/>
                <w:szCs w:val="16"/>
                <w:b w:val="1"/>
                <w:bCs w:val="1"/>
                <w:color w:val="auto"/>
                <w:w w:val="96"/>
              </w:rPr>
              <w:t>FGL Insurance (IA)</w:t>
            </w:r>
          </w:p>
        </w:tc>
        <w:tc>
          <w:tcPr>
            <w:tcW w:w="60" w:type="dxa"/>
            <w:vAlign w:val="bottom"/>
          </w:tcPr>
          <w:p>
            <w:pPr>
              <w:spacing w:after="0"/>
              <w:rPr>
                <w:sz w:val="19"/>
                <w:szCs w:val="19"/>
                <w:color w:val="auto"/>
              </w:rPr>
            </w:pPr>
          </w:p>
        </w:tc>
        <w:tc>
          <w:tcPr>
            <w:tcW w:w="1820" w:type="dxa"/>
            <w:vAlign w:val="bottom"/>
            <w:tcBorders>
              <w:bottom w:val="single" w:sz="8" w:color="auto"/>
            </w:tcBorders>
            <w:gridSpan w:val="2"/>
          </w:tcPr>
          <w:p>
            <w:pPr>
              <w:jc w:val="right"/>
              <w:ind w:right="2"/>
              <w:spacing w:after="0"/>
              <w:rPr>
                <w:sz w:val="20"/>
                <w:szCs w:val="20"/>
                <w:color w:val="auto"/>
              </w:rPr>
            </w:pPr>
            <w:r>
              <w:rPr>
                <w:rFonts w:ascii="Arial" w:cs="Arial" w:eastAsia="Arial" w:hAnsi="Arial"/>
                <w:sz w:val="16"/>
                <w:szCs w:val="16"/>
                <w:b w:val="1"/>
                <w:bCs w:val="1"/>
                <w:color w:val="auto"/>
                <w:w w:val="97"/>
              </w:rPr>
              <w:t>FGL NY Insurance (NY)</w:t>
            </w:r>
          </w:p>
        </w:tc>
        <w:tc>
          <w:tcPr>
            <w:tcW w:w="60" w:type="dxa"/>
            <w:vAlign w:val="bottom"/>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Raven Re (VT)</w:t>
            </w:r>
          </w:p>
        </w:tc>
        <w:tc>
          <w:tcPr>
            <w:tcW w:w="34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ind w:right="242"/>
              <w:spacing w:after="0"/>
              <w:rPr>
                <w:sz w:val="20"/>
                <w:szCs w:val="20"/>
                <w:color w:val="auto"/>
              </w:rPr>
            </w:pPr>
            <w:r>
              <w:rPr>
                <w:rFonts w:ascii="Arial" w:cs="Arial" w:eastAsia="Arial" w:hAnsi="Arial"/>
                <w:sz w:val="16"/>
                <w:szCs w:val="16"/>
                <w:b w:val="1"/>
                <w:bCs w:val="1"/>
                <w:color w:val="auto"/>
                <w:w w:val="98"/>
              </w:rPr>
              <w:t>Corbeau Re (VT)</w:t>
            </w:r>
          </w:p>
        </w:tc>
      </w:tr>
      <w:tr>
        <w:trPr>
          <w:trHeight w:val="223"/>
        </w:trPr>
        <w:tc>
          <w:tcPr>
            <w:tcW w:w="2540" w:type="dxa"/>
            <w:vAlign w:val="bottom"/>
          </w:tcPr>
          <w:p>
            <w:pPr>
              <w:spacing w:after="0"/>
              <w:rPr>
                <w:sz w:val="20"/>
                <w:szCs w:val="20"/>
                <w:color w:val="auto"/>
              </w:rPr>
            </w:pPr>
            <w:r>
              <w:rPr>
                <w:rFonts w:ascii="Arial" w:cs="Arial" w:eastAsia="Arial" w:hAnsi="Arial"/>
                <w:sz w:val="16"/>
                <w:szCs w:val="16"/>
                <w:b w:val="1"/>
                <w:bCs w:val="1"/>
                <w:color w:val="auto"/>
              </w:rPr>
              <w:t>Statutory Net (loss) income:</w:t>
            </w:r>
          </w:p>
        </w:tc>
        <w:tc>
          <w:tcPr>
            <w:tcW w:w="18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920" w:type="dxa"/>
            <w:vAlign w:val="bottom"/>
            <w:gridSpan w:val="3"/>
          </w:tcPr>
          <w:p>
            <w:pPr>
              <w:jc w:val="right"/>
              <w:ind w:right="1022"/>
              <w:spacing w:after="0"/>
              <w:rPr>
                <w:sz w:val="20"/>
                <w:szCs w:val="20"/>
                <w:color w:val="auto"/>
              </w:rPr>
            </w:pPr>
            <w:r>
              <w:rPr>
                <w:rFonts w:ascii="Arial" w:cs="Arial" w:eastAsia="Arial" w:hAnsi="Arial"/>
                <w:sz w:val="16"/>
                <w:szCs w:val="16"/>
                <w:b w:val="1"/>
                <w:bCs w:val="1"/>
                <w:color w:val="auto"/>
              </w:rPr>
              <w:t>(In millions)</w:t>
            </w:r>
          </w:p>
        </w:tc>
        <w:tc>
          <w:tcPr>
            <w:tcW w:w="3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80" w:type="dxa"/>
            <w:vAlign w:val="bottom"/>
          </w:tcPr>
          <w:p>
            <w:pPr>
              <w:spacing w:after="0"/>
              <w:rPr>
                <w:sz w:val="19"/>
                <w:szCs w:val="19"/>
                <w:color w:val="auto"/>
              </w:rPr>
            </w:pPr>
          </w:p>
        </w:tc>
      </w:tr>
      <w:tr>
        <w:trPr>
          <w:trHeight w:val="250"/>
        </w:trPr>
        <w:tc>
          <w:tcPr>
            <w:tcW w:w="2540" w:type="dxa"/>
            <w:vAlign w:val="bottom"/>
          </w:tcPr>
          <w:p>
            <w:pPr>
              <w:spacing w:after="0"/>
              <w:rPr>
                <w:sz w:val="20"/>
                <w:szCs w:val="20"/>
                <w:color w:val="auto"/>
              </w:rPr>
            </w:pPr>
            <w:r>
              <w:rPr>
                <w:rFonts w:ascii="Arial" w:cs="Arial" w:eastAsia="Arial" w:hAnsi="Arial"/>
                <w:sz w:val="16"/>
                <w:szCs w:val="16"/>
                <w:color w:val="auto"/>
              </w:rPr>
              <w:t>Year ended December 31, 2025</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640" w:type="dxa"/>
            <w:vAlign w:val="bottom"/>
          </w:tcPr>
          <w:p>
            <w:pPr>
              <w:jc w:val="right"/>
              <w:spacing w:after="0"/>
              <w:rPr>
                <w:sz w:val="20"/>
                <w:szCs w:val="20"/>
                <w:color w:val="auto"/>
              </w:rPr>
            </w:pPr>
            <w:r>
              <w:rPr>
                <w:rFonts w:ascii="Arial" w:cs="Arial" w:eastAsia="Arial" w:hAnsi="Arial"/>
                <w:sz w:val="16"/>
                <w:szCs w:val="16"/>
                <w:color w:val="auto"/>
              </w:rPr>
              <w:t>(257)</w:t>
            </w:r>
          </w:p>
        </w:tc>
        <w:tc>
          <w:tcPr>
            <w:tcW w:w="500" w:type="dxa"/>
            <w:vAlign w:val="bottom"/>
            <w:gridSpan w:val="2"/>
          </w:tcPr>
          <w:p>
            <w:pPr>
              <w:jc w:val="right"/>
              <w:ind w:right="222"/>
              <w:spacing w:after="0"/>
              <w:rPr>
                <w:sz w:val="20"/>
                <w:szCs w:val="20"/>
                <w:color w:val="auto"/>
              </w:rPr>
            </w:pPr>
            <w:r>
              <w:rPr>
                <w:rFonts w:ascii="Arial" w:cs="Arial" w:eastAsia="Arial" w:hAnsi="Arial"/>
                <w:sz w:val="16"/>
                <w:szCs w:val="16"/>
                <w:color w:val="auto"/>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29</w:t>
            </w:r>
          </w:p>
        </w:tc>
        <w:tc>
          <w:tcPr>
            <w:tcW w:w="1540" w:type="dxa"/>
            <w:vAlign w:val="bottom"/>
            <w:gridSpan w:val="2"/>
          </w:tcPr>
          <w:p>
            <w:pPr>
              <w:jc w:val="right"/>
              <w:ind w:right="1262"/>
              <w:spacing w:after="0"/>
              <w:rPr>
                <w:sz w:val="20"/>
                <w:szCs w:val="20"/>
                <w:color w:val="auto"/>
              </w:rPr>
            </w:pPr>
            <w:r>
              <w:rPr>
                <w:rFonts w:ascii="Arial" w:cs="Arial" w:eastAsia="Arial" w:hAnsi="Arial"/>
                <w:sz w:val="16"/>
                <w:szCs w:val="16"/>
                <w:color w:val="auto"/>
              </w:rPr>
              <w:t>$</w:t>
            </w:r>
          </w:p>
        </w:tc>
        <w:tc>
          <w:tcPr>
            <w:tcW w:w="340" w:type="dxa"/>
            <w:vAlign w:val="bottom"/>
          </w:tcPr>
          <w:p>
            <w:pPr>
              <w:jc w:val="right"/>
              <w:spacing w:after="0"/>
              <w:rPr>
                <w:sz w:val="20"/>
                <w:szCs w:val="20"/>
                <w:color w:val="auto"/>
              </w:rPr>
            </w:pPr>
            <w:r>
              <w:rPr>
                <w:rFonts w:ascii="Arial" w:cs="Arial" w:eastAsia="Arial" w:hAnsi="Arial"/>
                <w:sz w:val="16"/>
                <w:szCs w:val="16"/>
                <w:color w:val="auto"/>
              </w:rPr>
              <w:t>38</w:t>
            </w:r>
          </w:p>
        </w:tc>
        <w:tc>
          <w:tcPr>
            <w:tcW w:w="3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580" w:type="dxa"/>
            <w:vAlign w:val="bottom"/>
          </w:tcPr>
          <w:p>
            <w:pPr>
              <w:jc w:val="right"/>
              <w:spacing w:after="0"/>
              <w:rPr>
                <w:sz w:val="20"/>
                <w:szCs w:val="20"/>
                <w:color w:val="auto"/>
              </w:rPr>
            </w:pPr>
            <w:r>
              <w:rPr>
                <w:rFonts w:ascii="Arial" w:cs="Arial" w:eastAsia="Arial" w:hAnsi="Arial"/>
                <w:sz w:val="16"/>
                <w:szCs w:val="16"/>
                <w:color w:val="auto"/>
              </w:rPr>
              <w:t>(201)</w:t>
            </w:r>
          </w:p>
        </w:tc>
      </w:tr>
      <w:tr>
        <w:trPr>
          <w:trHeight w:val="250"/>
        </w:trPr>
        <w:tc>
          <w:tcPr>
            <w:tcW w:w="2540" w:type="dxa"/>
            <w:vAlign w:val="bottom"/>
          </w:tcPr>
          <w:p>
            <w:pPr>
              <w:spacing w:after="0"/>
              <w:rPr>
                <w:sz w:val="20"/>
                <w:szCs w:val="20"/>
                <w:color w:val="auto"/>
              </w:rPr>
            </w:pPr>
            <w:r>
              <w:rPr>
                <w:rFonts w:ascii="Arial" w:cs="Arial" w:eastAsia="Arial" w:hAnsi="Arial"/>
                <w:sz w:val="16"/>
                <w:szCs w:val="16"/>
                <w:color w:val="auto"/>
              </w:rPr>
              <w:t>Year ended December 31, 2024</w:t>
            </w:r>
          </w:p>
        </w:tc>
        <w:tc>
          <w:tcPr>
            <w:tcW w:w="18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150</w:t>
            </w:r>
          </w:p>
        </w:tc>
        <w:tc>
          <w:tcPr>
            <w:tcW w:w="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8</w:t>
            </w:r>
          </w:p>
        </w:tc>
        <w:tc>
          <w:tcPr>
            <w:tcW w:w="6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rPr>
              <w:t>54</w:t>
            </w: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(458)</w:t>
            </w:r>
          </w:p>
        </w:tc>
      </w:tr>
      <w:tr>
        <w:trPr>
          <w:trHeight w:val="250"/>
        </w:trPr>
        <w:tc>
          <w:tcPr>
            <w:tcW w:w="2540" w:type="dxa"/>
            <w:vAlign w:val="bottom"/>
          </w:tcPr>
          <w:p>
            <w:pPr>
              <w:spacing w:after="0"/>
              <w:rPr>
                <w:sz w:val="20"/>
                <w:szCs w:val="20"/>
                <w:color w:val="auto"/>
              </w:rPr>
            </w:pPr>
            <w:r>
              <w:rPr>
                <w:rFonts w:ascii="Arial" w:cs="Arial" w:eastAsia="Arial" w:hAnsi="Arial"/>
                <w:sz w:val="16"/>
                <w:szCs w:val="16"/>
                <w:color w:val="auto"/>
              </w:rPr>
              <w:t>Year ended December 31, 2023</w:t>
            </w:r>
          </w:p>
        </w:tc>
        <w:tc>
          <w:tcPr>
            <w:tcW w:w="18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(462)</w:t>
            </w:r>
          </w:p>
        </w:tc>
        <w:tc>
          <w:tcPr>
            <w:tcW w:w="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5</w:t>
            </w:r>
          </w:p>
        </w:tc>
        <w:tc>
          <w:tcPr>
            <w:tcW w:w="6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rPr>
              <w:t>60</w:t>
            </w: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(644)</w:t>
            </w:r>
          </w:p>
        </w:tc>
      </w:tr>
      <w:tr>
        <w:trPr>
          <w:trHeight w:val="500"/>
        </w:trPr>
        <w:tc>
          <w:tcPr>
            <w:tcW w:w="2540" w:type="dxa"/>
            <w:vAlign w:val="bottom"/>
          </w:tcPr>
          <w:p>
            <w:pPr>
              <w:spacing w:after="0"/>
              <w:rPr>
                <w:sz w:val="20"/>
                <w:szCs w:val="20"/>
                <w:color w:val="auto"/>
              </w:rPr>
            </w:pPr>
            <w:r>
              <w:rPr>
                <w:rFonts w:ascii="Arial" w:cs="Arial" w:eastAsia="Arial" w:hAnsi="Arial"/>
                <w:sz w:val="16"/>
                <w:szCs w:val="16"/>
                <w:b w:val="1"/>
                <w:bCs w:val="1"/>
                <w:color w:val="auto"/>
              </w:rPr>
              <w:t>Statutory Capital and Surplus:</w:t>
            </w:r>
          </w:p>
        </w:tc>
        <w:tc>
          <w:tcPr>
            <w:tcW w:w="1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250"/>
        </w:trPr>
        <w:tc>
          <w:tcPr>
            <w:tcW w:w="2540" w:type="dxa"/>
            <w:vAlign w:val="bottom"/>
          </w:tcPr>
          <w:p>
            <w:pPr>
              <w:spacing w:after="0"/>
              <w:rPr>
                <w:sz w:val="20"/>
                <w:szCs w:val="20"/>
                <w:color w:val="auto"/>
              </w:rPr>
            </w:pPr>
            <w:r>
              <w:rPr>
                <w:rFonts w:ascii="Arial" w:cs="Arial" w:eastAsia="Arial" w:hAnsi="Arial"/>
                <w:sz w:val="16"/>
                <w:szCs w:val="16"/>
                <w:color w:val="auto"/>
              </w:rPr>
              <w:t>December 31, 2025</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640" w:type="dxa"/>
            <w:vAlign w:val="bottom"/>
          </w:tcPr>
          <w:p>
            <w:pPr>
              <w:jc w:val="right"/>
              <w:spacing w:after="0"/>
              <w:rPr>
                <w:sz w:val="20"/>
                <w:szCs w:val="20"/>
                <w:color w:val="auto"/>
              </w:rPr>
            </w:pPr>
            <w:r>
              <w:rPr>
                <w:rFonts w:ascii="Arial" w:cs="Arial" w:eastAsia="Arial" w:hAnsi="Arial"/>
                <w:sz w:val="16"/>
                <w:szCs w:val="16"/>
                <w:color w:val="auto"/>
              </w:rPr>
              <w:t>1,735</w:t>
            </w:r>
          </w:p>
        </w:tc>
        <w:tc>
          <w:tcPr>
            <w:tcW w:w="500" w:type="dxa"/>
            <w:vAlign w:val="bottom"/>
            <w:gridSpan w:val="2"/>
          </w:tcPr>
          <w:p>
            <w:pPr>
              <w:jc w:val="right"/>
              <w:ind w:right="222"/>
              <w:spacing w:after="0"/>
              <w:rPr>
                <w:sz w:val="20"/>
                <w:szCs w:val="20"/>
                <w:color w:val="auto"/>
              </w:rPr>
            </w:pPr>
            <w:r>
              <w:rPr>
                <w:rFonts w:ascii="Arial" w:cs="Arial" w:eastAsia="Arial" w:hAnsi="Arial"/>
                <w:sz w:val="16"/>
                <w:szCs w:val="16"/>
                <w:color w:val="auto"/>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122</w:t>
            </w:r>
          </w:p>
        </w:tc>
        <w:tc>
          <w:tcPr>
            <w:tcW w:w="1540" w:type="dxa"/>
            <w:vAlign w:val="bottom"/>
            <w:gridSpan w:val="2"/>
          </w:tcPr>
          <w:p>
            <w:pPr>
              <w:jc w:val="right"/>
              <w:ind w:right="1262"/>
              <w:spacing w:after="0"/>
              <w:rPr>
                <w:sz w:val="20"/>
                <w:szCs w:val="20"/>
                <w:color w:val="auto"/>
              </w:rPr>
            </w:pPr>
            <w:r>
              <w:rPr>
                <w:rFonts w:ascii="Arial" w:cs="Arial" w:eastAsia="Arial" w:hAnsi="Arial"/>
                <w:sz w:val="16"/>
                <w:szCs w:val="16"/>
                <w:color w:val="auto"/>
              </w:rPr>
              <w:t>$</w:t>
            </w:r>
          </w:p>
        </w:tc>
        <w:tc>
          <w:tcPr>
            <w:tcW w:w="340" w:type="dxa"/>
            <w:vAlign w:val="bottom"/>
          </w:tcPr>
          <w:p>
            <w:pPr>
              <w:jc w:val="right"/>
              <w:spacing w:after="0"/>
              <w:rPr>
                <w:sz w:val="20"/>
                <w:szCs w:val="20"/>
                <w:color w:val="auto"/>
              </w:rPr>
            </w:pPr>
            <w:r>
              <w:rPr>
                <w:rFonts w:ascii="Arial" w:cs="Arial" w:eastAsia="Arial" w:hAnsi="Arial"/>
                <w:sz w:val="16"/>
                <w:szCs w:val="16"/>
                <w:color w:val="auto"/>
                <w:w w:val="97"/>
              </w:rPr>
              <w:t>182</w:t>
            </w:r>
          </w:p>
        </w:tc>
        <w:tc>
          <w:tcPr>
            <w:tcW w:w="3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580" w:type="dxa"/>
            <w:vAlign w:val="bottom"/>
          </w:tcPr>
          <w:p>
            <w:pPr>
              <w:jc w:val="right"/>
              <w:spacing w:after="0"/>
              <w:rPr>
                <w:sz w:val="20"/>
                <w:szCs w:val="20"/>
                <w:color w:val="auto"/>
              </w:rPr>
            </w:pPr>
            <w:r>
              <w:rPr>
                <w:rFonts w:ascii="Arial" w:cs="Arial" w:eastAsia="Arial" w:hAnsi="Arial"/>
                <w:sz w:val="16"/>
                <w:szCs w:val="16"/>
                <w:color w:val="auto"/>
              </w:rPr>
              <w:t>236</w:t>
            </w:r>
          </w:p>
        </w:tc>
      </w:tr>
      <w:tr>
        <w:trPr>
          <w:trHeight w:val="250"/>
        </w:trPr>
        <w:tc>
          <w:tcPr>
            <w:tcW w:w="2540" w:type="dxa"/>
            <w:vAlign w:val="bottom"/>
          </w:tcPr>
          <w:p>
            <w:pPr>
              <w:spacing w:after="0"/>
              <w:rPr>
                <w:sz w:val="20"/>
                <w:szCs w:val="20"/>
                <w:color w:val="auto"/>
              </w:rPr>
            </w:pPr>
            <w:r>
              <w:rPr>
                <w:rFonts w:ascii="Arial" w:cs="Arial" w:eastAsia="Arial" w:hAnsi="Arial"/>
                <w:sz w:val="16"/>
                <w:szCs w:val="16"/>
                <w:color w:val="auto"/>
              </w:rPr>
              <w:t>December 31, 2024</w:t>
            </w:r>
          </w:p>
        </w:tc>
        <w:tc>
          <w:tcPr>
            <w:tcW w:w="18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1,654</w:t>
            </w:r>
          </w:p>
        </w:tc>
        <w:tc>
          <w:tcPr>
            <w:tcW w:w="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97</w:t>
            </w:r>
          </w:p>
        </w:tc>
        <w:tc>
          <w:tcPr>
            <w:tcW w:w="6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w w:val="97"/>
              </w:rPr>
              <w:t>168</w:t>
            </w: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178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-1111885</wp:posOffset>
            </wp:positionV>
            <wp:extent cx="6410325" cy="113601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42">
                      <a:extLst>
                        <a:ext uri="{28A0092B-C50C-407E-A947-70E740481C1C}"/>
                      </a:extLst>
                    </a:blip>
                    <a:srcRect/>
                    <a:stretch>
                      <a:fillRect/>
                    </a:stretch>
                  </pic:blipFill>
                  <pic:spPr bwMode="auto">
                    <a:xfrm>
                      <a:off x="0" y="0"/>
                      <a:ext cx="6410325" cy="1136015"/>
                    </a:xfrm>
                    <a:prstGeom prst="rect">
                      <a:avLst/>
                    </a:prstGeom>
                    <a:noFill/>
                  </pic:spPr>
                </pic:pic>
              </a:graphicData>
            </a:graphic>
          </wp:anchor>
        </w:drawing>
      </w:r>
    </w:p>
    <w:p>
      <w:pPr>
        <w:spacing w:after="0" w:line="134" w:lineRule="exact"/>
        <w:rPr>
          <w:sz w:val="20"/>
          <w:szCs w:val="20"/>
          <w:color w:val="auto"/>
        </w:rPr>
      </w:pPr>
    </w:p>
    <w:p>
      <w:pPr>
        <w:ind w:left="167" w:hanging="167"/>
        <w:spacing w:after="0" w:line="271" w:lineRule="auto"/>
        <w:tabs>
          <w:tab w:leader="none" w:pos="232" w:val="left"/>
        </w:tabs>
        <w:numPr>
          <w:ilvl w:val="0"/>
          <w:numId w:val="59"/>
        </w:numPr>
        <w:rPr>
          <w:rFonts w:ascii="Arial" w:cs="Arial" w:eastAsia="Arial" w:hAnsi="Arial"/>
          <w:sz w:val="16"/>
          <w:szCs w:val="16"/>
          <w:color w:val="auto"/>
        </w:rPr>
      </w:pPr>
      <w:r>
        <w:rPr>
          <w:rFonts w:ascii="Arial" w:cs="Arial" w:eastAsia="Arial" w:hAnsi="Arial"/>
          <w:sz w:val="16"/>
          <w:szCs w:val="16"/>
          <w:color w:val="auto"/>
        </w:rPr>
        <w:t>FGL NY Insurance, Raven Re and Corbeau Re are subsidiaries of FGL Insurance, and the columns should not be added together. Corbeau Re was incorporated on September 1, 2023.</w:t>
      </w:r>
    </w:p>
    <w:p>
      <w:pPr>
        <w:spacing w:after="0" w:line="60" w:lineRule="exact"/>
        <w:rPr>
          <w:sz w:val="20"/>
          <w:szCs w:val="20"/>
          <w:color w:val="auto"/>
        </w:rPr>
      </w:pPr>
    </w:p>
    <w:p>
      <w:pPr>
        <w:ind w:left="347"/>
        <w:spacing w:after="0"/>
        <w:rPr>
          <w:sz w:val="20"/>
          <w:szCs w:val="20"/>
          <w:color w:val="auto"/>
        </w:rPr>
      </w:pPr>
      <w:r>
        <w:rPr>
          <w:rFonts w:ascii="Arial" w:cs="Arial" w:eastAsia="Arial" w:hAnsi="Arial"/>
          <w:sz w:val="20"/>
          <w:szCs w:val="20"/>
          <w:b w:val="1"/>
          <w:bCs w:val="1"/>
          <w:i w:val="1"/>
          <w:iCs w:val="1"/>
          <w:color w:val="auto"/>
        </w:rPr>
        <w:t>Regulation - U.S. Companies</w:t>
      </w:r>
    </w:p>
    <w:p>
      <w:pPr>
        <w:spacing w:after="0" w:line="130" w:lineRule="exact"/>
        <w:rPr>
          <w:sz w:val="20"/>
          <w:szCs w:val="20"/>
          <w:color w:val="auto"/>
        </w:rPr>
      </w:pPr>
    </w:p>
    <w:p>
      <w:pPr>
        <w:jc w:val="both"/>
        <w:ind w:left="7" w:firstLine="353"/>
        <w:spacing w:after="0" w:line="271" w:lineRule="auto"/>
        <w:rPr>
          <w:sz w:val="20"/>
          <w:szCs w:val="20"/>
          <w:color w:val="auto"/>
        </w:rPr>
      </w:pPr>
      <w:r>
        <w:rPr>
          <w:rFonts w:ascii="Arial" w:cs="Arial" w:eastAsia="Arial" w:hAnsi="Arial"/>
          <w:sz w:val="20"/>
          <w:szCs w:val="20"/>
          <w:color w:val="auto"/>
        </w:rPr>
        <w:t>FGL Insurance, FGL NY Insurance, Raven Re and Corbeau Re’s respective statutory capital and surplus satisfy the applicable minimum regulatory requirements.</w:t>
      </w:r>
    </w:p>
    <w:p>
      <w:pPr>
        <w:spacing w:after="0" w:line="69" w:lineRule="exact"/>
        <w:rPr>
          <w:sz w:val="20"/>
          <w:szCs w:val="20"/>
          <w:color w:val="auto"/>
        </w:rPr>
      </w:pPr>
    </w:p>
    <w:p>
      <w:pPr>
        <w:jc w:val="both"/>
        <w:ind w:left="7" w:firstLine="353"/>
        <w:spacing w:after="0" w:line="266" w:lineRule="auto"/>
        <w:rPr>
          <w:sz w:val="20"/>
          <w:szCs w:val="20"/>
          <w:color w:val="auto"/>
        </w:rPr>
      </w:pPr>
      <w:r>
        <w:rPr>
          <w:rFonts w:ascii="Arial" w:cs="Arial" w:eastAsia="Arial" w:hAnsi="Arial"/>
          <w:sz w:val="19"/>
          <w:szCs w:val="19"/>
          <w:color w:val="auto"/>
        </w:rPr>
        <w:t>To enhance the regulation of insurers’ solvency, the NAIC adopted a model law to implement risk-based capital ("RBC") requirements for life, health and property and casualty insurance companies. All states have adopted the NAIC’s model law or a substantially similar law. RBC is used to evaluate the adequacy of capital and surplus maintained by an insurance company in relation to risks associated with: (i) asset risk, (ii) insurance risk, (iii) interest rate risk, and (iv) business risk. As of the most recent annual statutory financial statements filed with insurance regulators, the RBC ratios for each of our U.S Insurance Companies exceeded the minimum RBC requirements.</w:t>
      </w:r>
    </w:p>
    <w:p>
      <w:pPr>
        <w:spacing w:after="0" w:line="74" w:lineRule="exact"/>
        <w:rPr>
          <w:sz w:val="20"/>
          <w:szCs w:val="20"/>
          <w:color w:val="auto"/>
        </w:rPr>
      </w:pPr>
    </w:p>
    <w:p>
      <w:pPr>
        <w:ind w:left="347"/>
        <w:spacing w:after="0"/>
        <w:rPr>
          <w:sz w:val="20"/>
          <w:szCs w:val="20"/>
          <w:color w:val="auto"/>
        </w:rPr>
      </w:pPr>
      <w:r>
        <w:rPr>
          <w:rFonts w:ascii="Arial" w:cs="Arial" w:eastAsia="Arial" w:hAnsi="Arial"/>
          <w:sz w:val="20"/>
          <w:szCs w:val="20"/>
          <w:b w:val="1"/>
          <w:bCs w:val="1"/>
          <w:i w:val="1"/>
          <w:iCs w:val="1"/>
          <w:color w:val="auto"/>
        </w:rPr>
        <w:t>Dividends</w:t>
      </w:r>
    </w:p>
    <w:p>
      <w:pPr>
        <w:spacing w:after="0" w:line="125" w:lineRule="exact"/>
        <w:rPr>
          <w:sz w:val="20"/>
          <w:szCs w:val="20"/>
          <w:color w:val="auto"/>
        </w:rPr>
      </w:pPr>
    </w:p>
    <w:p>
      <w:pPr>
        <w:jc w:val="both"/>
        <w:ind w:left="7" w:firstLine="353"/>
        <w:spacing w:after="0" w:line="271" w:lineRule="auto"/>
        <w:rPr>
          <w:sz w:val="20"/>
          <w:szCs w:val="20"/>
          <w:color w:val="auto"/>
        </w:rPr>
      </w:pPr>
      <w:r>
        <w:rPr>
          <w:rFonts w:ascii="Arial" w:cs="Arial" w:eastAsia="Arial" w:hAnsi="Arial"/>
          <w:sz w:val="20"/>
          <w:szCs w:val="20"/>
          <w:color w:val="auto"/>
        </w:rPr>
        <w:t>The insurance laws of Iowa and New York regulate the amount of dividends that may be paid in any year by FGL Insurance and FGL NY Insurance, respectively.</w:t>
      </w:r>
    </w:p>
    <w:p>
      <w:pPr>
        <w:spacing w:after="0" w:line="69" w:lineRule="exact"/>
        <w:rPr>
          <w:sz w:val="20"/>
          <w:szCs w:val="20"/>
          <w:color w:val="auto"/>
        </w:rPr>
      </w:pPr>
    </w:p>
    <w:p>
      <w:pPr>
        <w:jc w:val="both"/>
        <w:ind w:left="7" w:firstLine="353"/>
        <w:spacing w:after="0" w:line="264" w:lineRule="auto"/>
        <w:rPr>
          <w:sz w:val="20"/>
          <w:szCs w:val="20"/>
          <w:color w:val="auto"/>
        </w:rPr>
      </w:pPr>
      <w:r>
        <w:rPr>
          <w:rFonts w:ascii="Arial" w:cs="Arial" w:eastAsia="Arial" w:hAnsi="Arial"/>
          <w:sz w:val="19"/>
          <w:szCs w:val="19"/>
          <w:color w:val="auto"/>
        </w:rPr>
        <w:t>FGL Insurance dividends are paid as declared by its Board of Directors. Pursuant to Iowa insurance law, any proposed payment of a dividend is classified as an "extraordinary dividend" if it, together with the aggregate fair market value of other dividends or distributions made during the preceding twelve months, exceeds the greater of (i) 10% of capital and surplus as of the preceding December 31 or (ii) net gain from operations before realized capital gains or losses for the twelve month period ending December 31 of the preceding year. No extraordinary dividends may be paid without prior approval of the IID. In addition, no ordinary dividends may be paid except from the earned profits arising from FGL Insurance's business, which does not include contributed capital or contributed surplus.</w:t>
      </w:r>
    </w:p>
    <w:p>
      <w:pPr>
        <w:spacing w:after="0" w:line="82" w:lineRule="exact"/>
        <w:rPr>
          <w:sz w:val="20"/>
          <w:szCs w:val="20"/>
          <w:color w:val="auto"/>
        </w:rPr>
      </w:pPr>
    </w:p>
    <w:p>
      <w:pPr>
        <w:jc w:val="both"/>
        <w:ind w:left="7" w:firstLine="353"/>
        <w:spacing w:after="0" w:line="258" w:lineRule="auto"/>
        <w:rPr>
          <w:sz w:val="20"/>
          <w:szCs w:val="20"/>
          <w:color w:val="auto"/>
        </w:rPr>
      </w:pPr>
      <w:r>
        <w:rPr>
          <w:rFonts w:ascii="Arial" w:cs="Arial" w:eastAsia="Arial" w:hAnsi="Arial"/>
          <w:sz w:val="20"/>
          <w:szCs w:val="20"/>
          <w:color w:val="auto"/>
        </w:rPr>
        <w:t>FGL Insurance did not pay dividends to its parent, Fidelity &amp; Guaranty Life Holdings, Inc. ("FGLH"), for the years ended December 31, 2025, 2024, and 2023. Pursuant to the limitations described above, it is estimated that FGL Insurance's maximum ordinary dividend capacity for 2026 is $0.</w:t>
      </w:r>
    </w:p>
    <w:p>
      <w:pPr>
        <w:spacing w:after="0" w:line="82" w:lineRule="exact"/>
        <w:rPr>
          <w:sz w:val="20"/>
          <w:szCs w:val="20"/>
          <w:color w:val="auto"/>
        </w:rPr>
      </w:pPr>
    </w:p>
    <w:p>
      <w:pPr>
        <w:jc w:val="both"/>
        <w:ind w:left="7" w:firstLine="353"/>
        <w:spacing w:after="0" w:line="312" w:lineRule="auto"/>
        <w:rPr>
          <w:sz w:val="20"/>
          <w:szCs w:val="20"/>
          <w:color w:val="auto"/>
        </w:rPr>
      </w:pPr>
      <w:r>
        <w:rPr>
          <w:rFonts w:ascii="Arial" w:cs="Arial" w:eastAsia="Arial" w:hAnsi="Arial"/>
          <w:sz w:val="17"/>
          <w:szCs w:val="17"/>
          <w:color w:val="auto"/>
        </w:rPr>
        <w:t>Each year, FGL NY Insurance may pay a certain limited amount of ordinary dividends or other distributions without being required to obtain the prior consent of the New York State Department of Financial Services (“NYDFS”). However, to pay any dividends or distributions in a calendar year immediately following a calendar year in which the FGL NY's net gain from operations, not including realized capital gains, was negative, approval from the NY Superintendent is required.</w:t>
      </w:r>
    </w:p>
    <w:p>
      <w:pPr>
        <w:spacing w:after="0" w:line="42" w:lineRule="exact"/>
        <w:rPr>
          <w:sz w:val="20"/>
          <w:szCs w:val="20"/>
          <w:color w:val="auto"/>
        </w:rPr>
      </w:pPr>
    </w:p>
    <w:p>
      <w:pPr>
        <w:jc w:val="both"/>
        <w:ind w:left="7" w:firstLine="353"/>
        <w:spacing w:after="0" w:line="258" w:lineRule="auto"/>
        <w:rPr>
          <w:sz w:val="20"/>
          <w:szCs w:val="20"/>
          <w:color w:val="auto"/>
        </w:rPr>
      </w:pPr>
      <w:r>
        <w:rPr>
          <w:rFonts w:ascii="Arial" w:cs="Arial" w:eastAsia="Arial" w:hAnsi="Arial"/>
          <w:sz w:val="20"/>
          <w:szCs w:val="20"/>
          <w:color w:val="auto"/>
        </w:rPr>
        <w:t>FGL NY Insurance has historically not paid dividends. Based on the limitations described above, it's estimated that the maximum amount of ordinary dividends FGL NY Insurance will be permitted to distribute during 2026 is approximately $27 million.</w:t>
      </w:r>
    </w:p>
    <w:p>
      <w:pPr>
        <w:spacing w:after="0" w:line="82" w:lineRule="exact"/>
        <w:rPr>
          <w:sz w:val="20"/>
          <w:szCs w:val="20"/>
          <w:color w:val="auto"/>
        </w:rPr>
      </w:pPr>
    </w:p>
    <w:p>
      <w:pPr>
        <w:jc w:val="both"/>
        <w:ind w:left="7" w:firstLine="353"/>
        <w:spacing w:after="0" w:line="258" w:lineRule="auto"/>
        <w:rPr>
          <w:sz w:val="20"/>
          <w:szCs w:val="20"/>
          <w:color w:val="auto"/>
        </w:rPr>
      </w:pPr>
      <w:r>
        <w:rPr>
          <w:rFonts w:ascii="Arial" w:cs="Arial" w:eastAsia="Arial" w:hAnsi="Arial"/>
          <w:sz w:val="20"/>
          <w:szCs w:val="20"/>
          <w:color w:val="auto"/>
        </w:rPr>
        <w:t>Raven Re and Corbeau Re dividends are paid as declared by their Board of Directors. Under the laws of the State of Vermont, no captive insurance company may pay a dividend out of, or other distribution with respect to, capital or surplus, without the prior approval of the Commissioner.</w:t>
      </w:r>
    </w:p>
    <w:p>
      <w:pPr>
        <w:sectPr>
          <w:pgSz w:w="11880" w:h="15480" w:orient="portrait"/>
          <w:cols w:equalWidth="0" w:num="1">
            <w:col w:w="10047"/>
          </w:cols>
          <w:pgMar w:left="913" w:top="772"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6"/>
        <w:spacing w:after="0"/>
        <w:rPr>
          <w:sz w:val="20"/>
          <w:szCs w:val="20"/>
          <w:color w:val="auto"/>
        </w:rPr>
      </w:pPr>
      <w:r>
        <w:rPr>
          <w:rFonts w:ascii="Arial" w:cs="Arial" w:eastAsia="Arial" w:hAnsi="Arial"/>
          <w:sz w:val="16"/>
          <w:szCs w:val="16"/>
          <w:color w:val="auto"/>
        </w:rPr>
        <w:t>168</w:t>
      </w:r>
    </w:p>
    <w:p>
      <w:pPr>
        <w:sectPr>
          <w:pgSz w:w="11880" w:h="15480" w:orient="portrait"/>
          <w:cols w:equalWidth="0" w:num="1">
            <w:col w:w="10047"/>
          </w:cols>
          <w:pgMar w:left="913" w:top="772" w:right="920" w:bottom="0" w:gutter="0" w:footer="0" w:header="0"/>
          <w:type w:val="continuous"/>
        </w:sectPr>
      </w:pPr>
    </w:p>
    <w:bookmarkStart w:id="180" w:name="page181"/>
    <w:bookmarkEnd w:id="180"/>
    <w:p>
      <w:pPr>
        <w:ind w:left="340"/>
        <w:spacing w:after="0"/>
        <w:rPr>
          <w:sz w:val="20"/>
          <w:szCs w:val="20"/>
          <w:color w:val="auto"/>
        </w:rPr>
      </w:pPr>
      <w:r>
        <w:rPr>
          <w:rFonts w:ascii="Arial" w:cs="Arial" w:eastAsia="Arial" w:hAnsi="Arial"/>
          <w:sz w:val="20"/>
          <w:szCs w:val="20"/>
          <w:b w:val="1"/>
          <w:bCs w:val="1"/>
          <w:i w:val="1"/>
          <w:iCs w:val="1"/>
          <w:color w:val="auto"/>
        </w:rPr>
        <w:t>Prescribed and permitted practices</w:t>
      </w:r>
    </w:p>
    <w:p>
      <w:pPr>
        <w:spacing w:after="0" w:line="123" w:lineRule="exact"/>
        <w:rPr>
          <w:sz w:val="20"/>
          <w:szCs w:val="20"/>
          <w:color w:val="auto"/>
        </w:rPr>
      </w:pPr>
    </w:p>
    <w:p>
      <w:pPr>
        <w:jc w:val="both"/>
        <w:ind w:firstLine="353"/>
        <w:spacing w:after="0" w:line="264" w:lineRule="auto"/>
        <w:rPr>
          <w:sz w:val="20"/>
          <w:szCs w:val="20"/>
          <w:color w:val="auto"/>
        </w:rPr>
      </w:pPr>
      <w:r>
        <w:rPr>
          <w:rFonts w:ascii="Arial" w:cs="Arial" w:eastAsia="Arial" w:hAnsi="Arial"/>
          <w:sz w:val="19"/>
          <w:szCs w:val="19"/>
          <w:b w:val="1"/>
          <w:bCs w:val="1"/>
          <w:i w:val="1"/>
          <w:iCs w:val="1"/>
          <w:color w:val="auto"/>
        </w:rPr>
        <w:t xml:space="preserve">FGL Insurance </w:t>
      </w:r>
      <w:r>
        <w:rPr>
          <w:rFonts w:ascii="Arial" w:cs="Arial" w:eastAsia="Arial" w:hAnsi="Arial"/>
          <w:sz w:val="19"/>
          <w:szCs w:val="19"/>
          <w:color w:val="auto"/>
        </w:rPr>
        <w:t>- FGL Insurance applies Iowa-prescribed accounting practices prescribed by Iowa Administrative Code ("</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IAC ") Chapter 97, “Accounting for Certain Derivative Instruments Used to Hedge the Growth in Interest Credited for Indexed Insurance Products and Accounting for the Indexed Insurance Products Reserve”, for its indexed annuities and IUL products. Under these alternative accounting practices, the equity option derivative instruments that hedge the growth in interest credited on index products are accounted for at amortized cost with the corresponding amortization recorded as a decrease to net investment income and indexed annuity reserves are calculated based on Standard Valuation Law and Actuarial Guideline XXXV assuming the market value of the equity options associated with the current index term is zero regardless of the observable market value for such options.</w:t>
      </w:r>
    </w:p>
    <w:p>
      <w:pPr>
        <w:spacing w:after="0" w:line="78" w:lineRule="exact"/>
        <w:rPr>
          <w:sz w:val="20"/>
          <w:szCs w:val="20"/>
          <w:color w:val="auto"/>
        </w:rPr>
      </w:pPr>
    </w:p>
    <w:p>
      <w:pPr>
        <w:jc w:val="both"/>
        <w:ind w:firstLine="353"/>
        <w:spacing w:after="0" w:line="262" w:lineRule="auto"/>
        <w:rPr>
          <w:sz w:val="20"/>
          <w:szCs w:val="20"/>
          <w:color w:val="auto"/>
        </w:rPr>
      </w:pPr>
      <w:r>
        <w:rPr>
          <w:rFonts w:ascii="Arial" w:cs="Arial" w:eastAsia="Arial" w:hAnsi="Arial"/>
          <w:sz w:val="19"/>
          <w:szCs w:val="19"/>
          <w:color w:val="auto"/>
        </w:rPr>
        <w:t>In addition, based on a permitted practice received from the IID, FGL Insurance carries one of its limited partnership interests which qualifies for accounting under SSAP No. 48, “Investments in Joint Ventures, Partnerships and Limited Liability Companies”, on a net asset value per share basis. This is a departure from SSAP No. 48 which requires such investments to be carried based on the investees underlying GAAP equity (prior to any impairment considerations). This limited partnership investment was redeemed as of December 31, 2025. In addition, the financial statements of Raven Re and Corbeau Re include certain permitted practices approved by the Vermont Department of Financial Regulation. Without such permitted statutory accounting practices, Raven Re’s risk-based capital would have been above the minimum regulatory requirements at December 31, 2025, but would have fallen below the minimum regulatory requirements at December 31, 2024. Without such permitted statutory accounting practices, Corbeau Re’s risk-based capital would have fallen below the minimum regulatory requirements as of December 31, 2025 and 2024.</w:t>
      </w:r>
    </w:p>
    <w:p>
      <w:pPr>
        <w:spacing w:after="0" w:line="84" w:lineRule="exact"/>
        <w:rPr>
          <w:sz w:val="20"/>
          <w:szCs w:val="20"/>
          <w:color w:val="auto"/>
        </w:rPr>
      </w:pPr>
    </w:p>
    <w:p>
      <w:pPr>
        <w:jc w:val="both"/>
        <w:ind w:firstLine="353"/>
        <w:spacing w:after="0" w:line="271" w:lineRule="auto"/>
        <w:rPr>
          <w:sz w:val="20"/>
          <w:szCs w:val="20"/>
          <w:color w:val="auto"/>
        </w:rPr>
      </w:pPr>
      <w:r>
        <w:rPr>
          <w:rFonts w:ascii="Arial" w:cs="Arial" w:eastAsia="Arial" w:hAnsi="Arial"/>
          <w:sz w:val="20"/>
          <w:szCs w:val="20"/>
          <w:color w:val="auto"/>
        </w:rPr>
        <w:t>The prescribed and permitted practices resulted in increases to statutory capital and surplus of $249 million and $454 million at December 31, 2025 and 2024, respectively.</w:t>
      </w:r>
    </w:p>
    <w:p>
      <w:pPr>
        <w:spacing w:after="0" w:line="69" w:lineRule="exact"/>
        <w:rPr>
          <w:sz w:val="20"/>
          <w:szCs w:val="20"/>
          <w:color w:val="auto"/>
        </w:rPr>
      </w:pPr>
    </w:p>
    <w:p>
      <w:pPr>
        <w:jc w:val="both"/>
        <w:ind w:firstLine="353"/>
        <w:spacing w:after="0" w:line="303" w:lineRule="auto"/>
        <w:rPr>
          <w:sz w:val="20"/>
          <w:szCs w:val="20"/>
          <w:color w:val="auto"/>
        </w:rPr>
      </w:pPr>
      <w:r>
        <w:rPr>
          <w:rFonts w:ascii="Arial" w:cs="Arial" w:eastAsia="Arial" w:hAnsi="Arial"/>
          <w:sz w:val="17"/>
          <w:szCs w:val="17"/>
          <w:color w:val="auto"/>
        </w:rPr>
        <w:t>FGL Insurance’s statutory carrying value of Raven Re reflects the effect of permitted practices Raven Re received to treat the available amount of a letter of credit as an admitted asset, which increased Raven Re’s statutory capital and surplus by $150 million and $175 million at December 31, 2025 and 2024, respectively. In addition, FGL Insurance’s statutory carrying value of Corbeau Re reflects the effect of permitted practices Corbeau Re received to treat the excess of loss as an admitted asset, which increased Corbeau Re’s statutory capital and surplus by $1,489 million and $1,230 million at December 31, 2025 and 2024, respectively. Refer to Note N F&amp;G Reinsurance for a discussion of the XOL and letter of credit.</w:t>
      </w:r>
    </w:p>
    <w:p>
      <w:pPr>
        <w:spacing w:after="0" w:line="46" w:lineRule="exact"/>
        <w:rPr>
          <w:sz w:val="20"/>
          <w:szCs w:val="20"/>
          <w:color w:val="auto"/>
        </w:rPr>
      </w:pPr>
    </w:p>
    <w:p>
      <w:pPr>
        <w:jc w:val="both"/>
        <w:ind w:firstLine="353"/>
        <w:spacing w:after="0" w:line="263" w:lineRule="auto"/>
        <w:rPr>
          <w:sz w:val="20"/>
          <w:szCs w:val="20"/>
          <w:color w:val="auto"/>
        </w:rPr>
      </w:pPr>
      <w:r>
        <w:rPr>
          <w:rFonts w:ascii="Arial" w:cs="Arial" w:eastAsia="Arial" w:hAnsi="Arial"/>
          <w:sz w:val="19"/>
          <w:szCs w:val="19"/>
          <w:b w:val="1"/>
          <w:bCs w:val="1"/>
          <w:i w:val="1"/>
          <w:iCs w:val="1"/>
          <w:color w:val="auto"/>
        </w:rPr>
        <w:t xml:space="preserve">Raven Re </w:t>
      </w:r>
      <w:r>
        <w:rPr>
          <w:rFonts w:ascii="Arial" w:cs="Arial" w:eastAsia="Arial" w:hAnsi="Arial"/>
          <w:sz w:val="19"/>
          <w:szCs w:val="19"/>
          <w:color w:val="auto"/>
        </w:rPr>
        <w:t>- Raven Re is also permitted to follow Iowa prescribed statutory accounting practice for its reserves on</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 xml:space="preserve">reinsurance assumed from FGL Insurance and also has approval to include as an admitted asset the value of a letter of credit serving as collateral for reinsurance credit taken by FGL Insurance. Without such permitted statutory accounting practices, Raven Re’s statutory capital and surplus (deficit) would be $29 million and $(13) million as of December 31, 2025 and 2024, respectively, thus its risk-based capital would fall below the minimum regulatory requirements in the prior year. The letter of credit facility is collateralized by NAIC 1 rated debt securities. If the permitted practice was revoked, the letter of credit could be replaced by the collateral assets with Nomura’s consent (refer to discussion of letter of credit in Note N </w:t>
      </w:r>
      <w:r>
        <w:rPr>
          <w:rFonts w:ascii="Arial" w:cs="Arial" w:eastAsia="Arial" w:hAnsi="Arial"/>
          <w:sz w:val="19"/>
          <w:szCs w:val="19"/>
          <w:b w:val="1"/>
          <w:bCs w:val="1"/>
          <w:i w:val="1"/>
          <w:iCs w:val="1"/>
          <w:color w:val="auto"/>
        </w:rPr>
        <w:t>F&amp;G Reinsurance</w:t>
      </w:r>
      <w:r>
        <w:rPr>
          <w:rFonts w:ascii="Arial" w:cs="Arial" w:eastAsia="Arial" w:hAnsi="Arial"/>
          <w:sz w:val="19"/>
          <w:szCs w:val="19"/>
          <w:color w:val="auto"/>
        </w:rPr>
        <w:t>). FGL Insurance’s statutory carrying value of Raven Re was $182 million and $168 million at December 31, 2025 and 2024, respectively.</w:t>
      </w:r>
    </w:p>
    <w:p>
      <w:pPr>
        <w:spacing w:after="0" w:line="80" w:lineRule="exact"/>
        <w:rPr>
          <w:sz w:val="20"/>
          <w:szCs w:val="20"/>
          <w:color w:val="auto"/>
        </w:rPr>
      </w:pPr>
    </w:p>
    <w:p>
      <w:pPr>
        <w:jc w:val="both"/>
        <w:ind w:firstLine="353"/>
        <w:spacing w:after="0" w:line="295" w:lineRule="auto"/>
        <w:rPr>
          <w:sz w:val="20"/>
          <w:szCs w:val="20"/>
          <w:color w:val="auto"/>
        </w:rPr>
      </w:pPr>
      <w:r>
        <w:rPr>
          <w:rFonts w:ascii="Arial" w:cs="Arial" w:eastAsia="Arial" w:hAnsi="Arial"/>
          <w:sz w:val="17"/>
          <w:szCs w:val="17"/>
          <w:b w:val="1"/>
          <w:bCs w:val="1"/>
          <w:i w:val="1"/>
          <w:iCs w:val="1"/>
          <w:color w:val="auto"/>
        </w:rPr>
        <w:t xml:space="preserve">Corbeau Re </w:t>
      </w:r>
      <w:r>
        <w:rPr>
          <w:rFonts w:ascii="Arial" w:cs="Arial" w:eastAsia="Arial" w:hAnsi="Arial"/>
          <w:sz w:val="17"/>
          <w:szCs w:val="17"/>
          <w:color w:val="auto"/>
        </w:rPr>
        <w:t>- Corbeau Re has four permitted practices pursuant to Vermont Statute, Title 8, Chapter 141 – (8 V.S.A. §</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6048k(a)(2), whereby the Vermont Department authorizes the Company to (i) account for the amount equal to the excess of loss amount (“XOL Asset”) as an asset on its statutory financial statements; (ii) that the reserves assumed by Corbeau Re are equal to the reserves ceded by FGL Insurance, which includes application of IAC Insurance 191, Chapter 97, </w:t>
      </w:r>
      <w:r>
        <w:rPr>
          <w:rFonts w:ascii="Arial" w:cs="Arial" w:eastAsia="Arial" w:hAnsi="Arial"/>
          <w:sz w:val="17"/>
          <w:szCs w:val="17"/>
          <w:b w:val="1"/>
          <w:bCs w:val="1"/>
          <w:i w:val="1"/>
          <w:iCs w:val="1"/>
          <w:color w:val="auto"/>
        </w:rPr>
        <w:t>“Accounting for Certain</w:t>
      </w:r>
    </w:p>
    <w:p>
      <w:pPr>
        <w:spacing w:after="0" w:line="1" w:lineRule="exact"/>
        <w:rPr>
          <w:sz w:val="20"/>
          <w:szCs w:val="20"/>
          <w:color w:val="auto"/>
        </w:rPr>
      </w:pPr>
    </w:p>
    <w:p>
      <w:pPr>
        <w:jc w:val="both"/>
        <w:spacing w:after="0" w:line="292" w:lineRule="auto"/>
        <w:rPr>
          <w:sz w:val="20"/>
          <w:szCs w:val="20"/>
          <w:color w:val="auto"/>
        </w:rPr>
      </w:pPr>
      <w:r>
        <w:rPr>
          <w:rFonts w:ascii="Arial" w:cs="Arial" w:eastAsia="Arial" w:hAnsi="Arial"/>
          <w:sz w:val="17"/>
          <w:szCs w:val="17"/>
          <w:b w:val="1"/>
          <w:bCs w:val="1"/>
          <w:i w:val="1"/>
          <w:iCs w:val="1"/>
          <w:color w:val="auto"/>
        </w:rPr>
        <w:t>Derivative Instruments Used to Hedge the Growth in Interest Credited for Indexed Insurance Products and Accounting for the Indexed Insurance Products Reserve</w:t>
      </w:r>
      <w:r>
        <w:rPr>
          <w:rFonts w:ascii="Arial" w:cs="Arial" w:eastAsia="Arial" w:hAnsi="Arial"/>
          <w:sz w:val="17"/>
          <w:szCs w:val="17"/>
          <w:color w:val="auto"/>
        </w:rPr>
        <w:t>“ and to (a) calculate the reserves with respect to the Retirement Pro Contracts in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accordance with the following reserving methodology: the reserves are calculated as the present value of reinsured benefits when account value equals zero less the present value of reinsurance premiums from the winning integrated stream, floored at zero and capped as necessary to keep the net statutory reserve at the net cash surrender value; and (b) for benefits associated with all other contracts (“the GMWB Riders”), the reserves are calculated as the statutory reserves for the entire contract (i.e., the base contracts plus the GMWB Riders) minus the statutory reserves for the base contracts only (“Reserve Calculation Permitted Practice”); (iii) calculate its company action level risk-based capital as defined in Section 8301(13)(A) and, calculated using the risk-based capital factors and formulas prescribed by the NAIC, applying a factor of 0.62% to the XOL Asset Value; and (iv) annually perform a total company solvency analysis in lieu of cash flow testing and actuarial opinion and memorandum under Section 2010-2 of the Vermont Administrative Code. Without such permitted statutory accounting practices, the Company’s statutory capital deficit would be $1,253 million and $1,052 million as of December 31, 2025 and 2024, respectively, and its risk-based capital would fall below the minimum regulatory requirements. FGL Insurance’s statutory carrying value of Corbeau Re was $236 million and $178 million at December 31, 2025 and 2024, respectively.</w:t>
      </w:r>
    </w:p>
    <w:p>
      <w:pPr>
        <w:sectPr>
          <w:pgSz w:w="11880" w:h="15480" w:orient="portrait"/>
          <w:cols w:equalWidth="0" w:num="1">
            <w:col w:w="10040"/>
          </w:cols>
          <w:pgMar w:left="920" w:top="770"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169</w:t>
      </w:r>
    </w:p>
    <w:p>
      <w:pPr>
        <w:sectPr>
          <w:pgSz w:w="11880" w:h="15480" w:orient="portrait"/>
          <w:cols w:equalWidth="0" w:num="1">
            <w:col w:w="10040"/>
          </w:cols>
          <w:pgMar w:left="920" w:top="770" w:right="920" w:bottom="0" w:gutter="0" w:footer="0" w:header="0"/>
          <w:type w:val="continuous"/>
        </w:sectPr>
      </w:pPr>
    </w:p>
    <w:bookmarkStart w:id="181" w:name="page182"/>
    <w:bookmarkEnd w:id="181"/>
    <w:p>
      <w:pPr>
        <w:jc w:val="both"/>
        <w:ind w:firstLine="353"/>
        <w:spacing w:after="0" w:line="273" w:lineRule="auto"/>
        <w:rPr>
          <w:sz w:val="20"/>
          <w:szCs w:val="20"/>
          <w:color w:val="auto"/>
        </w:rPr>
      </w:pPr>
      <w:r>
        <w:rPr>
          <w:rFonts w:ascii="Arial" w:cs="Arial" w:eastAsia="Arial" w:hAnsi="Arial"/>
          <w:sz w:val="20"/>
          <w:szCs w:val="20"/>
          <w:b w:val="1"/>
          <w:bCs w:val="1"/>
          <w:i w:val="1"/>
          <w:iCs w:val="1"/>
          <w:color w:val="auto"/>
        </w:rPr>
        <w:t xml:space="preserve">FGL NY Insurance </w:t>
      </w:r>
      <w:r>
        <w:rPr>
          <w:rFonts w:ascii="Arial" w:cs="Arial" w:eastAsia="Arial" w:hAnsi="Arial"/>
          <w:sz w:val="20"/>
          <w:szCs w:val="20"/>
          <w:color w:val="auto"/>
        </w:rPr>
        <w:t>- As of December 31, 2025 and 2024, FGL NY Insurance did not follow any prescribed or permitted</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statutory accounting practices that differ from the NAIC's statutory accounting practices.</w:t>
      </w:r>
    </w:p>
    <w:p>
      <w:pPr>
        <w:spacing w:after="0" w:line="59" w:lineRule="exact"/>
        <w:rPr>
          <w:sz w:val="20"/>
          <w:szCs w:val="20"/>
          <w:color w:val="auto"/>
        </w:rPr>
      </w:pPr>
    </w:p>
    <w:p>
      <w:pPr>
        <w:ind w:left="340"/>
        <w:spacing w:after="0"/>
        <w:rPr>
          <w:sz w:val="20"/>
          <w:szCs w:val="20"/>
          <w:color w:val="auto"/>
        </w:rPr>
      </w:pPr>
      <w:r>
        <w:rPr>
          <w:rFonts w:ascii="Arial" w:cs="Arial" w:eastAsia="Arial" w:hAnsi="Arial"/>
          <w:sz w:val="20"/>
          <w:szCs w:val="20"/>
          <w:b w:val="1"/>
          <w:bCs w:val="1"/>
          <w:i w:val="1"/>
          <w:iCs w:val="1"/>
          <w:color w:val="auto"/>
        </w:rPr>
        <w:t>Non-U.S. Companies</w:t>
      </w:r>
    </w:p>
    <w:p>
      <w:pPr>
        <w:spacing w:after="0" w:line="130" w:lineRule="exact"/>
        <w:rPr>
          <w:sz w:val="20"/>
          <w:szCs w:val="20"/>
          <w:color w:val="auto"/>
        </w:rPr>
      </w:pPr>
    </w:p>
    <w:p>
      <w:pPr>
        <w:jc w:val="both"/>
        <w:ind w:firstLine="353"/>
        <w:spacing w:after="0" w:line="251" w:lineRule="auto"/>
        <w:rPr>
          <w:sz w:val="20"/>
          <w:szCs w:val="20"/>
          <w:color w:val="auto"/>
        </w:rPr>
      </w:pPr>
      <w:r>
        <w:rPr>
          <w:rFonts w:ascii="Arial" w:cs="Arial" w:eastAsia="Arial" w:hAnsi="Arial"/>
          <w:sz w:val="20"/>
          <w:szCs w:val="20"/>
          <w:color w:val="auto"/>
        </w:rPr>
        <w:t>F&amp;G's non-U.S. insurance subsidiaries, F&amp;G Cayman Re and F&amp;G Life Re, file financial statements with their respective regulators. For the annual period ended December 31, 2023, F&amp;G Cayman Re began to file financial statements that are prepared in accordance with SAP prescribed or permitted by such authorities, which may vary materially from GAAP. Accordingly, SAP operating results and SAP capital and surplus may differ substantially from amounts reported in the GAAP basis financial statements for comparable items.</w:t>
      </w:r>
    </w:p>
    <w:p>
      <w:pPr>
        <w:spacing w:after="0" w:line="91" w:lineRule="exact"/>
        <w:rPr>
          <w:sz w:val="20"/>
          <w:szCs w:val="20"/>
          <w:color w:val="auto"/>
        </w:rPr>
      </w:pPr>
    </w:p>
    <w:p>
      <w:pPr>
        <w:jc w:val="both"/>
        <w:ind w:firstLine="353"/>
        <w:spacing w:after="0" w:line="296" w:lineRule="auto"/>
        <w:rPr>
          <w:sz w:val="20"/>
          <w:szCs w:val="20"/>
          <w:color w:val="auto"/>
        </w:rPr>
      </w:pPr>
      <w:r>
        <w:rPr>
          <w:rFonts w:ascii="Arial" w:cs="Arial" w:eastAsia="Arial" w:hAnsi="Arial"/>
          <w:sz w:val="17"/>
          <w:szCs w:val="17"/>
          <w:color w:val="auto"/>
        </w:rPr>
        <w:t>F&amp;G Cayman Re has two permitted practices which have been approved by the Cayman Islands Monetary Authority (“CIMA”). F&amp;G Cayman Re has a permitted practice approved by CIMA to include, as an admitted asset, the value of the letters of credit (“LOCs”) acquired to support reinsurance transactions. Also, F&amp;G Cayman Re has a permitted practice, approved by CIMA, for PRT reinsurance transactions to use U.S. statutory book value adjusted for best estimate reserve calculations (consistent with GAAP prior to Accounting Standards Update ("ASU") 2018-12, Financial Services-Insurance (Topic 944), Targeted Improvements to the Accounting for Long-Duration Contracts). These reserve calculations will be subject to annual assumption reviews consistent with other GAAP liability balances. If F&amp;G Cayman Re had not been permitted to calculate PRT assumed reserves using best estimate reserve calculations or include the value of the LOCs as an admitted asset, statutory surplus (deficit) would be $20 million and $(64) million as of December 31, 2025 and 2024, respectively. Without such permitted statutory accounting practices, F&amp;G Cayman Re’s risk-based capital would fall below the minimum regulatory requirements as of December 31, 2025 and December 31, 2024.</w:t>
      </w:r>
    </w:p>
    <w:p>
      <w:pPr>
        <w:spacing w:after="0" w:line="294" w:lineRule="exact"/>
        <w:rPr>
          <w:sz w:val="20"/>
          <w:szCs w:val="20"/>
          <w:color w:val="auto"/>
        </w:rPr>
      </w:pPr>
    </w:p>
    <w:p>
      <w:pPr>
        <w:ind w:left="340"/>
        <w:spacing w:after="0"/>
        <w:rPr>
          <w:sz w:val="20"/>
          <w:szCs w:val="20"/>
          <w:color w:val="auto"/>
        </w:rPr>
      </w:pPr>
      <w:r>
        <w:rPr>
          <w:rFonts w:ascii="Arial" w:cs="Arial" w:eastAsia="Arial" w:hAnsi="Arial"/>
          <w:sz w:val="20"/>
          <w:szCs w:val="20"/>
          <w:color w:val="auto"/>
        </w:rPr>
        <w:t>F&amp;G Life Re files financial statements based on GAAP.</w:t>
      </w:r>
    </w:p>
    <w:p>
      <w:pPr>
        <w:spacing w:after="0" w:line="123" w:lineRule="exact"/>
        <w:rPr>
          <w:sz w:val="20"/>
          <w:szCs w:val="20"/>
          <w:color w:val="auto"/>
        </w:rPr>
      </w:pPr>
    </w:p>
    <w:p>
      <w:pPr>
        <w:jc w:val="both"/>
        <w:ind w:firstLine="353"/>
        <w:spacing w:after="0" w:line="271" w:lineRule="auto"/>
        <w:rPr>
          <w:sz w:val="20"/>
          <w:szCs w:val="20"/>
          <w:color w:val="auto"/>
        </w:rPr>
      </w:pPr>
      <w:r>
        <w:rPr>
          <w:rFonts w:ascii="Arial" w:cs="Arial" w:eastAsia="Arial" w:hAnsi="Arial"/>
          <w:sz w:val="20"/>
          <w:szCs w:val="20"/>
          <w:color w:val="auto"/>
        </w:rPr>
        <w:t>Net income and capital and surplus of our wholly owned Cayman Islands and Bermuda regulated insurance subsidiaries under SAP and GAAP, respectively, were as follows:</w:t>
      </w:r>
    </w:p>
    <w:p>
      <w:pPr>
        <w:spacing w:after="0" w:line="142" w:lineRule="exact"/>
        <w:rPr>
          <w:sz w:val="20"/>
          <w:szCs w:val="20"/>
          <w:color w:val="auto"/>
        </w:rPr>
      </w:pPr>
    </w:p>
    <w:tbl>
      <w:tblPr>
        <w:tblLayout w:type="fixed"/>
        <w:tblInd w:w="40" w:type="dxa"/>
        <w:tblCellMar>
          <w:top w:w="0" w:type="dxa"/>
          <w:left w:w="0" w:type="dxa"/>
          <w:bottom w:w="0" w:type="dxa"/>
          <w:right w:w="0" w:type="dxa"/>
        </w:tblCellMar>
      </w:tblPr>
      <w:tr>
        <w:trPr>
          <w:trHeight w:val="213"/>
        </w:trPr>
        <w:tc>
          <w:tcPr>
            <w:tcW w:w="69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940" w:type="dxa"/>
            <w:vAlign w:val="bottom"/>
            <w:tcBorders>
              <w:bottom w:val="single" w:sz="8" w:color="auto"/>
            </w:tcBorders>
            <w:gridSpan w:val="4"/>
          </w:tcPr>
          <w:p>
            <w:pPr>
              <w:jc w:val="right"/>
              <w:ind w:right="382"/>
              <w:spacing w:after="0"/>
              <w:rPr>
                <w:sz w:val="20"/>
                <w:szCs w:val="20"/>
                <w:color w:val="auto"/>
              </w:rPr>
            </w:pPr>
            <w:r>
              <w:rPr>
                <w:rFonts w:ascii="Arial" w:cs="Arial" w:eastAsia="Arial" w:hAnsi="Arial"/>
                <w:sz w:val="16"/>
                <w:szCs w:val="16"/>
                <w:b w:val="1"/>
                <w:bCs w:val="1"/>
                <w:color w:val="auto"/>
              </w:rPr>
              <w:t>Subsidiary (country of domicile)</w:t>
            </w:r>
          </w:p>
        </w:tc>
      </w:tr>
      <w:tr>
        <w:trPr>
          <w:trHeight w:val="168"/>
        </w:trPr>
        <w:tc>
          <w:tcPr>
            <w:tcW w:w="6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tcPr>
          <w:p>
            <w:pPr>
              <w:jc w:val="right"/>
              <w:ind w:right="82"/>
              <w:spacing w:after="0" w:line="168" w:lineRule="exact"/>
              <w:rPr>
                <w:sz w:val="20"/>
                <w:szCs w:val="20"/>
                <w:color w:val="auto"/>
              </w:rPr>
            </w:pPr>
            <w:r>
              <w:rPr>
                <w:rFonts w:ascii="Arial" w:cs="Arial" w:eastAsia="Arial" w:hAnsi="Arial"/>
                <w:sz w:val="16"/>
                <w:szCs w:val="16"/>
                <w:b w:val="1"/>
                <w:bCs w:val="1"/>
                <w:color w:val="auto"/>
                <w:w w:val="94"/>
              </w:rPr>
              <w:t>F&amp;G Cayman Re</w:t>
            </w: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tcPr>
          <w:p>
            <w:pPr>
              <w:jc w:val="right"/>
              <w:ind w:right="242"/>
              <w:spacing w:after="0" w:line="168" w:lineRule="exact"/>
              <w:rPr>
                <w:sz w:val="20"/>
                <w:szCs w:val="20"/>
                <w:color w:val="auto"/>
              </w:rPr>
            </w:pPr>
            <w:r>
              <w:rPr>
                <w:rFonts w:ascii="Arial" w:cs="Arial" w:eastAsia="Arial" w:hAnsi="Arial"/>
                <w:sz w:val="16"/>
                <w:szCs w:val="16"/>
                <w:b w:val="1"/>
                <w:bCs w:val="1"/>
                <w:color w:val="auto"/>
              </w:rPr>
              <w:t>F&amp;G Life Re</w:t>
            </w:r>
          </w:p>
        </w:tc>
      </w:tr>
      <w:tr>
        <w:trPr>
          <w:trHeight w:val="209"/>
        </w:trPr>
        <w:tc>
          <w:tcPr>
            <w:tcW w:w="69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82"/>
              <w:spacing w:after="0"/>
              <w:rPr>
                <w:sz w:val="20"/>
                <w:szCs w:val="20"/>
                <w:color w:val="auto"/>
              </w:rPr>
            </w:pPr>
            <w:r>
              <w:rPr>
                <w:rFonts w:ascii="Arial" w:cs="Arial" w:eastAsia="Arial" w:hAnsi="Arial"/>
                <w:sz w:val="16"/>
                <w:szCs w:val="16"/>
                <w:b w:val="1"/>
                <w:bCs w:val="1"/>
                <w:color w:val="auto"/>
                <w:w w:val="89"/>
              </w:rPr>
              <w:t>(Cayman Islands)</w:t>
            </w:r>
          </w:p>
        </w:tc>
        <w:tc>
          <w:tcPr>
            <w:tcW w:w="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322"/>
              <w:spacing w:after="0"/>
              <w:rPr>
                <w:sz w:val="20"/>
                <w:szCs w:val="20"/>
                <w:color w:val="auto"/>
              </w:rPr>
            </w:pPr>
            <w:r>
              <w:rPr>
                <w:rFonts w:ascii="Arial" w:cs="Arial" w:eastAsia="Arial" w:hAnsi="Arial"/>
                <w:sz w:val="16"/>
                <w:szCs w:val="16"/>
                <w:b w:val="1"/>
                <w:bCs w:val="1"/>
                <w:color w:val="auto"/>
              </w:rPr>
              <w:t>(Bermuda)</w:t>
            </w:r>
          </w:p>
        </w:tc>
      </w:tr>
      <w:tr>
        <w:trPr>
          <w:trHeight w:val="216"/>
        </w:trPr>
        <w:tc>
          <w:tcPr>
            <w:tcW w:w="6900" w:type="dxa"/>
            <w:vAlign w:val="bottom"/>
          </w:tcPr>
          <w:p>
            <w:pPr>
              <w:spacing w:after="0"/>
              <w:rPr>
                <w:sz w:val="20"/>
                <w:szCs w:val="20"/>
                <w:color w:val="auto"/>
              </w:rPr>
            </w:pPr>
            <w:r>
              <w:rPr>
                <w:rFonts w:ascii="Arial" w:cs="Arial" w:eastAsia="Arial" w:hAnsi="Arial"/>
                <w:sz w:val="16"/>
                <w:szCs w:val="16"/>
                <w:b w:val="1"/>
                <w:bCs w:val="1"/>
                <w:color w:val="auto"/>
              </w:rPr>
              <w:t>Statutory Net (loss) income:</w:t>
            </w:r>
          </w:p>
        </w:tc>
        <w:tc>
          <w:tcPr>
            <w:tcW w:w="160" w:type="dxa"/>
            <w:vAlign w:val="bottom"/>
          </w:tcPr>
          <w:p>
            <w:pPr>
              <w:spacing w:after="0"/>
              <w:rPr>
                <w:sz w:val="18"/>
                <w:szCs w:val="18"/>
                <w:color w:val="auto"/>
              </w:rPr>
            </w:pPr>
          </w:p>
        </w:tc>
        <w:tc>
          <w:tcPr>
            <w:tcW w:w="2940" w:type="dxa"/>
            <w:vAlign w:val="bottom"/>
            <w:gridSpan w:val="4"/>
          </w:tcPr>
          <w:p>
            <w:pPr>
              <w:jc w:val="right"/>
              <w:ind w:right="1062"/>
              <w:spacing w:after="0"/>
              <w:rPr>
                <w:sz w:val="20"/>
                <w:szCs w:val="20"/>
                <w:color w:val="auto"/>
              </w:rPr>
            </w:pPr>
            <w:r>
              <w:rPr>
                <w:rFonts w:ascii="Arial" w:cs="Arial" w:eastAsia="Arial" w:hAnsi="Arial"/>
                <w:sz w:val="16"/>
                <w:szCs w:val="16"/>
                <w:b w:val="1"/>
                <w:bCs w:val="1"/>
                <w:color w:val="auto"/>
              </w:rPr>
              <w:t>(In millions)</w:t>
            </w:r>
          </w:p>
        </w:tc>
      </w:tr>
      <w:tr>
        <w:trPr>
          <w:trHeight w:val="238"/>
        </w:trPr>
        <w:tc>
          <w:tcPr>
            <w:tcW w:w="6900" w:type="dxa"/>
            <w:vAlign w:val="bottom"/>
          </w:tcPr>
          <w:p>
            <w:pPr>
              <w:spacing w:after="0"/>
              <w:rPr>
                <w:sz w:val="20"/>
                <w:szCs w:val="20"/>
                <w:color w:val="auto"/>
              </w:rPr>
            </w:pPr>
            <w:r>
              <w:rPr>
                <w:rFonts w:ascii="Arial" w:cs="Arial" w:eastAsia="Arial" w:hAnsi="Arial"/>
                <w:sz w:val="16"/>
                <w:szCs w:val="16"/>
                <w:color w:val="auto"/>
              </w:rPr>
              <w:t>Year ended December 31, 2025</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(30)</w:t>
            </w:r>
          </w:p>
        </w:tc>
        <w:tc>
          <w:tcPr>
            <w:tcW w:w="2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160</w:t>
            </w:r>
          </w:p>
        </w:tc>
      </w:tr>
      <w:tr>
        <w:trPr>
          <w:trHeight w:val="235"/>
        </w:trPr>
        <w:tc>
          <w:tcPr>
            <w:tcW w:w="6900" w:type="dxa"/>
            <w:vAlign w:val="bottom"/>
          </w:tcPr>
          <w:p>
            <w:pPr>
              <w:spacing w:after="0"/>
              <w:rPr>
                <w:sz w:val="20"/>
                <w:szCs w:val="20"/>
                <w:color w:val="auto"/>
              </w:rPr>
            </w:pPr>
            <w:r>
              <w:rPr>
                <w:rFonts w:ascii="Arial" w:cs="Arial" w:eastAsia="Arial" w:hAnsi="Arial"/>
                <w:sz w:val="16"/>
                <w:szCs w:val="16"/>
                <w:color w:val="auto"/>
              </w:rPr>
              <w:t>Year ended December 31, 2024</w:t>
            </w:r>
          </w:p>
        </w:tc>
        <w:tc>
          <w:tcPr>
            <w:tcW w:w="16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(11)</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139</w:t>
            </w:r>
          </w:p>
        </w:tc>
      </w:tr>
      <w:tr>
        <w:trPr>
          <w:trHeight w:val="235"/>
        </w:trPr>
        <w:tc>
          <w:tcPr>
            <w:tcW w:w="6900" w:type="dxa"/>
            <w:vAlign w:val="bottom"/>
          </w:tcPr>
          <w:p>
            <w:pPr>
              <w:spacing w:after="0"/>
              <w:rPr>
                <w:sz w:val="20"/>
                <w:szCs w:val="20"/>
                <w:color w:val="auto"/>
              </w:rPr>
            </w:pPr>
            <w:r>
              <w:rPr>
                <w:rFonts w:ascii="Arial" w:cs="Arial" w:eastAsia="Arial" w:hAnsi="Arial"/>
                <w:sz w:val="16"/>
                <w:szCs w:val="16"/>
                <w:color w:val="auto"/>
              </w:rPr>
              <w:t>Year ended December 31, 2023</w:t>
            </w:r>
          </w:p>
        </w:tc>
        <w:tc>
          <w:tcPr>
            <w:tcW w:w="16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133</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151</w:t>
            </w:r>
          </w:p>
        </w:tc>
      </w:tr>
      <w:tr>
        <w:trPr>
          <w:trHeight w:val="233"/>
        </w:trPr>
        <w:tc>
          <w:tcPr>
            <w:tcW w:w="6900" w:type="dxa"/>
            <w:vAlign w:val="bottom"/>
          </w:tcPr>
          <w:p>
            <w:pPr>
              <w:spacing w:after="0"/>
              <w:rPr>
                <w:sz w:val="20"/>
                <w:szCs w:val="20"/>
                <w:color w:val="auto"/>
              </w:rPr>
            </w:pPr>
            <w:r>
              <w:rPr>
                <w:rFonts w:ascii="Arial" w:cs="Arial" w:eastAsia="Arial" w:hAnsi="Arial"/>
                <w:sz w:val="16"/>
                <w:szCs w:val="16"/>
                <w:b w:val="1"/>
                <w:bCs w:val="1"/>
                <w:color w:val="auto"/>
              </w:rPr>
              <w:t>Statutory Capital and Surplus (Deficit):</w:t>
            </w:r>
          </w:p>
        </w:tc>
        <w:tc>
          <w:tcPr>
            <w:tcW w:w="1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238"/>
        </w:trPr>
        <w:tc>
          <w:tcPr>
            <w:tcW w:w="6900" w:type="dxa"/>
            <w:vAlign w:val="bottom"/>
          </w:tcPr>
          <w:p>
            <w:pPr>
              <w:spacing w:after="0"/>
              <w:rPr>
                <w:sz w:val="20"/>
                <w:szCs w:val="20"/>
                <w:color w:val="auto"/>
              </w:rPr>
            </w:pPr>
            <w:r>
              <w:rPr>
                <w:rFonts w:ascii="Arial" w:cs="Arial" w:eastAsia="Arial" w:hAnsi="Arial"/>
                <w:sz w:val="16"/>
                <w:szCs w:val="16"/>
                <w:color w:val="auto"/>
              </w:rPr>
              <w:t>December 31, 2025</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1,134</w:t>
            </w:r>
          </w:p>
        </w:tc>
        <w:tc>
          <w:tcPr>
            <w:tcW w:w="2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84</w:t>
            </w:r>
          </w:p>
        </w:tc>
      </w:tr>
      <w:tr>
        <w:trPr>
          <w:trHeight w:val="235"/>
        </w:trPr>
        <w:tc>
          <w:tcPr>
            <w:tcW w:w="6900" w:type="dxa"/>
            <w:vAlign w:val="bottom"/>
          </w:tcPr>
          <w:p>
            <w:pPr>
              <w:spacing w:after="0"/>
              <w:rPr>
                <w:sz w:val="20"/>
                <w:szCs w:val="20"/>
                <w:color w:val="auto"/>
              </w:rPr>
            </w:pPr>
            <w:r>
              <w:rPr>
                <w:rFonts w:ascii="Arial" w:cs="Arial" w:eastAsia="Arial" w:hAnsi="Arial"/>
                <w:sz w:val="16"/>
                <w:szCs w:val="16"/>
                <w:color w:val="auto"/>
              </w:rPr>
              <w:t>December 31, 2024</w:t>
            </w:r>
          </w:p>
        </w:tc>
        <w:tc>
          <w:tcPr>
            <w:tcW w:w="16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734</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123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-903605</wp:posOffset>
            </wp:positionV>
            <wp:extent cx="6410325" cy="92138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43">
                      <a:extLst>
                        <a:ext uri="{28A0092B-C50C-407E-A947-70E740481C1C}"/>
                      </a:extLst>
                    </a:blip>
                    <a:srcRect/>
                    <a:stretch>
                      <a:fillRect/>
                    </a:stretch>
                  </pic:blipFill>
                  <pic:spPr bwMode="auto">
                    <a:xfrm>
                      <a:off x="0" y="0"/>
                      <a:ext cx="6410325" cy="921385"/>
                    </a:xfrm>
                    <a:prstGeom prst="rect">
                      <a:avLst/>
                    </a:prstGeom>
                    <a:noFill/>
                  </pic:spPr>
                </pic:pic>
              </a:graphicData>
            </a:graphic>
          </wp:anchor>
        </w:drawing>
      </w:r>
    </w:p>
    <w:p>
      <w:pPr>
        <w:spacing w:after="0" w:line="138" w:lineRule="exact"/>
        <w:rPr>
          <w:sz w:val="20"/>
          <w:szCs w:val="20"/>
          <w:color w:val="auto"/>
        </w:rPr>
      </w:pPr>
    </w:p>
    <w:p>
      <w:pPr>
        <w:ind w:left="340"/>
        <w:spacing w:after="0"/>
        <w:rPr>
          <w:sz w:val="20"/>
          <w:szCs w:val="20"/>
          <w:color w:val="auto"/>
        </w:rPr>
      </w:pPr>
      <w:r>
        <w:rPr>
          <w:rFonts w:ascii="Arial" w:cs="Arial" w:eastAsia="Arial" w:hAnsi="Arial"/>
          <w:sz w:val="20"/>
          <w:szCs w:val="20"/>
          <w:b w:val="1"/>
          <w:bCs w:val="1"/>
          <w:i w:val="1"/>
          <w:iCs w:val="1"/>
          <w:color w:val="auto"/>
        </w:rPr>
        <w:t>Regulation - Bermuda</w:t>
      </w:r>
    </w:p>
    <w:p>
      <w:pPr>
        <w:spacing w:after="0" w:line="127" w:lineRule="exact"/>
        <w:rPr>
          <w:sz w:val="20"/>
          <w:szCs w:val="20"/>
          <w:color w:val="auto"/>
        </w:rPr>
      </w:pPr>
    </w:p>
    <w:p>
      <w:pPr>
        <w:jc w:val="both"/>
        <w:ind w:firstLine="353"/>
        <w:spacing w:after="0" w:line="325" w:lineRule="auto"/>
        <w:rPr>
          <w:sz w:val="20"/>
          <w:szCs w:val="20"/>
          <w:color w:val="auto"/>
        </w:rPr>
      </w:pPr>
      <w:r>
        <w:rPr>
          <w:rFonts w:ascii="Arial" w:cs="Arial" w:eastAsia="Arial" w:hAnsi="Arial"/>
          <w:sz w:val="17"/>
          <w:szCs w:val="17"/>
          <w:color w:val="auto"/>
        </w:rPr>
        <w:t>F&amp;G Life Re is a Bermuda exempted company incorporated under the Companies Act 1981, as amended (the “Bermuda Companies Act”) and registered as a Class E insurer under the Insurance Act 1978, as amended, and its related regulations (the “Bermuda Insurance Act”). F&amp;G Life Re is regulated by the Bermuda Monetary Authority (“BMA”).</w:t>
      </w:r>
    </w:p>
    <w:p>
      <w:pPr>
        <w:spacing w:after="0" w:line="29" w:lineRule="exact"/>
        <w:rPr>
          <w:sz w:val="20"/>
          <w:szCs w:val="20"/>
          <w:color w:val="auto"/>
        </w:rPr>
      </w:pPr>
    </w:p>
    <w:p>
      <w:pPr>
        <w:jc w:val="both"/>
        <w:ind w:firstLine="353"/>
        <w:spacing w:after="0" w:line="262" w:lineRule="auto"/>
        <w:rPr>
          <w:sz w:val="20"/>
          <w:szCs w:val="20"/>
          <w:color w:val="auto"/>
        </w:rPr>
      </w:pPr>
      <w:r>
        <w:rPr>
          <w:rFonts w:ascii="Arial" w:cs="Arial" w:eastAsia="Arial" w:hAnsi="Arial"/>
          <w:sz w:val="19"/>
          <w:szCs w:val="19"/>
          <w:color w:val="auto"/>
        </w:rPr>
        <w:t>In addition to the requirements under the Bermuda Companies Act (as discussed below), the Bermuda Insurance Act limits the maximum amount of annual dividends and distributions that may be paid or distributed by F&amp;G Life Re without prior regulatory approval. F&amp;G Life Re is prohibited from declaring or paying a dividend if it fails to meet its minimum solvency margin, or ECR, or if the declaration or payment of such dividend would cause such breach. If F&amp;G Life Re were to fail to meet its minimum solvency margin on the last day of any financial year, it would be prohibited from declaring or paying any dividends during the next financial year without the approval of the BMA. In addition, as a Class E insurer, F&amp;G Life Re must not declare or pay a dividend to any person other than a policyholder unless the value of the assets of such insurer, as certified by the insurer’s approved actuary, exceeds its liabilities (as so certified) by the greater of its margin of solvency or ECR. In the event a dividend complies with the above, F&amp;G Life Re must ensure the amount of any such dividend does not exceed that excess.</w:t>
      </w:r>
    </w:p>
    <w:p>
      <w:pPr>
        <w:spacing w:after="0" w:line="84" w:lineRule="exact"/>
        <w:rPr>
          <w:sz w:val="20"/>
          <w:szCs w:val="20"/>
          <w:color w:val="auto"/>
        </w:rPr>
      </w:pPr>
    </w:p>
    <w:p>
      <w:pPr>
        <w:jc w:val="both"/>
        <w:ind w:firstLine="353"/>
        <w:spacing w:after="0" w:line="303" w:lineRule="auto"/>
        <w:rPr>
          <w:sz w:val="20"/>
          <w:szCs w:val="20"/>
          <w:color w:val="auto"/>
        </w:rPr>
      </w:pPr>
      <w:r>
        <w:rPr>
          <w:rFonts w:ascii="Arial" w:cs="Arial" w:eastAsia="Arial" w:hAnsi="Arial"/>
          <w:sz w:val="17"/>
          <w:szCs w:val="17"/>
          <w:color w:val="auto"/>
        </w:rPr>
        <w:t>Furthermore, as a Class E insurer, F&amp;G Life Re must not declare or pay a dividend in any financial year which would exceed 25% of its total statutory capital and surplus, as set out in its previous year’s Bermuda statutory financial statements, unless at least seven days before payment of such dividend F&amp;G Life Re files with the BMA an affidavit signed by at least two directors of F&amp;G Life Re and its principal representative under the Bermuda Insurance Act stating that, in the opinion of those signing, declaration of such dividend has not caused the insurer to fail to meet its relevant margins. The Bermuda Companies Act also limits F&amp;G Life Re’s ability to pay dividends and make distributions to its shareholders. F&amp;G Life Re is not permitted</w:t>
      </w:r>
    </w:p>
    <w:p>
      <w:pPr>
        <w:sectPr>
          <w:pgSz w:w="11880" w:h="15480" w:orient="portrait"/>
          <w:cols w:equalWidth="0" w:num="1">
            <w:col w:w="10040"/>
          </w:cols>
          <w:pgMar w:left="920" w:top="770"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170</w:t>
      </w:r>
    </w:p>
    <w:p>
      <w:pPr>
        <w:sectPr>
          <w:pgSz w:w="11880" w:h="15480" w:orient="portrait"/>
          <w:cols w:equalWidth="0" w:num="1">
            <w:col w:w="10040"/>
          </w:cols>
          <w:pgMar w:left="920" w:top="770" w:right="920" w:bottom="0" w:gutter="0" w:footer="0" w:header="0"/>
          <w:type w:val="continuous"/>
        </w:sectPr>
      </w:pPr>
    </w:p>
    <w:bookmarkStart w:id="182" w:name="page183"/>
    <w:bookmarkEnd w:id="182"/>
    <w:p>
      <w:pPr>
        <w:jc w:val="both"/>
        <w:spacing w:after="0" w:line="298" w:lineRule="auto"/>
        <w:rPr>
          <w:sz w:val="20"/>
          <w:szCs w:val="20"/>
          <w:color w:val="auto"/>
        </w:rPr>
      </w:pPr>
      <w:r>
        <w:rPr>
          <w:rFonts w:ascii="Arial" w:cs="Arial" w:eastAsia="Arial" w:hAnsi="Arial"/>
          <w:sz w:val="19"/>
          <w:szCs w:val="19"/>
          <w:color w:val="auto"/>
        </w:rPr>
        <w:t>to declare or pay a dividend, or make a distribution out of its contributed surplus, if it is, or would after the payment be, unable to pay its liabilities as they become due or if the realizable value of its assets would be less than its liabilities.</w:t>
      </w:r>
    </w:p>
    <w:p>
      <w:pPr>
        <w:spacing w:after="0" w:line="45" w:lineRule="exact"/>
        <w:rPr>
          <w:sz w:val="20"/>
          <w:szCs w:val="20"/>
          <w:color w:val="auto"/>
        </w:rPr>
      </w:pPr>
    </w:p>
    <w:p>
      <w:pPr>
        <w:ind w:left="340"/>
        <w:spacing w:after="0"/>
        <w:rPr>
          <w:sz w:val="20"/>
          <w:szCs w:val="20"/>
          <w:color w:val="auto"/>
        </w:rPr>
      </w:pPr>
      <w:r>
        <w:rPr>
          <w:rFonts w:ascii="Arial" w:cs="Arial" w:eastAsia="Arial" w:hAnsi="Arial"/>
          <w:sz w:val="20"/>
          <w:szCs w:val="20"/>
          <w:color w:val="auto"/>
        </w:rPr>
        <w:t>F&amp;G Life Re’s ability to pay dividends in 2026 is subject to the limitations described above.</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20"/>
          <w:szCs w:val="20"/>
          <w:b w:val="1"/>
          <w:bCs w:val="1"/>
          <w:i w:val="1"/>
          <w:iCs w:val="1"/>
          <w:color w:val="auto"/>
        </w:rPr>
        <w:t>Regulation - Cayman Islands</w:t>
      </w:r>
    </w:p>
    <w:p>
      <w:pPr>
        <w:spacing w:after="0" w:line="130" w:lineRule="exact"/>
        <w:rPr>
          <w:sz w:val="20"/>
          <w:szCs w:val="20"/>
          <w:color w:val="auto"/>
        </w:rPr>
      </w:pPr>
    </w:p>
    <w:p>
      <w:pPr>
        <w:jc w:val="both"/>
        <w:ind w:firstLine="353"/>
        <w:spacing w:after="0" w:line="278" w:lineRule="auto"/>
        <w:rPr>
          <w:sz w:val="20"/>
          <w:szCs w:val="20"/>
          <w:color w:val="auto"/>
        </w:rPr>
      </w:pPr>
      <w:r>
        <w:rPr>
          <w:rFonts w:ascii="Arial" w:cs="Arial" w:eastAsia="Arial" w:hAnsi="Arial"/>
          <w:sz w:val="19"/>
          <w:szCs w:val="19"/>
          <w:color w:val="auto"/>
        </w:rPr>
        <w:t>F&amp;G Cayman Re is a Cayman Islands exempted company incorporated under the Companies Act, as amended (2023 Revision) and licensed as a Class D insurer in the Cayman Islands under the Insurance Act, 2010 as amended and its related regulation (the “Cayman Islands Insurance Act”). F&amp;G Cayman Re is regulated by CIMA.</w:t>
      </w:r>
    </w:p>
    <w:p>
      <w:pPr>
        <w:spacing w:after="0" w:line="64" w:lineRule="exact"/>
        <w:rPr>
          <w:sz w:val="20"/>
          <w:szCs w:val="20"/>
          <w:color w:val="auto"/>
        </w:rPr>
      </w:pPr>
    </w:p>
    <w:p>
      <w:pPr>
        <w:jc w:val="both"/>
        <w:ind w:firstLine="353"/>
        <w:spacing w:after="0" w:line="300" w:lineRule="auto"/>
        <w:rPr>
          <w:sz w:val="20"/>
          <w:szCs w:val="20"/>
          <w:color w:val="auto"/>
        </w:rPr>
      </w:pPr>
      <w:r>
        <w:rPr>
          <w:rFonts w:ascii="Arial" w:cs="Arial" w:eastAsia="Arial" w:hAnsi="Arial"/>
          <w:sz w:val="17"/>
          <w:szCs w:val="17"/>
          <w:color w:val="auto"/>
        </w:rPr>
        <w:t>F&amp;G Cayman Re dividends are paid as declared by its Board of Directors. The dividends will be in accordance with CIMA regulatory requirements and contractual obligations and any dividends require approval by CIMA. F&amp;G Cayman Re can only request approval for dividends if (i) the ending capital, including considerations for future business plans, will maintain a surplus over the CIMA approved and permitted target modified RBC, and (ii) contractual language pursuant to the PRT reinsurance agreement requiring a US RBC above specified target is met. As of the most recent annual financial statement filed with CIMA, the RBC ratios for F&amp;G Cayman Re exceeded these minimum requirements. Pursuant to the limitations described above, no dividends may be paid in 2026 by F&amp;G Cayman Re without prior regulatory approval.</w:t>
      </w:r>
    </w:p>
    <w:p>
      <w:pPr>
        <w:spacing w:after="0" w:line="54" w:lineRule="exact"/>
        <w:rPr>
          <w:sz w:val="20"/>
          <w:szCs w:val="20"/>
          <w:color w:val="auto"/>
        </w:rPr>
      </w:pPr>
    </w:p>
    <w:p>
      <w:pPr>
        <w:jc w:val="both"/>
        <w:ind w:firstLine="353"/>
        <w:spacing w:after="0" w:line="271" w:lineRule="auto"/>
        <w:rPr>
          <w:sz w:val="20"/>
          <w:szCs w:val="20"/>
          <w:color w:val="auto"/>
        </w:rPr>
      </w:pPr>
      <w:r>
        <w:rPr>
          <w:rFonts w:ascii="Arial" w:cs="Arial" w:eastAsia="Arial" w:hAnsi="Arial"/>
          <w:sz w:val="20"/>
          <w:szCs w:val="20"/>
          <w:color w:val="auto"/>
        </w:rPr>
        <w:t>The prescribed and permitted statutory accounting practices have no impact on our audited Consolidated Financial Statements, which are prepared in accordance with GAAP.</w:t>
      </w:r>
    </w:p>
    <w:p>
      <w:pPr>
        <w:spacing w:after="0" w:line="61" w:lineRule="exact"/>
        <w:rPr>
          <w:sz w:val="20"/>
          <w:szCs w:val="20"/>
          <w:color w:val="auto"/>
        </w:rPr>
      </w:pPr>
    </w:p>
    <w:p>
      <w:pPr>
        <w:ind w:left="340"/>
        <w:spacing w:after="0"/>
        <w:rPr>
          <w:sz w:val="20"/>
          <w:szCs w:val="20"/>
          <w:color w:val="auto"/>
        </w:rPr>
      </w:pPr>
      <w:r>
        <w:rPr>
          <w:rFonts w:ascii="Arial" w:cs="Arial" w:eastAsia="Arial" w:hAnsi="Arial"/>
          <w:sz w:val="20"/>
          <w:szCs w:val="20"/>
          <w:b w:val="1"/>
          <w:bCs w:val="1"/>
          <w:i w:val="1"/>
          <w:iCs w:val="1"/>
          <w:color w:val="auto"/>
        </w:rPr>
        <w:t>Equity</w:t>
      </w:r>
    </w:p>
    <w:p>
      <w:pPr>
        <w:spacing w:after="0" w:line="130" w:lineRule="exact"/>
        <w:rPr>
          <w:sz w:val="20"/>
          <w:szCs w:val="20"/>
          <w:color w:val="auto"/>
        </w:rPr>
      </w:pPr>
    </w:p>
    <w:p>
      <w:pPr>
        <w:jc w:val="both"/>
        <w:ind w:firstLine="353"/>
        <w:spacing w:after="0" w:line="262" w:lineRule="auto"/>
        <w:rPr>
          <w:sz w:val="20"/>
          <w:szCs w:val="20"/>
          <w:color w:val="auto"/>
        </w:rPr>
      </w:pPr>
      <w:r>
        <w:rPr>
          <w:rFonts w:ascii="Arial" w:cs="Arial" w:eastAsia="Arial" w:hAnsi="Arial"/>
          <w:sz w:val="19"/>
          <w:szCs w:val="19"/>
          <w:color w:val="auto"/>
        </w:rPr>
        <w:t>On August 3, 2021, our Board of Directors approved the 2021 Repurchase Program under which we may purchase up to 25 million shares of our FNF common stock through July 31, 2024 (the "2021 Repurchase Program"). On July 31, 2024, our Board of Directors approved a new three-year stock repurchase program effective July 31, 2024 (the "2024 Repurchase Program") under which we are authorized to purchase up to 25 million shares of our FNF common stock through July 31, 2027. We may make repurchases from time to time in the open market, in block purchases or in privately negotiated transactions, depending on market conditions and other factors. During the year ended December 31, 2024, we did not repurchase any FNF common stock under the 2021 Repurchase Program or the 2024 Repurchase Program. During the year ended December 31, 2025, we repurchased a total of 4,426,224 FNF common shares for approximately $252 million, at an average price of $56.80 per shares under the 2024 Repurchase Program. Subsequent to December 31, 2025 and through market close on February 19, 2026, we repurchased a total of 60,000 shares, for approximately $3 million, or an average of $55.66 under the 2024 Repurchase Program.</w:t>
      </w:r>
    </w:p>
    <w:p>
      <w:pPr>
        <w:spacing w:after="0" w:line="7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P - Leases</w:t>
      </w:r>
    </w:p>
    <w:p>
      <w:pPr>
        <w:spacing w:after="0" w:line="130" w:lineRule="exact"/>
        <w:rPr>
          <w:sz w:val="20"/>
          <w:szCs w:val="20"/>
          <w:color w:val="auto"/>
        </w:rPr>
      </w:pPr>
    </w:p>
    <w:p>
      <w:pPr>
        <w:jc w:val="both"/>
        <w:ind w:firstLine="353"/>
        <w:spacing w:after="0" w:line="306" w:lineRule="auto"/>
        <w:rPr>
          <w:sz w:val="20"/>
          <w:szCs w:val="20"/>
          <w:color w:val="auto"/>
        </w:rPr>
      </w:pPr>
      <w:r>
        <w:rPr>
          <w:rFonts w:ascii="Arial" w:cs="Arial" w:eastAsia="Arial" w:hAnsi="Arial"/>
          <w:sz w:val="17"/>
          <w:szCs w:val="17"/>
          <w:color w:val="auto"/>
        </w:rPr>
        <w:t>Right-of-use assets and lease liabilities related to operating leases under ASC Topic 842 are recorded when we are party to a contract, which conveys the right for us to control an asset for a specified period of time. Substantially all of our operating lease arrangements relate to rented office space and real estate for our title operations. We generally are not a party to any material contracts considered finance leases. Right-of-use assets and lease liabilities under ASC Topic 842 are recorded as Lease assets and Lease liabilities, respectively, on the Consolidated Balance Sheet as of December 31, 2025.</w:t>
      </w:r>
    </w:p>
    <w:p>
      <w:pPr>
        <w:spacing w:after="0" w:line="47" w:lineRule="exact"/>
        <w:rPr>
          <w:sz w:val="20"/>
          <w:szCs w:val="20"/>
          <w:color w:val="auto"/>
        </w:rPr>
      </w:pPr>
    </w:p>
    <w:p>
      <w:pPr>
        <w:jc w:val="both"/>
        <w:ind w:firstLine="353"/>
        <w:spacing w:after="0" w:line="271" w:lineRule="auto"/>
        <w:rPr>
          <w:sz w:val="20"/>
          <w:szCs w:val="20"/>
          <w:color w:val="auto"/>
        </w:rPr>
      </w:pPr>
      <w:r>
        <w:rPr>
          <w:rFonts w:ascii="Arial" w:cs="Arial" w:eastAsia="Arial" w:hAnsi="Arial"/>
          <w:sz w:val="20"/>
          <w:szCs w:val="20"/>
          <w:color w:val="auto"/>
        </w:rPr>
        <w:t>Our operating leases range in term from one to ten years. As of December 31, 2025, the weighted-average remaining lease term of our operating leases was 4.2 years.</w:t>
      </w:r>
    </w:p>
    <w:p>
      <w:pPr>
        <w:spacing w:after="0" w:line="69" w:lineRule="exact"/>
        <w:rPr>
          <w:sz w:val="20"/>
          <w:szCs w:val="20"/>
          <w:color w:val="auto"/>
        </w:rPr>
      </w:pPr>
    </w:p>
    <w:p>
      <w:pPr>
        <w:jc w:val="both"/>
        <w:ind w:firstLine="353"/>
        <w:spacing w:after="0" w:line="271" w:lineRule="auto"/>
        <w:rPr>
          <w:sz w:val="20"/>
          <w:szCs w:val="20"/>
          <w:color w:val="auto"/>
        </w:rPr>
      </w:pPr>
      <w:r>
        <w:rPr>
          <w:rFonts w:ascii="Arial" w:cs="Arial" w:eastAsia="Arial" w:hAnsi="Arial"/>
          <w:sz w:val="20"/>
          <w:szCs w:val="20"/>
          <w:color w:val="auto"/>
        </w:rPr>
        <w:t>Our lease agreements do not contain material variable lease payments, buyout options, residual value guarantees, or restrictive covenants.</w:t>
      </w:r>
    </w:p>
    <w:p>
      <w:pPr>
        <w:spacing w:after="0" w:line="69" w:lineRule="exact"/>
        <w:rPr>
          <w:sz w:val="20"/>
          <w:szCs w:val="20"/>
          <w:color w:val="auto"/>
        </w:rPr>
      </w:pPr>
    </w:p>
    <w:p>
      <w:pPr>
        <w:jc w:val="both"/>
        <w:ind w:firstLine="353"/>
        <w:spacing w:after="0" w:line="278" w:lineRule="auto"/>
        <w:rPr>
          <w:sz w:val="20"/>
          <w:szCs w:val="20"/>
          <w:color w:val="auto"/>
        </w:rPr>
      </w:pPr>
      <w:r>
        <w:rPr>
          <w:rFonts w:ascii="Arial" w:cs="Arial" w:eastAsia="Arial" w:hAnsi="Arial"/>
          <w:sz w:val="19"/>
          <w:szCs w:val="19"/>
          <w:color w:val="auto"/>
        </w:rPr>
        <w:t>Most of our leases include one or more options to renew, with renewal terms that can extend the lease term by varying amounts. The exercise of lease renewal options is at our sole discretion. We do not include options to renew in our measurement of lease assets and lease liabilities as they are not considered reasonably assured of exercise.</w:t>
      </w:r>
    </w:p>
    <w:p>
      <w:pPr>
        <w:spacing w:after="0" w:line="64" w:lineRule="exact"/>
        <w:rPr>
          <w:sz w:val="20"/>
          <w:szCs w:val="20"/>
          <w:color w:val="auto"/>
        </w:rPr>
      </w:pPr>
    </w:p>
    <w:p>
      <w:pPr>
        <w:jc w:val="both"/>
        <w:ind w:firstLine="353"/>
        <w:spacing w:after="0" w:line="271" w:lineRule="auto"/>
        <w:rPr>
          <w:sz w:val="20"/>
          <w:szCs w:val="20"/>
          <w:color w:val="auto"/>
        </w:rPr>
      </w:pPr>
      <w:r>
        <w:rPr>
          <w:rFonts w:ascii="Arial" w:cs="Arial" w:eastAsia="Arial" w:hAnsi="Arial"/>
          <w:sz w:val="19"/>
          <w:szCs w:val="19"/>
          <w:color w:val="auto"/>
        </w:rPr>
        <w:t>Our operating lease liability is determined by discounting future lease payments using a discount rate based on our incremental borrowing rate for similar collateralized borrowing. The discount rate is calculated as an average of the current yield on our unsecured notes payable and 140 basis points in excess of the current five year SOFR swap rate. As of December 31, 2025, the weighted-average discount rate used to determine our operating lease liability was 5.0%.</w:t>
      </w:r>
    </w:p>
    <w:p>
      <w:pPr>
        <w:spacing w:after="0" w:line="72" w:lineRule="exact"/>
        <w:rPr>
          <w:sz w:val="20"/>
          <w:szCs w:val="20"/>
          <w:color w:val="auto"/>
        </w:rPr>
      </w:pPr>
    </w:p>
    <w:p>
      <w:pPr>
        <w:ind w:left="340"/>
        <w:spacing w:after="0"/>
        <w:rPr>
          <w:sz w:val="20"/>
          <w:szCs w:val="20"/>
          <w:color w:val="auto"/>
        </w:rPr>
      </w:pPr>
      <w:r>
        <w:rPr>
          <w:rFonts w:ascii="Arial" w:cs="Arial" w:eastAsia="Arial" w:hAnsi="Arial"/>
          <w:sz w:val="20"/>
          <w:szCs w:val="20"/>
          <w:color w:val="auto"/>
        </w:rPr>
        <w:t>We do not separate lease components from non-lease components for any of our right-of-use assets.</w:t>
      </w:r>
    </w:p>
    <w:p>
      <w:pPr>
        <w:spacing w:after="0" w:line="123" w:lineRule="exact"/>
        <w:rPr>
          <w:sz w:val="20"/>
          <w:szCs w:val="20"/>
          <w:color w:val="auto"/>
        </w:rPr>
      </w:pPr>
    </w:p>
    <w:p>
      <w:pPr>
        <w:jc w:val="both"/>
        <w:ind w:firstLine="353"/>
        <w:spacing w:after="0" w:line="258" w:lineRule="auto"/>
        <w:rPr>
          <w:sz w:val="20"/>
          <w:szCs w:val="20"/>
          <w:color w:val="auto"/>
        </w:rPr>
      </w:pPr>
      <w:r>
        <w:rPr>
          <w:rFonts w:ascii="Arial" w:cs="Arial" w:eastAsia="Arial" w:hAnsi="Arial"/>
          <w:sz w:val="20"/>
          <w:szCs w:val="20"/>
          <w:color w:val="auto"/>
        </w:rPr>
        <w:t>Our lease costs are included in Other operating expenses on the Consolidated Statements of Earnings and was $130 million, $134 million, and $137 million for the years ended December 31, 2025, 2024, and 2023, respectively. We do not have any material short term lease costs, variable lease costs, or sublease income.</w:t>
      </w:r>
    </w:p>
    <w:p>
      <w:pPr>
        <w:sectPr>
          <w:pgSz w:w="11880" w:h="15480" w:orient="portrait"/>
          <w:cols w:equalWidth="0" w:num="1">
            <w:col w:w="10040"/>
          </w:cols>
          <w:pgMar w:left="920" w:top="772"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171</w:t>
      </w:r>
    </w:p>
    <w:p>
      <w:pPr>
        <w:sectPr>
          <w:pgSz w:w="11880" w:h="15480" w:orient="portrait"/>
          <w:cols w:equalWidth="0" w:num="1">
            <w:col w:w="10040"/>
          </w:cols>
          <w:pgMar w:left="920" w:top="772" w:right="920" w:bottom="0" w:gutter="0" w:footer="0" w:header="0"/>
          <w:type w:val="continuous"/>
        </w:sectPr>
      </w:pPr>
    </w:p>
    <w:bookmarkStart w:id="183" w:name="page184"/>
    <w:bookmarkEnd w:id="183"/>
    <w:p>
      <w:pPr>
        <w:ind w:firstLine="353"/>
        <w:spacing w:after="0" w:line="271" w:lineRule="auto"/>
        <w:rPr>
          <w:sz w:val="20"/>
          <w:szCs w:val="20"/>
          <w:color w:val="auto"/>
        </w:rPr>
      </w:pPr>
      <w:r>
        <w:rPr>
          <w:rFonts w:ascii="Arial" w:cs="Arial" w:eastAsia="Arial" w:hAnsi="Arial"/>
          <w:sz w:val="20"/>
          <w:szCs w:val="20"/>
          <w:color w:val="auto"/>
        </w:rPr>
        <w:t>Future payments under operating lease arrangements accounted for under ASC Topic 842 as of December 31, 2025, are as follows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69215</wp:posOffset>
            </wp:positionV>
            <wp:extent cx="6400800" cy="138176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44">
                      <a:extLst>
                        <a:ext uri="{28A0092B-C50C-407E-A947-70E740481C1C}"/>
                      </a:extLst>
                    </a:blip>
                    <a:srcRect/>
                    <a:stretch>
                      <a:fillRect/>
                    </a:stretch>
                  </pic:blipFill>
                  <pic:spPr bwMode="auto">
                    <a:xfrm>
                      <a:off x="0" y="0"/>
                      <a:ext cx="6400800" cy="1381760"/>
                    </a:xfrm>
                    <a:prstGeom prst="rect">
                      <a:avLst/>
                    </a:prstGeom>
                    <a:noFill/>
                  </pic:spPr>
                </pic:pic>
              </a:graphicData>
            </a:graphic>
          </wp:anchor>
        </w:drawing>
      </w:r>
    </w:p>
    <w:p>
      <w:pPr>
        <w:spacing w:after="0" w:line="124" w:lineRule="exact"/>
        <w:rPr>
          <w:sz w:val="20"/>
          <w:szCs w:val="20"/>
          <w:color w:val="auto"/>
        </w:rPr>
      </w:pPr>
    </w:p>
    <w:tbl>
      <w:tblPr>
        <w:tblLayout w:type="fixed"/>
        <w:tblInd w:w="40" w:type="dxa"/>
        <w:tblCellMar>
          <w:top w:w="0" w:type="dxa"/>
          <w:left w:w="0" w:type="dxa"/>
          <w:bottom w:w="0" w:type="dxa"/>
          <w:right w:w="0" w:type="dxa"/>
        </w:tblCellMar>
      </w:tblPr>
      <w:tr>
        <w:trPr>
          <w:trHeight w:val="204"/>
        </w:trPr>
        <w:tc>
          <w:tcPr>
            <w:tcW w:w="8900" w:type="dxa"/>
            <w:vAlign w:val="bottom"/>
          </w:tcPr>
          <w:p>
            <w:pPr>
              <w:spacing w:after="0"/>
              <w:rPr>
                <w:sz w:val="20"/>
                <w:szCs w:val="20"/>
                <w:color w:val="auto"/>
              </w:rPr>
            </w:pPr>
            <w:r>
              <w:rPr>
                <w:rFonts w:ascii="Arial" w:cs="Arial" w:eastAsia="Arial" w:hAnsi="Arial"/>
                <w:sz w:val="16"/>
                <w:szCs w:val="16"/>
                <w:color w:val="auto"/>
              </w:rPr>
              <w:t>2026</w:t>
            </w:r>
          </w:p>
        </w:tc>
        <w:tc>
          <w:tcPr>
            <w:tcW w:w="460" w:type="dxa"/>
            <w:vAlign w:val="bottom"/>
          </w:tcPr>
          <w:p>
            <w:pPr>
              <w:jc w:val="right"/>
              <w:ind w:right="262"/>
              <w:spacing w:after="0"/>
              <w:rPr>
                <w:sz w:val="20"/>
                <w:szCs w:val="20"/>
                <w:color w:val="auto"/>
              </w:rPr>
            </w:pPr>
            <w:r>
              <w:rPr>
                <w:rFonts w:ascii="Arial" w:cs="Arial" w:eastAsia="Arial" w:hAnsi="Arial"/>
                <w:sz w:val="16"/>
                <w:szCs w:val="16"/>
                <w:color w:val="auto"/>
              </w:rPr>
              <w:t>$</w:t>
            </w:r>
          </w:p>
        </w:tc>
        <w:tc>
          <w:tcPr>
            <w:tcW w:w="640" w:type="dxa"/>
            <w:vAlign w:val="bottom"/>
          </w:tcPr>
          <w:p>
            <w:pPr>
              <w:jc w:val="right"/>
              <w:ind w:right="2"/>
              <w:spacing w:after="0"/>
              <w:rPr>
                <w:sz w:val="20"/>
                <w:szCs w:val="20"/>
                <w:color w:val="auto"/>
              </w:rPr>
            </w:pPr>
            <w:r>
              <w:rPr>
                <w:rFonts w:ascii="Arial" w:cs="Arial" w:eastAsia="Arial" w:hAnsi="Arial"/>
                <w:sz w:val="16"/>
                <w:szCs w:val="16"/>
                <w:color w:val="auto"/>
              </w:rPr>
              <w:t>130</w:t>
            </w:r>
          </w:p>
        </w:tc>
      </w:tr>
      <w:tr>
        <w:trPr>
          <w:trHeight w:val="235"/>
        </w:trPr>
        <w:tc>
          <w:tcPr>
            <w:tcW w:w="8900" w:type="dxa"/>
            <w:vAlign w:val="bottom"/>
          </w:tcPr>
          <w:p>
            <w:pPr>
              <w:spacing w:after="0"/>
              <w:rPr>
                <w:sz w:val="20"/>
                <w:szCs w:val="20"/>
                <w:color w:val="auto"/>
              </w:rPr>
            </w:pPr>
            <w:r>
              <w:rPr>
                <w:rFonts w:ascii="Arial" w:cs="Arial" w:eastAsia="Arial" w:hAnsi="Arial"/>
                <w:sz w:val="16"/>
                <w:szCs w:val="16"/>
                <w:color w:val="auto"/>
              </w:rPr>
              <w:t>2027</w:t>
            </w:r>
          </w:p>
        </w:tc>
        <w:tc>
          <w:tcPr>
            <w:tcW w:w="460" w:type="dxa"/>
            <w:vAlign w:val="bottom"/>
          </w:tcPr>
          <w:p>
            <w:pPr>
              <w:spacing w:after="0"/>
              <w:rPr>
                <w:sz w:val="20"/>
                <w:szCs w:val="20"/>
                <w:color w:val="auto"/>
              </w:rPr>
            </w:pPr>
          </w:p>
        </w:tc>
        <w:tc>
          <w:tcPr>
            <w:tcW w:w="640" w:type="dxa"/>
            <w:vAlign w:val="bottom"/>
          </w:tcPr>
          <w:p>
            <w:pPr>
              <w:jc w:val="right"/>
              <w:ind w:right="2"/>
              <w:spacing w:after="0"/>
              <w:rPr>
                <w:sz w:val="20"/>
                <w:szCs w:val="20"/>
                <w:color w:val="auto"/>
              </w:rPr>
            </w:pPr>
            <w:r>
              <w:rPr>
                <w:rFonts w:ascii="Arial" w:cs="Arial" w:eastAsia="Arial" w:hAnsi="Arial"/>
                <w:sz w:val="16"/>
                <w:szCs w:val="16"/>
                <w:color w:val="auto"/>
              </w:rPr>
              <w:t>101</w:t>
            </w:r>
          </w:p>
        </w:tc>
      </w:tr>
      <w:tr>
        <w:trPr>
          <w:trHeight w:val="235"/>
        </w:trPr>
        <w:tc>
          <w:tcPr>
            <w:tcW w:w="8900" w:type="dxa"/>
            <w:vAlign w:val="bottom"/>
          </w:tcPr>
          <w:p>
            <w:pPr>
              <w:spacing w:after="0"/>
              <w:rPr>
                <w:sz w:val="20"/>
                <w:szCs w:val="20"/>
                <w:color w:val="auto"/>
              </w:rPr>
            </w:pPr>
            <w:r>
              <w:rPr>
                <w:rFonts w:ascii="Arial" w:cs="Arial" w:eastAsia="Arial" w:hAnsi="Arial"/>
                <w:sz w:val="16"/>
                <w:szCs w:val="16"/>
                <w:color w:val="auto"/>
              </w:rPr>
              <w:t>2028</w:t>
            </w:r>
          </w:p>
        </w:tc>
        <w:tc>
          <w:tcPr>
            <w:tcW w:w="460" w:type="dxa"/>
            <w:vAlign w:val="bottom"/>
          </w:tcPr>
          <w:p>
            <w:pPr>
              <w:spacing w:after="0"/>
              <w:rPr>
                <w:sz w:val="20"/>
                <w:szCs w:val="20"/>
                <w:color w:val="auto"/>
              </w:rPr>
            </w:pPr>
          </w:p>
        </w:tc>
        <w:tc>
          <w:tcPr>
            <w:tcW w:w="640" w:type="dxa"/>
            <w:vAlign w:val="bottom"/>
          </w:tcPr>
          <w:p>
            <w:pPr>
              <w:jc w:val="right"/>
              <w:ind w:right="2"/>
              <w:spacing w:after="0"/>
              <w:rPr>
                <w:sz w:val="20"/>
                <w:szCs w:val="20"/>
                <w:color w:val="auto"/>
              </w:rPr>
            </w:pPr>
            <w:r>
              <w:rPr>
                <w:rFonts w:ascii="Arial" w:cs="Arial" w:eastAsia="Arial" w:hAnsi="Arial"/>
                <w:sz w:val="16"/>
                <w:szCs w:val="16"/>
                <w:color w:val="auto"/>
              </w:rPr>
              <w:t>76</w:t>
            </w:r>
          </w:p>
        </w:tc>
      </w:tr>
      <w:tr>
        <w:trPr>
          <w:trHeight w:val="235"/>
        </w:trPr>
        <w:tc>
          <w:tcPr>
            <w:tcW w:w="8900" w:type="dxa"/>
            <w:vAlign w:val="bottom"/>
          </w:tcPr>
          <w:p>
            <w:pPr>
              <w:spacing w:after="0"/>
              <w:rPr>
                <w:sz w:val="20"/>
                <w:szCs w:val="20"/>
                <w:color w:val="auto"/>
              </w:rPr>
            </w:pPr>
            <w:r>
              <w:rPr>
                <w:rFonts w:ascii="Arial" w:cs="Arial" w:eastAsia="Arial" w:hAnsi="Arial"/>
                <w:sz w:val="16"/>
                <w:szCs w:val="16"/>
                <w:color w:val="auto"/>
              </w:rPr>
              <w:t>2029</w:t>
            </w:r>
          </w:p>
        </w:tc>
        <w:tc>
          <w:tcPr>
            <w:tcW w:w="460" w:type="dxa"/>
            <w:vAlign w:val="bottom"/>
          </w:tcPr>
          <w:p>
            <w:pPr>
              <w:spacing w:after="0"/>
              <w:rPr>
                <w:sz w:val="20"/>
                <w:szCs w:val="20"/>
                <w:color w:val="auto"/>
              </w:rPr>
            </w:pPr>
          </w:p>
        </w:tc>
        <w:tc>
          <w:tcPr>
            <w:tcW w:w="640" w:type="dxa"/>
            <w:vAlign w:val="bottom"/>
          </w:tcPr>
          <w:p>
            <w:pPr>
              <w:jc w:val="right"/>
              <w:ind w:right="2"/>
              <w:spacing w:after="0"/>
              <w:rPr>
                <w:sz w:val="20"/>
                <w:szCs w:val="20"/>
                <w:color w:val="auto"/>
              </w:rPr>
            </w:pPr>
            <w:r>
              <w:rPr>
                <w:rFonts w:ascii="Arial" w:cs="Arial" w:eastAsia="Arial" w:hAnsi="Arial"/>
                <w:sz w:val="16"/>
                <w:szCs w:val="16"/>
                <w:color w:val="auto"/>
              </w:rPr>
              <w:t>52</w:t>
            </w:r>
          </w:p>
        </w:tc>
      </w:tr>
      <w:tr>
        <w:trPr>
          <w:trHeight w:val="235"/>
        </w:trPr>
        <w:tc>
          <w:tcPr>
            <w:tcW w:w="8900" w:type="dxa"/>
            <w:vAlign w:val="bottom"/>
          </w:tcPr>
          <w:p>
            <w:pPr>
              <w:spacing w:after="0"/>
              <w:rPr>
                <w:sz w:val="20"/>
                <w:szCs w:val="20"/>
                <w:color w:val="auto"/>
              </w:rPr>
            </w:pPr>
            <w:r>
              <w:rPr>
                <w:rFonts w:ascii="Arial" w:cs="Arial" w:eastAsia="Arial" w:hAnsi="Arial"/>
                <w:sz w:val="16"/>
                <w:szCs w:val="16"/>
                <w:color w:val="auto"/>
              </w:rPr>
              <w:t>2030</w:t>
            </w:r>
          </w:p>
        </w:tc>
        <w:tc>
          <w:tcPr>
            <w:tcW w:w="460" w:type="dxa"/>
            <w:vAlign w:val="bottom"/>
          </w:tcPr>
          <w:p>
            <w:pPr>
              <w:spacing w:after="0"/>
              <w:rPr>
                <w:sz w:val="20"/>
                <w:szCs w:val="20"/>
                <w:color w:val="auto"/>
              </w:rPr>
            </w:pPr>
          </w:p>
        </w:tc>
        <w:tc>
          <w:tcPr>
            <w:tcW w:w="640" w:type="dxa"/>
            <w:vAlign w:val="bottom"/>
          </w:tcPr>
          <w:p>
            <w:pPr>
              <w:jc w:val="right"/>
              <w:ind w:right="2"/>
              <w:spacing w:after="0"/>
              <w:rPr>
                <w:sz w:val="20"/>
                <w:szCs w:val="20"/>
                <w:color w:val="auto"/>
              </w:rPr>
            </w:pPr>
            <w:r>
              <w:rPr>
                <w:rFonts w:ascii="Arial" w:cs="Arial" w:eastAsia="Arial" w:hAnsi="Arial"/>
                <w:sz w:val="16"/>
                <w:szCs w:val="16"/>
                <w:color w:val="auto"/>
              </w:rPr>
              <w:t>29</w:t>
            </w:r>
          </w:p>
        </w:tc>
      </w:tr>
      <w:tr>
        <w:trPr>
          <w:trHeight w:val="242"/>
        </w:trPr>
        <w:tc>
          <w:tcPr>
            <w:tcW w:w="8900" w:type="dxa"/>
            <w:vAlign w:val="bottom"/>
          </w:tcPr>
          <w:p>
            <w:pPr>
              <w:spacing w:after="0"/>
              <w:rPr>
                <w:sz w:val="20"/>
                <w:szCs w:val="20"/>
                <w:color w:val="auto"/>
              </w:rPr>
            </w:pPr>
            <w:r>
              <w:rPr>
                <w:rFonts w:ascii="Arial" w:cs="Arial" w:eastAsia="Arial" w:hAnsi="Arial"/>
                <w:sz w:val="16"/>
                <w:szCs w:val="16"/>
                <w:color w:val="auto"/>
              </w:rPr>
              <w:t>Thereafter</w:t>
            </w:r>
          </w:p>
        </w:tc>
        <w:tc>
          <w:tcPr>
            <w:tcW w:w="46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20</w:t>
            </w:r>
          </w:p>
        </w:tc>
      </w:tr>
      <w:tr>
        <w:trPr>
          <w:trHeight w:val="215"/>
        </w:trPr>
        <w:tc>
          <w:tcPr>
            <w:tcW w:w="8900" w:type="dxa"/>
            <w:vAlign w:val="bottom"/>
          </w:tcPr>
          <w:p>
            <w:pPr>
              <w:spacing w:after="0"/>
              <w:rPr>
                <w:sz w:val="20"/>
                <w:szCs w:val="20"/>
                <w:color w:val="auto"/>
              </w:rPr>
            </w:pPr>
            <w:r>
              <w:rPr>
                <w:rFonts w:ascii="Arial" w:cs="Arial" w:eastAsia="Arial" w:hAnsi="Arial"/>
                <w:sz w:val="16"/>
                <w:szCs w:val="16"/>
                <w:color w:val="auto"/>
              </w:rPr>
              <w:t>Total operating lease payments, undiscounted</w:t>
            </w:r>
          </w:p>
        </w:tc>
        <w:tc>
          <w:tcPr>
            <w:tcW w:w="460" w:type="dxa"/>
            <w:vAlign w:val="bottom"/>
            <w:tcBorders>
              <w:bottom w:val="single" w:sz="8" w:color="auto"/>
            </w:tcBorders>
          </w:tcPr>
          <w:p>
            <w:pPr>
              <w:jc w:val="right"/>
              <w:ind w:right="262"/>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408</w:t>
            </w:r>
          </w:p>
        </w:tc>
      </w:tr>
      <w:tr>
        <w:trPr>
          <w:trHeight w:val="215"/>
        </w:trPr>
        <w:tc>
          <w:tcPr>
            <w:tcW w:w="8900" w:type="dxa"/>
            <w:vAlign w:val="bottom"/>
          </w:tcPr>
          <w:p>
            <w:pPr>
              <w:spacing w:after="0"/>
              <w:rPr>
                <w:sz w:val="20"/>
                <w:szCs w:val="20"/>
                <w:color w:val="auto"/>
              </w:rPr>
            </w:pPr>
            <w:r>
              <w:rPr>
                <w:rFonts w:ascii="Arial" w:cs="Arial" w:eastAsia="Arial" w:hAnsi="Arial"/>
                <w:sz w:val="16"/>
                <w:szCs w:val="16"/>
                <w:color w:val="auto"/>
              </w:rPr>
              <w:t>Less: present value discount</w:t>
            </w:r>
          </w:p>
        </w:tc>
        <w:tc>
          <w:tcPr>
            <w:tcW w:w="4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40</w:t>
            </w:r>
          </w:p>
        </w:tc>
      </w:tr>
      <w:tr>
        <w:trPr>
          <w:trHeight w:val="196"/>
        </w:trPr>
        <w:tc>
          <w:tcPr>
            <w:tcW w:w="8900" w:type="dxa"/>
            <w:vAlign w:val="bottom"/>
          </w:tcPr>
          <w:p>
            <w:pPr>
              <w:spacing w:after="0"/>
              <w:rPr>
                <w:sz w:val="20"/>
                <w:szCs w:val="20"/>
                <w:color w:val="auto"/>
              </w:rPr>
            </w:pPr>
            <w:r>
              <w:rPr>
                <w:rFonts w:ascii="Arial" w:cs="Arial" w:eastAsia="Arial" w:hAnsi="Arial"/>
                <w:sz w:val="16"/>
                <w:szCs w:val="16"/>
                <w:color w:val="auto"/>
              </w:rPr>
              <w:t>Lease liability, at present value</w:t>
            </w:r>
          </w:p>
        </w:tc>
        <w:tc>
          <w:tcPr>
            <w:tcW w:w="460" w:type="dxa"/>
            <w:vAlign w:val="bottom"/>
            <w:tcBorders>
              <w:bottom w:val="single" w:sz="8" w:color="auto"/>
            </w:tcBorders>
          </w:tcPr>
          <w:p>
            <w:pPr>
              <w:jc w:val="right"/>
              <w:ind w:right="262"/>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368</w:t>
            </w:r>
          </w:p>
        </w:tc>
      </w:tr>
      <w:tr>
        <w:trPr>
          <w:trHeight w:val="20"/>
        </w:trPr>
        <w:tc>
          <w:tcPr>
            <w:tcW w:w="89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line="123" w:lineRule="exact"/>
        <w:rPr>
          <w:sz w:val="20"/>
          <w:szCs w:val="20"/>
          <w:color w:val="auto"/>
        </w:rPr>
      </w:pPr>
    </w:p>
    <w:p>
      <w:pPr>
        <w:jc w:val="both"/>
        <w:ind w:firstLine="353"/>
        <w:spacing w:after="0" w:line="273" w:lineRule="auto"/>
        <w:rPr>
          <w:sz w:val="20"/>
          <w:szCs w:val="20"/>
          <w:color w:val="auto"/>
        </w:rPr>
      </w:pPr>
      <w:r>
        <w:rPr>
          <w:rFonts w:ascii="Arial" w:cs="Arial" w:eastAsia="Arial" w:hAnsi="Arial"/>
          <w:sz w:val="20"/>
          <w:szCs w:val="20"/>
          <w:color w:val="auto"/>
        </w:rPr>
        <w:t xml:space="preserve">See Note J </w:t>
      </w:r>
      <w:r>
        <w:rPr>
          <w:rFonts w:ascii="Arial" w:cs="Arial" w:eastAsia="Arial" w:hAnsi="Arial"/>
          <w:sz w:val="20"/>
          <w:szCs w:val="20"/>
          <w:b w:val="1"/>
          <w:bCs w:val="1"/>
          <w:i w:val="1"/>
          <w:iCs w:val="1"/>
          <w:color w:val="auto"/>
        </w:rPr>
        <w:t>Supplementary Cash Flow Information</w:t>
      </w:r>
      <w:r>
        <w:rPr>
          <w:rFonts w:ascii="Arial" w:cs="Arial" w:eastAsia="Arial" w:hAnsi="Arial"/>
          <w:sz w:val="20"/>
          <w:szCs w:val="20"/>
          <w:color w:val="auto"/>
        </w:rPr>
        <w:t xml:space="preserve"> for certain information on noncash investing and financing activities related to our operating lease arrangements.</w:t>
      </w:r>
    </w:p>
    <w:p>
      <w:pPr>
        <w:spacing w:after="0" w:line="5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Q - Property and Equipment</w:t>
      </w:r>
    </w:p>
    <w:p>
      <w:pPr>
        <w:spacing w:after="0" w:line="217" w:lineRule="exact"/>
        <w:rPr>
          <w:sz w:val="20"/>
          <w:szCs w:val="20"/>
          <w:color w:val="auto"/>
        </w:rPr>
      </w:pPr>
    </w:p>
    <w:p>
      <w:pPr>
        <w:ind w:left="340"/>
        <w:spacing w:after="0"/>
        <w:rPr>
          <w:sz w:val="20"/>
          <w:szCs w:val="20"/>
          <w:color w:val="auto"/>
        </w:rPr>
      </w:pPr>
      <w:r>
        <w:rPr>
          <w:rFonts w:ascii="Arial" w:cs="Arial" w:eastAsia="Arial" w:hAnsi="Arial"/>
          <w:sz w:val="20"/>
          <w:szCs w:val="20"/>
          <w:color w:val="auto"/>
        </w:rPr>
        <w:t>Property and equipment consist of the following:</w:t>
      </w:r>
    </w:p>
    <w:p>
      <w:pPr>
        <w:spacing w:after="0" w:line="65" w:lineRule="exact"/>
        <w:rPr>
          <w:sz w:val="20"/>
          <w:szCs w:val="20"/>
          <w:color w:val="auto"/>
        </w:rPr>
      </w:pPr>
    </w:p>
    <w:tbl>
      <w:tblPr>
        <w:tblLayout w:type="fixed"/>
        <w:tblInd w:w="40" w:type="dxa"/>
        <w:tblCellMar>
          <w:top w:w="0" w:type="dxa"/>
          <w:left w:w="0" w:type="dxa"/>
          <w:bottom w:w="0" w:type="dxa"/>
          <w:right w:w="0" w:type="dxa"/>
        </w:tblCellMar>
      </w:tblPr>
      <w:tr>
        <w:trPr>
          <w:trHeight w:val="213"/>
        </w:trPr>
        <w:tc>
          <w:tcPr>
            <w:tcW w:w="78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900" w:type="dxa"/>
            <w:vAlign w:val="bottom"/>
            <w:tcBorders>
              <w:bottom w:val="single" w:sz="8" w:color="auto"/>
            </w:tcBorders>
            <w:gridSpan w:val="4"/>
          </w:tcPr>
          <w:p>
            <w:pPr>
              <w:jc w:val="right"/>
              <w:ind w:right="542"/>
              <w:spacing w:after="0"/>
              <w:rPr>
                <w:sz w:val="20"/>
                <w:szCs w:val="20"/>
                <w:color w:val="auto"/>
              </w:rPr>
            </w:pPr>
            <w:r>
              <w:rPr>
                <w:rFonts w:ascii="Arial" w:cs="Arial" w:eastAsia="Arial" w:hAnsi="Arial"/>
                <w:sz w:val="16"/>
                <w:szCs w:val="16"/>
                <w:b w:val="1"/>
                <w:bCs w:val="1"/>
                <w:color w:val="auto"/>
              </w:rPr>
              <w:t>December 31,</w:t>
            </w:r>
          </w:p>
        </w:tc>
      </w:tr>
      <w:tr>
        <w:trPr>
          <w:trHeight w:val="230"/>
        </w:trPr>
        <w:tc>
          <w:tcPr>
            <w:tcW w:w="78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62"/>
              <w:spacing w:after="0"/>
              <w:rPr>
                <w:sz w:val="20"/>
                <w:szCs w:val="20"/>
                <w:color w:val="auto"/>
              </w:rPr>
            </w:pPr>
            <w:r>
              <w:rPr>
                <w:rFonts w:ascii="Arial" w:cs="Arial" w:eastAsia="Arial" w:hAnsi="Arial"/>
                <w:sz w:val="16"/>
                <w:szCs w:val="16"/>
                <w:b w:val="1"/>
                <w:bCs w:val="1"/>
                <w:color w:val="auto"/>
              </w:rPr>
              <w:t>2025</w:t>
            </w:r>
          </w:p>
        </w:tc>
        <w:tc>
          <w:tcPr>
            <w:tcW w:w="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82"/>
              <w:spacing w:after="0"/>
              <w:rPr>
                <w:sz w:val="20"/>
                <w:szCs w:val="20"/>
                <w:color w:val="auto"/>
              </w:rPr>
            </w:pPr>
            <w:r>
              <w:rPr>
                <w:rFonts w:ascii="Arial" w:cs="Arial" w:eastAsia="Arial" w:hAnsi="Arial"/>
                <w:sz w:val="16"/>
                <w:szCs w:val="16"/>
                <w:b w:val="1"/>
                <w:bCs w:val="1"/>
                <w:color w:val="auto"/>
              </w:rPr>
              <w:t>2024</w:t>
            </w:r>
          </w:p>
        </w:tc>
      </w:tr>
      <w:tr>
        <w:trPr>
          <w:trHeight w:val="223"/>
        </w:trPr>
        <w:tc>
          <w:tcPr>
            <w:tcW w:w="78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00" w:type="dxa"/>
            <w:vAlign w:val="bottom"/>
            <w:gridSpan w:val="4"/>
          </w:tcPr>
          <w:p>
            <w:pPr>
              <w:jc w:val="right"/>
              <w:ind w:right="582"/>
              <w:spacing w:after="0"/>
              <w:rPr>
                <w:sz w:val="20"/>
                <w:szCs w:val="20"/>
                <w:color w:val="auto"/>
              </w:rPr>
            </w:pPr>
            <w:r>
              <w:rPr>
                <w:rFonts w:ascii="Arial" w:cs="Arial" w:eastAsia="Arial" w:hAnsi="Arial"/>
                <w:sz w:val="16"/>
                <w:szCs w:val="16"/>
                <w:b w:val="1"/>
                <w:bCs w:val="1"/>
                <w:color w:val="auto"/>
              </w:rPr>
              <w:t>(In millions)</w:t>
            </w:r>
          </w:p>
        </w:tc>
      </w:tr>
      <w:tr>
        <w:trPr>
          <w:trHeight w:val="250"/>
        </w:trPr>
        <w:tc>
          <w:tcPr>
            <w:tcW w:w="7840" w:type="dxa"/>
            <w:vAlign w:val="bottom"/>
          </w:tcPr>
          <w:p>
            <w:pPr>
              <w:spacing w:after="0"/>
              <w:rPr>
                <w:sz w:val="20"/>
                <w:szCs w:val="20"/>
                <w:color w:val="auto"/>
              </w:rPr>
            </w:pPr>
            <w:r>
              <w:rPr>
                <w:rFonts w:ascii="Arial" w:cs="Arial" w:eastAsia="Arial" w:hAnsi="Arial"/>
                <w:sz w:val="16"/>
                <w:szCs w:val="16"/>
                <w:color w:val="auto"/>
              </w:rPr>
              <w:t>Furniture, fixtures and equipment</w:t>
            </w:r>
          </w:p>
        </w:tc>
        <w:tc>
          <w:tcPr>
            <w:tcW w:w="24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164</w:t>
            </w:r>
          </w:p>
        </w:tc>
        <w:tc>
          <w:tcPr>
            <w:tcW w:w="3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161</w:t>
            </w:r>
          </w:p>
        </w:tc>
      </w:tr>
      <w:tr>
        <w:trPr>
          <w:trHeight w:val="250"/>
        </w:trPr>
        <w:tc>
          <w:tcPr>
            <w:tcW w:w="7840" w:type="dxa"/>
            <w:vAlign w:val="bottom"/>
          </w:tcPr>
          <w:p>
            <w:pPr>
              <w:spacing w:after="0"/>
              <w:rPr>
                <w:sz w:val="20"/>
                <w:szCs w:val="20"/>
                <w:color w:val="auto"/>
              </w:rPr>
            </w:pPr>
            <w:r>
              <w:rPr>
                <w:rFonts w:ascii="Arial" w:cs="Arial" w:eastAsia="Arial" w:hAnsi="Arial"/>
                <w:sz w:val="16"/>
                <w:szCs w:val="16"/>
                <w:color w:val="auto"/>
              </w:rPr>
              <w:t>Data processing equipment</w:t>
            </w: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164</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155</w:t>
            </w:r>
          </w:p>
        </w:tc>
      </w:tr>
      <w:tr>
        <w:trPr>
          <w:trHeight w:val="250"/>
        </w:trPr>
        <w:tc>
          <w:tcPr>
            <w:tcW w:w="7840" w:type="dxa"/>
            <w:vAlign w:val="bottom"/>
          </w:tcPr>
          <w:p>
            <w:pPr>
              <w:spacing w:after="0"/>
              <w:rPr>
                <w:sz w:val="20"/>
                <w:szCs w:val="20"/>
                <w:color w:val="auto"/>
              </w:rPr>
            </w:pPr>
            <w:r>
              <w:rPr>
                <w:rFonts w:ascii="Arial" w:cs="Arial" w:eastAsia="Arial" w:hAnsi="Arial"/>
                <w:sz w:val="16"/>
                <w:szCs w:val="16"/>
                <w:color w:val="auto"/>
              </w:rPr>
              <w:t>Leasehold improvements</w:t>
            </w: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131</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126</w:t>
            </w:r>
          </w:p>
        </w:tc>
      </w:tr>
      <w:tr>
        <w:trPr>
          <w:trHeight w:val="250"/>
        </w:trPr>
        <w:tc>
          <w:tcPr>
            <w:tcW w:w="7840" w:type="dxa"/>
            <w:vAlign w:val="bottom"/>
          </w:tcPr>
          <w:p>
            <w:pPr>
              <w:spacing w:after="0"/>
              <w:rPr>
                <w:sz w:val="20"/>
                <w:szCs w:val="20"/>
                <w:color w:val="auto"/>
              </w:rPr>
            </w:pPr>
            <w:r>
              <w:rPr>
                <w:rFonts w:ascii="Arial" w:cs="Arial" w:eastAsia="Arial" w:hAnsi="Arial"/>
                <w:sz w:val="16"/>
                <w:szCs w:val="16"/>
                <w:color w:val="auto"/>
              </w:rPr>
              <w:t>Buildings</w:t>
            </w: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103</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93</w:t>
            </w:r>
          </w:p>
        </w:tc>
      </w:tr>
      <w:tr>
        <w:trPr>
          <w:trHeight w:val="250"/>
        </w:trPr>
        <w:tc>
          <w:tcPr>
            <w:tcW w:w="7840" w:type="dxa"/>
            <w:vAlign w:val="bottom"/>
          </w:tcPr>
          <w:p>
            <w:pPr>
              <w:spacing w:after="0"/>
              <w:rPr>
                <w:sz w:val="20"/>
                <w:szCs w:val="20"/>
                <w:color w:val="auto"/>
              </w:rPr>
            </w:pPr>
            <w:r>
              <w:rPr>
                <w:rFonts w:ascii="Arial" w:cs="Arial" w:eastAsia="Arial" w:hAnsi="Arial"/>
                <w:sz w:val="16"/>
                <w:szCs w:val="16"/>
                <w:color w:val="auto"/>
              </w:rPr>
              <w:t>Land</w:t>
            </w: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17</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14</w:t>
            </w:r>
          </w:p>
        </w:tc>
      </w:tr>
      <w:tr>
        <w:trPr>
          <w:trHeight w:val="257"/>
        </w:trPr>
        <w:tc>
          <w:tcPr>
            <w:tcW w:w="7840" w:type="dxa"/>
            <w:vAlign w:val="bottom"/>
          </w:tcPr>
          <w:p>
            <w:pPr>
              <w:spacing w:after="0"/>
              <w:rPr>
                <w:sz w:val="20"/>
                <w:szCs w:val="20"/>
                <w:color w:val="auto"/>
              </w:rPr>
            </w:pPr>
            <w:r>
              <w:rPr>
                <w:rFonts w:ascii="Arial" w:cs="Arial" w:eastAsia="Arial" w:hAnsi="Arial"/>
                <w:sz w:val="16"/>
                <w:szCs w:val="16"/>
                <w:color w:val="auto"/>
              </w:rPr>
              <w:t>Other</w:t>
            </w: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w:t>
            </w:r>
          </w:p>
        </w:tc>
        <w:tc>
          <w:tcPr>
            <w:tcW w:w="8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w:t>
            </w:r>
          </w:p>
        </w:tc>
      </w:tr>
      <w:tr>
        <w:trPr>
          <w:trHeight w:val="223"/>
        </w:trPr>
        <w:tc>
          <w:tcPr>
            <w:tcW w:w="7840" w:type="dxa"/>
            <w:vAlign w:val="bottom"/>
          </w:tcPr>
          <w:p>
            <w:pPr>
              <w:ind w:left="140"/>
              <w:spacing w:after="0"/>
              <w:rPr>
                <w:sz w:val="20"/>
                <w:szCs w:val="20"/>
                <w:color w:val="auto"/>
              </w:rPr>
            </w:pPr>
            <w:r>
              <w:rPr>
                <w:rFonts w:ascii="Arial" w:cs="Arial" w:eastAsia="Arial" w:hAnsi="Arial"/>
                <w:sz w:val="16"/>
                <w:szCs w:val="16"/>
                <w:color w:val="auto"/>
              </w:rPr>
              <w:t>Total property and equipment, gross</w:t>
            </w: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587</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557</w:t>
            </w:r>
          </w:p>
        </w:tc>
      </w:tr>
      <w:tr>
        <w:trPr>
          <w:trHeight w:val="257"/>
        </w:trPr>
        <w:tc>
          <w:tcPr>
            <w:tcW w:w="7840" w:type="dxa"/>
            <w:vAlign w:val="bottom"/>
          </w:tcPr>
          <w:p>
            <w:pPr>
              <w:spacing w:after="0"/>
              <w:rPr>
                <w:sz w:val="20"/>
                <w:szCs w:val="20"/>
                <w:color w:val="auto"/>
              </w:rPr>
            </w:pPr>
            <w:r>
              <w:rPr>
                <w:rFonts w:ascii="Arial" w:cs="Arial" w:eastAsia="Arial" w:hAnsi="Arial"/>
                <w:sz w:val="16"/>
                <w:szCs w:val="16"/>
                <w:color w:val="auto"/>
              </w:rPr>
              <w:t>Accumulated depreciation and amortization</w:t>
            </w: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(398)</w:t>
            </w:r>
          </w:p>
        </w:tc>
        <w:tc>
          <w:tcPr>
            <w:tcW w:w="8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(384)</w:t>
            </w:r>
          </w:p>
        </w:tc>
      </w:tr>
      <w:tr>
        <w:trPr>
          <w:trHeight w:val="210"/>
        </w:trPr>
        <w:tc>
          <w:tcPr>
            <w:tcW w:w="7840" w:type="dxa"/>
            <w:vAlign w:val="bottom"/>
          </w:tcPr>
          <w:p>
            <w:pPr>
              <w:ind w:left="140"/>
              <w:spacing w:after="0"/>
              <w:rPr>
                <w:sz w:val="20"/>
                <w:szCs w:val="20"/>
                <w:color w:val="auto"/>
              </w:rPr>
            </w:pPr>
            <w:r>
              <w:rPr>
                <w:rFonts w:ascii="Arial" w:cs="Arial" w:eastAsia="Arial" w:hAnsi="Arial"/>
                <w:sz w:val="16"/>
                <w:szCs w:val="16"/>
                <w:color w:val="auto"/>
              </w:rPr>
              <w:t>Total property and equipment, net</w:t>
            </w:r>
          </w:p>
        </w:tc>
        <w:tc>
          <w:tcPr>
            <w:tcW w:w="24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189</w:t>
            </w:r>
          </w:p>
        </w:tc>
        <w:tc>
          <w:tcPr>
            <w:tcW w:w="3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173</w:t>
            </w:r>
          </w:p>
        </w:tc>
      </w:tr>
      <w:tr>
        <w:trPr>
          <w:trHeight w:val="20"/>
        </w:trPr>
        <w:tc>
          <w:tcPr>
            <w:tcW w:w="78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-1300480</wp:posOffset>
            </wp:positionV>
            <wp:extent cx="6391275" cy="130746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45">
                      <a:extLst>
                        <a:ext uri="{28A0092B-C50C-407E-A947-70E740481C1C}"/>
                      </a:extLst>
                    </a:blip>
                    <a:srcRect/>
                    <a:stretch>
                      <a:fillRect/>
                    </a:stretch>
                  </pic:blipFill>
                  <pic:spPr bwMode="auto">
                    <a:xfrm>
                      <a:off x="0" y="0"/>
                      <a:ext cx="6391275" cy="1307465"/>
                    </a:xfrm>
                    <a:prstGeom prst="rect">
                      <a:avLst/>
                    </a:prstGeom>
                    <a:noFill/>
                  </pic:spPr>
                </pic:pic>
              </a:graphicData>
            </a:graphic>
          </wp:anchor>
        </w:drawing>
      </w:r>
    </w:p>
    <w:p>
      <w:pPr>
        <w:spacing w:after="0" w:line="7" w:lineRule="exact"/>
        <w:rPr>
          <w:sz w:val="20"/>
          <w:szCs w:val="20"/>
          <w:color w:val="auto"/>
        </w:rPr>
      </w:pPr>
    </w:p>
    <w:p>
      <w:pPr>
        <w:jc w:val="both"/>
        <w:ind w:firstLine="353"/>
        <w:spacing w:after="0" w:line="271" w:lineRule="auto"/>
        <w:rPr>
          <w:sz w:val="20"/>
          <w:szCs w:val="20"/>
          <w:color w:val="auto"/>
        </w:rPr>
      </w:pPr>
      <w:r>
        <w:rPr>
          <w:rFonts w:ascii="Arial" w:cs="Arial" w:eastAsia="Arial" w:hAnsi="Arial"/>
          <w:sz w:val="20"/>
          <w:szCs w:val="20"/>
          <w:color w:val="auto"/>
        </w:rPr>
        <w:t>Depreciation expense on property and equipment was $53 million, $53 million, and $55 million for the years ended December 31, 2025, 2024, and 2023, respectively.</w:t>
      </w:r>
    </w:p>
    <w:p>
      <w:pPr>
        <w:sectPr>
          <w:pgSz w:w="11880" w:h="15480" w:orient="portrait"/>
          <w:cols w:equalWidth="0" w:num="1">
            <w:col w:w="10040"/>
          </w:cols>
          <w:pgMar w:left="920" w:top="772"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172</w:t>
      </w:r>
    </w:p>
    <w:p>
      <w:pPr>
        <w:sectPr>
          <w:pgSz w:w="11880" w:h="15480" w:orient="portrait"/>
          <w:cols w:equalWidth="0" w:num="1">
            <w:col w:w="10040"/>
          </w:cols>
          <w:pgMar w:left="920" w:top="772" w:right="920" w:bottom="0" w:gutter="0" w:footer="0" w:header="0"/>
          <w:type w:val="continuous"/>
        </w:sectPr>
      </w:pPr>
    </w:p>
    <w:bookmarkStart w:id="184" w:name="page185"/>
    <w:bookmarkEnd w:id="184"/>
    <w:p>
      <w:pPr>
        <w:spacing w:after="0"/>
        <w:rPr>
          <w:sz w:val="20"/>
          <w:szCs w:val="20"/>
          <w:color w:val="auto"/>
        </w:rPr>
      </w:pPr>
      <w:r>
        <w:rPr>
          <w:rFonts w:ascii="Arial" w:cs="Arial" w:eastAsia="Arial" w:hAnsi="Arial"/>
          <w:sz w:val="20"/>
          <w:szCs w:val="20"/>
          <w:b w:val="1"/>
          <w:bCs w:val="1"/>
          <w:color w:val="auto"/>
        </w:rPr>
        <w:t>Note R - Accounts Payable and Other Accrued Liabilities</w:t>
      </w:r>
    </w:p>
    <w:p>
      <w:pPr>
        <w:spacing w:after="0" w:line="29" w:lineRule="exact"/>
        <w:rPr>
          <w:sz w:val="20"/>
          <w:szCs w:val="20"/>
          <w:color w:val="auto"/>
        </w:rPr>
      </w:pPr>
    </w:p>
    <w:p>
      <w:pPr>
        <w:ind w:left="340"/>
        <w:spacing w:after="0"/>
        <w:rPr>
          <w:sz w:val="20"/>
          <w:szCs w:val="20"/>
          <w:color w:val="auto"/>
        </w:rPr>
      </w:pPr>
      <w:r>
        <w:rPr>
          <w:rFonts w:ascii="Arial" w:cs="Arial" w:eastAsia="Arial" w:hAnsi="Arial"/>
          <w:sz w:val="20"/>
          <w:szCs w:val="20"/>
          <w:color w:val="auto"/>
        </w:rPr>
        <w:t>Accounts payable and other accrued liabilities consist of the following:</w:t>
      </w:r>
    </w:p>
    <w:p>
      <w:pPr>
        <w:spacing w:after="0" w:line="77" w:lineRule="exact"/>
        <w:rPr>
          <w:sz w:val="20"/>
          <w:szCs w:val="20"/>
          <w:color w:val="auto"/>
        </w:rPr>
      </w:pPr>
    </w:p>
    <w:tbl>
      <w:tblPr>
        <w:tblLayout w:type="fixed"/>
        <w:tblInd w:w="60" w:type="dxa"/>
        <w:tblCellMar>
          <w:top w:w="0" w:type="dxa"/>
          <w:left w:w="0" w:type="dxa"/>
          <w:bottom w:w="0" w:type="dxa"/>
          <w:right w:w="0" w:type="dxa"/>
        </w:tblCellMar>
      </w:tblPr>
      <w:tr>
        <w:trPr>
          <w:trHeight w:val="213"/>
        </w:trPr>
        <w:tc>
          <w:tcPr>
            <w:tcW w:w="7540" w:type="dxa"/>
            <w:vAlign w:val="bottom"/>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w w:val="86"/>
              </w:rPr>
              <w:t>December 31,</w:t>
            </w:r>
          </w:p>
        </w:tc>
        <w:tc>
          <w:tcPr>
            <w:tcW w:w="760" w:type="dxa"/>
            <w:vAlign w:val="bottom"/>
            <w:tcBorders>
              <w:bottom w:val="single" w:sz="8" w:color="auto"/>
            </w:tcBorders>
          </w:tcPr>
          <w:p>
            <w:pPr>
              <w:spacing w:after="0"/>
              <w:rPr>
                <w:sz w:val="18"/>
                <w:szCs w:val="18"/>
                <w:color w:val="auto"/>
              </w:rPr>
            </w:pPr>
          </w:p>
        </w:tc>
      </w:tr>
      <w:tr>
        <w:trPr>
          <w:trHeight w:val="230"/>
        </w:trPr>
        <w:tc>
          <w:tcPr>
            <w:tcW w:w="7540" w:type="dxa"/>
            <w:vAlign w:val="bottom"/>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2025</w:t>
            </w:r>
          </w:p>
        </w:tc>
        <w:tc>
          <w:tcPr>
            <w:tcW w:w="4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362"/>
              <w:spacing w:after="0"/>
              <w:rPr>
                <w:sz w:val="20"/>
                <w:szCs w:val="20"/>
                <w:color w:val="auto"/>
              </w:rPr>
            </w:pPr>
            <w:r>
              <w:rPr>
                <w:rFonts w:ascii="Arial" w:cs="Arial" w:eastAsia="Arial" w:hAnsi="Arial"/>
                <w:sz w:val="16"/>
                <w:szCs w:val="16"/>
                <w:b w:val="1"/>
                <w:bCs w:val="1"/>
                <w:color w:val="auto"/>
                <w:w w:val="84"/>
              </w:rPr>
              <w:t>2024</w:t>
            </w:r>
          </w:p>
        </w:tc>
      </w:tr>
      <w:tr>
        <w:trPr>
          <w:trHeight w:val="223"/>
        </w:trPr>
        <w:tc>
          <w:tcPr>
            <w:tcW w:w="75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gridSpan w:val="3"/>
          </w:tcPr>
          <w:p>
            <w:pPr>
              <w:jc w:val="right"/>
              <w:ind w:right="40"/>
              <w:spacing w:after="0"/>
              <w:rPr>
                <w:sz w:val="20"/>
                <w:szCs w:val="20"/>
                <w:color w:val="auto"/>
              </w:rPr>
            </w:pPr>
            <w:r>
              <w:rPr>
                <w:rFonts w:ascii="Arial" w:cs="Arial" w:eastAsia="Arial" w:hAnsi="Arial"/>
                <w:sz w:val="16"/>
                <w:szCs w:val="16"/>
                <w:b w:val="1"/>
                <w:bCs w:val="1"/>
                <w:color w:val="auto"/>
                <w:w w:val="95"/>
              </w:rPr>
              <w:t>(In millions)</w:t>
            </w:r>
          </w:p>
        </w:tc>
        <w:tc>
          <w:tcPr>
            <w:tcW w:w="760" w:type="dxa"/>
            <w:vAlign w:val="bottom"/>
          </w:tcPr>
          <w:p>
            <w:pPr>
              <w:spacing w:after="0"/>
              <w:rPr>
                <w:sz w:val="19"/>
                <w:szCs w:val="19"/>
                <w:color w:val="auto"/>
              </w:rPr>
            </w:pPr>
          </w:p>
        </w:tc>
      </w:tr>
      <w:tr>
        <w:trPr>
          <w:trHeight w:val="235"/>
        </w:trPr>
        <w:tc>
          <w:tcPr>
            <w:tcW w:w="7540" w:type="dxa"/>
            <w:vAlign w:val="bottom"/>
          </w:tcPr>
          <w:p>
            <w:pPr>
              <w:spacing w:after="0"/>
              <w:rPr>
                <w:sz w:val="20"/>
                <w:szCs w:val="20"/>
                <w:color w:val="auto"/>
              </w:rPr>
            </w:pPr>
            <w:r>
              <w:rPr>
                <w:rFonts w:ascii="Arial" w:cs="Arial" w:eastAsia="Arial" w:hAnsi="Arial"/>
                <w:sz w:val="16"/>
                <w:szCs w:val="16"/>
                <w:color w:val="auto"/>
              </w:rPr>
              <w:t>Salaries and incentives</w:t>
            </w:r>
          </w:p>
        </w:tc>
        <w:tc>
          <w:tcPr>
            <w:tcW w:w="760" w:type="dxa"/>
            <w:vAlign w:val="bottom"/>
          </w:tcPr>
          <w:p>
            <w:pPr>
              <w:jc w:val="right"/>
              <w:ind w:right="542"/>
              <w:spacing w:after="0"/>
              <w:rPr>
                <w:sz w:val="20"/>
                <w:szCs w:val="20"/>
                <w:color w:val="auto"/>
              </w:rPr>
            </w:pPr>
            <w:r>
              <w:rPr>
                <w:rFonts w:ascii="Arial" w:cs="Arial" w:eastAsia="Arial" w:hAnsi="Arial"/>
                <w:sz w:val="16"/>
                <w:szCs w:val="16"/>
                <w:color w:val="auto"/>
              </w:rPr>
              <w:t>$</w:t>
            </w:r>
          </w:p>
        </w:tc>
        <w:tc>
          <w:tcPr>
            <w:tcW w:w="420" w:type="dxa"/>
            <w:vAlign w:val="bottom"/>
          </w:tcPr>
          <w:p>
            <w:pPr>
              <w:jc w:val="right"/>
              <w:spacing w:after="0"/>
              <w:rPr>
                <w:sz w:val="20"/>
                <w:szCs w:val="20"/>
                <w:color w:val="auto"/>
              </w:rPr>
            </w:pPr>
            <w:r>
              <w:rPr>
                <w:rFonts w:ascii="Arial" w:cs="Arial" w:eastAsia="Arial" w:hAnsi="Arial"/>
                <w:sz w:val="16"/>
                <w:szCs w:val="16"/>
                <w:color w:val="auto"/>
              </w:rPr>
              <w:t>469</w:t>
            </w:r>
          </w:p>
        </w:tc>
        <w:tc>
          <w:tcPr>
            <w:tcW w:w="50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2"/>
              <w:spacing w:after="0"/>
              <w:rPr>
                <w:sz w:val="20"/>
                <w:szCs w:val="20"/>
                <w:color w:val="auto"/>
              </w:rPr>
            </w:pPr>
            <w:r>
              <w:rPr>
                <w:rFonts w:ascii="Arial" w:cs="Arial" w:eastAsia="Arial" w:hAnsi="Arial"/>
                <w:sz w:val="16"/>
                <w:szCs w:val="16"/>
                <w:color w:val="auto"/>
              </w:rPr>
              <w:t>433</w:t>
            </w:r>
          </w:p>
        </w:tc>
      </w:tr>
      <w:tr>
        <w:trPr>
          <w:trHeight w:val="235"/>
        </w:trPr>
        <w:tc>
          <w:tcPr>
            <w:tcW w:w="7540" w:type="dxa"/>
            <w:vAlign w:val="bottom"/>
          </w:tcPr>
          <w:p>
            <w:pPr>
              <w:spacing w:after="0"/>
              <w:rPr>
                <w:sz w:val="20"/>
                <w:szCs w:val="20"/>
                <w:color w:val="auto"/>
              </w:rPr>
            </w:pPr>
            <w:r>
              <w:rPr>
                <w:rFonts w:ascii="Arial" w:cs="Arial" w:eastAsia="Arial" w:hAnsi="Arial"/>
                <w:sz w:val="16"/>
                <w:szCs w:val="16"/>
                <w:color w:val="auto"/>
              </w:rPr>
              <w:t>Accrued benefits</w:t>
            </w:r>
          </w:p>
        </w:tc>
        <w:tc>
          <w:tcPr>
            <w:tcW w:w="76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491</w:t>
            </w: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60" w:type="dxa"/>
            <w:vAlign w:val="bottom"/>
          </w:tcPr>
          <w:p>
            <w:pPr>
              <w:jc w:val="right"/>
              <w:ind w:right="2"/>
              <w:spacing w:after="0"/>
              <w:rPr>
                <w:sz w:val="20"/>
                <w:szCs w:val="20"/>
                <w:color w:val="auto"/>
              </w:rPr>
            </w:pPr>
            <w:r>
              <w:rPr>
                <w:rFonts w:ascii="Arial" w:cs="Arial" w:eastAsia="Arial" w:hAnsi="Arial"/>
                <w:sz w:val="16"/>
                <w:szCs w:val="16"/>
                <w:color w:val="auto"/>
              </w:rPr>
              <w:t>454</w:t>
            </w:r>
          </w:p>
        </w:tc>
      </w:tr>
      <w:tr>
        <w:trPr>
          <w:trHeight w:val="235"/>
        </w:trPr>
        <w:tc>
          <w:tcPr>
            <w:tcW w:w="7540" w:type="dxa"/>
            <w:vAlign w:val="bottom"/>
          </w:tcPr>
          <w:p>
            <w:pPr>
              <w:spacing w:after="0"/>
              <w:rPr>
                <w:sz w:val="20"/>
                <w:szCs w:val="20"/>
                <w:color w:val="auto"/>
              </w:rPr>
            </w:pPr>
            <w:r>
              <w:rPr>
                <w:rFonts w:ascii="Arial" w:cs="Arial" w:eastAsia="Arial" w:hAnsi="Arial"/>
                <w:sz w:val="16"/>
                <w:szCs w:val="16"/>
                <w:color w:val="auto"/>
              </w:rPr>
              <w:t>URL</w:t>
            </w:r>
          </w:p>
        </w:tc>
        <w:tc>
          <w:tcPr>
            <w:tcW w:w="76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551</w:t>
            </w: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60" w:type="dxa"/>
            <w:vAlign w:val="bottom"/>
          </w:tcPr>
          <w:p>
            <w:pPr>
              <w:jc w:val="right"/>
              <w:ind w:right="2"/>
              <w:spacing w:after="0"/>
              <w:rPr>
                <w:sz w:val="20"/>
                <w:szCs w:val="20"/>
                <w:color w:val="auto"/>
              </w:rPr>
            </w:pPr>
            <w:r>
              <w:rPr>
                <w:rFonts w:ascii="Arial" w:cs="Arial" w:eastAsia="Arial" w:hAnsi="Arial"/>
                <w:sz w:val="16"/>
                <w:szCs w:val="16"/>
                <w:color w:val="auto"/>
              </w:rPr>
              <w:t>401</w:t>
            </w:r>
          </w:p>
        </w:tc>
      </w:tr>
      <w:tr>
        <w:trPr>
          <w:trHeight w:val="235"/>
        </w:trPr>
        <w:tc>
          <w:tcPr>
            <w:tcW w:w="7540" w:type="dxa"/>
            <w:vAlign w:val="bottom"/>
          </w:tcPr>
          <w:p>
            <w:pPr>
              <w:spacing w:after="0"/>
              <w:rPr>
                <w:sz w:val="20"/>
                <w:szCs w:val="20"/>
                <w:color w:val="auto"/>
              </w:rPr>
            </w:pPr>
            <w:r>
              <w:rPr>
                <w:rFonts w:ascii="Arial" w:cs="Arial" w:eastAsia="Arial" w:hAnsi="Arial"/>
                <w:sz w:val="16"/>
                <w:szCs w:val="16"/>
                <w:color w:val="auto"/>
              </w:rPr>
              <w:t>Deferred revenue</w:t>
            </w:r>
          </w:p>
        </w:tc>
        <w:tc>
          <w:tcPr>
            <w:tcW w:w="76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95</w:t>
            </w: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60" w:type="dxa"/>
            <w:vAlign w:val="bottom"/>
          </w:tcPr>
          <w:p>
            <w:pPr>
              <w:jc w:val="right"/>
              <w:ind w:right="2"/>
              <w:spacing w:after="0"/>
              <w:rPr>
                <w:sz w:val="20"/>
                <w:szCs w:val="20"/>
                <w:color w:val="auto"/>
              </w:rPr>
            </w:pPr>
            <w:r>
              <w:rPr>
                <w:rFonts w:ascii="Arial" w:cs="Arial" w:eastAsia="Arial" w:hAnsi="Arial"/>
                <w:sz w:val="16"/>
                <w:szCs w:val="16"/>
                <w:color w:val="auto"/>
              </w:rPr>
              <w:t>92</w:t>
            </w:r>
          </w:p>
        </w:tc>
      </w:tr>
      <w:tr>
        <w:trPr>
          <w:trHeight w:val="235"/>
        </w:trPr>
        <w:tc>
          <w:tcPr>
            <w:tcW w:w="7540" w:type="dxa"/>
            <w:vAlign w:val="bottom"/>
          </w:tcPr>
          <w:p>
            <w:pPr>
              <w:spacing w:after="0"/>
              <w:rPr>
                <w:sz w:val="20"/>
                <w:szCs w:val="20"/>
                <w:color w:val="auto"/>
              </w:rPr>
            </w:pPr>
            <w:r>
              <w:rPr>
                <w:rFonts w:ascii="Arial" w:cs="Arial" w:eastAsia="Arial" w:hAnsi="Arial"/>
                <w:sz w:val="16"/>
                <w:szCs w:val="16"/>
                <w:color w:val="auto"/>
              </w:rPr>
              <w:t>Contingent consideration - acquisitions</w:t>
            </w:r>
          </w:p>
        </w:tc>
        <w:tc>
          <w:tcPr>
            <w:tcW w:w="76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95</w:t>
            </w: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60" w:type="dxa"/>
            <w:vAlign w:val="bottom"/>
          </w:tcPr>
          <w:p>
            <w:pPr>
              <w:jc w:val="right"/>
              <w:ind w:right="2"/>
              <w:spacing w:after="0"/>
              <w:rPr>
                <w:sz w:val="20"/>
                <w:szCs w:val="20"/>
                <w:color w:val="auto"/>
              </w:rPr>
            </w:pPr>
            <w:r>
              <w:rPr>
                <w:rFonts w:ascii="Arial" w:cs="Arial" w:eastAsia="Arial" w:hAnsi="Arial"/>
                <w:sz w:val="16"/>
                <w:szCs w:val="16"/>
                <w:color w:val="auto"/>
              </w:rPr>
              <w:t>110</w:t>
            </w:r>
          </w:p>
        </w:tc>
      </w:tr>
      <w:tr>
        <w:trPr>
          <w:trHeight w:val="235"/>
        </w:trPr>
        <w:tc>
          <w:tcPr>
            <w:tcW w:w="7540" w:type="dxa"/>
            <w:vAlign w:val="bottom"/>
          </w:tcPr>
          <w:p>
            <w:pPr>
              <w:spacing w:after="0"/>
              <w:rPr>
                <w:sz w:val="20"/>
                <w:szCs w:val="20"/>
                <w:color w:val="auto"/>
              </w:rPr>
            </w:pPr>
            <w:r>
              <w:rPr>
                <w:rFonts w:ascii="Arial" w:cs="Arial" w:eastAsia="Arial" w:hAnsi="Arial"/>
                <w:sz w:val="16"/>
                <w:szCs w:val="16"/>
                <w:color w:val="auto"/>
              </w:rPr>
              <w:t>Trade accounts payable</w:t>
            </w:r>
          </w:p>
        </w:tc>
        <w:tc>
          <w:tcPr>
            <w:tcW w:w="76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246</w:t>
            </w: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60" w:type="dxa"/>
            <w:vAlign w:val="bottom"/>
          </w:tcPr>
          <w:p>
            <w:pPr>
              <w:jc w:val="right"/>
              <w:ind w:right="2"/>
              <w:spacing w:after="0"/>
              <w:rPr>
                <w:sz w:val="20"/>
                <w:szCs w:val="20"/>
                <w:color w:val="auto"/>
              </w:rPr>
            </w:pPr>
            <w:r>
              <w:rPr>
                <w:rFonts w:ascii="Arial" w:cs="Arial" w:eastAsia="Arial" w:hAnsi="Arial"/>
                <w:sz w:val="16"/>
                <w:szCs w:val="16"/>
                <w:color w:val="auto"/>
              </w:rPr>
              <w:t>191</w:t>
            </w:r>
          </w:p>
        </w:tc>
      </w:tr>
      <w:tr>
        <w:trPr>
          <w:trHeight w:val="235"/>
        </w:trPr>
        <w:tc>
          <w:tcPr>
            <w:tcW w:w="7540" w:type="dxa"/>
            <w:vAlign w:val="bottom"/>
          </w:tcPr>
          <w:p>
            <w:pPr>
              <w:spacing w:after="0"/>
              <w:rPr>
                <w:sz w:val="20"/>
                <w:szCs w:val="20"/>
                <w:color w:val="auto"/>
              </w:rPr>
            </w:pPr>
            <w:r>
              <w:rPr>
                <w:rFonts w:ascii="Arial" w:cs="Arial" w:eastAsia="Arial" w:hAnsi="Arial"/>
                <w:sz w:val="16"/>
                <w:szCs w:val="16"/>
                <w:color w:val="auto"/>
              </w:rPr>
              <w:t>Accrued recording fees and transfer taxes</w:t>
            </w:r>
          </w:p>
        </w:tc>
        <w:tc>
          <w:tcPr>
            <w:tcW w:w="76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8</w:t>
            </w: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60" w:type="dxa"/>
            <w:vAlign w:val="bottom"/>
          </w:tcPr>
          <w:p>
            <w:pPr>
              <w:jc w:val="right"/>
              <w:ind w:right="2"/>
              <w:spacing w:after="0"/>
              <w:rPr>
                <w:sz w:val="20"/>
                <w:szCs w:val="20"/>
                <w:color w:val="auto"/>
              </w:rPr>
            </w:pPr>
            <w:r>
              <w:rPr>
                <w:rFonts w:ascii="Arial" w:cs="Arial" w:eastAsia="Arial" w:hAnsi="Arial"/>
                <w:sz w:val="16"/>
                <w:szCs w:val="16"/>
                <w:color w:val="auto"/>
              </w:rPr>
              <w:t>7</w:t>
            </w:r>
          </w:p>
        </w:tc>
      </w:tr>
      <w:tr>
        <w:trPr>
          <w:trHeight w:val="235"/>
        </w:trPr>
        <w:tc>
          <w:tcPr>
            <w:tcW w:w="7540" w:type="dxa"/>
            <w:vAlign w:val="bottom"/>
          </w:tcPr>
          <w:p>
            <w:pPr>
              <w:spacing w:after="0"/>
              <w:rPr>
                <w:sz w:val="20"/>
                <w:szCs w:val="20"/>
                <w:color w:val="auto"/>
              </w:rPr>
            </w:pPr>
            <w:r>
              <w:rPr>
                <w:rFonts w:ascii="Arial" w:cs="Arial" w:eastAsia="Arial" w:hAnsi="Arial"/>
                <w:sz w:val="16"/>
                <w:szCs w:val="16"/>
                <w:color w:val="auto"/>
              </w:rPr>
              <w:t>Accrued premium taxes</w:t>
            </w:r>
          </w:p>
        </w:tc>
        <w:tc>
          <w:tcPr>
            <w:tcW w:w="76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37</w:t>
            </w: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60" w:type="dxa"/>
            <w:vAlign w:val="bottom"/>
          </w:tcPr>
          <w:p>
            <w:pPr>
              <w:jc w:val="right"/>
              <w:ind w:right="2"/>
              <w:spacing w:after="0"/>
              <w:rPr>
                <w:sz w:val="20"/>
                <w:szCs w:val="20"/>
                <w:color w:val="auto"/>
              </w:rPr>
            </w:pPr>
            <w:r>
              <w:rPr>
                <w:rFonts w:ascii="Arial" w:cs="Arial" w:eastAsia="Arial" w:hAnsi="Arial"/>
                <w:sz w:val="16"/>
                <w:szCs w:val="16"/>
                <w:color w:val="auto"/>
              </w:rPr>
              <w:t>30</w:t>
            </w:r>
          </w:p>
        </w:tc>
      </w:tr>
      <w:tr>
        <w:trPr>
          <w:trHeight w:val="235"/>
        </w:trPr>
        <w:tc>
          <w:tcPr>
            <w:tcW w:w="7540" w:type="dxa"/>
            <w:vAlign w:val="bottom"/>
          </w:tcPr>
          <w:p>
            <w:pPr>
              <w:spacing w:after="0"/>
              <w:rPr>
                <w:sz w:val="20"/>
                <w:szCs w:val="20"/>
                <w:color w:val="auto"/>
              </w:rPr>
            </w:pPr>
            <w:r>
              <w:rPr>
                <w:rFonts w:ascii="Arial" w:cs="Arial" w:eastAsia="Arial" w:hAnsi="Arial"/>
                <w:sz w:val="16"/>
                <w:szCs w:val="16"/>
                <w:color w:val="auto"/>
              </w:rPr>
              <w:t>Liability for policy and contract claims</w:t>
            </w:r>
          </w:p>
        </w:tc>
        <w:tc>
          <w:tcPr>
            <w:tcW w:w="76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100</w:t>
            </w: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60" w:type="dxa"/>
            <w:vAlign w:val="bottom"/>
          </w:tcPr>
          <w:p>
            <w:pPr>
              <w:jc w:val="right"/>
              <w:ind w:right="2"/>
              <w:spacing w:after="0"/>
              <w:rPr>
                <w:sz w:val="20"/>
                <w:szCs w:val="20"/>
                <w:color w:val="auto"/>
              </w:rPr>
            </w:pPr>
            <w:r>
              <w:rPr>
                <w:rFonts w:ascii="Arial" w:cs="Arial" w:eastAsia="Arial" w:hAnsi="Arial"/>
                <w:sz w:val="16"/>
                <w:szCs w:val="16"/>
                <w:color w:val="auto"/>
              </w:rPr>
              <w:t>102</w:t>
            </w:r>
          </w:p>
        </w:tc>
      </w:tr>
      <w:tr>
        <w:trPr>
          <w:trHeight w:val="235"/>
        </w:trPr>
        <w:tc>
          <w:tcPr>
            <w:tcW w:w="7540" w:type="dxa"/>
            <w:vAlign w:val="bottom"/>
          </w:tcPr>
          <w:p>
            <w:pPr>
              <w:spacing w:after="0"/>
              <w:rPr>
                <w:sz w:val="20"/>
                <w:szCs w:val="20"/>
                <w:color w:val="auto"/>
              </w:rPr>
            </w:pPr>
            <w:r>
              <w:rPr>
                <w:rFonts w:ascii="Arial" w:cs="Arial" w:eastAsia="Arial" w:hAnsi="Arial"/>
                <w:sz w:val="16"/>
                <w:szCs w:val="16"/>
                <w:color w:val="auto"/>
              </w:rPr>
              <w:t>Retained asset account</w:t>
            </w:r>
          </w:p>
        </w:tc>
        <w:tc>
          <w:tcPr>
            <w:tcW w:w="76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48</w:t>
            </w: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60" w:type="dxa"/>
            <w:vAlign w:val="bottom"/>
          </w:tcPr>
          <w:p>
            <w:pPr>
              <w:jc w:val="right"/>
              <w:ind w:right="2"/>
              <w:spacing w:after="0"/>
              <w:rPr>
                <w:sz w:val="20"/>
                <w:szCs w:val="20"/>
                <w:color w:val="auto"/>
              </w:rPr>
            </w:pPr>
            <w:r>
              <w:rPr>
                <w:rFonts w:ascii="Arial" w:cs="Arial" w:eastAsia="Arial" w:hAnsi="Arial"/>
                <w:sz w:val="16"/>
                <w:szCs w:val="16"/>
                <w:color w:val="auto"/>
              </w:rPr>
              <w:t>60</w:t>
            </w:r>
          </w:p>
        </w:tc>
      </w:tr>
      <w:tr>
        <w:trPr>
          <w:trHeight w:val="235"/>
        </w:trPr>
        <w:tc>
          <w:tcPr>
            <w:tcW w:w="7540" w:type="dxa"/>
            <w:vAlign w:val="bottom"/>
          </w:tcPr>
          <w:p>
            <w:pPr>
              <w:spacing w:after="0"/>
              <w:rPr>
                <w:sz w:val="20"/>
                <w:szCs w:val="20"/>
                <w:color w:val="auto"/>
              </w:rPr>
            </w:pPr>
            <w:r>
              <w:rPr>
                <w:rFonts w:ascii="Arial" w:cs="Arial" w:eastAsia="Arial" w:hAnsi="Arial"/>
                <w:sz w:val="16"/>
                <w:szCs w:val="16"/>
                <w:color w:val="auto"/>
              </w:rPr>
              <w:t>Remittances and items not allocated</w:t>
            </w:r>
          </w:p>
        </w:tc>
        <w:tc>
          <w:tcPr>
            <w:tcW w:w="76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267</w:t>
            </w: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60" w:type="dxa"/>
            <w:vAlign w:val="bottom"/>
          </w:tcPr>
          <w:p>
            <w:pPr>
              <w:jc w:val="right"/>
              <w:ind w:right="2"/>
              <w:spacing w:after="0"/>
              <w:rPr>
                <w:sz w:val="20"/>
                <w:szCs w:val="20"/>
                <w:color w:val="auto"/>
              </w:rPr>
            </w:pPr>
            <w:r>
              <w:rPr>
                <w:rFonts w:ascii="Arial" w:cs="Arial" w:eastAsia="Arial" w:hAnsi="Arial"/>
                <w:sz w:val="16"/>
                <w:szCs w:val="16"/>
                <w:color w:val="auto"/>
              </w:rPr>
              <w:t>224</w:t>
            </w:r>
          </w:p>
        </w:tc>
      </w:tr>
      <w:tr>
        <w:trPr>
          <w:trHeight w:val="235"/>
        </w:trPr>
        <w:tc>
          <w:tcPr>
            <w:tcW w:w="7540" w:type="dxa"/>
            <w:vAlign w:val="bottom"/>
          </w:tcPr>
          <w:p>
            <w:pPr>
              <w:spacing w:after="0"/>
              <w:rPr>
                <w:sz w:val="20"/>
                <w:szCs w:val="20"/>
                <w:color w:val="auto"/>
              </w:rPr>
            </w:pPr>
            <w:r>
              <w:rPr>
                <w:rFonts w:ascii="Arial" w:cs="Arial" w:eastAsia="Arial" w:hAnsi="Arial"/>
                <w:sz w:val="16"/>
                <w:szCs w:val="16"/>
                <w:color w:val="auto"/>
              </w:rPr>
              <w:t>Option collateral liabilities</w:t>
            </w:r>
          </w:p>
        </w:tc>
        <w:tc>
          <w:tcPr>
            <w:tcW w:w="76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928</w:t>
            </w: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60" w:type="dxa"/>
            <w:vAlign w:val="bottom"/>
          </w:tcPr>
          <w:p>
            <w:pPr>
              <w:jc w:val="right"/>
              <w:ind w:right="2"/>
              <w:spacing w:after="0"/>
              <w:rPr>
                <w:sz w:val="20"/>
                <w:szCs w:val="20"/>
                <w:color w:val="auto"/>
              </w:rPr>
            </w:pPr>
            <w:r>
              <w:rPr>
                <w:rFonts w:ascii="Arial" w:cs="Arial" w:eastAsia="Arial" w:hAnsi="Arial"/>
                <w:sz w:val="16"/>
                <w:szCs w:val="16"/>
                <w:color w:val="auto"/>
              </w:rPr>
              <w:t>680</w:t>
            </w:r>
          </w:p>
        </w:tc>
      </w:tr>
      <w:tr>
        <w:trPr>
          <w:trHeight w:val="242"/>
        </w:trPr>
        <w:tc>
          <w:tcPr>
            <w:tcW w:w="7540" w:type="dxa"/>
            <w:vAlign w:val="bottom"/>
          </w:tcPr>
          <w:p>
            <w:pPr>
              <w:spacing w:after="0"/>
              <w:rPr>
                <w:sz w:val="20"/>
                <w:szCs w:val="20"/>
                <w:color w:val="auto"/>
              </w:rPr>
            </w:pPr>
            <w:r>
              <w:rPr>
                <w:rFonts w:ascii="Arial" w:cs="Arial" w:eastAsia="Arial" w:hAnsi="Arial"/>
                <w:sz w:val="16"/>
                <w:szCs w:val="16"/>
                <w:color w:val="auto"/>
              </w:rPr>
              <w:t>Other accrued liabilities</w:t>
            </w:r>
          </w:p>
        </w:tc>
        <w:tc>
          <w:tcPr>
            <w:tcW w:w="76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493</w:t>
            </w:r>
          </w:p>
        </w:tc>
        <w:tc>
          <w:tcPr>
            <w:tcW w:w="80" w:type="dxa"/>
            <w:vAlign w:val="bottom"/>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465</w:t>
            </w:r>
          </w:p>
        </w:tc>
      </w:tr>
      <w:tr>
        <w:trPr>
          <w:trHeight w:val="196"/>
        </w:trPr>
        <w:tc>
          <w:tcPr>
            <w:tcW w:w="7540" w:type="dxa"/>
            <w:vAlign w:val="bottom"/>
          </w:tcPr>
          <w:p>
            <w:pPr>
              <w:spacing w:after="0"/>
              <w:rPr>
                <w:sz w:val="17"/>
                <w:szCs w:val="17"/>
                <w:color w:val="auto"/>
              </w:rPr>
            </w:pPr>
          </w:p>
        </w:tc>
        <w:tc>
          <w:tcPr>
            <w:tcW w:w="760" w:type="dxa"/>
            <w:vAlign w:val="bottom"/>
          </w:tcPr>
          <w:p>
            <w:pPr>
              <w:jc w:val="right"/>
              <w:ind w:right="542"/>
              <w:spacing w:after="0"/>
              <w:rPr>
                <w:sz w:val="20"/>
                <w:szCs w:val="20"/>
                <w:color w:val="auto"/>
              </w:rPr>
            </w:pPr>
            <w:r>
              <w:rPr>
                <w:rFonts w:ascii="Arial" w:cs="Arial" w:eastAsia="Arial" w:hAnsi="Arial"/>
                <w:sz w:val="16"/>
                <w:szCs w:val="16"/>
                <w:color w:val="auto"/>
              </w:rPr>
              <w:t>$</w:t>
            </w:r>
          </w:p>
        </w:tc>
        <w:tc>
          <w:tcPr>
            <w:tcW w:w="420" w:type="dxa"/>
            <w:vAlign w:val="bottom"/>
          </w:tcPr>
          <w:p>
            <w:pPr>
              <w:jc w:val="right"/>
              <w:spacing w:after="0"/>
              <w:rPr>
                <w:sz w:val="20"/>
                <w:szCs w:val="20"/>
                <w:color w:val="auto"/>
              </w:rPr>
            </w:pPr>
            <w:r>
              <w:rPr>
                <w:rFonts w:ascii="Arial" w:cs="Arial" w:eastAsia="Arial" w:hAnsi="Arial"/>
                <w:sz w:val="16"/>
                <w:szCs w:val="16"/>
                <w:color w:val="auto"/>
                <w:w w:val="84"/>
              </w:rPr>
              <w:t>3,828</w:t>
            </w:r>
          </w:p>
        </w:tc>
        <w:tc>
          <w:tcPr>
            <w:tcW w:w="50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2"/>
              <w:spacing w:after="0"/>
              <w:rPr>
                <w:sz w:val="20"/>
                <w:szCs w:val="20"/>
                <w:color w:val="auto"/>
              </w:rPr>
            </w:pPr>
            <w:r>
              <w:rPr>
                <w:rFonts w:ascii="Arial" w:cs="Arial" w:eastAsia="Arial" w:hAnsi="Arial"/>
                <w:sz w:val="16"/>
                <w:szCs w:val="16"/>
                <w:color w:val="auto"/>
              </w:rPr>
              <w:t>3,249</w:t>
            </w:r>
          </w:p>
        </w:tc>
      </w:tr>
      <w:tr>
        <w:trPr>
          <w:trHeight w:val="20"/>
        </w:trPr>
        <w:tc>
          <w:tcPr>
            <w:tcW w:w="75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-2121535</wp:posOffset>
            </wp:positionV>
            <wp:extent cx="6391275" cy="212852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46">
                      <a:extLst>
                        <a:ext uri="{28A0092B-C50C-407E-A947-70E740481C1C}"/>
                      </a:extLst>
                    </a:blip>
                    <a:srcRect/>
                    <a:stretch>
                      <a:fillRect/>
                    </a:stretch>
                  </pic:blipFill>
                  <pic:spPr bwMode="auto">
                    <a:xfrm>
                      <a:off x="0" y="0"/>
                      <a:ext cx="6391275" cy="2128520"/>
                    </a:xfrm>
                    <a:prstGeom prst="rect">
                      <a:avLst/>
                    </a:prstGeom>
                    <a:noFill/>
                  </pic:spPr>
                </pic:pic>
              </a:graphicData>
            </a:graphic>
          </wp:anchor>
        </w:drawing>
      </w:r>
    </w:p>
    <w:p>
      <w:pPr>
        <w:spacing w:after="0" w:line="76"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tables roll forward URL for the universal life product for the years ended December 31, 2025 and 2024:</w:t>
      </w:r>
    </w:p>
    <w:p>
      <w:pPr>
        <w:spacing w:after="0" w:line="190" w:lineRule="exact"/>
        <w:rPr>
          <w:sz w:val="20"/>
          <w:szCs w:val="20"/>
          <w:color w:val="auto"/>
        </w:rPr>
      </w:pPr>
    </w:p>
    <w:tbl>
      <w:tblPr>
        <w:tblLayout w:type="fixed"/>
        <w:tblInd w:w="40" w:type="dxa"/>
        <w:tblCellMar>
          <w:top w:w="0" w:type="dxa"/>
          <w:left w:w="0" w:type="dxa"/>
          <w:bottom w:w="0" w:type="dxa"/>
          <w:right w:w="0" w:type="dxa"/>
        </w:tblCellMar>
      </w:tblPr>
      <w:tr>
        <w:trPr>
          <w:trHeight w:val="213"/>
        </w:trPr>
        <w:tc>
          <w:tcPr>
            <w:tcW w:w="7620" w:type="dxa"/>
            <w:vAlign w:val="bottom"/>
          </w:tcPr>
          <w:p>
            <w:pPr>
              <w:spacing w:after="0"/>
              <w:rPr>
                <w:sz w:val="18"/>
                <w:szCs w:val="18"/>
                <w:color w:val="auto"/>
              </w:rPr>
            </w:pPr>
          </w:p>
        </w:tc>
        <w:tc>
          <w:tcPr>
            <w:tcW w:w="2020" w:type="dxa"/>
            <w:vAlign w:val="bottom"/>
            <w:tcBorders>
              <w:bottom w:val="single" w:sz="8" w:color="auto"/>
            </w:tcBorders>
            <w:gridSpan w:val="4"/>
          </w:tcPr>
          <w:p>
            <w:pPr>
              <w:jc w:val="right"/>
              <w:ind w:right="282"/>
              <w:spacing w:after="0"/>
              <w:rPr>
                <w:sz w:val="20"/>
                <w:szCs w:val="20"/>
                <w:color w:val="auto"/>
              </w:rPr>
            </w:pPr>
            <w:r>
              <w:rPr>
                <w:rFonts w:ascii="Arial" w:cs="Arial" w:eastAsia="Arial" w:hAnsi="Arial"/>
                <w:sz w:val="16"/>
                <w:szCs w:val="16"/>
                <w:b w:val="1"/>
                <w:bCs w:val="1"/>
                <w:color w:val="auto"/>
              </w:rPr>
              <w:t>December 31,</w:t>
            </w:r>
          </w:p>
        </w:tc>
        <w:tc>
          <w:tcPr>
            <w:tcW w:w="360" w:type="dxa"/>
            <w:vAlign w:val="bottom"/>
            <w:tcBorders>
              <w:bottom w:val="single" w:sz="8" w:color="auto"/>
            </w:tcBorders>
          </w:tcPr>
          <w:p>
            <w:pPr>
              <w:spacing w:after="0"/>
              <w:rPr>
                <w:sz w:val="18"/>
                <w:szCs w:val="18"/>
                <w:color w:val="auto"/>
              </w:rPr>
            </w:pPr>
          </w:p>
        </w:tc>
      </w:tr>
      <w:tr>
        <w:trPr>
          <w:trHeight w:val="230"/>
        </w:trPr>
        <w:tc>
          <w:tcPr>
            <w:tcW w:w="7620" w:type="dxa"/>
            <w:vAlign w:val="bottom"/>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2025</w:t>
            </w:r>
          </w:p>
        </w:tc>
        <w:tc>
          <w:tcPr>
            <w:tcW w:w="38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2024</w:t>
            </w:r>
          </w:p>
        </w:tc>
        <w:tc>
          <w:tcPr>
            <w:tcW w:w="360" w:type="dxa"/>
            <w:vAlign w:val="bottom"/>
            <w:tcBorders>
              <w:bottom w:val="single" w:sz="8" w:color="auto"/>
            </w:tcBorders>
          </w:tcPr>
          <w:p>
            <w:pPr>
              <w:spacing w:after="0"/>
              <w:rPr>
                <w:sz w:val="19"/>
                <w:szCs w:val="19"/>
                <w:color w:val="auto"/>
              </w:rPr>
            </w:pPr>
          </w:p>
        </w:tc>
      </w:tr>
      <w:tr>
        <w:trPr>
          <w:trHeight w:val="223"/>
        </w:trPr>
        <w:tc>
          <w:tcPr>
            <w:tcW w:w="76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40" w:type="dxa"/>
            <w:vAlign w:val="bottom"/>
            <w:gridSpan w:val="3"/>
          </w:tcPr>
          <w:p>
            <w:pPr>
              <w:jc w:val="right"/>
              <w:ind w:right="322"/>
              <w:spacing w:after="0"/>
              <w:rPr>
                <w:sz w:val="20"/>
                <w:szCs w:val="20"/>
                <w:color w:val="auto"/>
              </w:rPr>
            </w:pPr>
            <w:r>
              <w:rPr>
                <w:rFonts w:ascii="Arial" w:cs="Arial" w:eastAsia="Arial" w:hAnsi="Arial"/>
                <w:sz w:val="16"/>
                <w:szCs w:val="16"/>
                <w:b w:val="1"/>
                <w:bCs w:val="1"/>
                <w:color w:val="auto"/>
                <w:w w:val="91"/>
              </w:rPr>
              <w:t>(In millions)</w:t>
            </w:r>
          </w:p>
        </w:tc>
        <w:tc>
          <w:tcPr>
            <w:tcW w:w="360" w:type="dxa"/>
            <w:vAlign w:val="bottom"/>
          </w:tcPr>
          <w:p>
            <w:pPr>
              <w:spacing w:after="0"/>
              <w:rPr>
                <w:sz w:val="19"/>
                <w:szCs w:val="19"/>
                <w:color w:val="auto"/>
              </w:rPr>
            </w:pPr>
          </w:p>
        </w:tc>
      </w:tr>
      <w:tr>
        <w:trPr>
          <w:trHeight w:val="250"/>
        </w:trPr>
        <w:tc>
          <w:tcPr>
            <w:tcW w:w="7620" w:type="dxa"/>
            <w:vAlign w:val="bottom"/>
          </w:tcPr>
          <w:p>
            <w:pPr>
              <w:spacing w:after="0"/>
              <w:rPr>
                <w:sz w:val="20"/>
                <w:szCs w:val="20"/>
                <w:color w:val="auto"/>
              </w:rPr>
            </w:pPr>
            <w:r>
              <w:rPr>
                <w:rFonts w:ascii="Arial" w:cs="Arial" w:eastAsia="Arial" w:hAnsi="Arial"/>
                <w:sz w:val="16"/>
                <w:szCs w:val="16"/>
                <w:color w:val="auto"/>
              </w:rPr>
              <w:t>Balance at January 1,</w:t>
            </w:r>
          </w:p>
        </w:tc>
        <w:tc>
          <w:tcPr>
            <w:tcW w:w="780" w:type="dxa"/>
            <w:vAlign w:val="bottom"/>
          </w:tcPr>
          <w:p>
            <w:pPr>
              <w:jc w:val="right"/>
              <w:ind w:right="562"/>
              <w:spacing w:after="0"/>
              <w:rPr>
                <w:sz w:val="20"/>
                <w:szCs w:val="20"/>
                <w:color w:val="auto"/>
              </w:rPr>
            </w:pPr>
            <w:r>
              <w:rPr>
                <w:rFonts w:ascii="Arial" w:cs="Arial" w:eastAsia="Arial" w:hAnsi="Arial"/>
                <w:sz w:val="16"/>
                <w:szCs w:val="16"/>
                <w:color w:val="auto"/>
              </w:rPr>
              <w:t>$</w:t>
            </w:r>
          </w:p>
        </w:tc>
        <w:tc>
          <w:tcPr>
            <w:tcW w:w="380" w:type="dxa"/>
            <w:vAlign w:val="bottom"/>
          </w:tcPr>
          <w:p>
            <w:pPr>
              <w:jc w:val="right"/>
              <w:spacing w:after="0"/>
              <w:rPr>
                <w:sz w:val="20"/>
                <w:szCs w:val="20"/>
                <w:color w:val="auto"/>
              </w:rPr>
            </w:pPr>
            <w:r>
              <w:rPr>
                <w:rFonts w:ascii="Arial" w:cs="Arial" w:eastAsia="Arial" w:hAnsi="Arial"/>
                <w:sz w:val="16"/>
                <w:szCs w:val="16"/>
                <w:color w:val="auto"/>
              </w:rPr>
              <w:t>401</w:t>
            </w:r>
          </w:p>
        </w:tc>
        <w:tc>
          <w:tcPr>
            <w:tcW w:w="860" w:type="dxa"/>
            <w:vAlign w:val="bottom"/>
            <w:gridSpan w:val="2"/>
          </w:tcPr>
          <w:p>
            <w:pPr>
              <w:jc w:val="right"/>
              <w:ind w:right="582"/>
              <w:spacing w:after="0"/>
              <w:rPr>
                <w:sz w:val="20"/>
                <w:szCs w:val="20"/>
                <w:color w:val="auto"/>
              </w:rPr>
            </w:pPr>
            <w:r>
              <w:rPr>
                <w:rFonts w:ascii="Arial" w:cs="Arial" w:eastAsia="Arial" w:hAnsi="Arial"/>
                <w:sz w:val="16"/>
                <w:szCs w:val="16"/>
                <w:color w:val="auto"/>
              </w:rPr>
              <w:t>$</w:t>
            </w:r>
          </w:p>
        </w:tc>
        <w:tc>
          <w:tcPr>
            <w:tcW w:w="360" w:type="dxa"/>
            <w:vAlign w:val="bottom"/>
          </w:tcPr>
          <w:p>
            <w:pPr>
              <w:jc w:val="right"/>
              <w:spacing w:after="0"/>
              <w:rPr>
                <w:sz w:val="20"/>
                <w:szCs w:val="20"/>
                <w:color w:val="auto"/>
              </w:rPr>
            </w:pPr>
            <w:r>
              <w:rPr>
                <w:rFonts w:ascii="Arial" w:cs="Arial" w:eastAsia="Arial" w:hAnsi="Arial"/>
                <w:sz w:val="16"/>
                <w:szCs w:val="16"/>
                <w:color w:val="auto"/>
              </w:rPr>
              <w:t>270</w:t>
            </w:r>
          </w:p>
        </w:tc>
      </w:tr>
      <w:tr>
        <w:trPr>
          <w:trHeight w:val="250"/>
        </w:trPr>
        <w:tc>
          <w:tcPr>
            <w:tcW w:w="7620" w:type="dxa"/>
            <w:vAlign w:val="bottom"/>
          </w:tcPr>
          <w:p>
            <w:pPr>
              <w:ind w:left="180"/>
              <w:spacing w:after="0"/>
              <w:rPr>
                <w:sz w:val="20"/>
                <w:szCs w:val="20"/>
                <w:color w:val="auto"/>
              </w:rPr>
            </w:pPr>
            <w:r>
              <w:rPr>
                <w:rFonts w:ascii="Arial" w:cs="Arial" w:eastAsia="Arial" w:hAnsi="Arial"/>
                <w:sz w:val="16"/>
                <w:szCs w:val="16"/>
                <w:color w:val="auto"/>
              </w:rPr>
              <w:t>Capitalization</w:t>
            </w:r>
          </w:p>
        </w:tc>
        <w:tc>
          <w:tcPr>
            <w:tcW w:w="78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178</w:t>
            </w:r>
          </w:p>
        </w:tc>
        <w:tc>
          <w:tcPr>
            <w:tcW w:w="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151</w:t>
            </w:r>
          </w:p>
        </w:tc>
      </w:tr>
      <w:tr>
        <w:trPr>
          <w:trHeight w:val="257"/>
        </w:trPr>
        <w:tc>
          <w:tcPr>
            <w:tcW w:w="7620" w:type="dxa"/>
            <w:vAlign w:val="bottom"/>
          </w:tcPr>
          <w:p>
            <w:pPr>
              <w:ind w:left="180"/>
              <w:spacing w:after="0"/>
              <w:rPr>
                <w:sz w:val="20"/>
                <w:szCs w:val="20"/>
                <w:color w:val="auto"/>
              </w:rPr>
            </w:pPr>
            <w:r>
              <w:rPr>
                <w:rFonts w:ascii="Arial" w:cs="Arial" w:eastAsia="Arial" w:hAnsi="Arial"/>
                <w:sz w:val="16"/>
                <w:szCs w:val="16"/>
                <w:color w:val="auto"/>
              </w:rPr>
              <w:t>Amortization</w:t>
            </w:r>
          </w:p>
        </w:tc>
        <w:tc>
          <w:tcPr>
            <w:tcW w:w="78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w:t>
            </w:r>
          </w:p>
        </w:tc>
        <w:tc>
          <w:tcPr>
            <w:tcW w:w="60" w:type="dxa"/>
            <w:vAlign w:val="bottom"/>
          </w:tcPr>
          <w:p>
            <w:pPr>
              <w:spacing w:after="0"/>
              <w:rPr>
                <w:sz w:val="22"/>
                <w:szCs w:val="22"/>
                <w:color w:val="auto"/>
              </w:rPr>
            </w:pPr>
          </w:p>
        </w:tc>
        <w:tc>
          <w:tcPr>
            <w:tcW w:w="8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w:t>
            </w:r>
          </w:p>
        </w:tc>
      </w:tr>
      <w:tr>
        <w:trPr>
          <w:trHeight w:val="210"/>
        </w:trPr>
        <w:tc>
          <w:tcPr>
            <w:tcW w:w="7620" w:type="dxa"/>
            <w:vAlign w:val="bottom"/>
          </w:tcPr>
          <w:p>
            <w:pPr>
              <w:spacing w:after="0"/>
              <w:rPr>
                <w:sz w:val="20"/>
                <w:szCs w:val="20"/>
                <w:color w:val="auto"/>
              </w:rPr>
            </w:pPr>
            <w:r>
              <w:rPr>
                <w:rFonts w:ascii="Arial" w:cs="Arial" w:eastAsia="Arial" w:hAnsi="Arial"/>
                <w:sz w:val="16"/>
                <w:szCs w:val="16"/>
                <w:b w:val="1"/>
                <w:bCs w:val="1"/>
                <w:color w:val="auto"/>
              </w:rPr>
              <w:t>Balance at December 31,</w:t>
            </w:r>
          </w:p>
        </w:tc>
        <w:tc>
          <w:tcPr>
            <w:tcW w:w="780" w:type="dxa"/>
            <w:vAlign w:val="bottom"/>
          </w:tcPr>
          <w:p>
            <w:pPr>
              <w:jc w:val="right"/>
              <w:ind w:right="562"/>
              <w:spacing w:after="0"/>
              <w:rPr>
                <w:sz w:val="20"/>
                <w:szCs w:val="20"/>
                <w:color w:val="auto"/>
              </w:rPr>
            </w:pPr>
            <w:r>
              <w:rPr>
                <w:rFonts w:ascii="Arial" w:cs="Arial" w:eastAsia="Arial" w:hAnsi="Arial"/>
                <w:sz w:val="16"/>
                <w:szCs w:val="16"/>
                <w:color w:val="auto"/>
              </w:rPr>
              <w:t>$</w:t>
            </w:r>
          </w:p>
        </w:tc>
        <w:tc>
          <w:tcPr>
            <w:tcW w:w="380" w:type="dxa"/>
            <w:vAlign w:val="bottom"/>
          </w:tcPr>
          <w:p>
            <w:pPr>
              <w:jc w:val="right"/>
              <w:spacing w:after="0"/>
              <w:rPr>
                <w:sz w:val="20"/>
                <w:szCs w:val="20"/>
                <w:color w:val="auto"/>
              </w:rPr>
            </w:pPr>
            <w:r>
              <w:rPr>
                <w:rFonts w:ascii="Arial" w:cs="Arial" w:eastAsia="Arial" w:hAnsi="Arial"/>
                <w:sz w:val="16"/>
                <w:szCs w:val="16"/>
                <w:color w:val="auto"/>
              </w:rPr>
              <w:t>551</w:t>
            </w:r>
          </w:p>
        </w:tc>
        <w:tc>
          <w:tcPr>
            <w:tcW w:w="860" w:type="dxa"/>
            <w:vAlign w:val="bottom"/>
            <w:gridSpan w:val="2"/>
          </w:tcPr>
          <w:p>
            <w:pPr>
              <w:jc w:val="right"/>
              <w:ind w:right="582"/>
              <w:spacing w:after="0"/>
              <w:rPr>
                <w:sz w:val="20"/>
                <w:szCs w:val="20"/>
                <w:color w:val="auto"/>
              </w:rPr>
            </w:pPr>
            <w:r>
              <w:rPr>
                <w:rFonts w:ascii="Arial" w:cs="Arial" w:eastAsia="Arial" w:hAnsi="Arial"/>
                <w:sz w:val="16"/>
                <w:szCs w:val="16"/>
                <w:color w:val="auto"/>
              </w:rPr>
              <w:t>$</w:t>
            </w:r>
          </w:p>
        </w:tc>
        <w:tc>
          <w:tcPr>
            <w:tcW w:w="360" w:type="dxa"/>
            <w:vAlign w:val="bottom"/>
          </w:tcPr>
          <w:p>
            <w:pPr>
              <w:jc w:val="right"/>
              <w:spacing w:after="0"/>
              <w:rPr>
                <w:sz w:val="20"/>
                <w:szCs w:val="20"/>
                <w:color w:val="auto"/>
              </w:rPr>
            </w:pPr>
            <w:r>
              <w:rPr>
                <w:rFonts w:ascii="Arial" w:cs="Arial" w:eastAsia="Arial" w:hAnsi="Arial"/>
                <w:sz w:val="16"/>
                <w:szCs w:val="16"/>
                <w:color w:val="auto"/>
              </w:rPr>
              <w:t>401</w:t>
            </w:r>
          </w:p>
        </w:tc>
      </w:tr>
      <w:tr>
        <w:trPr>
          <w:trHeight w:val="20"/>
        </w:trPr>
        <w:tc>
          <w:tcPr>
            <w:tcW w:w="76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-665480</wp:posOffset>
            </wp:positionV>
            <wp:extent cx="6410325" cy="67246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47">
                      <a:extLst>
                        <a:ext uri="{28A0092B-C50C-407E-A947-70E740481C1C}"/>
                      </a:extLst>
                    </a:blip>
                    <a:srcRect/>
                    <a:stretch>
                      <a:fillRect/>
                    </a:stretch>
                  </pic:blipFill>
                  <pic:spPr bwMode="auto">
                    <a:xfrm>
                      <a:off x="0" y="0"/>
                      <a:ext cx="6410325" cy="672465"/>
                    </a:xfrm>
                    <a:prstGeom prst="rect">
                      <a:avLst/>
                    </a:prstGeom>
                    <a:noFill/>
                  </pic:spPr>
                </pic:pic>
              </a:graphicData>
            </a:graphic>
          </wp:anchor>
        </w:drawing>
      </w:r>
    </w:p>
    <w:p>
      <w:pPr>
        <w:spacing w:after="0" w:line="105" w:lineRule="exact"/>
        <w:rPr>
          <w:sz w:val="20"/>
          <w:szCs w:val="20"/>
          <w:color w:val="auto"/>
        </w:rPr>
      </w:pPr>
    </w:p>
    <w:p>
      <w:pPr>
        <w:jc w:val="both"/>
        <w:ind w:firstLine="353"/>
        <w:spacing w:after="0" w:line="266" w:lineRule="auto"/>
        <w:rPr>
          <w:sz w:val="20"/>
          <w:szCs w:val="20"/>
          <w:color w:val="auto"/>
        </w:rPr>
      </w:pPr>
      <w:r>
        <w:rPr>
          <w:rFonts w:ascii="Arial" w:cs="Arial" w:eastAsia="Arial" w:hAnsi="Arial"/>
          <w:sz w:val="19"/>
          <w:szCs w:val="19"/>
          <w:color w:val="auto"/>
        </w:rPr>
        <w:t>For IUL the cash flow assumptions used to amortize URL reflect the Company’s best estimates for policyholder behavior. F&amp;G reviews cash flow assumptions annually, generally in the third quarter. In 2024 and 2025, F&amp;G undertook a review of all significant assumptions. For the year ended December 31, 2025, F&amp;G updated the assumptions for surrenders, lapses, and mortality. For the year ended December 31, 2024, F&amp;G updated assumptions including premium persistency and mortality improvement. All updates to these assumptions brought F&amp;G more in line with our Company and overall industry experience since the prior assumption update.</w:t>
      </w:r>
    </w:p>
    <w:p>
      <w:pPr>
        <w:sectPr>
          <w:pgSz w:w="11880" w:h="15480" w:orient="portrait"/>
          <w:cols w:equalWidth="0" w:num="1">
            <w:col w:w="10040"/>
          </w:cols>
          <w:pgMar w:left="920" w:top="765"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173</w:t>
      </w:r>
    </w:p>
    <w:p>
      <w:pPr>
        <w:sectPr>
          <w:pgSz w:w="11880" w:h="15480" w:orient="portrait"/>
          <w:cols w:equalWidth="0" w:num="1">
            <w:col w:w="10040"/>
          </w:cols>
          <w:pgMar w:left="920" w:top="765" w:right="920" w:bottom="0" w:gutter="0" w:footer="0" w:header="0"/>
          <w:type w:val="continuous"/>
        </w:sectPr>
      </w:pPr>
    </w:p>
    <w:bookmarkStart w:id="185" w:name="page186"/>
    <w:bookmarkEnd w:id="185"/>
    <w:p>
      <w:pPr>
        <w:spacing w:after="0"/>
        <w:rPr>
          <w:sz w:val="20"/>
          <w:szCs w:val="20"/>
          <w:color w:val="auto"/>
        </w:rPr>
      </w:pPr>
      <w:r>
        <w:rPr>
          <w:rFonts w:ascii="Arial" w:cs="Arial" w:eastAsia="Arial" w:hAnsi="Arial"/>
          <w:sz w:val="20"/>
          <w:szCs w:val="20"/>
          <w:b w:val="1"/>
          <w:bCs w:val="1"/>
          <w:color w:val="auto"/>
        </w:rPr>
        <w:t>Note S — Income Taxes</w:t>
      </w:r>
    </w:p>
    <w:p>
      <w:pPr>
        <w:spacing w:after="0" w:line="29" w:lineRule="exact"/>
        <w:rPr>
          <w:sz w:val="20"/>
          <w:szCs w:val="20"/>
          <w:color w:val="auto"/>
        </w:rPr>
      </w:pPr>
    </w:p>
    <w:p>
      <w:pPr>
        <w:ind w:left="340"/>
        <w:spacing w:after="0"/>
        <w:rPr>
          <w:sz w:val="20"/>
          <w:szCs w:val="20"/>
          <w:color w:val="auto"/>
        </w:rPr>
      </w:pPr>
      <w:r>
        <w:rPr>
          <w:rFonts w:ascii="Arial" w:cs="Arial" w:eastAsia="Arial" w:hAnsi="Arial"/>
          <w:sz w:val="20"/>
          <w:szCs w:val="20"/>
          <w:color w:val="auto"/>
        </w:rPr>
        <w:t>Income tax expense (benefit) on continuing operations consists of the following:</w:t>
      </w:r>
    </w:p>
    <w:p>
      <w:pPr>
        <w:spacing w:after="0" w:line="194" w:lineRule="exact"/>
        <w:rPr>
          <w:sz w:val="20"/>
          <w:szCs w:val="20"/>
          <w:color w:val="auto"/>
        </w:rPr>
      </w:pPr>
    </w:p>
    <w:tbl>
      <w:tblPr>
        <w:tblLayout w:type="fixed"/>
        <w:tblInd w:w="120" w:type="dxa"/>
        <w:tblCellMar>
          <w:top w:w="0" w:type="dxa"/>
          <w:left w:w="0" w:type="dxa"/>
          <w:bottom w:w="0" w:type="dxa"/>
          <w:right w:w="0" w:type="dxa"/>
        </w:tblCellMar>
      </w:tblPr>
      <w:tr>
        <w:trPr>
          <w:trHeight w:val="213"/>
        </w:trPr>
        <w:tc>
          <w:tcPr>
            <w:tcW w:w="8000" w:type="dxa"/>
            <w:vAlign w:val="bottom"/>
          </w:tcPr>
          <w:p>
            <w:pPr>
              <w:spacing w:after="0"/>
              <w:rPr>
                <w:sz w:val="18"/>
                <w:szCs w:val="18"/>
                <w:color w:val="auto"/>
              </w:rPr>
            </w:pPr>
          </w:p>
        </w:tc>
        <w:tc>
          <w:tcPr>
            <w:tcW w:w="1860" w:type="dxa"/>
            <w:vAlign w:val="bottom"/>
            <w:tcBorders>
              <w:bottom w:val="single" w:sz="8" w:color="auto"/>
            </w:tcBorders>
            <w:gridSpan w:val="2"/>
          </w:tcPr>
          <w:p>
            <w:pPr>
              <w:ind w:left="40"/>
              <w:spacing w:after="0"/>
              <w:rPr>
                <w:sz w:val="20"/>
                <w:szCs w:val="20"/>
                <w:color w:val="auto"/>
              </w:rPr>
            </w:pPr>
            <w:r>
              <w:rPr>
                <w:rFonts w:ascii="Arial" w:cs="Arial" w:eastAsia="Arial" w:hAnsi="Arial"/>
                <w:sz w:val="16"/>
                <w:szCs w:val="16"/>
                <w:b w:val="1"/>
                <w:bCs w:val="1"/>
                <w:color w:val="auto"/>
                <w:w w:val="91"/>
              </w:rPr>
              <w:t>Year Ended December 31,</w:t>
            </w:r>
          </w:p>
        </w:tc>
      </w:tr>
      <w:tr>
        <w:trPr>
          <w:trHeight w:val="230"/>
        </w:trPr>
        <w:tc>
          <w:tcPr>
            <w:tcW w:w="80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ind w:right="702"/>
              <w:spacing w:after="0"/>
              <w:rPr>
                <w:sz w:val="20"/>
                <w:szCs w:val="20"/>
                <w:color w:val="auto"/>
              </w:rPr>
            </w:pPr>
            <w:r>
              <w:rPr>
                <w:rFonts w:ascii="Arial" w:cs="Arial" w:eastAsia="Arial" w:hAnsi="Arial"/>
                <w:sz w:val="16"/>
                <w:szCs w:val="16"/>
                <w:b w:val="1"/>
                <w:bCs w:val="1"/>
                <w:color w:val="auto"/>
              </w:rPr>
              <w:t>2025</w:t>
            </w:r>
          </w:p>
        </w:tc>
      </w:tr>
      <w:tr>
        <w:trPr>
          <w:trHeight w:val="223"/>
        </w:trPr>
        <w:tc>
          <w:tcPr>
            <w:tcW w:w="80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40" w:type="dxa"/>
            <w:vAlign w:val="bottom"/>
          </w:tcPr>
          <w:p>
            <w:pPr>
              <w:jc w:val="right"/>
              <w:ind w:right="442"/>
              <w:spacing w:after="0"/>
              <w:rPr>
                <w:sz w:val="20"/>
                <w:szCs w:val="20"/>
                <w:color w:val="auto"/>
              </w:rPr>
            </w:pPr>
            <w:r>
              <w:rPr>
                <w:rFonts w:ascii="Arial" w:cs="Arial" w:eastAsia="Arial" w:hAnsi="Arial"/>
                <w:sz w:val="16"/>
                <w:szCs w:val="16"/>
                <w:b w:val="1"/>
                <w:bCs w:val="1"/>
                <w:color w:val="auto"/>
              </w:rPr>
              <w:t>(In millions)</w:t>
            </w:r>
          </w:p>
        </w:tc>
      </w:tr>
      <w:tr>
        <w:trPr>
          <w:trHeight w:val="279"/>
        </w:trPr>
        <w:tc>
          <w:tcPr>
            <w:tcW w:w="8000" w:type="dxa"/>
            <w:vAlign w:val="bottom"/>
          </w:tcPr>
          <w:p>
            <w:pPr>
              <w:spacing w:after="0"/>
              <w:rPr>
                <w:sz w:val="20"/>
                <w:szCs w:val="20"/>
                <w:color w:val="auto"/>
              </w:rPr>
            </w:pPr>
            <w:r>
              <w:rPr>
                <w:rFonts w:ascii="Arial" w:cs="Arial" w:eastAsia="Arial" w:hAnsi="Arial"/>
                <w:sz w:val="16"/>
                <w:szCs w:val="16"/>
                <w:color w:val="auto"/>
              </w:rPr>
              <w:t>Current tax expense</w:t>
            </w:r>
          </w:p>
        </w:tc>
        <w:tc>
          <w:tcPr>
            <w:tcW w:w="32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279"/>
        </w:trPr>
        <w:tc>
          <w:tcPr>
            <w:tcW w:w="8000" w:type="dxa"/>
            <w:vAlign w:val="bottom"/>
          </w:tcPr>
          <w:p>
            <w:pPr>
              <w:ind w:left="100"/>
              <w:spacing w:after="0"/>
              <w:rPr>
                <w:sz w:val="20"/>
                <w:szCs w:val="20"/>
                <w:color w:val="auto"/>
              </w:rPr>
            </w:pPr>
            <w:r>
              <w:rPr>
                <w:rFonts w:ascii="Arial" w:cs="Arial" w:eastAsia="Arial" w:hAnsi="Arial"/>
                <w:sz w:val="16"/>
                <w:szCs w:val="16"/>
                <w:color w:val="auto"/>
              </w:rPr>
              <w:t>Federal</w:t>
            </w:r>
          </w:p>
        </w:tc>
        <w:tc>
          <w:tcPr>
            <w:tcW w:w="320" w:type="dxa"/>
            <w:vAlign w:val="bottom"/>
          </w:tcPr>
          <w:p>
            <w:pPr>
              <w:ind w:left="40"/>
              <w:spacing w:after="0"/>
              <w:rPr>
                <w:sz w:val="20"/>
                <w:szCs w:val="20"/>
                <w:color w:val="auto"/>
              </w:rPr>
            </w:pPr>
            <w:r>
              <w:rPr>
                <w:rFonts w:ascii="Arial" w:cs="Arial" w:eastAsia="Arial" w:hAnsi="Arial"/>
                <w:sz w:val="16"/>
                <w:szCs w:val="16"/>
                <w:color w:val="auto"/>
              </w:rPr>
              <w:t>$</w:t>
            </w:r>
          </w:p>
        </w:tc>
        <w:tc>
          <w:tcPr>
            <w:tcW w:w="1540" w:type="dxa"/>
            <w:vAlign w:val="bottom"/>
          </w:tcPr>
          <w:p>
            <w:pPr>
              <w:jc w:val="right"/>
              <w:spacing w:after="0"/>
              <w:rPr>
                <w:sz w:val="20"/>
                <w:szCs w:val="20"/>
                <w:color w:val="auto"/>
              </w:rPr>
            </w:pPr>
            <w:r>
              <w:rPr>
                <w:rFonts w:ascii="Arial" w:cs="Arial" w:eastAsia="Arial" w:hAnsi="Arial"/>
                <w:sz w:val="16"/>
                <w:szCs w:val="16"/>
                <w:color w:val="auto"/>
              </w:rPr>
              <w:t>76</w:t>
            </w:r>
          </w:p>
        </w:tc>
      </w:tr>
      <w:tr>
        <w:trPr>
          <w:trHeight w:val="279"/>
        </w:trPr>
        <w:tc>
          <w:tcPr>
            <w:tcW w:w="8000" w:type="dxa"/>
            <w:vAlign w:val="bottom"/>
          </w:tcPr>
          <w:p>
            <w:pPr>
              <w:ind w:left="100"/>
              <w:spacing w:after="0"/>
              <w:rPr>
                <w:sz w:val="20"/>
                <w:szCs w:val="20"/>
                <w:color w:val="auto"/>
              </w:rPr>
            </w:pPr>
            <w:r>
              <w:rPr>
                <w:rFonts w:ascii="Arial" w:cs="Arial" w:eastAsia="Arial" w:hAnsi="Arial"/>
                <w:sz w:val="16"/>
                <w:szCs w:val="16"/>
                <w:color w:val="auto"/>
              </w:rPr>
              <w:t>State</w:t>
            </w:r>
          </w:p>
        </w:tc>
        <w:tc>
          <w:tcPr>
            <w:tcW w:w="320" w:type="dxa"/>
            <w:vAlign w:val="bottom"/>
          </w:tcPr>
          <w:p>
            <w:pPr>
              <w:spacing w:after="0"/>
              <w:rPr>
                <w:sz w:val="24"/>
                <w:szCs w:val="24"/>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23</w:t>
            </w:r>
          </w:p>
        </w:tc>
      </w:tr>
      <w:tr>
        <w:trPr>
          <w:trHeight w:val="286"/>
        </w:trPr>
        <w:tc>
          <w:tcPr>
            <w:tcW w:w="8000" w:type="dxa"/>
            <w:vAlign w:val="bottom"/>
          </w:tcPr>
          <w:p>
            <w:pPr>
              <w:ind w:left="100"/>
              <w:spacing w:after="0"/>
              <w:rPr>
                <w:sz w:val="20"/>
                <w:szCs w:val="20"/>
                <w:color w:val="auto"/>
              </w:rPr>
            </w:pPr>
            <w:r>
              <w:rPr>
                <w:rFonts w:ascii="Arial" w:cs="Arial" w:eastAsia="Arial" w:hAnsi="Arial"/>
                <w:sz w:val="16"/>
                <w:szCs w:val="16"/>
                <w:color w:val="auto"/>
              </w:rPr>
              <w:t>Foreign</w:t>
            </w:r>
          </w:p>
        </w:tc>
        <w:tc>
          <w:tcPr>
            <w:tcW w:w="32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w:t>
            </w:r>
          </w:p>
        </w:tc>
      </w:tr>
      <w:tr>
        <w:trPr>
          <w:trHeight w:val="252"/>
        </w:trPr>
        <w:tc>
          <w:tcPr>
            <w:tcW w:w="8000" w:type="dxa"/>
            <w:vAlign w:val="bottom"/>
          </w:tcPr>
          <w:p>
            <w:pPr>
              <w:spacing w:after="0"/>
              <w:rPr>
                <w:sz w:val="20"/>
                <w:szCs w:val="20"/>
                <w:color w:val="auto"/>
              </w:rPr>
            </w:pPr>
            <w:r>
              <w:rPr>
                <w:rFonts w:ascii="Arial" w:cs="Arial" w:eastAsia="Arial" w:hAnsi="Arial"/>
                <w:sz w:val="16"/>
                <w:szCs w:val="16"/>
                <w:color w:val="auto"/>
              </w:rPr>
              <w:t>Total current tax expense</w:t>
            </w:r>
          </w:p>
        </w:tc>
        <w:tc>
          <w:tcPr>
            <w:tcW w:w="320" w:type="dxa"/>
            <w:vAlign w:val="bottom"/>
          </w:tcPr>
          <w:p>
            <w:pPr>
              <w:ind w:left="40"/>
              <w:spacing w:after="0"/>
              <w:rPr>
                <w:sz w:val="20"/>
                <w:szCs w:val="20"/>
                <w:color w:val="auto"/>
              </w:rPr>
            </w:pPr>
            <w:r>
              <w:rPr>
                <w:rFonts w:ascii="Arial" w:cs="Arial" w:eastAsia="Arial" w:hAnsi="Arial"/>
                <w:sz w:val="16"/>
                <w:szCs w:val="16"/>
                <w:color w:val="auto"/>
              </w:rPr>
              <w:t>$</w:t>
            </w:r>
          </w:p>
        </w:tc>
        <w:tc>
          <w:tcPr>
            <w:tcW w:w="1540" w:type="dxa"/>
            <w:vAlign w:val="bottom"/>
          </w:tcPr>
          <w:p>
            <w:pPr>
              <w:jc w:val="right"/>
              <w:spacing w:after="0"/>
              <w:rPr>
                <w:sz w:val="20"/>
                <w:szCs w:val="20"/>
                <w:color w:val="auto"/>
              </w:rPr>
            </w:pPr>
            <w:r>
              <w:rPr>
                <w:rFonts w:ascii="Arial" w:cs="Arial" w:eastAsia="Arial" w:hAnsi="Arial"/>
                <w:sz w:val="16"/>
                <w:szCs w:val="16"/>
                <w:color w:val="auto"/>
              </w:rPr>
              <w:t>115</w:t>
            </w:r>
          </w:p>
        </w:tc>
      </w:tr>
      <w:tr>
        <w:trPr>
          <w:trHeight w:val="279"/>
        </w:trPr>
        <w:tc>
          <w:tcPr>
            <w:tcW w:w="8000" w:type="dxa"/>
            <w:vAlign w:val="bottom"/>
          </w:tcPr>
          <w:p>
            <w:pPr>
              <w:spacing w:after="0"/>
              <w:rPr>
                <w:sz w:val="20"/>
                <w:szCs w:val="20"/>
                <w:color w:val="auto"/>
              </w:rPr>
            </w:pPr>
            <w:r>
              <w:rPr>
                <w:rFonts w:ascii="Arial" w:cs="Arial" w:eastAsia="Arial" w:hAnsi="Arial"/>
                <w:sz w:val="16"/>
                <w:szCs w:val="16"/>
                <w:color w:val="auto"/>
              </w:rPr>
              <w:t>Deferred tax expense</w:t>
            </w:r>
          </w:p>
        </w:tc>
        <w:tc>
          <w:tcPr>
            <w:tcW w:w="32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279"/>
        </w:trPr>
        <w:tc>
          <w:tcPr>
            <w:tcW w:w="8000" w:type="dxa"/>
            <w:vAlign w:val="bottom"/>
          </w:tcPr>
          <w:p>
            <w:pPr>
              <w:ind w:left="100"/>
              <w:spacing w:after="0"/>
              <w:rPr>
                <w:sz w:val="20"/>
                <w:szCs w:val="20"/>
                <w:color w:val="auto"/>
              </w:rPr>
            </w:pPr>
            <w:r>
              <w:rPr>
                <w:rFonts w:ascii="Arial" w:cs="Arial" w:eastAsia="Arial" w:hAnsi="Arial"/>
                <w:sz w:val="16"/>
                <w:szCs w:val="16"/>
                <w:color w:val="auto"/>
              </w:rPr>
              <w:t>Federal</w:t>
            </w:r>
          </w:p>
        </w:tc>
        <w:tc>
          <w:tcPr>
            <w:tcW w:w="320" w:type="dxa"/>
            <w:vAlign w:val="bottom"/>
          </w:tcPr>
          <w:p>
            <w:pPr>
              <w:spacing w:after="0"/>
              <w:rPr>
                <w:sz w:val="24"/>
                <w:szCs w:val="24"/>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599</w:t>
            </w:r>
          </w:p>
        </w:tc>
      </w:tr>
      <w:tr>
        <w:trPr>
          <w:trHeight w:val="286"/>
        </w:trPr>
        <w:tc>
          <w:tcPr>
            <w:tcW w:w="8000" w:type="dxa"/>
            <w:vAlign w:val="bottom"/>
          </w:tcPr>
          <w:p>
            <w:pPr>
              <w:ind w:left="100"/>
              <w:spacing w:after="0"/>
              <w:rPr>
                <w:sz w:val="20"/>
                <w:szCs w:val="20"/>
                <w:color w:val="auto"/>
              </w:rPr>
            </w:pPr>
            <w:r>
              <w:rPr>
                <w:rFonts w:ascii="Arial" w:cs="Arial" w:eastAsia="Arial" w:hAnsi="Arial"/>
                <w:sz w:val="16"/>
                <w:szCs w:val="16"/>
                <w:color w:val="auto"/>
              </w:rPr>
              <w:t>State</w:t>
            </w:r>
          </w:p>
        </w:tc>
        <w:tc>
          <w:tcPr>
            <w:tcW w:w="32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w:t>
            </w:r>
          </w:p>
        </w:tc>
      </w:tr>
      <w:tr>
        <w:trPr>
          <w:trHeight w:val="252"/>
        </w:trPr>
        <w:tc>
          <w:tcPr>
            <w:tcW w:w="8000" w:type="dxa"/>
            <w:vAlign w:val="bottom"/>
          </w:tcPr>
          <w:p>
            <w:pPr>
              <w:spacing w:after="0"/>
              <w:rPr>
                <w:sz w:val="20"/>
                <w:szCs w:val="20"/>
                <w:color w:val="auto"/>
              </w:rPr>
            </w:pPr>
            <w:r>
              <w:rPr>
                <w:rFonts w:ascii="Arial" w:cs="Arial" w:eastAsia="Arial" w:hAnsi="Arial"/>
                <w:sz w:val="16"/>
                <w:szCs w:val="16"/>
                <w:color w:val="auto"/>
              </w:rPr>
              <w:t>Total deferred tax expense</w:t>
            </w:r>
          </w:p>
        </w:tc>
        <w:tc>
          <w:tcPr>
            <w:tcW w:w="320" w:type="dxa"/>
            <w:vAlign w:val="bottom"/>
          </w:tcPr>
          <w:p>
            <w:pPr>
              <w:ind w:left="40"/>
              <w:spacing w:after="0"/>
              <w:rPr>
                <w:sz w:val="20"/>
                <w:szCs w:val="20"/>
                <w:color w:val="auto"/>
              </w:rPr>
            </w:pPr>
            <w:r>
              <w:rPr>
                <w:rFonts w:ascii="Arial" w:cs="Arial" w:eastAsia="Arial" w:hAnsi="Arial"/>
                <w:sz w:val="16"/>
                <w:szCs w:val="16"/>
                <w:color w:val="auto"/>
              </w:rPr>
              <w:t>$</w:t>
            </w:r>
          </w:p>
        </w:tc>
        <w:tc>
          <w:tcPr>
            <w:tcW w:w="1540" w:type="dxa"/>
            <w:vAlign w:val="bottom"/>
          </w:tcPr>
          <w:p>
            <w:pPr>
              <w:jc w:val="right"/>
              <w:spacing w:after="0"/>
              <w:rPr>
                <w:sz w:val="20"/>
                <w:szCs w:val="20"/>
                <w:color w:val="auto"/>
              </w:rPr>
            </w:pPr>
            <w:r>
              <w:rPr>
                <w:rFonts w:ascii="Arial" w:cs="Arial" w:eastAsia="Arial" w:hAnsi="Arial"/>
                <w:sz w:val="16"/>
                <w:szCs w:val="16"/>
                <w:color w:val="auto"/>
              </w:rPr>
              <w:t>638</w:t>
            </w:r>
          </w:p>
        </w:tc>
      </w:tr>
      <w:tr>
        <w:trPr>
          <w:trHeight w:val="267"/>
        </w:trPr>
        <w:tc>
          <w:tcPr>
            <w:tcW w:w="8000" w:type="dxa"/>
            <w:vAlign w:val="bottom"/>
          </w:tcPr>
          <w:p>
            <w:pPr>
              <w:spacing w:after="0"/>
              <w:rPr>
                <w:sz w:val="20"/>
                <w:szCs w:val="20"/>
                <w:color w:val="auto"/>
              </w:rPr>
            </w:pPr>
            <w:r>
              <w:rPr>
                <w:rFonts w:ascii="Arial" w:cs="Arial" w:eastAsia="Arial" w:hAnsi="Arial"/>
                <w:sz w:val="16"/>
                <w:szCs w:val="16"/>
                <w:color w:val="auto"/>
              </w:rPr>
              <w:t>Total income tax expense on continuing operations</w:t>
            </w:r>
          </w:p>
        </w:tc>
        <w:tc>
          <w:tcPr>
            <w:tcW w:w="32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753</w:t>
            </w:r>
          </w:p>
        </w:tc>
      </w:tr>
      <w:tr>
        <w:trPr>
          <w:trHeight w:val="20"/>
        </w:trPr>
        <w:tc>
          <w:tcPr>
            <w:tcW w:w="80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-1804670</wp:posOffset>
            </wp:positionV>
            <wp:extent cx="6326505" cy="18116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48">
                      <a:extLst>
                        <a:ext uri="{28A0092B-C50C-407E-A947-70E740481C1C}"/>
                      </a:extLst>
                    </a:blip>
                    <a:srcRect/>
                    <a:stretch>
                      <a:fillRect/>
                    </a:stretch>
                  </pic:blipFill>
                  <pic:spPr bwMode="auto">
                    <a:xfrm>
                      <a:off x="0" y="0"/>
                      <a:ext cx="6326505" cy="1811655"/>
                    </a:xfrm>
                    <a:prstGeom prst="rect">
                      <a:avLst/>
                    </a:prstGeom>
                    <a:noFill/>
                  </pic:spPr>
                </pic:pic>
              </a:graphicData>
            </a:graphic>
          </wp:anchor>
        </w:drawing>
      </w:r>
    </w:p>
    <w:p>
      <w:pPr>
        <w:spacing w:after="0" w:line="193" w:lineRule="exact"/>
        <w:rPr>
          <w:sz w:val="20"/>
          <w:szCs w:val="20"/>
          <w:color w:val="auto"/>
        </w:rPr>
      </w:pPr>
    </w:p>
    <w:tbl>
      <w:tblPr>
        <w:tblLayout w:type="fixed"/>
        <w:tblInd w:w="40" w:type="dxa"/>
        <w:tblCellMar>
          <w:top w:w="0" w:type="dxa"/>
          <w:left w:w="0" w:type="dxa"/>
          <w:bottom w:w="0" w:type="dxa"/>
          <w:right w:w="0" w:type="dxa"/>
        </w:tblCellMar>
      </w:tblPr>
      <w:tr>
        <w:trPr>
          <w:trHeight w:val="213"/>
        </w:trPr>
        <w:tc>
          <w:tcPr>
            <w:tcW w:w="7960" w:type="dxa"/>
            <w:vAlign w:val="bottom"/>
          </w:tcPr>
          <w:p>
            <w:pPr>
              <w:spacing w:after="0"/>
              <w:rPr>
                <w:sz w:val="18"/>
                <w:szCs w:val="18"/>
                <w:color w:val="auto"/>
              </w:rPr>
            </w:pPr>
          </w:p>
        </w:tc>
        <w:tc>
          <w:tcPr>
            <w:tcW w:w="2040" w:type="dxa"/>
            <w:vAlign w:val="bottom"/>
            <w:tcBorders>
              <w:bottom w:val="single" w:sz="8" w:color="auto"/>
            </w:tcBorders>
            <w:gridSpan w:val="5"/>
          </w:tcPr>
          <w:p>
            <w:pPr>
              <w:jc w:val="right"/>
              <w:ind w:right="62"/>
              <w:spacing w:after="0"/>
              <w:rPr>
                <w:sz w:val="20"/>
                <w:szCs w:val="20"/>
                <w:color w:val="auto"/>
              </w:rPr>
            </w:pPr>
            <w:r>
              <w:rPr>
                <w:rFonts w:ascii="Arial" w:cs="Arial" w:eastAsia="Arial" w:hAnsi="Arial"/>
                <w:sz w:val="16"/>
                <w:szCs w:val="16"/>
                <w:b w:val="1"/>
                <w:bCs w:val="1"/>
                <w:color w:val="auto"/>
                <w:w w:val="95"/>
              </w:rPr>
              <w:t>Year Ended December 31,</w:t>
            </w:r>
          </w:p>
        </w:tc>
      </w:tr>
      <w:tr>
        <w:trPr>
          <w:trHeight w:val="230"/>
        </w:trPr>
        <w:tc>
          <w:tcPr>
            <w:tcW w:w="796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2024</w:t>
            </w:r>
          </w:p>
        </w:tc>
        <w:tc>
          <w:tcPr>
            <w:tcW w:w="30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c>
          <w:tcPr>
            <w:tcW w:w="320" w:type="dxa"/>
            <w:vAlign w:val="bottom"/>
            <w:tcBorders>
              <w:bottom w:val="single" w:sz="8" w:color="auto"/>
            </w:tcBorders>
          </w:tcPr>
          <w:p>
            <w:pPr>
              <w:spacing w:after="0"/>
              <w:rPr>
                <w:sz w:val="19"/>
                <w:szCs w:val="19"/>
                <w:color w:val="auto"/>
              </w:rPr>
            </w:pPr>
          </w:p>
        </w:tc>
      </w:tr>
      <w:tr>
        <w:trPr>
          <w:trHeight w:val="223"/>
        </w:trPr>
        <w:tc>
          <w:tcPr>
            <w:tcW w:w="7960" w:type="dxa"/>
            <w:vAlign w:val="bottom"/>
          </w:tcPr>
          <w:p>
            <w:pPr>
              <w:spacing w:after="0"/>
              <w:rPr>
                <w:sz w:val="19"/>
                <w:szCs w:val="19"/>
                <w:color w:val="auto"/>
              </w:rPr>
            </w:pPr>
          </w:p>
        </w:tc>
        <w:tc>
          <w:tcPr>
            <w:tcW w:w="1720" w:type="dxa"/>
            <w:vAlign w:val="bottom"/>
            <w:gridSpan w:val="4"/>
          </w:tcPr>
          <w:p>
            <w:pPr>
              <w:jc w:val="right"/>
              <w:ind w:right="202"/>
              <w:spacing w:after="0"/>
              <w:rPr>
                <w:sz w:val="20"/>
                <w:szCs w:val="20"/>
                <w:color w:val="auto"/>
              </w:rPr>
            </w:pPr>
            <w:r>
              <w:rPr>
                <w:rFonts w:ascii="Arial" w:cs="Arial" w:eastAsia="Arial" w:hAnsi="Arial"/>
                <w:sz w:val="16"/>
                <w:szCs w:val="16"/>
                <w:b w:val="1"/>
                <w:bCs w:val="1"/>
                <w:color w:val="auto"/>
              </w:rPr>
              <w:t>(In millions)</w:t>
            </w:r>
          </w:p>
        </w:tc>
        <w:tc>
          <w:tcPr>
            <w:tcW w:w="320" w:type="dxa"/>
            <w:vAlign w:val="bottom"/>
          </w:tcPr>
          <w:p>
            <w:pPr>
              <w:spacing w:after="0"/>
              <w:rPr>
                <w:sz w:val="19"/>
                <w:szCs w:val="19"/>
                <w:color w:val="auto"/>
              </w:rPr>
            </w:pPr>
          </w:p>
        </w:tc>
      </w:tr>
      <w:tr>
        <w:trPr>
          <w:trHeight w:val="235"/>
        </w:trPr>
        <w:tc>
          <w:tcPr>
            <w:tcW w:w="7960" w:type="dxa"/>
            <w:vAlign w:val="bottom"/>
          </w:tcPr>
          <w:p>
            <w:pPr>
              <w:spacing w:after="0"/>
              <w:rPr>
                <w:sz w:val="20"/>
                <w:szCs w:val="20"/>
                <w:color w:val="auto"/>
              </w:rPr>
            </w:pPr>
            <w:r>
              <w:rPr>
                <w:rFonts w:ascii="Arial" w:cs="Arial" w:eastAsia="Arial" w:hAnsi="Arial"/>
                <w:sz w:val="16"/>
                <w:szCs w:val="16"/>
                <w:color w:val="auto"/>
              </w:rPr>
              <w:t>Current</w:t>
            </w:r>
          </w:p>
        </w:tc>
        <w:tc>
          <w:tcPr>
            <w:tcW w:w="680" w:type="dxa"/>
            <w:vAlign w:val="bottom"/>
          </w:tcPr>
          <w:p>
            <w:pPr>
              <w:jc w:val="right"/>
              <w:ind w:right="462"/>
              <w:spacing w:after="0"/>
              <w:rPr>
                <w:sz w:val="20"/>
                <w:szCs w:val="20"/>
                <w:color w:val="auto"/>
              </w:rPr>
            </w:pPr>
            <w:r>
              <w:rPr>
                <w:rFonts w:ascii="Arial" w:cs="Arial" w:eastAsia="Arial" w:hAnsi="Arial"/>
                <w:sz w:val="16"/>
                <w:szCs w:val="16"/>
                <w:color w:val="auto"/>
              </w:rPr>
              <w:t>$</w:t>
            </w:r>
          </w:p>
        </w:tc>
        <w:tc>
          <w:tcPr>
            <w:tcW w:w="300" w:type="dxa"/>
            <w:vAlign w:val="bottom"/>
          </w:tcPr>
          <w:p>
            <w:pPr>
              <w:jc w:val="right"/>
              <w:spacing w:after="0"/>
              <w:rPr>
                <w:sz w:val="20"/>
                <w:szCs w:val="20"/>
                <w:color w:val="auto"/>
              </w:rPr>
            </w:pPr>
            <w:r>
              <w:rPr>
                <w:rFonts w:ascii="Arial" w:cs="Arial" w:eastAsia="Arial" w:hAnsi="Arial"/>
                <w:sz w:val="16"/>
                <w:szCs w:val="16"/>
                <w:color w:val="auto"/>
                <w:w w:val="82"/>
              </w:rPr>
              <w:t>360</w:t>
            </w:r>
          </w:p>
        </w:tc>
        <w:tc>
          <w:tcPr>
            <w:tcW w:w="740" w:type="dxa"/>
            <w:vAlign w:val="bottom"/>
            <w:gridSpan w:val="2"/>
          </w:tcPr>
          <w:p>
            <w:pPr>
              <w:jc w:val="right"/>
              <w:ind w:right="442"/>
              <w:spacing w:after="0"/>
              <w:rPr>
                <w:sz w:val="20"/>
                <w:szCs w:val="20"/>
                <w:color w:val="auto"/>
              </w:rPr>
            </w:pPr>
            <w:r>
              <w:rPr>
                <w:rFonts w:ascii="Arial" w:cs="Arial" w:eastAsia="Arial" w:hAnsi="Arial"/>
                <w:sz w:val="16"/>
                <w:szCs w:val="16"/>
                <w:color w:val="auto"/>
              </w:rPr>
              <w:t>$</w:t>
            </w:r>
          </w:p>
        </w:tc>
        <w:tc>
          <w:tcPr>
            <w:tcW w:w="320" w:type="dxa"/>
            <w:vAlign w:val="bottom"/>
          </w:tcPr>
          <w:p>
            <w:pPr>
              <w:jc w:val="right"/>
              <w:spacing w:after="0"/>
              <w:rPr>
                <w:sz w:val="20"/>
                <w:szCs w:val="20"/>
                <w:color w:val="auto"/>
              </w:rPr>
            </w:pPr>
            <w:r>
              <w:rPr>
                <w:rFonts w:ascii="Arial" w:cs="Arial" w:eastAsia="Arial" w:hAnsi="Arial"/>
                <w:sz w:val="16"/>
                <w:szCs w:val="16"/>
                <w:color w:val="auto"/>
                <w:w w:val="89"/>
              </w:rPr>
              <w:t>241</w:t>
            </w:r>
          </w:p>
        </w:tc>
      </w:tr>
      <w:tr>
        <w:trPr>
          <w:trHeight w:val="242"/>
        </w:trPr>
        <w:tc>
          <w:tcPr>
            <w:tcW w:w="7960" w:type="dxa"/>
            <w:vAlign w:val="bottom"/>
          </w:tcPr>
          <w:p>
            <w:pPr>
              <w:spacing w:after="0"/>
              <w:rPr>
                <w:sz w:val="20"/>
                <w:szCs w:val="20"/>
                <w:color w:val="auto"/>
              </w:rPr>
            </w:pPr>
            <w:r>
              <w:rPr>
                <w:rFonts w:ascii="Arial" w:cs="Arial" w:eastAsia="Arial" w:hAnsi="Arial"/>
                <w:sz w:val="16"/>
                <w:szCs w:val="16"/>
                <w:color w:val="auto"/>
              </w:rPr>
              <w:t>Deferred</w:t>
            </w:r>
          </w:p>
        </w:tc>
        <w:tc>
          <w:tcPr>
            <w:tcW w:w="68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w:t>
            </w:r>
          </w:p>
        </w:tc>
        <w:tc>
          <w:tcPr>
            <w:tcW w:w="80" w:type="dxa"/>
            <w:vAlign w:val="bottom"/>
          </w:tcPr>
          <w:p>
            <w:pPr>
              <w:spacing w:after="0"/>
              <w:rPr>
                <w:sz w:val="21"/>
                <w:szCs w:val="21"/>
                <w:color w:val="auto"/>
              </w:rPr>
            </w:pPr>
          </w:p>
        </w:tc>
        <w:tc>
          <w:tcPr>
            <w:tcW w:w="66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w:t>
            </w:r>
          </w:p>
        </w:tc>
      </w:tr>
      <w:tr>
        <w:trPr>
          <w:trHeight w:val="196"/>
        </w:trPr>
        <w:tc>
          <w:tcPr>
            <w:tcW w:w="7960" w:type="dxa"/>
            <w:vAlign w:val="bottom"/>
          </w:tcPr>
          <w:p>
            <w:pPr>
              <w:spacing w:after="0"/>
              <w:rPr>
                <w:sz w:val="17"/>
                <w:szCs w:val="17"/>
                <w:color w:val="auto"/>
              </w:rPr>
            </w:pPr>
          </w:p>
        </w:tc>
        <w:tc>
          <w:tcPr>
            <w:tcW w:w="680" w:type="dxa"/>
            <w:vAlign w:val="bottom"/>
          </w:tcPr>
          <w:p>
            <w:pPr>
              <w:jc w:val="right"/>
              <w:ind w:right="462"/>
              <w:spacing w:after="0"/>
              <w:rPr>
                <w:sz w:val="20"/>
                <w:szCs w:val="20"/>
                <w:color w:val="auto"/>
              </w:rPr>
            </w:pPr>
            <w:r>
              <w:rPr>
                <w:rFonts w:ascii="Arial" w:cs="Arial" w:eastAsia="Arial" w:hAnsi="Arial"/>
                <w:sz w:val="16"/>
                <w:szCs w:val="16"/>
                <w:color w:val="auto"/>
              </w:rPr>
              <w:t>$</w:t>
            </w:r>
          </w:p>
        </w:tc>
        <w:tc>
          <w:tcPr>
            <w:tcW w:w="300" w:type="dxa"/>
            <w:vAlign w:val="bottom"/>
          </w:tcPr>
          <w:p>
            <w:pPr>
              <w:jc w:val="right"/>
              <w:spacing w:after="0"/>
              <w:rPr>
                <w:sz w:val="20"/>
                <w:szCs w:val="20"/>
                <w:color w:val="auto"/>
              </w:rPr>
            </w:pPr>
            <w:r>
              <w:rPr>
                <w:rFonts w:ascii="Arial" w:cs="Arial" w:eastAsia="Arial" w:hAnsi="Arial"/>
                <w:sz w:val="16"/>
                <w:szCs w:val="16"/>
                <w:color w:val="auto"/>
                <w:w w:val="82"/>
              </w:rPr>
              <w:t>367</w:t>
            </w:r>
          </w:p>
        </w:tc>
        <w:tc>
          <w:tcPr>
            <w:tcW w:w="740" w:type="dxa"/>
            <w:vAlign w:val="bottom"/>
            <w:gridSpan w:val="2"/>
          </w:tcPr>
          <w:p>
            <w:pPr>
              <w:jc w:val="right"/>
              <w:ind w:right="442"/>
              <w:spacing w:after="0"/>
              <w:rPr>
                <w:sz w:val="20"/>
                <w:szCs w:val="20"/>
                <w:color w:val="auto"/>
              </w:rPr>
            </w:pPr>
            <w:r>
              <w:rPr>
                <w:rFonts w:ascii="Arial" w:cs="Arial" w:eastAsia="Arial" w:hAnsi="Arial"/>
                <w:sz w:val="16"/>
                <w:szCs w:val="16"/>
                <w:color w:val="auto"/>
              </w:rPr>
              <w:t>$</w:t>
            </w:r>
          </w:p>
        </w:tc>
        <w:tc>
          <w:tcPr>
            <w:tcW w:w="320" w:type="dxa"/>
            <w:vAlign w:val="bottom"/>
          </w:tcPr>
          <w:p>
            <w:pPr>
              <w:jc w:val="right"/>
              <w:spacing w:after="0"/>
              <w:rPr>
                <w:sz w:val="20"/>
                <w:szCs w:val="20"/>
                <w:color w:val="auto"/>
              </w:rPr>
            </w:pPr>
            <w:r>
              <w:rPr>
                <w:rFonts w:ascii="Arial" w:cs="Arial" w:eastAsia="Arial" w:hAnsi="Arial"/>
                <w:sz w:val="16"/>
                <w:szCs w:val="16"/>
                <w:color w:val="auto"/>
                <w:w w:val="89"/>
              </w:rPr>
              <w:t>192</w:t>
            </w:r>
          </w:p>
        </w:tc>
      </w:tr>
      <w:tr>
        <w:trPr>
          <w:trHeight w:val="20"/>
        </w:trPr>
        <w:tc>
          <w:tcPr>
            <w:tcW w:w="79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-478790</wp:posOffset>
            </wp:positionV>
            <wp:extent cx="6410325" cy="48577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49">
                      <a:extLst>
                        <a:ext uri="{28A0092B-C50C-407E-A947-70E740481C1C}"/>
                      </a:extLst>
                    </a:blip>
                    <a:srcRect/>
                    <a:stretch>
                      <a:fillRect/>
                    </a:stretch>
                  </pic:blipFill>
                  <pic:spPr bwMode="auto">
                    <a:xfrm>
                      <a:off x="0" y="0"/>
                      <a:ext cx="6410325" cy="485775"/>
                    </a:xfrm>
                    <a:prstGeom prst="rect">
                      <a:avLst/>
                    </a:prstGeom>
                    <a:noFill/>
                  </pic:spPr>
                </pic:pic>
              </a:graphicData>
            </a:graphic>
          </wp:anchor>
        </w:drawing>
      </w:r>
    </w:p>
    <w:p>
      <w:pPr>
        <w:sectPr>
          <w:pgSz w:w="11880" w:h="15480" w:orient="portrait"/>
          <w:cols w:equalWidth="0" w:num="1">
            <w:col w:w="10040"/>
          </w:cols>
          <w:pgMar w:left="920" w:top="765" w:right="920" w:bottom="0" w:gutter="0" w:footer="0" w:header="0"/>
        </w:sectPr>
      </w:pPr>
    </w:p>
    <w:p>
      <w:pPr>
        <w:spacing w:after="0" w:line="262"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Total income tax expense was allocated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539750</wp:posOffset>
            </wp:positionV>
            <wp:extent cx="6316980" cy="19050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50">
                      <a:extLst>
                        <a:ext uri="{28A0092B-C50C-407E-A947-70E740481C1C}"/>
                      </a:extLst>
                    </a:blip>
                    <a:srcRect/>
                    <a:stretch>
                      <a:fillRect/>
                    </a:stretch>
                  </pic:blipFill>
                  <pic:spPr bwMode="auto">
                    <a:xfrm>
                      <a:off x="0" y="0"/>
                      <a:ext cx="6316980" cy="19050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120"/>
        <w:spacing w:after="0"/>
        <w:rPr>
          <w:sz w:val="20"/>
          <w:szCs w:val="20"/>
          <w:color w:val="auto"/>
        </w:rPr>
      </w:pPr>
      <w:r>
        <w:rPr>
          <w:rFonts w:ascii="Arial" w:cs="Arial" w:eastAsia="Arial" w:hAnsi="Arial"/>
          <w:sz w:val="16"/>
          <w:szCs w:val="16"/>
          <w:color w:val="auto"/>
        </w:rPr>
        <w:t>Net earnings from continuing operations</w:t>
      </w:r>
    </w:p>
    <w:p>
      <w:pPr>
        <w:spacing w:after="0" w:line="110" w:lineRule="exact"/>
        <w:rPr>
          <w:sz w:val="20"/>
          <w:szCs w:val="20"/>
          <w:color w:val="auto"/>
        </w:rPr>
      </w:pPr>
    </w:p>
    <w:p>
      <w:pPr>
        <w:ind w:left="120"/>
        <w:spacing w:after="0"/>
        <w:rPr>
          <w:sz w:val="20"/>
          <w:szCs w:val="20"/>
          <w:color w:val="auto"/>
        </w:rPr>
      </w:pPr>
      <w:r>
        <w:rPr>
          <w:rFonts w:ascii="Arial" w:cs="Arial" w:eastAsia="Arial" w:hAnsi="Arial"/>
          <w:sz w:val="16"/>
          <w:szCs w:val="16"/>
          <w:color w:val="auto"/>
        </w:rPr>
        <w:t>Other comprehensive earnings (loss):</w:t>
      </w:r>
    </w:p>
    <w:p>
      <w:pPr>
        <w:spacing w:after="0" w:line="110" w:lineRule="exact"/>
        <w:rPr>
          <w:sz w:val="20"/>
          <w:szCs w:val="20"/>
          <w:color w:val="auto"/>
        </w:rPr>
      </w:pPr>
    </w:p>
    <w:p>
      <w:pPr>
        <w:ind w:left="340"/>
        <w:spacing w:after="0"/>
        <w:rPr>
          <w:sz w:val="20"/>
          <w:szCs w:val="20"/>
          <w:color w:val="auto"/>
        </w:rPr>
      </w:pPr>
      <w:r>
        <w:rPr>
          <w:rFonts w:ascii="Arial" w:cs="Arial" w:eastAsia="Arial" w:hAnsi="Arial"/>
          <w:sz w:val="15"/>
          <w:szCs w:val="15"/>
          <w:color w:val="auto"/>
        </w:rPr>
        <w:t>Unrealized gain on investments and other financial instruments</w:t>
      </w:r>
    </w:p>
    <w:p>
      <w:pPr>
        <w:spacing w:after="0" w:line="12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Unrealized gain on foreign currency translation</w:t>
      </w:r>
    </w:p>
    <w:p>
      <w:pPr>
        <w:spacing w:after="0" w:line="110" w:lineRule="exact"/>
        <w:rPr>
          <w:sz w:val="20"/>
          <w:szCs w:val="20"/>
          <w:color w:val="auto"/>
        </w:rPr>
      </w:pPr>
    </w:p>
    <w:p>
      <w:pPr>
        <w:ind w:left="340"/>
        <w:spacing w:after="0"/>
        <w:rPr>
          <w:sz w:val="20"/>
          <w:szCs w:val="20"/>
          <w:color w:val="auto"/>
        </w:rPr>
      </w:pPr>
      <w:r>
        <w:rPr>
          <w:rFonts w:ascii="Arial" w:cs="Arial" w:eastAsia="Arial" w:hAnsi="Arial"/>
          <w:sz w:val="16"/>
          <w:szCs w:val="16"/>
          <w:color w:val="auto"/>
        </w:rPr>
        <w:t>Changes in current discount rate - future policy benefits</w:t>
      </w:r>
    </w:p>
    <w:p>
      <w:pPr>
        <w:spacing w:after="0" w:line="110" w:lineRule="exact"/>
        <w:rPr>
          <w:sz w:val="20"/>
          <w:szCs w:val="20"/>
          <w:color w:val="auto"/>
        </w:rPr>
      </w:pPr>
    </w:p>
    <w:p>
      <w:pPr>
        <w:ind w:left="340"/>
        <w:spacing w:after="0"/>
        <w:rPr>
          <w:sz w:val="20"/>
          <w:szCs w:val="20"/>
          <w:color w:val="auto"/>
        </w:rPr>
      </w:pPr>
      <w:r>
        <w:rPr>
          <w:rFonts w:ascii="Arial" w:cs="Arial" w:eastAsia="Arial" w:hAnsi="Arial"/>
          <w:sz w:val="15"/>
          <w:szCs w:val="15"/>
          <w:color w:val="auto"/>
        </w:rPr>
        <w:t>Changes in instrument - specific credit risk - market risk benefits</w:t>
      </w:r>
    </w:p>
    <w:p>
      <w:pPr>
        <w:spacing w:after="0" w:line="12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Tax effects of F&amp;G Distribution</w:t>
      </w:r>
    </w:p>
    <w:p>
      <w:pPr>
        <w:spacing w:after="0" w:line="110" w:lineRule="exact"/>
        <w:rPr>
          <w:sz w:val="20"/>
          <w:szCs w:val="20"/>
          <w:color w:val="auto"/>
        </w:rPr>
      </w:pPr>
    </w:p>
    <w:p>
      <w:pPr>
        <w:ind w:left="340"/>
        <w:spacing w:after="0"/>
        <w:rPr>
          <w:sz w:val="20"/>
          <w:szCs w:val="20"/>
          <w:color w:val="auto"/>
        </w:rPr>
      </w:pPr>
      <w:r>
        <w:rPr>
          <w:rFonts w:ascii="Arial" w:cs="Arial" w:eastAsia="Arial" w:hAnsi="Arial"/>
          <w:sz w:val="13"/>
          <w:szCs w:val="13"/>
          <w:color w:val="auto"/>
        </w:rPr>
        <w:t>Other comprehensive earnings attributable to non-controlling interest</w:t>
      </w:r>
    </w:p>
    <w:p>
      <w:pPr>
        <w:spacing w:after="0" w:line="145" w:lineRule="exact"/>
        <w:rPr>
          <w:sz w:val="20"/>
          <w:szCs w:val="20"/>
          <w:color w:val="auto"/>
        </w:rPr>
      </w:pPr>
    </w:p>
    <w:p>
      <w:pPr>
        <w:ind w:left="120"/>
        <w:spacing w:after="0"/>
        <w:rPr>
          <w:sz w:val="20"/>
          <w:szCs w:val="20"/>
          <w:color w:val="auto"/>
        </w:rPr>
      </w:pPr>
      <w:r>
        <w:rPr>
          <w:rFonts w:ascii="Arial" w:cs="Arial" w:eastAsia="Arial" w:hAnsi="Arial"/>
          <w:sz w:val="13"/>
          <w:szCs w:val="13"/>
          <w:color w:val="auto"/>
        </w:rPr>
        <w:t>Total income tax expense allocated to other comprehensive earnings</w:t>
      </w:r>
    </w:p>
    <w:p>
      <w:pPr>
        <w:spacing w:after="0" w:line="14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Total income taxes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5" w:lineRule="exact"/>
        <w:rPr>
          <w:sz w:val="20"/>
          <w:szCs w:val="20"/>
          <w:color w:val="auto"/>
        </w:rPr>
      </w:pPr>
    </w:p>
    <w:p>
      <w:pPr>
        <w:jc w:val="center"/>
        <w:ind w:right="120"/>
        <w:spacing w:after="0"/>
        <w:rPr>
          <w:sz w:val="20"/>
          <w:szCs w:val="20"/>
          <w:color w:val="auto"/>
        </w:rPr>
      </w:pPr>
      <w:r>
        <w:rPr>
          <w:rFonts w:ascii="Arial" w:cs="Arial" w:eastAsia="Arial" w:hAnsi="Arial"/>
          <w:sz w:val="13"/>
          <w:szCs w:val="13"/>
          <w:b w:val="1"/>
          <w:bCs w:val="1"/>
          <w:color w:val="auto"/>
        </w:rPr>
        <w:t>Year Ended December 31,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-33020</wp:posOffset>
                </wp:positionH>
                <wp:positionV relativeFrom="paragraph">
                  <wp:posOffset>46355</wp:posOffset>
                </wp:positionV>
                <wp:extent cx="1184275" cy="0"/>
                <wp:wrapNone/>
                <wp:docPr id="191" name="Shape 19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18427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191" o:spid="_x0000_s121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5999pt,3.65pt" to="90.65pt,3.65pt" o:allowincell="f" strokecolor="#000000" strokeweight="1pt"/>
            </w:pict>
          </mc:Fallback>
        </mc:AlternateContent>
      </w:r>
    </w:p>
    <w:p>
      <w:pPr>
        <w:spacing w:after="0" w:line="80" w:lineRule="exact"/>
        <w:rPr>
          <w:sz w:val="20"/>
          <w:szCs w:val="20"/>
          <w:color w:val="auto"/>
        </w:rPr>
      </w:pPr>
    </w:p>
    <w:p>
      <w:pPr>
        <w:jc w:val="center"/>
        <w:ind w:right="120"/>
        <w:spacing w:after="0"/>
        <w:rPr>
          <w:sz w:val="20"/>
          <w:szCs w:val="20"/>
          <w:color w:val="auto"/>
        </w:rPr>
      </w:pPr>
      <w:r>
        <w:rPr>
          <w:rFonts w:ascii="Arial" w:cs="Arial" w:eastAsia="Arial" w:hAnsi="Arial"/>
          <w:sz w:val="16"/>
          <w:szCs w:val="16"/>
          <w:b w:val="1"/>
          <w:bCs w:val="1"/>
          <w:color w:val="auto"/>
        </w:rPr>
        <w:t>2025</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-33020</wp:posOffset>
                </wp:positionH>
                <wp:positionV relativeFrom="paragraph">
                  <wp:posOffset>24130</wp:posOffset>
                </wp:positionV>
                <wp:extent cx="1184275" cy="0"/>
                <wp:wrapNone/>
                <wp:docPr id="192" name="Shape 19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18427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192" o:spid="_x0000_s121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5999pt,1.9pt" to="90.65pt,1.9pt" o:allowincell="f" strokecolor="#000000" strokeweight="1pt"/>
            </w:pict>
          </mc:Fallback>
        </mc:AlternateContent>
      </w:r>
    </w:p>
    <w:p>
      <w:pPr>
        <w:spacing w:after="0" w:line="46" w:lineRule="exact"/>
        <w:rPr>
          <w:sz w:val="20"/>
          <w:szCs w:val="20"/>
          <w:color w:val="auto"/>
        </w:rPr>
      </w:pPr>
    </w:p>
    <w:p>
      <w:pPr>
        <w:jc w:val="center"/>
        <w:ind w:right="120"/>
        <w:spacing w:after="0"/>
        <w:rPr>
          <w:sz w:val="20"/>
          <w:szCs w:val="20"/>
          <w:color w:val="auto"/>
        </w:rPr>
      </w:pPr>
      <w:r>
        <w:rPr>
          <w:rFonts w:ascii="Arial" w:cs="Arial" w:eastAsia="Arial" w:hAnsi="Arial"/>
          <w:sz w:val="16"/>
          <w:szCs w:val="16"/>
          <w:b w:val="1"/>
          <w:bCs w:val="1"/>
          <w:color w:val="auto"/>
        </w:rPr>
        <w:t>(In millions)</w:t>
      </w:r>
    </w:p>
    <w:p>
      <w:pPr>
        <w:spacing w:after="0" w:line="112" w:lineRule="exact"/>
        <w:rPr>
          <w:sz w:val="20"/>
          <w:szCs w:val="20"/>
          <w:color w:val="auto"/>
        </w:rPr>
      </w:pPr>
    </w:p>
    <w:p>
      <w:pPr>
        <w:spacing w:after="0"/>
        <w:tabs>
          <w:tab w:leader="none" w:pos="150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753</w:t>
      </w:r>
    </w:p>
    <w:p>
      <w:pPr>
        <w:spacing w:after="0" w:line="200" w:lineRule="exact"/>
        <w:rPr>
          <w:sz w:val="20"/>
          <w:szCs w:val="20"/>
          <w:color w:val="auto"/>
        </w:rPr>
      </w:pPr>
    </w:p>
    <w:p>
      <w:pPr>
        <w:spacing w:after="0" w:line="204" w:lineRule="exact"/>
        <w:rPr>
          <w:sz w:val="20"/>
          <w:szCs w:val="20"/>
          <w:color w:val="auto"/>
        </w:rPr>
      </w:pPr>
    </w:p>
    <w:p>
      <w:pPr>
        <w:jc w:val="right"/>
        <w:ind w:right="140"/>
        <w:spacing w:after="0"/>
        <w:rPr>
          <w:sz w:val="20"/>
          <w:szCs w:val="20"/>
          <w:color w:val="auto"/>
        </w:rPr>
      </w:pPr>
      <w:r>
        <w:rPr>
          <w:rFonts w:ascii="Arial" w:cs="Arial" w:eastAsia="Arial" w:hAnsi="Arial"/>
          <w:sz w:val="16"/>
          <w:szCs w:val="16"/>
          <w:color w:val="auto"/>
        </w:rPr>
        <w:t>160</w:t>
      </w:r>
    </w:p>
    <w:p>
      <w:pPr>
        <w:spacing w:after="0" w:line="110" w:lineRule="exact"/>
        <w:rPr>
          <w:sz w:val="20"/>
          <w:szCs w:val="20"/>
          <w:color w:val="auto"/>
        </w:rPr>
      </w:pPr>
    </w:p>
    <w:p>
      <w:pPr>
        <w:jc w:val="right"/>
        <w:ind w:right="140"/>
        <w:spacing w:after="0"/>
        <w:rPr>
          <w:sz w:val="20"/>
          <w:szCs w:val="20"/>
          <w:color w:val="auto"/>
        </w:rPr>
      </w:pPr>
      <w:r>
        <w:rPr>
          <w:rFonts w:ascii="Arial" w:cs="Arial" w:eastAsia="Arial" w:hAnsi="Arial"/>
          <w:sz w:val="16"/>
          <w:szCs w:val="16"/>
          <w:color w:val="auto"/>
        </w:rPr>
        <w:t>4</w:t>
      </w:r>
    </w:p>
    <w:p>
      <w:pPr>
        <w:spacing w:after="0" w:line="110" w:lineRule="exact"/>
        <w:rPr>
          <w:sz w:val="20"/>
          <w:szCs w:val="20"/>
          <w:color w:val="auto"/>
        </w:rPr>
      </w:pPr>
    </w:p>
    <w:p>
      <w:pPr>
        <w:jc w:val="right"/>
        <w:ind w:right="80"/>
        <w:spacing w:after="0"/>
        <w:rPr>
          <w:sz w:val="20"/>
          <w:szCs w:val="20"/>
          <w:color w:val="auto"/>
        </w:rPr>
      </w:pPr>
      <w:r>
        <w:rPr>
          <w:rFonts w:ascii="Arial" w:cs="Arial" w:eastAsia="Arial" w:hAnsi="Arial"/>
          <w:sz w:val="16"/>
          <w:szCs w:val="16"/>
          <w:color w:val="auto"/>
        </w:rPr>
        <w:t>(62)</w:t>
      </w:r>
    </w:p>
    <w:p>
      <w:pPr>
        <w:spacing w:after="0" w:line="110" w:lineRule="exact"/>
        <w:rPr>
          <w:sz w:val="20"/>
          <w:szCs w:val="20"/>
          <w:color w:val="auto"/>
        </w:rPr>
      </w:pPr>
    </w:p>
    <w:p>
      <w:pPr>
        <w:jc w:val="right"/>
        <w:ind w:right="80"/>
        <w:spacing w:after="0"/>
        <w:rPr>
          <w:sz w:val="20"/>
          <w:szCs w:val="20"/>
          <w:color w:val="auto"/>
        </w:rPr>
      </w:pPr>
      <w:r>
        <w:rPr>
          <w:rFonts w:ascii="Arial" w:cs="Arial" w:eastAsia="Arial" w:hAnsi="Arial"/>
          <w:sz w:val="16"/>
          <w:szCs w:val="16"/>
          <w:color w:val="auto"/>
        </w:rPr>
        <w:t>(6)</w:t>
      </w:r>
    </w:p>
    <w:p>
      <w:pPr>
        <w:spacing w:after="0" w:line="110" w:lineRule="exact"/>
        <w:rPr>
          <w:sz w:val="20"/>
          <w:szCs w:val="20"/>
          <w:color w:val="auto"/>
        </w:rPr>
      </w:pPr>
    </w:p>
    <w:p>
      <w:pPr>
        <w:jc w:val="right"/>
        <w:ind w:right="80"/>
        <w:spacing w:after="0"/>
        <w:rPr>
          <w:sz w:val="20"/>
          <w:szCs w:val="20"/>
          <w:color w:val="auto"/>
        </w:rPr>
      </w:pPr>
      <w:r>
        <w:rPr>
          <w:rFonts w:ascii="Arial" w:cs="Arial" w:eastAsia="Arial" w:hAnsi="Arial"/>
          <w:sz w:val="16"/>
          <w:szCs w:val="16"/>
          <w:color w:val="auto"/>
        </w:rPr>
        <w:t>(16)</w:t>
      </w:r>
    </w:p>
    <w:p>
      <w:pPr>
        <w:spacing w:after="0" w:line="110" w:lineRule="exact"/>
        <w:rPr>
          <w:sz w:val="20"/>
          <w:szCs w:val="20"/>
          <w:color w:val="auto"/>
        </w:rPr>
      </w:pPr>
    </w:p>
    <w:p>
      <w:pPr>
        <w:jc w:val="right"/>
        <w:ind w:right="80"/>
        <w:spacing w:after="0"/>
        <w:rPr>
          <w:sz w:val="20"/>
          <w:szCs w:val="20"/>
          <w:color w:val="auto"/>
        </w:rPr>
      </w:pPr>
      <w:r>
        <w:rPr>
          <w:rFonts w:ascii="Arial" w:cs="Arial" w:eastAsia="Arial" w:hAnsi="Arial"/>
          <w:sz w:val="16"/>
          <w:szCs w:val="16"/>
          <w:color w:val="auto"/>
        </w:rPr>
        <w:t>(18)</w:t>
      </w:r>
    </w:p>
    <w:p>
      <w:pPr>
        <w:spacing w:after="0" w:line="110" w:lineRule="exact"/>
        <w:rPr>
          <w:sz w:val="20"/>
          <w:szCs w:val="20"/>
          <w:color w:val="auto"/>
        </w:rPr>
      </w:pPr>
    </w:p>
    <w:p>
      <w:pPr>
        <w:jc w:val="right"/>
        <w:ind w:right="140"/>
        <w:spacing w:after="0"/>
        <w:rPr>
          <w:sz w:val="20"/>
          <w:szCs w:val="20"/>
          <w:color w:val="auto"/>
        </w:rPr>
      </w:pPr>
      <w:r>
        <w:rPr>
          <w:rFonts w:ascii="Arial" w:cs="Arial" w:eastAsia="Arial" w:hAnsi="Arial"/>
          <w:sz w:val="16"/>
          <w:szCs w:val="16"/>
          <w:color w:val="auto"/>
        </w:rPr>
        <w:t>62</w:t>
      </w:r>
    </w:p>
    <w:p>
      <w:pPr>
        <w:spacing w:after="0" w:line="110" w:lineRule="exact"/>
        <w:rPr>
          <w:sz w:val="20"/>
          <w:szCs w:val="20"/>
          <w:color w:val="auto"/>
        </w:rPr>
      </w:pPr>
    </w:p>
    <w:p>
      <w:pPr>
        <w:spacing w:after="0"/>
        <w:tabs>
          <w:tab w:leader="none" w:pos="150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815</w:t>
      </w:r>
    </w:p>
    <w:p>
      <w:pPr>
        <w:spacing w:after="0" w:line="200" w:lineRule="exact"/>
        <w:rPr>
          <w:sz w:val="20"/>
          <w:szCs w:val="20"/>
          <w:color w:val="auto"/>
        </w:rPr>
      </w:pPr>
    </w:p>
    <w:p>
      <w:pPr>
        <w:sectPr>
          <w:pgSz w:w="11880" w:h="15480" w:orient="portrait"/>
          <w:cols w:equalWidth="0" w:num="2">
            <w:col w:w="7440" w:space="720"/>
            <w:col w:w="1880"/>
          </w:cols>
          <w:pgMar w:left="920" w:top="765" w:right="92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174</w:t>
      </w:r>
    </w:p>
    <w:p>
      <w:pPr>
        <w:sectPr>
          <w:pgSz w:w="11880" w:h="15480" w:orient="portrait"/>
          <w:cols w:equalWidth="0" w:num="1">
            <w:col w:w="10040"/>
          </w:cols>
          <w:pgMar w:left="920" w:top="765" w:right="920" w:bottom="0" w:gutter="0" w:footer="0" w:header="0"/>
          <w:type w:val="continuous"/>
        </w:sectPr>
      </w:pPr>
    </w:p>
    <w:bookmarkStart w:id="186" w:name="page187"/>
    <w:bookmarkEnd w:id="186"/>
    <w:tbl>
      <w:tblPr>
        <w:tblLayout w:type="fixed"/>
        <w:tblInd w:w="147" w:type="dxa"/>
        <w:tblCellMar>
          <w:top w:w="0" w:type="dxa"/>
          <w:left w:w="0" w:type="dxa"/>
          <w:bottom w:w="0" w:type="dxa"/>
          <w:right w:w="0" w:type="dxa"/>
        </w:tblCellMar>
      </w:tblPr>
      <w:tr>
        <w:trPr>
          <w:trHeight w:val="213"/>
        </w:trPr>
        <w:tc>
          <w:tcPr>
            <w:tcW w:w="7760" w:type="dxa"/>
            <w:vAlign w:val="bottom"/>
          </w:tcPr>
          <w:p>
            <w:pPr>
              <w:spacing w:after="0"/>
              <w:rPr>
                <w:sz w:val="18"/>
                <w:szCs w:val="18"/>
                <w:color w:val="auto"/>
              </w:rPr>
            </w:pPr>
          </w:p>
        </w:tc>
        <w:tc>
          <w:tcPr>
            <w:tcW w:w="2060" w:type="dxa"/>
            <w:vAlign w:val="bottom"/>
            <w:tcBorders>
              <w:bottom w:val="single" w:sz="8" w:color="auto"/>
            </w:tcBorders>
            <w:gridSpan w:val="5"/>
          </w:tcPr>
          <w:p>
            <w:pPr>
              <w:jc w:val="right"/>
              <w:ind w:right="82"/>
              <w:spacing w:after="0"/>
              <w:rPr>
                <w:sz w:val="20"/>
                <w:szCs w:val="20"/>
                <w:color w:val="auto"/>
              </w:rPr>
            </w:pPr>
            <w:r>
              <w:rPr>
                <w:rFonts w:ascii="Arial" w:cs="Arial" w:eastAsia="Arial" w:hAnsi="Arial"/>
                <w:sz w:val="16"/>
                <w:szCs w:val="16"/>
                <w:b w:val="1"/>
                <w:bCs w:val="1"/>
                <w:color w:val="auto"/>
                <w:w w:val="95"/>
              </w:rPr>
              <w:t>Year Ended December 31,</w:t>
            </w:r>
          </w:p>
        </w:tc>
      </w:tr>
      <w:tr>
        <w:trPr>
          <w:trHeight w:val="230"/>
        </w:trPr>
        <w:tc>
          <w:tcPr>
            <w:tcW w:w="776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2024</w:t>
            </w:r>
          </w:p>
        </w:tc>
        <w:tc>
          <w:tcPr>
            <w:tcW w:w="3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6"/>
                <w:szCs w:val="16"/>
                <w:b w:val="1"/>
                <w:bCs w:val="1"/>
                <w:color w:val="auto"/>
              </w:rPr>
              <w:t>2023</w:t>
            </w:r>
          </w:p>
        </w:tc>
        <w:tc>
          <w:tcPr>
            <w:tcW w:w="320" w:type="dxa"/>
            <w:vAlign w:val="bottom"/>
            <w:tcBorders>
              <w:bottom w:val="single" w:sz="8" w:color="auto"/>
            </w:tcBorders>
          </w:tcPr>
          <w:p>
            <w:pPr>
              <w:spacing w:after="0"/>
              <w:rPr>
                <w:sz w:val="19"/>
                <w:szCs w:val="19"/>
                <w:color w:val="auto"/>
              </w:rPr>
            </w:pPr>
          </w:p>
        </w:tc>
      </w:tr>
      <w:tr>
        <w:trPr>
          <w:trHeight w:val="223"/>
        </w:trPr>
        <w:tc>
          <w:tcPr>
            <w:tcW w:w="7760" w:type="dxa"/>
            <w:vAlign w:val="bottom"/>
          </w:tcPr>
          <w:p>
            <w:pPr>
              <w:spacing w:after="0"/>
              <w:rPr>
                <w:sz w:val="19"/>
                <w:szCs w:val="19"/>
                <w:color w:val="auto"/>
              </w:rPr>
            </w:pPr>
          </w:p>
        </w:tc>
        <w:tc>
          <w:tcPr>
            <w:tcW w:w="1740" w:type="dxa"/>
            <w:vAlign w:val="bottom"/>
            <w:gridSpan w:val="4"/>
          </w:tcPr>
          <w:p>
            <w:pPr>
              <w:jc w:val="right"/>
              <w:ind w:right="300"/>
              <w:spacing w:after="0"/>
              <w:rPr>
                <w:sz w:val="20"/>
                <w:szCs w:val="20"/>
                <w:color w:val="auto"/>
              </w:rPr>
            </w:pPr>
            <w:r>
              <w:rPr>
                <w:rFonts w:ascii="Arial" w:cs="Arial" w:eastAsia="Arial" w:hAnsi="Arial"/>
                <w:sz w:val="16"/>
                <w:szCs w:val="16"/>
                <w:b w:val="1"/>
                <w:bCs w:val="1"/>
                <w:color w:val="auto"/>
              </w:rPr>
              <w:t>(In millions)</w:t>
            </w:r>
          </w:p>
        </w:tc>
        <w:tc>
          <w:tcPr>
            <w:tcW w:w="320" w:type="dxa"/>
            <w:vAlign w:val="bottom"/>
          </w:tcPr>
          <w:p>
            <w:pPr>
              <w:spacing w:after="0"/>
              <w:rPr>
                <w:sz w:val="19"/>
                <w:szCs w:val="19"/>
                <w:color w:val="auto"/>
              </w:rPr>
            </w:pPr>
          </w:p>
        </w:tc>
      </w:tr>
      <w:tr>
        <w:trPr>
          <w:trHeight w:val="294"/>
        </w:trPr>
        <w:tc>
          <w:tcPr>
            <w:tcW w:w="7760" w:type="dxa"/>
            <w:vAlign w:val="bottom"/>
          </w:tcPr>
          <w:p>
            <w:pPr>
              <w:spacing w:after="0"/>
              <w:rPr>
                <w:sz w:val="20"/>
                <w:szCs w:val="20"/>
                <w:color w:val="auto"/>
              </w:rPr>
            </w:pPr>
            <w:r>
              <w:rPr>
                <w:rFonts w:ascii="Arial" w:cs="Arial" w:eastAsia="Arial" w:hAnsi="Arial"/>
                <w:sz w:val="16"/>
                <w:szCs w:val="16"/>
                <w:color w:val="auto"/>
              </w:rPr>
              <w:t>Net earnings from continuing operations</w:t>
            </w:r>
          </w:p>
        </w:tc>
        <w:tc>
          <w:tcPr>
            <w:tcW w:w="680" w:type="dxa"/>
            <w:vAlign w:val="bottom"/>
          </w:tcPr>
          <w:p>
            <w:pPr>
              <w:jc w:val="right"/>
              <w:ind w:right="462"/>
              <w:spacing w:after="0"/>
              <w:rPr>
                <w:sz w:val="20"/>
                <w:szCs w:val="20"/>
                <w:color w:val="auto"/>
              </w:rPr>
            </w:pPr>
            <w:r>
              <w:rPr>
                <w:rFonts w:ascii="Arial" w:cs="Arial" w:eastAsia="Arial" w:hAnsi="Arial"/>
                <w:sz w:val="16"/>
                <w:szCs w:val="16"/>
                <w:color w:val="auto"/>
              </w:rPr>
              <w:t>$</w:t>
            </w:r>
          </w:p>
        </w:tc>
        <w:tc>
          <w:tcPr>
            <w:tcW w:w="320" w:type="dxa"/>
            <w:vAlign w:val="bottom"/>
          </w:tcPr>
          <w:p>
            <w:pPr>
              <w:jc w:val="right"/>
              <w:ind w:right="2"/>
              <w:spacing w:after="0"/>
              <w:rPr>
                <w:sz w:val="20"/>
                <w:szCs w:val="20"/>
                <w:color w:val="auto"/>
              </w:rPr>
            </w:pPr>
            <w:r>
              <w:rPr>
                <w:rFonts w:ascii="Arial" w:cs="Arial" w:eastAsia="Arial" w:hAnsi="Arial"/>
                <w:sz w:val="16"/>
                <w:szCs w:val="16"/>
                <w:color w:val="auto"/>
                <w:w w:val="82"/>
              </w:rPr>
              <w:t>367</w:t>
            </w:r>
          </w:p>
        </w:tc>
        <w:tc>
          <w:tcPr>
            <w:tcW w:w="740" w:type="dxa"/>
            <w:vAlign w:val="bottom"/>
            <w:gridSpan w:val="2"/>
          </w:tcPr>
          <w:p>
            <w:pPr>
              <w:jc w:val="right"/>
              <w:ind w:right="540"/>
              <w:spacing w:after="0"/>
              <w:rPr>
                <w:sz w:val="20"/>
                <w:szCs w:val="20"/>
                <w:color w:val="auto"/>
              </w:rPr>
            </w:pPr>
            <w:r>
              <w:rPr>
                <w:rFonts w:ascii="Arial" w:cs="Arial" w:eastAsia="Arial" w:hAnsi="Arial"/>
                <w:sz w:val="16"/>
                <w:szCs w:val="16"/>
                <w:color w:val="auto"/>
              </w:rPr>
              <w:t>$</w:t>
            </w:r>
          </w:p>
        </w:tc>
        <w:tc>
          <w:tcPr>
            <w:tcW w:w="320" w:type="dxa"/>
            <w:vAlign w:val="bottom"/>
          </w:tcPr>
          <w:p>
            <w:pPr>
              <w:jc w:val="right"/>
              <w:ind w:right="2"/>
              <w:spacing w:after="0"/>
              <w:rPr>
                <w:sz w:val="20"/>
                <w:szCs w:val="20"/>
                <w:color w:val="auto"/>
              </w:rPr>
            </w:pPr>
            <w:r>
              <w:rPr>
                <w:rFonts w:ascii="Arial" w:cs="Arial" w:eastAsia="Arial" w:hAnsi="Arial"/>
                <w:sz w:val="16"/>
                <w:szCs w:val="16"/>
                <w:color w:val="auto"/>
                <w:w w:val="82"/>
              </w:rPr>
              <w:t>192</w:t>
            </w:r>
          </w:p>
        </w:tc>
      </w:tr>
      <w:tr>
        <w:trPr>
          <w:trHeight w:val="294"/>
        </w:trPr>
        <w:tc>
          <w:tcPr>
            <w:tcW w:w="7760" w:type="dxa"/>
            <w:vAlign w:val="bottom"/>
          </w:tcPr>
          <w:p>
            <w:pPr>
              <w:spacing w:after="0"/>
              <w:rPr>
                <w:sz w:val="20"/>
                <w:szCs w:val="20"/>
                <w:color w:val="auto"/>
              </w:rPr>
            </w:pPr>
            <w:r>
              <w:rPr>
                <w:rFonts w:ascii="Arial" w:cs="Arial" w:eastAsia="Arial" w:hAnsi="Arial"/>
                <w:sz w:val="16"/>
                <w:szCs w:val="16"/>
                <w:color w:val="auto"/>
              </w:rPr>
              <w:t>Other comprehensive earnings (loss):</w:t>
            </w:r>
          </w:p>
        </w:tc>
        <w:tc>
          <w:tcPr>
            <w:tcW w:w="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294"/>
        </w:trPr>
        <w:tc>
          <w:tcPr>
            <w:tcW w:w="7760" w:type="dxa"/>
            <w:vAlign w:val="bottom"/>
          </w:tcPr>
          <w:p>
            <w:pPr>
              <w:ind w:left="220"/>
              <w:spacing w:after="0"/>
              <w:rPr>
                <w:sz w:val="20"/>
                <w:szCs w:val="20"/>
                <w:color w:val="auto"/>
              </w:rPr>
            </w:pPr>
            <w:r>
              <w:rPr>
                <w:rFonts w:ascii="Arial" w:cs="Arial" w:eastAsia="Arial" w:hAnsi="Arial"/>
                <w:sz w:val="16"/>
                <w:szCs w:val="16"/>
                <w:color w:val="auto"/>
              </w:rPr>
              <w:t>Unrealized (loss) gain on investments and other financial instruments</w:t>
            </w:r>
          </w:p>
        </w:tc>
        <w:tc>
          <w:tcPr>
            <w:tcW w:w="680" w:type="dxa"/>
            <w:vAlign w:val="bottom"/>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6"/>
                <w:szCs w:val="16"/>
                <w:color w:val="auto"/>
                <w:w w:val="98"/>
              </w:rPr>
              <w:t>(35)</w:t>
            </w: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20" w:type="dxa"/>
            <w:vAlign w:val="bottom"/>
          </w:tcPr>
          <w:p>
            <w:pPr>
              <w:jc w:val="right"/>
              <w:ind w:right="2"/>
              <w:spacing w:after="0"/>
              <w:rPr>
                <w:sz w:val="20"/>
                <w:szCs w:val="20"/>
                <w:color w:val="auto"/>
              </w:rPr>
            </w:pPr>
            <w:r>
              <w:rPr>
                <w:rFonts w:ascii="Arial" w:cs="Arial" w:eastAsia="Arial" w:hAnsi="Arial"/>
                <w:sz w:val="16"/>
                <w:szCs w:val="16"/>
                <w:color w:val="auto"/>
                <w:w w:val="82"/>
              </w:rPr>
              <w:t>275</w:t>
            </w:r>
          </w:p>
        </w:tc>
      </w:tr>
      <w:tr>
        <w:trPr>
          <w:trHeight w:val="294"/>
        </w:trPr>
        <w:tc>
          <w:tcPr>
            <w:tcW w:w="7760" w:type="dxa"/>
            <w:vAlign w:val="bottom"/>
          </w:tcPr>
          <w:p>
            <w:pPr>
              <w:ind w:left="220"/>
              <w:spacing w:after="0"/>
              <w:rPr>
                <w:sz w:val="20"/>
                <w:szCs w:val="20"/>
                <w:color w:val="auto"/>
              </w:rPr>
            </w:pPr>
            <w:r>
              <w:rPr>
                <w:rFonts w:ascii="Arial" w:cs="Arial" w:eastAsia="Arial" w:hAnsi="Arial"/>
                <w:sz w:val="16"/>
                <w:szCs w:val="16"/>
                <w:color w:val="auto"/>
              </w:rPr>
              <w:t>Unrealized (loss) gain on foreign currency translation</w:t>
            </w:r>
          </w:p>
        </w:tc>
        <w:tc>
          <w:tcPr>
            <w:tcW w:w="680" w:type="dxa"/>
            <w:vAlign w:val="bottom"/>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6"/>
                <w:szCs w:val="16"/>
                <w:color w:val="auto"/>
              </w:rPr>
              <w:t>(6)</w:t>
            </w: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20" w:type="dxa"/>
            <w:vAlign w:val="bottom"/>
          </w:tcPr>
          <w:p>
            <w:pPr>
              <w:jc w:val="right"/>
              <w:ind w:right="2"/>
              <w:spacing w:after="0"/>
              <w:rPr>
                <w:sz w:val="20"/>
                <w:szCs w:val="20"/>
                <w:color w:val="auto"/>
              </w:rPr>
            </w:pPr>
            <w:r>
              <w:rPr>
                <w:rFonts w:ascii="Arial" w:cs="Arial" w:eastAsia="Arial" w:hAnsi="Arial"/>
                <w:sz w:val="16"/>
                <w:szCs w:val="16"/>
                <w:color w:val="auto"/>
              </w:rPr>
              <w:t>2</w:t>
            </w:r>
          </w:p>
        </w:tc>
      </w:tr>
      <w:tr>
        <w:trPr>
          <w:trHeight w:val="294"/>
        </w:trPr>
        <w:tc>
          <w:tcPr>
            <w:tcW w:w="7760" w:type="dxa"/>
            <w:vAlign w:val="bottom"/>
          </w:tcPr>
          <w:p>
            <w:pPr>
              <w:ind w:left="220"/>
              <w:spacing w:after="0"/>
              <w:rPr>
                <w:sz w:val="20"/>
                <w:szCs w:val="20"/>
                <w:color w:val="auto"/>
              </w:rPr>
            </w:pPr>
            <w:r>
              <w:rPr>
                <w:rFonts w:ascii="Arial" w:cs="Arial" w:eastAsia="Arial" w:hAnsi="Arial"/>
                <w:sz w:val="16"/>
                <w:szCs w:val="16"/>
                <w:color w:val="auto"/>
              </w:rPr>
              <w:t>Changes in current discount rate - future policy benefits</w:t>
            </w:r>
          </w:p>
        </w:tc>
        <w:tc>
          <w:tcPr>
            <w:tcW w:w="680" w:type="dxa"/>
            <w:vAlign w:val="bottom"/>
          </w:tcPr>
          <w:p>
            <w:pPr>
              <w:spacing w:after="0"/>
              <w:rPr>
                <w:sz w:val="24"/>
                <w:szCs w:val="24"/>
                <w:color w:val="auto"/>
              </w:rPr>
            </w:pPr>
          </w:p>
        </w:tc>
        <w:tc>
          <w:tcPr>
            <w:tcW w:w="320" w:type="dxa"/>
            <w:vAlign w:val="bottom"/>
          </w:tcPr>
          <w:p>
            <w:pPr>
              <w:jc w:val="right"/>
              <w:ind w:right="2"/>
              <w:spacing w:after="0"/>
              <w:rPr>
                <w:sz w:val="20"/>
                <w:szCs w:val="20"/>
                <w:color w:val="auto"/>
              </w:rPr>
            </w:pPr>
            <w:r>
              <w:rPr>
                <w:rFonts w:ascii="Arial" w:cs="Arial" w:eastAsia="Arial" w:hAnsi="Arial"/>
                <w:sz w:val="16"/>
                <w:szCs w:val="16"/>
                <w:color w:val="auto"/>
              </w:rPr>
              <w:t>59</w:t>
            </w: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6"/>
                <w:szCs w:val="16"/>
                <w:color w:val="auto"/>
                <w:w w:val="98"/>
              </w:rPr>
              <w:t>(50)</w:t>
            </w:r>
          </w:p>
        </w:tc>
      </w:tr>
      <w:tr>
        <w:trPr>
          <w:trHeight w:val="294"/>
        </w:trPr>
        <w:tc>
          <w:tcPr>
            <w:tcW w:w="7760" w:type="dxa"/>
            <w:vAlign w:val="bottom"/>
          </w:tcPr>
          <w:p>
            <w:pPr>
              <w:ind w:left="220"/>
              <w:spacing w:after="0"/>
              <w:rPr>
                <w:sz w:val="20"/>
                <w:szCs w:val="20"/>
                <w:color w:val="auto"/>
              </w:rPr>
            </w:pPr>
            <w:r>
              <w:rPr>
                <w:rFonts w:ascii="Arial" w:cs="Arial" w:eastAsia="Arial" w:hAnsi="Arial"/>
                <w:sz w:val="16"/>
                <w:szCs w:val="16"/>
                <w:color w:val="auto"/>
              </w:rPr>
              <w:t>Changes in instrument - specific credit risk - market risk benefits</w:t>
            </w:r>
          </w:p>
        </w:tc>
        <w:tc>
          <w:tcPr>
            <w:tcW w:w="680" w:type="dxa"/>
            <w:vAlign w:val="bottom"/>
          </w:tcPr>
          <w:p>
            <w:pPr>
              <w:spacing w:after="0"/>
              <w:rPr>
                <w:sz w:val="24"/>
                <w:szCs w:val="24"/>
                <w:color w:val="auto"/>
              </w:rPr>
            </w:pPr>
          </w:p>
        </w:tc>
        <w:tc>
          <w:tcPr>
            <w:tcW w:w="320" w:type="dxa"/>
            <w:vAlign w:val="bottom"/>
          </w:tcPr>
          <w:p>
            <w:pPr>
              <w:jc w:val="right"/>
              <w:ind w:right="2"/>
              <w:spacing w:after="0"/>
              <w:rPr>
                <w:sz w:val="20"/>
                <w:szCs w:val="20"/>
                <w:color w:val="auto"/>
              </w:rPr>
            </w:pPr>
            <w:r>
              <w:rPr>
                <w:rFonts w:ascii="Arial" w:cs="Arial" w:eastAsia="Arial" w:hAnsi="Arial"/>
                <w:sz w:val="16"/>
                <w:szCs w:val="16"/>
                <w:color w:val="auto"/>
              </w:rPr>
              <w:t>1</w:t>
            </w: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6"/>
                <w:szCs w:val="16"/>
                <w:color w:val="auto"/>
              </w:rPr>
              <w:t>(9)</w:t>
            </w:r>
          </w:p>
        </w:tc>
      </w:tr>
      <w:tr>
        <w:trPr>
          <w:trHeight w:val="294"/>
        </w:trPr>
        <w:tc>
          <w:tcPr>
            <w:tcW w:w="7760" w:type="dxa"/>
            <w:vAlign w:val="bottom"/>
          </w:tcPr>
          <w:p>
            <w:pPr>
              <w:ind w:left="220"/>
              <w:spacing w:after="0"/>
              <w:rPr>
                <w:sz w:val="20"/>
                <w:szCs w:val="20"/>
                <w:color w:val="auto"/>
              </w:rPr>
            </w:pPr>
            <w:r>
              <w:rPr>
                <w:rFonts w:ascii="Arial" w:cs="Arial" w:eastAsia="Arial" w:hAnsi="Arial"/>
                <w:sz w:val="16"/>
                <w:szCs w:val="16"/>
                <w:color w:val="auto"/>
              </w:rPr>
              <w:t>F&amp;G 15% Distribution</w:t>
            </w:r>
          </w:p>
        </w:tc>
        <w:tc>
          <w:tcPr>
            <w:tcW w:w="680" w:type="dxa"/>
            <w:vAlign w:val="bottom"/>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6"/>
                <w:szCs w:val="16"/>
                <w:color w:val="auto"/>
              </w:rPr>
              <w:t>(3)</w:t>
            </w: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6"/>
                <w:szCs w:val="16"/>
                <w:color w:val="auto"/>
                <w:w w:val="98"/>
              </w:rPr>
              <w:t>(35)</w:t>
            </w:r>
          </w:p>
        </w:tc>
      </w:tr>
      <w:tr>
        <w:trPr>
          <w:trHeight w:val="301"/>
        </w:trPr>
        <w:tc>
          <w:tcPr>
            <w:tcW w:w="7760" w:type="dxa"/>
            <w:vAlign w:val="bottom"/>
          </w:tcPr>
          <w:p>
            <w:pPr>
              <w:spacing w:after="0"/>
              <w:rPr>
                <w:sz w:val="20"/>
                <w:szCs w:val="20"/>
                <w:color w:val="auto"/>
              </w:rPr>
            </w:pPr>
            <w:r>
              <w:rPr>
                <w:rFonts w:ascii="Arial" w:cs="Arial" w:eastAsia="Arial" w:hAnsi="Arial"/>
                <w:sz w:val="16"/>
                <w:szCs w:val="16"/>
                <w:color w:val="auto"/>
              </w:rPr>
              <w:t>Total income tax expense) allocated to other comprehensive earnings</w:t>
            </w:r>
          </w:p>
        </w:tc>
        <w:tc>
          <w:tcPr>
            <w:tcW w:w="6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16</w:t>
            </w:r>
          </w:p>
        </w:tc>
        <w:tc>
          <w:tcPr>
            <w:tcW w:w="60" w:type="dxa"/>
            <w:vAlign w:val="bottom"/>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w w:val="82"/>
              </w:rPr>
              <w:t>183</w:t>
            </w:r>
          </w:p>
        </w:tc>
      </w:tr>
      <w:tr>
        <w:trPr>
          <w:trHeight w:val="254"/>
        </w:trPr>
        <w:tc>
          <w:tcPr>
            <w:tcW w:w="7760" w:type="dxa"/>
            <w:vAlign w:val="bottom"/>
          </w:tcPr>
          <w:p>
            <w:pPr>
              <w:spacing w:after="0"/>
              <w:rPr>
                <w:sz w:val="20"/>
                <w:szCs w:val="20"/>
                <w:color w:val="auto"/>
              </w:rPr>
            </w:pPr>
            <w:r>
              <w:rPr>
                <w:rFonts w:ascii="Arial" w:cs="Arial" w:eastAsia="Arial" w:hAnsi="Arial"/>
                <w:sz w:val="16"/>
                <w:szCs w:val="16"/>
                <w:color w:val="auto"/>
              </w:rPr>
              <w:t>Total income tax expense</w:t>
            </w:r>
          </w:p>
        </w:tc>
        <w:tc>
          <w:tcPr>
            <w:tcW w:w="680" w:type="dxa"/>
            <w:vAlign w:val="bottom"/>
          </w:tcPr>
          <w:p>
            <w:pPr>
              <w:jc w:val="right"/>
              <w:ind w:right="462"/>
              <w:spacing w:after="0"/>
              <w:rPr>
                <w:sz w:val="20"/>
                <w:szCs w:val="20"/>
                <w:color w:val="auto"/>
              </w:rPr>
            </w:pPr>
            <w:r>
              <w:rPr>
                <w:rFonts w:ascii="Arial" w:cs="Arial" w:eastAsia="Arial" w:hAnsi="Arial"/>
                <w:sz w:val="16"/>
                <w:szCs w:val="16"/>
                <w:color w:val="auto"/>
              </w:rPr>
              <w:t>$</w:t>
            </w:r>
          </w:p>
        </w:tc>
        <w:tc>
          <w:tcPr>
            <w:tcW w:w="320" w:type="dxa"/>
            <w:vAlign w:val="bottom"/>
          </w:tcPr>
          <w:p>
            <w:pPr>
              <w:jc w:val="right"/>
              <w:ind w:right="2"/>
              <w:spacing w:after="0"/>
              <w:rPr>
                <w:sz w:val="20"/>
                <w:szCs w:val="20"/>
                <w:color w:val="auto"/>
              </w:rPr>
            </w:pPr>
            <w:r>
              <w:rPr>
                <w:rFonts w:ascii="Arial" w:cs="Arial" w:eastAsia="Arial" w:hAnsi="Arial"/>
                <w:sz w:val="16"/>
                <w:szCs w:val="16"/>
                <w:color w:val="auto"/>
                <w:w w:val="82"/>
              </w:rPr>
              <w:t>383</w:t>
            </w:r>
          </w:p>
        </w:tc>
        <w:tc>
          <w:tcPr>
            <w:tcW w:w="740" w:type="dxa"/>
            <w:vAlign w:val="bottom"/>
            <w:gridSpan w:val="2"/>
          </w:tcPr>
          <w:p>
            <w:pPr>
              <w:jc w:val="right"/>
              <w:ind w:right="540"/>
              <w:spacing w:after="0"/>
              <w:rPr>
                <w:sz w:val="20"/>
                <w:szCs w:val="20"/>
                <w:color w:val="auto"/>
              </w:rPr>
            </w:pPr>
            <w:r>
              <w:rPr>
                <w:rFonts w:ascii="Arial" w:cs="Arial" w:eastAsia="Arial" w:hAnsi="Arial"/>
                <w:sz w:val="16"/>
                <w:szCs w:val="16"/>
                <w:color w:val="auto"/>
              </w:rPr>
              <w:t>$</w:t>
            </w:r>
          </w:p>
        </w:tc>
        <w:tc>
          <w:tcPr>
            <w:tcW w:w="320" w:type="dxa"/>
            <w:vAlign w:val="bottom"/>
          </w:tcPr>
          <w:p>
            <w:pPr>
              <w:jc w:val="right"/>
              <w:ind w:right="2"/>
              <w:spacing w:after="0"/>
              <w:rPr>
                <w:sz w:val="20"/>
                <w:szCs w:val="20"/>
                <w:color w:val="auto"/>
              </w:rPr>
            </w:pPr>
            <w:r>
              <w:rPr>
                <w:rFonts w:ascii="Arial" w:cs="Arial" w:eastAsia="Arial" w:hAnsi="Arial"/>
                <w:sz w:val="16"/>
                <w:szCs w:val="16"/>
                <w:color w:val="auto"/>
                <w:w w:val="82"/>
              </w:rPr>
              <w:t>375</w:t>
            </w:r>
          </w:p>
        </w:tc>
      </w:tr>
      <w:tr>
        <w:trPr>
          <w:trHeight w:val="20"/>
        </w:trPr>
        <w:tc>
          <w:tcPr>
            <w:tcW w:w="77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-1870075</wp:posOffset>
            </wp:positionV>
            <wp:extent cx="6289040" cy="187706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151">
                      <a:extLst>
                        <a:ext uri="{28A0092B-C50C-407E-A947-70E740481C1C}"/>
                      </a:extLst>
                    </a:blip>
                    <a:srcRect/>
                    <a:stretch>
                      <a:fillRect/>
                    </a:stretch>
                  </pic:blipFill>
                  <pic:spPr bwMode="auto">
                    <a:xfrm>
                      <a:off x="0" y="0"/>
                      <a:ext cx="6289040" cy="1877060"/>
                    </a:xfrm>
                    <a:prstGeom prst="rect">
                      <a:avLst/>
                    </a:prstGeom>
                    <a:noFill/>
                  </pic:spPr>
                </pic:pic>
              </a:graphicData>
            </a:graphic>
          </wp:anchor>
        </w:drawing>
      </w:r>
    </w:p>
    <w:p>
      <w:pPr>
        <w:spacing w:after="0" w:line="262" w:lineRule="exact"/>
        <w:rPr>
          <w:sz w:val="20"/>
          <w:szCs w:val="20"/>
          <w:color w:val="auto"/>
        </w:rPr>
      </w:pPr>
    </w:p>
    <w:p>
      <w:pPr>
        <w:ind w:left="7"/>
        <w:spacing w:after="0"/>
        <w:rPr>
          <w:sz w:val="20"/>
          <w:szCs w:val="20"/>
          <w:color w:val="auto"/>
        </w:rPr>
      </w:pPr>
      <w:r>
        <w:rPr>
          <w:rFonts w:ascii="Arial" w:cs="Arial" w:eastAsia="Arial" w:hAnsi="Arial"/>
          <w:sz w:val="20"/>
          <w:szCs w:val="20"/>
          <w:color w:val="auto"/>
        </w:rPr>
        <w:t>A reconciliation of the federal statutory rate to our effective tax rate is as follows:</w:t>
      </w:r>
    </w:p>
    <w:p>
      <w:pPr>
        <w:spacing w:after="0" w:line="93" w:lineRule="exact"/>
        <w:rPr>
          <w:sz w:val="20"/>
          <w:szCs w:val="20"/>
          <w:color w:val="auto"/>
        </w:rPr>
      </w:pPr>
    </w:p>
    <w:tbl>
      <w:tblPr>
        <w:tblLayout w:type="fixed"/>
        <w:tblInd w:w="87" w:type="dxa"/>
        <w:tblCellMar>
          <w:top w:w="0" w:type="dxa"/>
          <w:left w:w="0" w:type="dxa"/>
          <w:bottom w:w="0" w:type="dxa"/>
          <w:right w:w="0" w:type="dxa"/>
        </w:tblCellMar>
      </w:tblPr>
      <w:tr>
        <w:trPr>
          <w:trHeight w:val="184"/>
        </w:trPr>
        <w:tc>
          <w:tcPr>
            <w:tcW w:w="7880" w:type="dxa"/>
            <w:vAlign w:val="bottom"/>
          </w:tcPr>
          <w:p>
            <w:pPr>
              <w:spacing w:after="0"/>
              <w:rPr>
                <w:sz w:val="16"/>
                <w:szCs w:val="16"/>
                <w:color w:val="auto"/>
              </w:rPr>
            </w:pPr>
          </w:p>
        </w:tc>
        <w:tc>
          <w:tcPr>
            <w:tcW w:w="2060" w:type="dxa"/>
            <w:vAlign w:val="bottom"/>
            <w:gridSpan w:val="5"/>
          </w:tcPr>
          <w:p>
            <w:pPr>
              <w:jc w:val="right"/>
              <w:ind w:right="82"/>
              <w:spacing w:after="0"/>
              <w:rPr>
                <w:sz w:val="20"/>
                <w:szCs w:val="20"/>
                <w:color w:val="auto"/>
              </w:rPr>
            </w:pPr>
            <w:r>
              <w:rPr>
                <w:rFonts w:ascii="Arial" w:cs="Arial" w:eastAsia="Arial" w:hAnsi="Arial"/>
                <w:sz w:val="16"/>
                <w:szCs w:val="16"/>
                <w:b w:val="1"/>
                <w:bCs w:val="1"/>
                <w:color w:val="auto"/>
                <w:w w:val="95"/>
              </w:rPr>
              <w:t>Year Ended December 31,</w:t>
            </w:r>
          </w:p>
        </w:tc>
      </w:tr>
      <w:tr>
        <w:trPr>
          <w:trHeight w:val="210"/>
        </w:trPr>
        <w:tc>
          <w:tcPr>
            <w:tcW w:w="7880" w:type="dxa"/>
            <w:vAlign w:val="bottom"/>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gridSpan w:val="3"/>
          </w:tcPr>
          <w:p>
            <w:pPr>
              <w:jc w:val="right"/>
              <w:ind w:right="142"/>
              <w:spacing w:after="0"/>
              <w:rPr>
                <w:sz w:val="20"/>
                <w:szCs w:val="20"/>
                <w:color w:val="auto"/>
              </w:rPr>
            </w:pPr>
            <w:r>
              <w:rPr>
                <w:rFonts w:ascii="Arial" w:cs="Arial" w:eastAsia="Arial" w:hAnsi="Arial"/>
                <w:sz w:val="16"/>
                <w:szCs w:val="16"/>
                <w:b w:val="1"/>
                <w:bCs w:val="1"/>
                <w:color w:val="auto"/>
                <w:w w:val="89"/>
              </w:rPr>
              <w:t>2025</w:t>
            </w:r>
          </w:p>
        </w:tc>
        <w:tc>
          <w:tcPr>
            <w:tcW w:w="660" w:type="dxa"/>
            <w:vAlign w:val="bottom"/>
            <w:tcBorders>
              <w:bottom w:val="single" w:sz="8" w:color="auto"/>
            </w:tcBorders>
          </w:tcPr>
          <w:p>
            <w:pPr>
              <w:spacing w:after="0"/>
              <w:rPr>
                <w:sz w:val="18"/>
                <w:szCs w:val="18"/>
                <w:color w:val="auto"/>
              </w:rPr>
            </w:pPr>
          </w:p>
        </w:tc>
      </w:tr>
      <w:tr>
        <w:trPr>
          <w:trHeight w:val="223"/>
        </w:trPr>
        <w:tc>
          <w:tcPr>
            <w:tcW w:w="78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0" w:type="dxa"/>
            <w:vAlign w:val="bottom"/>
            <w:gridSpan w:val="2"/>
          </w:tcPr>
          <w:p>
            <w:pPr>
              <w:jc w:val="right"/>
              <w:ind w:right="22"/>
              <w:spacing w:after="0"/>
              <w:rPr>
                <w:sz w:val="20"/>
                <w:szCs w:val="20"/>
                <w:color w:val="auto"/>
              </w:rPr>
            </w:pPr>
            <w:r>
              <w:rPr>
                <w:rFonts w:ascii="Arial" w:cs="Arial" w:eastAsia="Arial" w:hAnsi="Arial"/>
                <w:sz w:val="16"/>
                <w:szCs w:val="16"/>
                <w:b w:val="1"/>
                <w:bCs w:val="1"/>
                <w:color w:val="auto"/>
                <w:w w:val="97"/>
              </w:rPr>
              <w:t>(In millions)</w:t>
            </w:r>
          </w:p>
        </w:tc>
      </w:tr>
      <w:tr>
        <w:trPr>
          <w:trHeight w:val="294"/>
        </w:trPr>
        <w:tc>
          <w:tcPr>
            <w:tcW w:w="7880" w:type="dxa"/>
            <w:vAlign w:val="bottom"/>
          </w:tcPr>
          <w:p>
            <w:pPr>
              <w:spacing w:after="0"/>
              <w:rPr>
                <w:sz w:val="20"/>
                <w:szCs w:val="20"/>
                <w:color w:val="auto"/>
              </w:rPr>
            </w:pPr>
            <w:r>
              <w:rPr>
                <w:rFonts w:ascii="Arial" w:cs="Arial" w:eastAsia="Arial" w:hAnsi="Arial"/>
                <w:sz w:val="16"/>
                <w:szCs w:val="16"/>
                <w:color w:val="auto"/>
              </w:rPr>
              <w:t>Federal statutory rate</w:t>
            </w:r>
          </w:p>
        </w:tc>
        <w:tc>
          <w:tcPr>
            <w:tcW w:w="840" w:type="dxa"/>
            <w:vAlign w:val="bottom"/>
          </w:tcPr>
          <w:p>
            <w:pPr>
              <w:jc w:val="right"/>
              <w:spacing w:after="0"/>
              <w:rPr>
                <w:sz w:val="20"/>
                <w:szCs w:val="20"/>
                <w:color w:val="auto"/>
              </w:rPr>
            </w:pPr>
            <w:r>
              <w:rPr>
                <w:rFonts w:ascii="Arial" w:cs="Arial" w:eastAsia="Arial" w:hAnsi="Arial"/>
                <w:sz w:val="16"/>
                <w:szCs w:val="16"/>
                <w:color w:val="auto"/>
              </w:rPr>
              <w:t>21.0</w:t>
            </w:r>
          </w:p>
        </w:tc>
        <w:tc>
          <w:tcPr>
            <w:tcW w:w="160" w:type="dxa"/>
            <w:vAlign w:val="bottom"/>
          </w:tcPr>
          <w:p>
            <w:pPr>
              <w:jc w:val="right"/>
              <w:spacing w:after="0"/>
              <w:rPr>
                <w:sz w:val="20"/>
                <w:szCs w:val="20"/>
                <w:color w:val="auto"/>
              </w:rPr>
            </w:pPr>
            <w:r>
              <w:rPr>
                <w:rFonts w:ascii="Arial" w:cs="Arial" w:eastAsia="Arial" w:hAnsi="Arial"/>
                <w:sz w:val="16"/>
                <w:szCs w:val="16"/>
                <w:color w:val="auto"/>
                <w:w w:val="84"/>
              </w:rPr>
              <w:t>%</w:t>
            </w:r>
          </w:p>
        </w:tc>
        <w:tc>
          <w:tcPr>
            <w:tcW w:w="400" w:type="dxa"/>
            <w:vAlign w:val="bottom"/>
            <w:gridSpan w:val="2"/>
          </w:tcPr>
          <w:p>
            <w:pPr>
              <w:jc w:val="right"/>
              <w:ind w:right="122"/>
              <w:spacing w:after="0"/>
              <w:rPr>
                <w:sz w:val="20"/>
                <w:szCs w:val="20"/>
                <w:color w:val="auto"/>
              </w:rPr>
            </w:pPr>
            <w:r>
              <w:rPr>
                <w:rFonts w:ascii="Arial" w:cs="Arial" w:eastAsia="Arial" w:hAnsi="Arial"/>
                <w:sz w:val="16"/>
                <w:szCs w:val="16"/>
                <w:color w:val="auto"/>
              </w:rPr>
              <w:t>$</w:t>
            </w:r>
          </w:p>
        </w:tc>
        <w:tc>
          <w:tcPr>
            <w:tcW w:w="660" w:type="dxa"/>
            <w:vAlign w:val="bottom"/>
          </w:tcPr>
          <w:p>
            <w:pPr>
              <w:jc w:val="right"/>
              <w:ind w:right="122"/>
              <w:spacing w:after="0"/>
              <w:rPr>
                <w:sz w:val="20"/>
                <w:szCs w:val="20"/>
                <w:color w:val="auto"/>
              </w:rPr>
            </w:pPr>
            <w:r>
              <w:rPr>
                <w:rFonts w:ascii="Arial" w:cs="Arial" w:eastAsia="Arial" w:hAnsi="Arial"/>
                <w:sz w:val="16"/>
                <w:szCs w:val="16"/>
                <w:color w:val="auto"/>
              </w:rPr>
              <w:t>293</w:t>
            </w:r>
          </w:p>
        </w:tc>
      </w:tr>
      <w:tr>
        <w:trPr>
          <w:trHeight w:val="294"/>
        </w:trPr>
        <w:tc>
          <w:tcPr>
            <w:tcW w:w="7880" w:type="dxa"/>
            <w:vAlign w:val="bottom"/>
          </w:tcPr>
          <w:p>
            <w:pPr>
              <w:spacing w:after="0"/>
              <w:rPr>
                <w:sz w:val="20"/>
                <w:szCs w:val="20"/>
                <w:color w:val="auto"/>
              </w:rPr>
            </w:pPr>
            <w:r>
              <w:rPr>
                <w:rFonts w:ascii="Arial" w:cs="Arial" w:eastAsia="Arial" w:hAnsi="Arial"/>
                <w:sz w:val="16"/>
                <w:szCs w:val="16"/>
                <w:color w:val="auto"/>
              </w:rPr>
              <w:t>State income taxes, net of federal income tax effect (1)</w:t>
            </w:r>
          </w:p>
        </w:tc>
        <w:tc>
          <w:tcPr>
            <w:tcW w:w="840" w:type="dxa"/>
            <w:vAlign w:val="bottom"/>
          </w:tcPr>
          <w:p>
            <w:pPr>
              <w:jc w:val="right"/>
              <w:spacing w:after="0"/>
              <w:rPr>
                <w:sz w:val="20"/>
                <w:szCs w:val="20"/>
                <w:color w:val="auto"/>
              </w:rPr>
            </w:pPr>
            <w:r>
              <w:rPr>
                <w:rFonts w:ascii="Arial" w:cs="Arial" w:eastAsia="Arial" w:hAnsi="Arial"/>
                <w:sz w:val="16"/>
                <w:szCs w:val="16"/>
                <w:color w:val="auto"/>
              </w:rPr>
              <w:t>1.9</w:t>
            </w: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Pr>
          <w:p>
            <w:pPr>
              <w:jc w:val="right"/>
              <w:ind w:right="122"/>
              <w:spacing w:after="0"/>
              <w:rPr>
                <w:sz w:val="20"/>
                <w:szCs w:val="20"/>
                <w:color w:val="auto"/>
              </w:rPr>
            </w:pPr>
            <w:r>
              <w:rPr>
                <w:rFonts w:ascii="Arial" w:cs="Arial" w:eastAsia="Arial" w:hAnsi="Arial"/>
                <w:sz w:val="16"/>
                <w:szCs w:val="16"/>
                <w:color w:val="auto"/>
              </w:rPr>
              <w:t>26</w:t>
            </w:r>
          </w:p>
        </w:tc>
      </w:tr>
      <w:tr>
        <w:trPr>
          <w:trHeight w:val="294"/>
        </w:trPr>
        <w:tc>
          <w:tcPr>
            <w:tcW w:w="7880" w:type="dxa"/>
            <w:vAlign w:val="bottom"/>
          </w:tcPr>
          <w:p>
            <w:pPr>
              <w:spacing w:after="0"/>
              <w:rPr>
                <w:sz w:val="20"/>
                <w:szCs w:val="20"/>
                <w:color w:val="auto"/>
              </w:rPr>
            </w:pPr>
            <w:r>
              <w:rPr>
                <w:rFonts w:ascii="Arial" w:cs="Arial" w:eastAsia="Arial" w:hAnsi="Arial"/>
                <w:sz w:val="16"/>
                <w:szCs w:val="16"/>
                <w:color w:val="auto"/>
              </w:rPr>
              <w:t>Tax credits</w:t>
            </w:r>
          </w:p>
        </w:tc>
        <w:tc>
          <w:tcPr>
            <w:tcW w:w="840" w:type="dxa"/>
            <w:vAlign w:val="bottom"/>
          </w:tcPr>
          <w:p>
            <w:pPr>
              <w:jc w:val="right"/>
              <w:spacing w:after="0"/>
              <w:rPr>
                <w:sz w:val="20"/>
                <w:szCs w:val="20"/>
                <w:color w:val="auto"/>
              </w:rPr>
            </w:pPr>
            <w:r>
              <w:rPr>
                <w:rFonts w:ascii="Arial" w:cs="Arial" w:eastAsia="Arial" w:hAnsi="Arial"/>
                <w:sz w:val="16"/>
                <w:szCs w:val="16"/>
                <w:color w:val="auto"/>
              </w:rPr>
              <w:t>(0.6)</w:t>
            </w: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Pr>
          <w:p>
            <w:pPr>
              <w:jc w:val="right"/>
              <w:ind w:right="82"/>
              <w:spacing w:after="0"/>
              <w:rPr>
                <w:sz w:val="20"/>
                <w:szCs w:val="20"/>
                <w:color w:val="auto"/>
              </w:rPr>
            </w:pPr>
            <w:r>
              <w:rPr>
                <w:rFonts w:ascii="Arial" w:cs="Arial" w:eastAsia="Arial" w:hAnsi="Arial"/>
                <w:sz w:val="16"/>
                <w:szCs w:val="16"/>
                <w:color w:val="auto"/>
              </w:rPr>
              <w:t>(8)</w:t>
            </w:r>
          </w:p>
        </w:tc>
      </w:tr>
      <w:tr>
        <w:trPr>
          <w:trHeight w:val="294"/>
        </w:trPr>
        <w:tc>
          <w:tcPr>
            <w:tcW w:w="7880" w:type="dxa"/>
            <w:vAlign w:val="bottom"/>
          </w:tcPr>
          <w:p>
            <w:pPr>
              <w:spacing w:after="0"/>
              <w:rPr>
                <w:sz w:val="20"/>
                <w:szCs w:val="20"/>
                <w:color w:val="auto"/>
              </w:rPr>
            </w:pPr>
            <w:r>
              <w:rPr>
                <w:rFonts w:ascii="Arial" w:cs="Arial" w:eastAsia="Arial" w:hAnsi="Arial"/>
                <w:sz w:val="16"/>
                <w:szCs w:val="16"/>
                <w:color w:val="auto"/>
              </w:rPr>
              <w:t>Changes in valuation allowances</w:t>
            </w:r>
          </w:p>
        </w:tc>
        <w:tc>
          <w:tcPr>
            <w:tcW w:w="840" w:type="dxa"/>
            <w:vAlign w:val="bottom"/>
          </w:tcPr>
          <w:p>
            <w:pPr>
              <w:jc w:val="right"/>
              <w:spacing w:after="0"/>
              <w:rPr>
                <w:sz w:val="20"/>
                <w:szCs w:val="20"/>
                <w:color w:val="auto"/>
              </w:rPr>
            </w:pPr>
            <w:r>
              <w:rPr>
                <w:rFonts w:ascii="Arial" w:cs="Arial" w:eastAsia="Arial" w:hAnsi="Arial"/>
                <w:sz w:val="16"/>
                <w:szCs w:val="16"/>
                <w:color w:val="auto"/>
              </w:rPr>
              <w:t>(2.0)</w:t>
            </w: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Pr>
          <w:p>
            <w:pPr>
              <w:jc w:val="right"/>
              <w:ind w:right="82"/>
              <w:spacing w:after="0"/>
              <w:rPr>
                <w:sz w:val="20"/>
                <w:szCs w:val="20"/>
                <w:color w:val="auto"/>
              </w:rPr>
            </w:pPr>
            <w:r>
              <w:rPr>
                <w:rFonts w:ascii="Arial" w:cs="Arial" w:eastAsia="Arial" w:hAnsi="Arial"/>
                <w:sz w:val="16"/>
                <w:szCs w:val="16"/>
                <w:color w:val="auto"/>
              </w:rPr>
              <w:t>(28)</w:t>
            </w:r>
          </w:p>
        </w:tc>
      </w:tr>
      <w:tr>
        <w:trPr>
          <w:trHeight w:val="294"/>
        </w:trPr>
        <w:tc>
          <w:tcPr>
            <w:tcW w:w="7880" w:type="dxa"/>
            <w:vAlign w:val="bottom"/>
          </w:tcPr>
          <w:p>
            <w:pPr>
              <w:spacing w:after="0"/>
              <w:rPr>
                <w:sz w:val="20"/>
                <w:szCs w:val="20"/>
                <w:color w:val="auto"/>
              </w:rPr>
            </w:pPr>
            <w:r>
              <w:rPr>
                <w:rFonts w:ascii="Arial" w:cs="Arial" w:eastAsia="Arial" w:hAnsi="Arial"/>
                <w:sz w:val="16"/>
                <w:szCs w:val="16"/>
                <w:color w:val="auto"/>
              </w:rPr>
              <w:t>Outside basis difference in F&amp;G (2)</w:t>
            </w:r>
          </w:p>
        </w:tc>
        <w:tc>
          <w:tcPr>
            <w:tcW w:w="840" w:type="dxa"/>
            <w:vAlign w:val="bottom"/>
          </w:tcPr>
          <w:p>
            <w:pPr>
              <w:jc w:val="right"/>
              <w:spacing w:after="0"/>
              <w:rPr>
                <w:sz w:val="20"/>
                <w:szCs w:val="20"/>
                <w:color w:val="auto"/>
              </w:rPr>
            </w:pPr>
            <w:r>
              <w:rPr>
                <w:rFonts w:ascii="Arial" w:cs="Arial" w:eastAsia="Arial" w:hAnsi="Arial"/>
                <w:sz w:val="16"/>
                <w:szCs w:val="16"/>
                <w:color w:val="auto"/>
              </w:rPr>
              <w:t>33.7</w:t>
            </w: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Pr>
          <w:p>
            <w:pPr>
              <w:jc w:val="right"/>
              <w:ind w:right="122"/>
              <w:spacing w:after="0"/>
              <w:rPr>
                <w:sz w:val="20"/>
                <w:szCs w:val="20"/>
                <w:color w:val="auto"/>
              </w:rPr>
            </w:pPr>
            <w:r>
              <w:rPr>
                <w:rFonts w:ascii="Arial" w:cs="Arial" w:eastAsia="Arial" w:hAnsi="Arial"/>
                <w:sz w:val="16"/>
                <w:szCs w:val="16"/>
                <w:color w:val="auto"/>
              </w:rPr>
              <w:t>471</w:t>
            </w:r>
          </w:p>
        </w:tc>
      </w:tr>
      <w:tr>
        <w:trPr>
          <w:trHeight w:val="301"/>
        </w:trPr>
        <w:tc>
          <w:tcPr>
            <w:tcW w:w="7880" w:type="dxa"/>
            <w:vAlign w:val="bottom"/>
          </w:tcPr>
          <w:p>
            <w:pPr>
              <w:spacing w:after="0"/>
              <w:rPr>
                <w:sz w:val="20"/>
                <w:szCs w:val="20"/>
                <w:color w:val="auto"/>
              </w:rPr>
            </w:pPr>
            <w:r>
              <w:rPr>
                <w:rFonts w:ascii="Arial" w:cs="Arial" w:eastAsia="Arial" w:hAnsi="Arial"/>
                <w:sz w:val="16"/>
                <w:szCs w:val="16"/>
                <w:color w:val="auto"/>
              </w:rPr>
              <w:t>Nontaxable or nondeductible items and other</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w:t>
            </w:r>
          </w:p>
        </w:tc>
        <w:tc>
          <w:tcPr>
            <w:tcW w:w="16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ind w:right="82"/>
              <w:spacing w:after="0"/>
              <w:rPr>
                <w:sz w:val="20"/>
                <w:szCs w:val="20"/>
                <w:color w:val="auto"/>
              </w:rPr>
            </w:pPr>
            <w:r>
              <w:rPr>
                <w:rFonts w:ascii="Arial" w:cs="Arial" w:eastAsia="Arial" w:hAnsi="Arial"/>
                <w:sz w:val="16"/>
                <w:szCs w:val="16"/>
                <w:color w:val="auto"/>
              </w:rPr>
              <w:t>(1)</w:t>
            </w:r>
          </w:p>
        </w:tc>
      </w:tr>
      <w:tr>
        <w:trPr>
          <w:trHeight w:val="254"/>
        </w:trPr>
        <w:tc>
          <w:tcPr>
            <w:tcW w:w="7880" w:type="dxa"/>
            <w:vAlign w:val="bottom"/>
          </w:tcPr>
          <w:p>
            <w:pPr>
              <w:ind w:left="120"/>
              <w:spacing w:after="0"/>
              <w:rPr>
                <w:sz w:val="20"/>
                <w:szCs w:val="20"/>
                <w:color w:val="auto"/>
              </w:rPr>
            </w:pPr>
            <w:r>
              <w:rPr>
                <w:rFonts w:ascii="Arial" w:cs="Arial" w:eastAsia="Arial" w:hAnsi="Arial"/>
                <w:sz w:val="16"/>
                <w:szCs w:val="16"/>
                <w:color w:val="auto"/>
              </w:rPr>
              <w:t>Effective tax rate</w:t>
            </w:r>
          </w:p>
        </w:tc>
        <w:tc>
          <w:tcPr>
            <w:tcW w:w="840" w:type="dxa"/>
            <w:vAlign w:val="bottom"/>
          </w:tcPr>
          <w:p>
            <w:pPr>
              <w:jc w:val="right"/>
              <w:spacing w:after="0"/>
              <w:rPr>
                <w:sz w:val="20"/>
                <w:szCs w:val="20"/>
                <w:color w:val="auto"/>
              </w:rPr>
            </w:pPr>
            <w:r>
              <w:rPr>
                <w:rFonts w:ascii="Arial" w:cs="Arial" w:eastAsia="Arial" w:hAnsi="Arial"/>
                <w:sz w:val="16"/>
                <w:szCs w:val="16"/>
                <w:color w:val="auto"/>
              </w:rPr>
              <w:t>53.9</w:t>
            </w:r>
          </w:p>
        </w:tc>
        <w:tc>
          <w:tcPr>
            <w:tcW w:w="160" w:type="dxa"/>
            <w:vAlign w:val="bottom"/>
          </w:tcPr>
          <w:p>
            <w:pPr>
              <w:jc w:val="right"/>
              <w:spacing w:after="0"/>
              <w:rPr>
                <w:sz w:val="20"/>
                <w:szCs w:val="20"/>
                <w:color w:val="auto"/>
              </w:rPr>
            </w:pPr>
            <w:r>
              <w:rPr>
                <w:rFonts w:ascii="Arial" w:cs="Arial" w:eastAsia="Arial" w:hAnsi="Arial"/>
                <w:sz w:val="16"/>
                <w:szCs w:val="16"/>
                <w:color w:val="auto"/>
                <w:w w:val="84"/>
              </w:rPr>
              <w:t>%</w:t>
            </w:r>
          </w:p>
        </w:tc>
        <w:tc>
          <w:tcPr>
            <w:tcW w:w="400" w:type="dxa"/>
            <w:vAlign w:val="bottom"/>
            <w:gridSpan w:val="2"/>
          </w:tcPr>
          <w:p>
            <w:pPr>
              <w:jc w:val="right"/>
              <w:ind w:right="122"/>
              <w:spacing w:after="0"/>
              <w:rPr>
                <w:sz w:val="20"/>
                <w:szCs w:val="20"/>
                <w:color w:val="auto"/>
              </w:rPr>
            </w:pPr>
            <w:r>
              <w:rPr>
                <w:rFonts w:ascii="Arial" w:cs="Arial" w:eastAsia="Arial" w:hAnsi="Arial"/>
                <w:sz w:val="16"/>
                <w:szCs w:val="16"/>
                <w:color w:val="auto"/>
              </w:rPr>
              <w:t>$</w:t>
            </w:r>
          </w:p>
        </w:tc>
        <w:tc>
          <w:tcPr>
            <w:tcW w:w="660" w:type="dxa"/>
            <w:vAlign w:val="bottom"/>
          </w:tcPr>
          <w:p>
            <w:pPr>
              <w:jc w:val="right"/>
              <w:ind w:right="122"/>
              <w:spacing w:after="0"/>
              <w:rPr>
                <w:sz w:val="20"/>
                <w:szCs w:val="20"/>
                <w:color w:val="auto"/>
              </w:rPr>
            </w:pPr>
            <w:r>
              <w:rPr>
                <w:rFonts w:ascii="Arial" w:cs="Arial" w:eastAsia="Arial" w:hAnsi="Arial"/>
                <w:sz w:val="16"/>
                <w:szCs w:val="16"/>
                <w:color w:val="auto"/>
              </w:rPr>
              <w:t>753</w:t>
            </w:r>
          </w:p>
        </w:tc>
      </w:tr>
      <w:tr>
        <w:trPr>
          <w:trHeight w:val="20"/>
        </w:trPr>
        <w:tc>
          <w:tcPr>
            <w:tcW w:w="78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-1337945</wp:posOffset>
            </wp:positionV>
            <wp:extent cx="6363335" cy="134493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152">
                      <a:extLst>
                        <a:ext uri="{28A0092B-C50C-407E-A947-70E740481C1C}"/>
                      </a:extLst>
                    </a:blip>
                    <a:srcRect/>
                    <a:stretch>
                      <a:fillRect/>
                    </a:stretch>
                  </pic:blipFill>
                  <pic:spPr bwMode="auto">
                    <a:xfrm>
                      <a:off x="0" y="0"/>
                      <a:ext cx="6363335" cy="1344930"/>
                    </a:xfrm>
                    <a:prstGeom prst="rect">
                      <a:avLst/>
                    </a:prstGeom>
                    <a:noFill/>
                  </pic:spPr>
                </pic:pic>
              </a:graphicData>
            </a:graphic>
          </wp:anchor>
        </w:drawing>
      </w:r>
    </w:p>
    <w:p>
      <w:pPr>
        <w:spacing w:after="0" w:line="7" w:lineRule="exact"/>
        <w:rPr>
          <w:sz w:val="20"/>
          <w:szCs w:val="20"/>
          <w:color w:val="auto"/>
        </w:rPr>
      </w:pPr>
    </w:p>
    <w:p>
      <w:pPr>
        <w:ind w:left="287" w:hanging="287"/>
        <w:spacing w:after="0"/>
        <w:tabs>
          <w:tab w:leader="none" w:pos="287" w:val="left"/>
        </w:tabs>
        <w:numPr>
          <w:ilvl w:val="0"/>
          <w:numId w:val="60"/>
        </w:numPr>
        <w:rPr>
          <w:rFonts w:ascii="Arial" w:cs="Arial" w:eastAsia="Arial" w:hAnsi="Arial"/>
          <w:sz w:val="19"/>
          <w:szCs w:val="19"/>
          <w:color w:val="auto"/>
        </w:rPr>
      </w:pPr>
      <w:r>
        <w:rPr>
          <w:rFonts w:ascii="Arial" w:cs="Arial" w:eastAsia="Arial" w:hAnsi="Arial"/>
          <w:sz w:val="19"/>
          <w:szCs w:val="19"/>
          <w:color w:val="auto"/>
        </w:rPr>
        <w:t>State taxes in California and Illinois made up the majority (greater than 50 percent) of the tax effect in this category.</w:t>
      </w:r>
    </w:p>
    <w:p>
      <w:pPr>
        <w:spacing w:after="0" w:line="36" w:lineRule="exact"/>
        <w:rPr>
          <w:rFonts w:ascii="Arial" w:cs="Arial" w:eastAsia="Arial" w:hAnsi="Arial"/>
          <w:sz w:val="19"/>
          <w:szCs w:val="19"/>
          <w:color w:val="auto"/>
        </w:rPr>
      </w:pPr>
    </w:p>
    <w:p>
      <w:pPr>
        <w:ind w:left="7" w:right="140" w:hanging="7"/>
        <w:spacing w:after="0" w:line="271" w:lineRule="auto"/>
        <w:tabs>
          <w:tab w:leader="none" w:pos="285" w:val="left"/>
        </w:tabs>
        <w:numPr>
          <w:ilvl w:val="0"/>
          <w:numId w:val="60"/>
        </w:numPr>
        <w:rPr>
          <w:rFonts w:ascii="Arial" w:cs="Arial" w:eastAsia="Arial" w:hAnsi="Arial"/>
          <w:sz w:val="20"/>
          <w:szCs w:val="20"/>
          <w:color w:val="auto"/>
        </w:rPr>
      </w:pPr>
      <w:r>
        <w:rPr>
          <w:rFonts w:ascii="Arial" w:cs="Arial" w:eastAsia="Arial" w:hAnsi="Arial"/>
          <w:sz w:val="20"/>
          <w:szCs w:val="20"/>
          <w:color w:val="auto"/>
        </w:rPr>
        <w:t>State taxes of $23 million are included in this category, of which Illinois and Florida made up the majority (greater than 50 percent).</w:t>
      </w:r>
    </w:p>
    <w:p>
      <w:pPr>
        <w:spacing w:after="0" w:line="313" w:lineRule="exact"/>
        <w:rPr>
          <w:sz w:val="20"/>
          <w:szCs w:val="20"/>
          <w:color w:val="auto"/>
        </w:rPr>
      </w:pPr>
    </w:p>
    <w:tbl>
      <w:tblPr>
        <w:tblLayout w:type="fixed"/>
        <w:tblInd w:w="47" w:type="dxa"/>
        <w:tblCellMar>
          <w:top w:w="0" w:type="dxa"/>
          <w:left w:w="0" w:type="dxa"/>
          <w:bottom w:w="0" w:type="dxa"/>
          <w:right w:w="0" w:type="dxa"/>
        </w:tblCellMar>
      </w:tblPr>
      <w:tr>
        <w:trPr>
          <w:trHeight w:val="213"/>
        </w:trPr>
        <w:tc>
          <w:tcPr>
            <w:tcW w:w="7960" w:type="dxa"/>
            <w:vAlign w:val="bottom"/>
          </w:tcPr>
          <w:p>
            <w:pPr>
              <w:spacing w:after="0"/>
              <w:rPr>
                <w:sz w:val="18"/>
                <w:szCs w:val="18"/>
                <w:color w:val="auto"/>
              </w:rPr>
            </w:pPr>
          </w:p>
        </w:tc>
        <w:tc>
          <w:tcPr>
            <w:tcW w:w="2040" w:type="dxa"/>
            <w:vAlign w:val="bottom"/>
            <w:tcBorders>
              <w:bottom w:val="single" w:sz="8" w:color="auto"/>
            </w:tcBorders>
            <w:gridSpan w:val="4"/>
          </w:tcPr>
          <w:p>
            <w:pPr>
              <w:jc w:val="right"/>
              <w:ind w:right="62"/>
              <w:spacing w:after="0"/>
              <w:rPr>
                <w:sz w:val="20"/>
                <w:szCs w:val="20"/>
                <w:color w:val="auto"/>
              </w:rPr>
            </w:pPr>
            <w:r>
              <w:rPr>
                <w:rFonts w:ascii="Arial" w:cs="Arial" w:eastAsia="Arial" w:hAnsi="Arial"/>
                <w:sz w:val="16"/>
                <w:szCs w:val="16"/>
                <w:b w:val="1"/>
                <w:bCs w:val="1"/>
                <w:color w:val="auto"/>
                <w:w w:val="95"/>
              </w:rPr>
              <w:t>Year Ended December 31,</w:t>
            </w:r>
          </w:p>
        </w:tc>
      </w:tr>
      <w:tr>
        <w:trPr>
          <w:trHeight w:val="230"/>
        </w:trPr>
        <w:tc>
          <w:tcPr>
            <w:tcW w:w="7960" w:type="dxa"/>
            <w:vAlign w:val="bottom"/>
          </w:tcPr>
          <w:p>
            <w:pPr>
              <w:spacing w:after="0"/>
              <w:rPr>
                <w:sz w:val="19"/>
                <w:szCs w:val="19"/>
                <w:color w:val="auto"/>
              </w:rPr>
            </w:pPr>
          </w:p>
        </w:tc>
        <w:tc>
          <w:tcPr>
            <w:tcW w:w="980" w:type="dxa"/>
            <w:vAlign w:val="bottom"/>
            <w:tcBorders>
              <w:bottom w:val="single" w:sz="8" w:color="auto"/>
            </w:tcBorders>
          </w:tcPr>
          <w:p>
            <w:pPr>
              <w:jc w:val="right"/>
              <w:ind w:right="242"/>
              <w:spacing w:after="0"/>
              <w:rPr>
                <w:sz w:val="20"/>
                <w:szCs w:val="20"/>
                <w:color w:val="auto"/>
              </w:rPr>
            </w:pPr>
            <w:r>
              <w:rPr>
                <w:rFonts w:ascii="Arial" w:cs="Arial" w:eastAsia="Arial" w:hAnsi="Arial"/>
                <w:sz w:val="16"/>
                <w:szCs w:val="16"/>
                <w:b w:val="1"/>
                <w:bCs w:val="1"/>
                <w:color w:val="auto"/>
              </w:rPr>
              <w:t>2024</w:t>
            </w:r>
          </w:p>
        </w:tc>
        <w:tc>
          <w:tcPr>
            <w:tcW w:w="80" w:type="dxa"/>
            <w:vAlign w:val="bottom"/>
          </w:tcPr>
          <w:p>
            <w:pPr>
              <w:spacing w:after="0"/>
              <w:rPr>
                <w:sz w:val="19"/>
                <w:szCs w:val="19"/>
                <w:color w:val="auto"/>
              </w:rPr>
            </w:pPr>
          </w:p>
        </w:tc>
        <w:tc>
          <w:tcPr>
            <w:tcW w:w="840" w:type="dxa"/>
            <w:vAlign w:val="bottom"/>
            <w:tcBorders>
              <w:bottom w:val="single" w:sz="8" w:color="auto"/>
            </w:tcBorders>
          </w:tcPr>
          <w:p>
            <w:pPr>
              <w:jc w:val="right"/>
              <w:ind w:right="102"/>
              <w:spacing w:after="0"/>
              <w:rPr>
                <w:sz w:val="20"/>
                <w:szCs w:val="20"/>
                <w:color w:val="auto"/>
              </w:rPr>
            </w:pPr>
            <w:r>
              <w:rPr>
                <w:rFonts w:ascii="Arial" w:cs="Arial" w:eastAsia="Arial" w:hAnsi="Arial"/>
                <w:sz w:val="16"/>
                <w:szCs w:val="16"/>
                <w:b w:val="1"/>
                <w:bCs w:val="1"/>
                <w:color w:val="auto"/>
              </w:rPr>
              <w:t>2023</w:t>
            </w:r>
          </w:p>
        </w:tc>
        <w:tc>
          <w:tcPr>
            <w:tcW w:w="140" w:type="dxa"/>
            <w:vAlign w:val="bottom"/>
            <w:tcBorders>
              <w:bottom w:val="single" w:sz="8" w:color="auto"/>
            </w:tcBorders>
          </w:tcPr>
          <w:p>
            <w:pPr>
              <w:spacing w:after="0"/>
              <w:rPr>
                <w:sz w:val="19"/>
                <w:szCs w:val="19"/>
                <w:color w:val="auto"/>
              </w:rPr>
            </w:pPr>
          </w:p>
        </w:tc>
      </w:tr>
      <w:tr>
        <w:trPr>
          <w:trHeight w:val="267"/>
        </w:trPr>
        <w:tc>
          <w:tcPr>
            <w:tcW w:w="7960" w:type="dxa"/>
            <w:vAlign w:val="bottom"/>
          </w:tcPr>
          <w:p>
            <w:pPr>
              <w:spacing w:after="0"/>
              <w:rPr>
                <w:sz w:val="20"/>
                <w:szCs w:val="20"/>
                <w:color w:val="auto"/>
              </w:rPr>
            </w:pPr>
            <w:r>
              <w:rPr>
                <w:rFonts w:ascii="Arial" w:cs="Arial" w:eastAsia="Arial" w:hAnsi="Arial"/>
                <w:sz w:val="16"/>
                <w:szCs w:val="16"/>
                <w:color w:val="auto"/>
              </w:rPr>
              <w:t>Federal statutory rate</w:t>
            </w:r>
          </w:p>
        </w:tc>
        <w:tc>
          <w:tcPr>
            <w:tcW w:w="980" w:type="dxa"/>
            <w:vAlign w:val="bottom"/>
          </w:tcPr>
          <w:p>
            <w:pPr>
              <w:jc w:val="right"/>
              <w:spacing w:after="0"/>
              <w:rPr>
                <w:sz w:val="20"/>
                <w:szCs w:val="20"/>
                <w:color w:val="auto"/>
              </w:rPr>
            </w:pPr>
            <w:r>
              <w:rPr>
                <w:rFonts w:ascii="Arial" w:cs="Arial" w:eastAsia="Arial" w:hAnsi="Arial"/>
                <w:sz w:val="16"/>
                <w:szCs w:val="16"/>
                <w:color w:val="auto"/>
              </w:rPr>
              <w:t>21.0 %</w:t>
            </w: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21.0</w:t>
            </w:r>
          </w:p>
        </w:tc>
        <w:tc>
          <w:tcPr>
            <w:tcW w:w="140" w:type="dxa"/>
            <w:vAlign w:val="bottom"/>
          </w:tcPr>
          <w:p>
            <w:pPr>
              <w:jc w:val="right"/>
              <w:spacing w:after="0"/>
              <w:rPr>
                <w:sz w:val="20"/>
                <w:szCs w:val="20"/>
                <w:color w:val="auto"/>
              </w:rPr>
            </w:pPr>
            <w:r>
              <w:rPr>
                <w:rFonts w:ascii="Arial" w:cs="Arial" w:eastAsia="Arial" w:hAnsi="Arial"/>
                <w:sz w:val="16"/>
                <w:szCs w:val="16"/>
                <w:color w:val="auto"/>
                <w:w w:val="84"/>
              </w:rPr>
              <w:t>%</w:t>
            </w:r>
          </w:p>
        </w:tc>
      </w:tr>
      <w:tr>
        <w:trPr>
          <w:trHeight w:val="294"/>
        </w:trPr>
        <w:tc>
          <w:tcPr>
            <w:tcW w:w="7960" w:type="dxa"/>
            <w:vAlign w:val="bottom"/>
          </w:tcPr>
          <w:p>
            <w:pPr>
              <w:spacing w:after="0"/>
              <w:rPr>
                <w:sz w:val="20"/>
                <w:szCs w:val="20"/>
                <w:color w:val="auto"/>
              </w:rPr>
            </w:pPr>
            <w:r>
              <w:rPr>
                <w:rFonts w:ascii="Arial" w:cs="Arial" w:eastAsia="Arial" w:hAnsi="Arial"/>
                <w:sz w:val="16"/>
                <w:szCs w:val="16"/>
                <w:color w:val="auto"/>
              </w:rPr>
              <w:t>State income taxes, net of federal benefit</w:t>
            </w:r>
          </w:p>
        </w:tc>
        <w:tc>
          <w:tcPr>
            <w:tcW w:w="980" w:type="dxa"/>
            <w:vAlign w:val="bottom"/>
          </w:tcPr>
          <w:p>
            <w:pPr>
              <w:jc w:val="right"/>
              <w:ind w:right="102"/>
              <w:spacing w:after="0"/>
              <w:rPr>
                <w:sz w:val="20"/>
                <w:szCs w:val="20"/>
                <w:color w:val="auto"/>
              </w:rPr>
            </w:pPr>
            <w:r>
              <w:rPr>
                <w:rFonts w:ascii="Arial" w:cs="Arial" w:eastAsia="Arial" w:hAnsi="Arial"/>
                <w:sz w:val="16"/>
                <w:szCs w:val="16"/>
                <w:color w:val="auto"/>
              </w:rPr>
              <w:t>1.8</w:t>
            </w: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2.4</w:t>
            </w:r>
          </w:p>
        </w:tc>
        <w:tc>
          <w:tcPr>
            <w:tcW w:w="140" w:type="dxa"/>
            <w:vAlign w:val="bottom"/>
          </w:tcPr>
          <w:p>
            <w:pPr>
              <w:spacing w:after="0"/>
              <w:rPr>
                <w:sz w:val="24"/>
                <w:szCs w:val="24"/>
                <w:color w:val="auto"/>
              </w:rPr>
            </w:pPr>
          </w:p>
        </w:tc>
      </w:tr>
      <w:tr>
        <w:trPr>
          <w:trHeight w:val="294"/>
        </w:trPr>
        <w:tc>
          <w:tcPr>
            <w:tcW w:w="7960" w:type="dxa"/>
            <w:vAlign w:val="bottom"/>
          </w:tcPr>
          <w:p>
            <w:pPr>
              <w:spacing w:after="0"/>
              <w:rPr>
                <w:sz w:val="20"/>
                <w:szCs w:val="20"/>
                <w:color w:val="auto"/>
              </w:rPr>
            </w:pPr>
            <w:r>
              <w:rPr>
                <w:rFonts w:ascii="Arial" w:cs="Arial" w:eastAsia="Arial" w:hAnsi="Arial"/>
                <w:sz w:val="16"/>
                <w:szCs w:val="16"/>
                <w:color w:val="auto"/>
              </w:rPr>
              <w:t>Stock compensation</w:t>
            </w:r>
          </w:p>
        </w:tc>
        <w:tc>
          <w:tcPr>
            <w:tcW w:w="980" w:type="dxa"/>
            <w:vAlign w:val="bottom"/>
          </w:tcPr>
          <w:p>
            <w:pPr>
              <w:jc w:val="right"/>
              <w:ind w:right="62"/>
              <w:spacing w:after="0"/>
              <w:rPr>
                <w:sz w:val="20"/>
                <w:szCs w:val="20"/>
                <w:color w:val="auto"/>
              </w:rPr>
            </w:pPr>
            <w:r>
              <w:rPr>
                <w:rFonts w:ascii="Arial" w:cs="Arial" w:eastAsia="Arial" w:hAnsi="Arial"/>
                <w:sz w:val="16"/>
                <w:szCs w:val="16"/>
                <w:color w:val="auto"/>
              </w:rPr>
              <w:t>(0.5)</w:t>
            </w: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(0.2)</w:t>
            </w:r>
          </w:p>
        </w:tc>
        <w:tc>
          <w:tcPr>
            <w:tcW w:w="140" w:type="dxa"/>
            <w:vAlign w:val="bottom"/>
          </w:tcPr>
          <w:p>
            <w:pPr>
              <w:spacing w:after="0"/>
              <w:rPr>
                <w:sz w:val="24"/>
                <w:szCs w:val="24"/>
                <w:color w:val="auto"/>
              </w:rPr>
            </w:pPr>
          </w:p>
        </w:tc>
      </w:tr>
      <w:tr>
        <w:trPr>
          <w:trHeight w:val="294"/>
        </w:trPr>
        <w:tc>
          <w:tcPr>
            <w:tcW w:w="7960" w:type="dxa"/>
            <w:vAlign w:val="bottom"/>
          </w:tcPr>
          <w:p>
            <w:pPr>
              <w:spacing w:after="0"/>
              <w:rPr>
                <w:sz w:val="20"/>
                <w:szCs w:val="20"/>
                <w:color w:val="auto"/>
              </w:rPr>
            </w:pPr>
            <w:r>
              <w:rPr>
                <w:rFonts w:ascii="Arial" w:cs="Arial" w:eastAsia="Arial" w:hAnsi="Arial"/>
                <w:sz w:val="16"/>
                <w:szCs w:val="16"/>
                <w:color w:val="auto"/>
              </w:rPr>
              <w:t>Tax credits</w:t>
            </w:r>
          </w:p>
        </w:tc>
        <w:tc>
          <w:tcPr>
            <w:tcW w:w="980" w:type="dxa"/>
            <w:vAlign w:val="bottom"/>
          </w:tcPr>
          <w:p>
            <w:pPr>
              <w:jc w:val="right"/>
              <w:ind w:right="62"/>
              <w:spacing w:after="0"/>
              <w:rPr>
                <w:sz w:val="20"/>
                <w:szCs w:val="20"/>
                <w:color w:val="auto"/>
              </w:rPr>
            </w:pPr>
            <w:r>
              <w:rPr>
                <w:rFonts w:ascii="Arial" w:cs="Arial" w:eastAsia="Arial" w:hAnsi="Arial"/>
                <w:sz w:val="16"/>
                <w:szCs w:val="16"/>
                <w:color w:val="auto"/>
              </w:rPr>
              <w:t>(0.7)</w:t>
            </w: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(1.8)</w:t>
            </w:r>
          </w:p>
        </w:tc>
        <w:tc>
          <w:tcPr>
            <w:tcW w:w="140" w:type="dxa"/>
            <w:vAlign w:val="bottom"/>
          </w:tcPr>
          <w:p>
            <w:pPr>
              <w:spacing w:after="0"/>
              <w:rPr>
                <w:sz w:val="24"/>
                <w:szCs w:val="24"/>
                <w:color w:val="auto"/>
              </w:rPr>
            </w:pPr>
          </w:p>
        </w:tc>
      </w:tr>
      <w:tr>
        <w:trPr>
          <w:trHeight w:val="294"/>
        </w:trPr>
        <w:tc>
          <w:tcPr>
            <w:tcW w:w="7960" w:type="dxa"/>
            <w:vAlign w:val="bottom"/>
          </w:tcPr>
          <w:p>
            <w:pPr>
              <w:spacing w:after="0"/>
              <w:rPr>
                <w:sz w:val="20"/>
                <w:szCs w:val="20"/>
                <w:color w:val="auto"/>
              </w:rPr>
            </w:pPr>
            <w:r>
              <w:rPr>
                <w:rFonts w:ascii="Arial" w:cs="Arial" w:eastAsia="Arial" w:hAnsi="Arial"/>
                <w:sz w:val="16"/>
                <w:szCs w:val="16"/>
                <w:color w:val="auto"/>
              </w:rPr>
              <w:t>Valuation allowance for deferred tax assets</w:t>
            </w:r>
          </w:p>
        </w:tc>
        <w:tc>
          <w:tcPr>
            <w:tcW w:w="980" w:type="dxa"/>
            <w:vAlign w:val="bottom"/>
          </w:tcPr>
          <w:p>
            <w:pPr>
              <w:jc w:val="right"/>
              <w:ind w:right="62"/>
              <w:spacing w:after="0"/>
              <w:rPr>
                <w:sz w:val="20"/>
                <w:szCs w:val="20"/>
                <w:color w:val="auto"/>
              </w:rPr>
            </w:pPr>
            <w:r>
              <w:rPr>
                <w:rFonts w:ascii="Arial" w:cs="Arial" w:eastAsia="Arial" w:hAnsi="Arial"/>
                <w:sz w:val="16"/>
                <w:szCs w:val="16"/>
                <w:color w:val="auto"/>
              </w:rPr>
              <w:t>(1.0)</w:t>
            </w: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5.0</w:t>
            </w:r>
          </w:p>
        </w:tc>
        <w:tc>
          <w:tcPr>
            <w:tcW w:w="140" w:type="dxa"/>
            <w:vAlign w:val="bottom"/>
          </w:tcPr>
          <w:p>
            <w:pPr>
              <w:spacing w:after="0"/>
              <w:rPr>
                <w:sz w:val="24"/>
                <w:szCs w:val="24"/>
                <w:color w:val="auto"/>
              </w:rPr>
            </w:pPr>
          </w:p>
        </w:tc>
      </w:tr>
      <w:tr>
        <w:trPr>
          <w:trHeight w:val="294"/>
        </w:trPr>
        <w:tc>
          <w:tcPr>
            <w:tcW w:w="7960" w:type="dxa"/>
            <w:vAlign w:val="bottom"/>
          </w:tcPr>
          <w:p>
            <w:pPr>
              <w:spacing w:after="0"/>
              <w:rPr>
                <w:sz w:val="20"/>
                <w:szCs w:val="20"/>
                <w:color w:val="auto"/>
              </w:rPr>
            </w:pPr>
            <w:r>
              <w:rPr>
                <w:rFonts w:ascii="Arial" w:cs="Arial" w:eastAsia="Arial" w:hAnsi="Arial"/>
                <w:sz w:val="16"/>
                <w:szCs w:val="16"/>
                <w:color w:val="auto"/>
              </w:rPr>
              <w:t>Officers Compensation</w:t>
            </w:r>
          </w:p>
        </w:tc>
        <w:tc>
          <w:tcPr>
            <w:tcW w:w="980" w:type="dxa"/>
            <w:vAlign w:val="bottom"/>
          </w:tcPr>
          <w:p>
            <w:pPr>
              <w:jc w:val="right"/>
              <w:ind w:right="102"/>
              <w:spacing w:after="0"/>
              <w:rPr>
                <w:sz w:val="20"/>
                <w:szCs w:val="20"/>
                <w:color w:val="auto"/>
              </w:rPr>
            </w:pPr>
            <w:r>
              <w:rPr>
                <w:rFonts w:ascii="Arial" w:cs="Arial" w:eastAsia="Arial" w:hAnsi="Arial"/>
                <w:sz w:val="16"/>
                <w:szCs w:val="16"/>
                <w:color w:val="auto"/>
              </w:rPr>
              <w:t>0.8</w:t>
            </w: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1.2</w:t>
            </w:r>
          </w:p>
        </w:tc>
        <w:tc>
          <w:tcPr>
            <w:tcW w:w="140" w:type="dxa"/>
            <w:vAlign w:val="bottom"/>
          </w:tcPr>
          <w:p>
            <w:pPr>
              <w:spacing w:after="0"/>
              <w:rPr>
                <w:sz w:val="24"/>
                <w:szCs w:val="24"/>
                <w:color w:val="auto"/>
              </w:rPr>
            </w:pPr>
          </w:p>
        </w:tc>
      </w:tr>
      <w:tr>
        <w:trPr>
          <w:trHeight w:val="301"/>
        </w:trPr>
        <w:tc>
          <w:tcPr>
            <w:tcW w:w="7960" w:type="dxa"/>
            <w:vAlign w:val="bottom"/>
          </w:tcPr>
          <w:p>
            <w:pPr>
              <w:spacing w:after="0"/>
              <w:rPr>
                <w:sz w:val="20"/>
                <w:szCs w:val="20"/>
                <w:color w:val="auto"/>
              </w:rPr>
            </w:pPr>
            <w:r>
              <w:rPr>
                <w:rFonts w:ascii="Arial" w:cs="Arial" w:eastAsia="Arial" w:hAnsi="Arial"/>
                <w:sz w:val="16"/>
                <w:szCs w:val="16"/>
                <w:color w:val="auto"/>
              </w:rPr>
              <w:t>Non-deductible expenses and other, net</w:t>
            </w:r>
          </w:p>
        </w:tc>
        <w:tc>
          <w:tcPr>
            <w:tcW w:w="98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color w:val="auto"/>
              </w:rPr>
              <w:t>(0.3)</w:t>
            </w:r>
          </w:p>
        </w:tc>
        <w:tc>
          <w:tcPr>
            <w:tcW w:w="80" w:type="dxa"/>
            <w:vAlign w:val="bottom"/>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w:t>
            </w:r>
          </w:p>
        </w:tc>
        <w:tc>
          <w:tcPr>
            <w:tcW w:w="140" w:type="dxa"/>
            <w:vAlign w:val="bottom"/>
            <w:tcBorders>
              <w:bottom w:val="single" w:sz="8" w:color="auto"/>
            </w:tcBorders>
          </w:tcPr>
          <w:p>
            <w:pPr>
              <w:spacing w:after="0"/>
              <w:rPr>
                <w:sz w:val="24"/>
                <w:szCs w:val="24"/>
                <w:color w:val="auto"/>
              </w:rPr>
            </w:pPr>
          </w:p>
        </w:tc>
      </w:tr>
      <w:tr>
        <w:trPr>
          <w:trHeight w:val="254"/>
        </w:trPr>
        <w:tc>
          <w:tcPr>
            <w:tcW w:w="7960" w:type="dxa"/>
            <w:vAlign w:val="bottom"/>
          </w:tcPr>
          <w:p>
            <w:pPr>
              <w:ind w:left="120"/>
              <w:spacing w:after="0"/>
              <w:rPr>
                <w:sz w:val="20"/>
                <w:szCs w:val="20"/>
                <w:color w:val="auto"/>
              </w:rPr>
            </w:pPr>
            <w:r>
              <w:rPr>
                <w:rFonts w:ascii="Arial" w:cs="Arial" w:eastAsia="Arial" w:hAnsi="Arial"/>
                <w:sz w:val="16"/>
                <w:szCs w:val="16"/>
                <w:color w:val="auto"/>
              </w:rPr>
              <w:t>Effective tax rate</w:t>
            </w:r>
          </w:p>
        </w:tc>
        <w:tc>
          <w:tcPr>
            <w:tcW w:w="980" w:type="dxa"/>
            <w:vAlign w:val="bottom"/>
          </w:tcPr>
          <w:p>
            <w:pPr>
              <w:jc w:val="right"/>
              <w:spacing w:after="0"/>
              <w:rPr>
                <w:sz w:val="20"/>
                <w:szCs w:val="20"/>
                <w:color w:val="auto"/>
              </w:rPr>
            </w:pPr>
            <w:r>
              <w:rPr>
                <w:rFonts w:ascii="Arial" w:cs="Arial" w:eastAsia="Arial" w:hAnsi="Arial"/>
                <w:sz w:val="16"/>
                <w:szCs w:val="16"/>
                <w:color w:val="auto"/>
              </w:rPr>
              <w:t>21.1 %</w:t>
            </w:r>
          </w:p>
        </w:tc>
        <w:tc>
          <w:tcPr>
            <w:tcW w:w="1060" w:type="dxa"/>
            <w:vAlign w:val="bottom"/>
            <w:gridSpan w:val="3"/>
          </w:tcPr>
          <w:p>
            <w:pPr>
              <w:jc w:val="right"/>
              <w:spacing w:after="0"/>
              <w:rPr>
                <w:sz w:val="20"/>
                <w:szCs w:val="20"/>
                <w:color w:val="auto"/>
              </w:rPr>
            </w:pPr>
            <w:r>
              <w:rPr>
                <w:rFonts w:ascii="Arial" w:cs="Arial" w:eastAsia="Arial" w:hAnsi="Arial"/>
                <w:sz w:val="16"/>
                <w:szCs w:val="16"/>
                <w:color w:val="auto"/>
              </w:rPr>
              <w:t>27.7 %</w:t>
            </w:r>
          </w:p>
        </w:tc>
      </w:tr>
      <w:tr>
        <w:trPr>
          <w:trHeight w:val="20"/>
        </w:trPr>
        <w:tc>
          <w:tcPr>
            <w:tcW w:w="796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-1524635</wp:posOffset>
            </wp:positionV>
            <wp:extent cx="6410325" cy="153162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153">
                      <a:extLst>
                        <a:ext uri="{28A0092B-C50C-407E-A947-70E740481C1C}"/>
                      </a:extLst>
                    </a:blip>
                    <a:srcRect/>
                    <a:stretch>
                      <a:fillRect/>
                    </a:stretch>
                  </pic:blipFill>
                  <pic:spPr bwMode="auto">
                    <a:xfrm>
                      <a:off x="0" y="0"/>
                      <a:ext cx="6410325" cy="1531620"/>
                    </a:xfrm>
                    <a:prstGeom prst="rect">
                      <a:avLst/>
                    </a:prstGeom>
                    <a:noFill/>
                  </pic:spPr>
                </pic:pic>
              </a:graphicData>
            </a:graphic>
          </wp:anchor>
        </w:drawing>
      </w:r>
    </w:p>
    <w:p>
      <w:pPr>
        <w:spacing w:after="0" w:line="242" w:lineRule="exact"/>
        <w:rPr>
          <w:sz w:val="20"/>
          <w:szCs w:val="20"/>
          <w:color w:val="auto"/>
        </w:rPr>
      </w:pPr>
    </w:p>
    <w:p>
      <w:pPr>
        <w:ind w:left="7"/>
        <w:spacing w:after="0"/>
        <w:rPr>
          <w:sz w:val="20"/>
          <w:szCs w:val="20"/>
          <w:color w:val="auto"/>
        </w:rPr>
      </w:pPr>
      <w:r>
        <w:rPr>
          <w:rFonts w:ascii="Arial" w:cs="Arial" w:eastAsia="Arial" w:hAnsi="Arial"/>
          <w:sz w:val="20"/>
          <w:szCs w:val="20"/>
          <w:color w:val="auto"/>
        </w:rPr>
        <w:t>Total income taxes paid was allocated as follows:</w:t>
      </w:r>
    </w:p>
    <w:p>
      <w:pPr>
        <w:spacing w:after="0" w:line="113" w:lineRule="exact"/>
        <w:rPr>
          <w:sz w:val="20"/>
          <w:szCs w:val="20"/>
          <w:color w:val="auto"/>
        </w:rPr>
      </w:pPr>
    </w:p>
    <w:tbl>
      <w:tblPr>
        <w:tblLayout w:type="fixed"/>
        <w:tblInd w:w="47" w:type="dxa"/>
        <w:tblCellMar>
          <w:top w:w="0" w:type="dxa"/>
          <w:left w:w="0" w:type="dxa"/>
          <w:bottom w:w="0" w:type="dxa"/>
          <w:right w:w="0" w:type="dxa"/>
        </w:tblCellMar>
      </w:tblPr>
      <w:tr>
        <w:trPr>
          <w:trHeight w:val="213"/>
        </w:trPr>
        <w:tc>
          <w:tcPr>
            <w:tcW w:w="8140" w:type="dxa"/>
            <w:vAlign w:val="bottom"/>
          </w:tcPr>
          <w:p>
            <w:pPr>
              <w:spacing w:after="0"/>
              <w:rPr>
                <w:sz w:val="18"/>
                <w:szCs w:val="18"/>
                <w:color w:val="auto"/>
              </w:rPr>
            </w:pPr>
          </w:p>
        </w:tc>
        <w:tc>
          <w:tcPr>
            <w:tcW w:w="1860" w:type="dxa"/>
            <w:vAlign w:val="bottom"/>
            <w:tcBorders>
              <w:bottom w:val="single" w:sz="8" w:color="auto"/>
            </w:tcBorders>
            <w:gridSpan w:val="2"/>
          </w:tcPr>
          <w:p>
            <w:pPr>
              <w:ind w:left="60"/>
              <w:spacing w:after="0"/>
              <w:rPr>
                <w:sz w:val="20"/>
                <w:szCs w:val="20"/>
                <w:color w:val="auto"/>
              </w:rPr>
            </w:pPr>
            <w:r>
              <w:rPr>
                <w:rFonts w:ascii="Arial" w:cs="Arial" w:eastAsia="Arial" w:hAnsi="Arial"/>
                <w:sz w:val="16"/>
                <w:szCs w:val="16"/>
                <w:b w:val="1"/>
                <w:bCs w:val="1"/>
                <w:color w:val="auto"/>
                <w:w w:val="90"/>
              </w:rPr>
              <w:t>Year Ended December 31,</w:t>
            </w:r>
          </w:p>
        </w:tc>
      </w:tr>
      <w:tr>
        <w:trPr>
          <w:trHeight w:val="230"/>
        </w:trPr>
        <w:tc>
          <w:tcPr>
            <w:tcW w:w="814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ind w:right="682"/>
              <w:spacing w:after="0"/>
              <w:rPr>
                <w:sz w:val="20"/>
                <w:szCs w:val="20"/>
                <w:color w:val="auto"/>
              </w:rPr>
            </w:pPr>
            <w:r>
              <w:rPr>
                <w:rFonts w:ascii="Arial" w:cs="Arial" w:eastAsia="Arial" w:hAnsi="Arial"/>
                <w:sz w:val="16"/>
                <w:szCs w:val="16"/>
                <w:b w:val="1"/>
                <w:bCs w:val="1"/>
                <w:color w:val="auto"/>
              </w:rPr>
              <w:t>2025</w:t>
            </w:r>
          </w:p>
        </w:tc>
      </w:tr>
      <w:tr>
        <w:trPr>
          <w:trHeight w:val="223"/>
        </w:trPr>
        <w:tc>
          <w:tcPr>
            <w:tcW w:w="8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40" w:type="dxa"/>
            <w:vAlign w:val="bottom"/>
          </w:tcPr>
          <w:p>
            <w:pPr>
              <w:jc w:val="right"/>
              <w:ind w:right="442"/>
              <w:spacing w:after="0"/>
              <w:rPr>
                <w:sz w:val="20"/>
                <w:szCs w:val="20"/>
                <w:color w:val="auto"/>
              </w:rPr>
            </w:pPr>
            <w:r>
              <w:rPr>
                <w:rFonts w:ascii="Arial" w:cs="Arial" w:eastAsia="Arial" w:hAnsi="Arial"/>
                <w:sz w:val="16"/>
                <w:szCs w:val="16"/>
                <w:b w:val="1"/>
                <w:bCs w:val="1"/>
                <w:color w:val="auto"/>
              </w:rPr>
              <w:t>(In millions)</w:t>
            </w:r>
          </w:p>
        </w:tc>
      </w:tr>
      <w:tr>
        <w:trPr>
          <w:trHeight w:val="294"/>
        </w:trPr>
        <w:tc>
          <w:tcPr>
            <w:tcW w:w="8140" w:type="dxa"/>
            <w:vAlign w:val="bottom"/>
          </w:tcPr>
          <w:p>
            <w:pPr>
              <w:spacing w:after="0"/>
              <w:rPr>
                <w:sz w:val="20"/>
                <w:szCs w:val="20"/>
                <w:color w:val="auto"/>
              </w:rPr>
            </w:pPr>
            <w:r>
              <w:rPr>
                <w:rFonts w:ascii="Arial" w:cs="Arial" w:eastAsia="Arial" w:hAnsi="Arial"/>
                <w:sz w:val="16"/>
                <w:szCs w:val="16"/>
                <w:color w:val="auto"/>
              </w:rPr>
              <w:t>Federal</w:t>
            </w:r>
          </w:p>
        </w:tc>
        <w:tc>
          <w:tcPr>
            <w:tcW w:w="320" w:type="dxa"/>
            <w:vAlign w:val="bottom"/>
          </w:tcPr>
          <w:p>
            <w:pPr>
              <w:ind w:left="60"/>
              <w:spacing w:after="0"/>
              <w:rPr>
                <w:sz w:val="20"/>
                <w:szCs w:val="20"/>
                <w:color w:val="auto"/>
              </w:rPr>
            </w:pPr>
            <w:r>
              <w:rPr>
                <w:rFonts w:ascii="Arial" w:cs="Arial" w:eastAsia="Arial" w:hAnsi="Arial"/>
                <w:sz w:val="16"/>
                <w:szCs w:val="16"/>
                <w:color w:val="auto"/>
              </w:rPr>
              <w:t>$</w:t>
            </w:r>
          </w:p>
        </w:tc>
        <w:tc>
          <w:tcPr>
            <w:tcW w:w="1540" w:type="dxa"/>
            <w:vAlign w:val="bottom"/>
          </w:tcPr>
          <w:p>
            <w:pPr>
              <w:jc w:val="right"/>
              <w:spacing w:after="0"/>
              <w:rPr>
                <w:sz w:val="20"/>
                <w:szCs w:val="20"/>
                <w:color w:val="auto"/>
              </w:rPr>
            </w:pPr>
            <w:r>
              <w:rPr>
                <w:rFonts w:ascii="Arial" w:cs="Arial" w:eastAsia="Arial" w:hAnsi="Arial"/>
                <w:sz w:val="16"/>
                <w:szCs w:val="16"/>
                <w:color w:val="auto"/>
              </w:rPr>
              <w:t>198</w:t>
            </w:r>
          </w:p>
        </w:tc>
      </w:tr>
      <w:tr>
        <w:trPr>
          <w:trHeight w:val="301"/>
        </w:trPr>
        <w:tc>
          <w:tcPr>
            <w:tcW w:w="8140" w:type="dxa"/>
            <w:vAlign w:val="bottom"/>
          </w:tcPr>
          <w:p>
            <w:pPr>
              <w:spacing w:after="0"/>
              <w:rPr>
                <w:sz w:val="20"/>
                <w:szCs w:val="20"/>
                <w:color w:val="auto"/>
              </w:rPr>
            </w:pPr>
            <w:r>
              <w:rPr>
                <w:rFonts w:ascii="Arial" w:cs="Arial" w:eastAsia="Arial" w:hAnsi="Arial"/>
                <w:sz w:val="16"/>
                <w:szCs w:val="16"/>
                <w:color w:val="auto"/>
              </w:rPr>
              <w:t>State &amp; Foreign</w:t>
            </w:r>
          </w:p>
        </w:tc>
        <w:tc>
          <w:tcPr>
            <w:tcW w:w="32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w:t>
            </w:r>
          </w:p>
        </w:tc>
      </w:tr>
      <w:tr>
        <w:trPr>
          <w:trHeight w:val="254"/>
        </w:trPr>
        <w:tc>
          <w:tcPr>
            <w:tcW w:w="8140" w:type="dxa"/>
            <w:vAlign w:val="bottom"/>
          </w:tcPr>
          <w:p>
            <w:pPr>
              <w:spacing w:after="0"/>
              <w:rPr>
                <w:sz w:val="20"/>
                <w:szCs w:val="20"/>
                <w:color w:val="auto"/>
              </w:rPr>
            </w:pPr>
            <w:r>
              <w:rPr>
                <w:rFonts w:ascii="Arial" w:cs="Arial" w:eastAsia="Arial" w:hAnsi="Arial"/>
                <w:sz w:val="16"/>
                <w:szCs w:val="16"/>
                <w:color w:val="auto"/>
              </w:rPr>
              <w:t>Total</w:t>
            </w:r>
          </w:p>
        </w:tc>
        <w:tc>
          <w:tcPr>
            <w:tcW w:w="32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250</w:t>
            </w:r>
          </w:p>
        </w:tc>
      </w:tr>
      <w:tr>
        <w:trPr>
          <w:trHeight w:val="20"/>
        </w:trPr>
        <w:tc>
          <w:tcPr>
            <w:tcW w:w="8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-591185</wp:posOffset>
            </wp:positionV>
            <wp:extent cx="6410325" cy="59817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154">
                      <a:extLst>
                        <a:ext uri="{28A0092B-C50C-407E-A947-70E740481C1C}"/>
                      </a:extLst>
                    </a:blip>
                    <a:srcRect/>
                    <a:stretch>
                      <a:fillRect/>
                    </a:stretch>
                  </pic:blipFill>
                  <pic:spPr bwMode="auto">
                    <a:xfrm>
                      <a:off x="0" y="0"/>
                      <a:ext cx="6410325" cy="598170"/>
                    </a:xfrm>
                    <a:prstGeom prst="rect">
                      <a:avLst/>
                    </a:prstGeom>
                    <a:noFill/>
                  </pic:spPr>
                </pic:pic>
              </a:graphicData>
            </a:graphic>
          </wp:anchor>
        </w:drawing>
      </w:r>
    </w:p>
    <w:p>
      <w:pPr>
        <w:sectPr>
          <w:pgSz w:w="11880" w:h="15480" w:orient="portrait"/>
          <w:cols w:equalWidth="0" w:num="1">
            <w:col w:w="10047"/>
          </w:cols>
          <w:pgMar w:left="913" w:top="1115"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6"/>
        <w:spacing w:after="0"/>
        <w:rPr>
          <w:sz w:val="20"/>
          <w:szCs w:val="20"/>
          <w:color w:val="auto"/>
        </w:rPr>
      </w:pPr>
      <w:r>
        <w:rPr>
          <w:rFonts w:ascii="Arial" w:cs="Arial" w:eastAsia="Arial" w:hAnsi="Arial"/>
          <w:sz w:val="16"/>
          <w:szCs w:val="16"/>
          <w:color w:val="auto"/>
        </w:rPr>
        <w:t>175</w:t>
      </w:r>
    </w:p>
    <w:p>
      <w:pPr>
        <w:sectPr>
          <w:pgSz w:w="11880" w:h="15480" w:orient="portrait"/>
          <w:cols w:equalWidth="0" w:num="1">
            <w:col w:w="10047"/>
          </w:cols>
          <w:pgMar w:left="913" w:top="1115" w:right="920" w:bottom="0" w:gutter="0" w:footer="0" w:header="0"/>
          <w:type w:val="continuous"/>
        </w:sectPr>
      </w:pPr>
    </w:p>
    <w:bookmarkStart w:id="187" w:name="page188"/>
    <w:bookmarkEnd w:id="187"/>
    <w:p>
      <w:pPr>
        <w:ind w:left="340"/>
        <w:spacing w:after="0"/>
        <w:rPr>
          <w:sz w:val="20"/>
          <w:szCs w:val="20"/>
          <w:color w:val="auto"/>
        </w:rPr>
      </w:pPr>
      <w:r>
        <w:rPr>
          <w:rFonts w:ascii="Arial" w:cs="Arial" w:eastAsia="Arial" w:hAnsi="Arial"/>
          <w:sz w:val="20"/>
          <w:szCs w:val="20"/>
          <w:color w:val="auto"/>
        </w:rPr>
        <w:t>The significant components of deferred tax assets and liabilities consist of the following:</w:t>
      </w:r>
    </w:p>
    <w:p>
      <w:pPr>
        <w:spacing w:after="0" w:line="93" w:lineRule="exact"/>
        <w:rPr>
          <w:sz w:val="20"/>
          <w:szCs w:val="20"/>
          <w:color w:val="auto"/>
        </w:rPr>
      </w:pPr>
    </w:p>
    <w:tbl>
      <w:tblPr>
        <w:tblLayout w:type="fixed"/>
        <w:tblInd w:w="400" w:type="dxa"/>
        <w:tblCellMar>
          <w:top w:w="0" w:type="dxa"/>
          <w:left w:w="0" w:type="dxa"/>
          <w:bottom w:w="0" w:type="dxa"/>
          <w:right w:w="0" w:type="dxa"/>
        </w:tblCellMar>
      </w:tblPr>
      <w:tr>
        <w:trPr>
          <w:trHeight w:val="213"/>
        </w:trPr>
        <w:tc>
          <w:tcPr>
            <w:tcW w:w="76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gridSpan w:val="4"/>
          </w:tcPr>
          <w:p>
            <w:pPr>
              <w:jc w:val="right"/>
              <w:ind w:right="442"/>
              <w:spacing w:after="0"/>
              <w:rPr>
                <w:sz w:val="20"/>
                <w:szCs w:val="20"/>
                <w:color w:val="auto"/>
              </w:rPr>
            </w:pPr>
            <w:r>
              <w:rPr>
                <w:rFonts w:ascii="Arial" w:cs="Arial" w:eastAsia="Arial" w:hAnsi="Arial"/>
                <w:sz w:val="16"/>
                <w:szCs w:val="16"/>
                <w:b w:val="1"/>
                <w:bCs w:val="1"/>
                <w:color w:val="auto"/>
              </w:rPr>
              <w:t>December 31,</w:t>
            </w:r>
          </w:p>
        </w:tc>
      </w:tr>
      <w:tr>
        <w:trPr>
          <w:trHeight w:val="230"/>
        </w:trPr>
        <w:tc>
          <w:tcPr>
            <w:tcW w:w="76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242"/>
              <w:spacing w:after="0"/>
              <w:rPr>
                <w:sz w:val="20"/>
                <w:szCs w:val="20"/>
                <w:color w:val="auto"/>
              </w:rPr>
            </w:pPr>
            <w:r>
              <w:rPr>
                <w:rFonts w:ascii="Arial" w:cs="Arial" w:eastAsia="Arial" w:hAnsi="Arial"/>
                <w:sz w:val="16"/>
                <w:szCs w:val="16"/>
                <w:b w:val="1"/>
                <w:bCs w:val="1"/>
                <w:color w:val="auto"/>
              </w:rPr>
              <w:t>2025</w:t>
            </w:r>
          </w:p>
        </w:tc>
        <w:tc>
          <w:tcPr>
            <w:tcW w:w="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242"/>
              <w:spacing w:after="0"/>
              <w:rPr>
                <w:sz w:val="20"/>
                <w:szCs w:val="20"/>
                <w:color w:val="auto"/>
              </w:rPr>
            </w:pPr>
            <w:r>
              <w:rPr>
                <w:rFonts w:ascii="Arial" w:cs="Arial" w:eastAsia="Arial" w:hAnsi="Arial"/>
                <w:sz w:val="16"/>
                <w:szCs w:val="16"/>
                <w:b w:val="1"/>
                <w:bCs w:val="1"/>
                <w:color w:val="auto"/>
              </w:rPr>
              <w:t>2024</w:t>
            </w:r>
          </w:p>
        </w:tc>
      </w:tr>
      <w:tr>
        <w:trPr>
          <w:trHeight w:val="223"/>
        </w:trPr>
        <w:tc>
          <w:tcPr>
            <w:tcW w:w="7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40" w:type="dxa"/>
            <w:vAlign w:val="bottom"/>
            <w:gridSpan w:val="4"/>
          </w:tcPr>
          <w:p>
            <w:pPr>
              <w:jc w:val="right"/>
              <w:ind w:right="482"/>
              <w:spacing w:after="0"/>
              <w:rPr>
                <w:sz w:val="20"/>
                <w:szCs w:val="20"/>
                <w:color w:val="auto"/>
              </w:rPr>
            </w:pPr>
            <w:r>
              <w:rPr>
                <w:rFonts w:ascii="Arial" w:cs="Arial" w:eastAsia="Arial" w:hAnsi="Arial"/>
                <w:sz w:val="16"/>
                <w:szCs w:val="16"/>
                <w:b w:val="1"/>
                <w:bCs w:val="1"/>
                <w:color w:val="auto"/>
              </w:rPr>
              <w:t>(In millions)</w:t>
            </w:r>
          </w:p>
        </w:tc>
      </w:tr>
      <w:tr>
        <w:trPr>
          <w:trHeight w:val="294"/>
        </w:trPr>
        <w:tc>
          <w:tcPr>
            <w:tcW w:w="7680" w:type="dxa"/>
            <w:vAlign w:val="bottom"/>
          </w:tcPr>
          <w:p>
            <w:pPr>
              <w:spacing w:after="0"/>
              <w:rPr>
                <w:sz w:val="20"/>
                <w:szCs w:val="20"/>
                <w:color w:val="auto"/>
              </w:rPr>
            </w:pPr>
            <w:r>
              <w:rPr>
                <w:rFonts w:ascii="Arial" w:cs="Arial" w:eastAsia="Arial" w:hAnsi="Arial"/>
                <w:sz w:val="16"/>
                <w:szCs w:val="16"/>
                <w:color w:val="auto"/>
              </w:rPr>
              <w:t>Deferred Tax Assets:</w:t>
            </w: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294"/>
        </w:trPr>
        <w:tc>
          <w:tcPr>
            <w:tcW w:w="7680" w:type="dxa"/>
            <w:vAlign w:val="bottom"/>
          </w:tcPr>
          <w:p>
            <w:pPr>
              <w:spacing w:after="0"/>
              <w:rPr>
                <w:sz w:val="20"/>
                <w:szCs w:val="20"/>
                <w:color w:val="auto"/>
              </w:rPr>
            </w:pPr>
            <w:r>
              <w:rPr>
                <w:rFonts w:ascii="Arial" w:cs="Arial" w:eastAsia="Arial" w:hAnsi="Arial"/>
                <w:sz w:val="16"/>
                <w:szCs w:val="16"/>
                <w:color w:val="auto"/>
              </w:rPr>
              <w:t>Employee benefit accruals</w:t>
            </w:r>
          </w:p>
        </w:tc>
        <w:tc>
          <w:tcPr>
            <w:tcW w:w="22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138</w:t>
            </w:r>
          </w:p>
        </w:tc>
        <w:tc>
          <w:tcPr>
            <w:tcW w:w="300" w:type="dxa"/>
            <w:vAlign w:val="bottom"/>
            <w:gridSpan w:val="2"/>
          </w:tcPr>
          <w:p>
            <w:pPr>
              <w:jc w:val="right"/>
              <w:ind w:right="22"/>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129</w:t>
            </w:r>
          </w:p>
        </w:tc>
      </w:tr>
      <w:tr>
        <w:trPr>
          <w:trHeight w:val="294"/>
        </w:trPr>
        <w:tc>
          <w:tcPr>
            <w:tcW w:w="7680" w:type="dxa"/>
            <w:vAlign w:val="bottom"/>
          </w:tcPr>
          <w:p>
            <w:pPr>
              <w:spacing w:after="0"/>
              <w:rPr>
                <w:sz w:val="20"/>
                <w:szCs w:val="20"/>
                <w:color w:val="auto"/>
              </w:rPr>
            </w:pPr>
            <w:r>
              <w:rPr>
                <w:rFonts w:ascii="Arial" w:cs="Arial" w:eastAsia="Arial" w:hAnsi="Arial"/>
                <w:sz w:val="16"/>
                <w:szCs w:val="16"/>
                <w:color w:val="auto"/>
              </w:rPr>
              <w:t>Net operating loss carryforwards</w:t>
            </w:r>
          </w:p>
        </w:tc>
        <w:tc>
          <w:tcPr>
            <w:tcW w:w="2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119</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115</w:t>
            </w:r>
          </w:p>
        </w:tc>
      </w:tr>
      <w:tr>
        <w:trPr>
          <w:trHeight w:val="294"/>
        </w:trPr>
        <w:tc>
          <w:tcPr>
            <w:tcW w:w="7680" w:type="dxa"/>
            <w:vAlign w:val="bottom"/>
          </w:tcPr>
          <w:p>
            <w:pPr>
              <w:spacing w:after="0"/>
              <w:rPr>
                <w:sz w:val="20"/>
                <w:szCs w:val="20"/>
                <w:color w:val="auto"/>
              </w:rPr>
            </w:pPr>
            <w:r>
              <w:rPr>
                <w:rFonts w:ascii="Arial" w:cs="Arial" w:eastAsia="Arial" w:hAnsi="Arial"/>
                <w:sz w:val="16"/>
                <w:szCs w:val="16"/>
                <w:color w:val="auto"/>
              </w:rPr>
              <w:t>Tax credits</w:t>
            </w:r>
          </w:p>
        </w:tc>
        <w:tc>
          <w:tcPr>
            <w:tcW w:w="2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176</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204</w:t>
            </w:r>
          </w:p>
        </w:tc>
      </w:tr>
      <w:tr>
        <w:trPr>
          <w:trHeight w:val="294"/>
        </w:trPr>
        <w:tc>
          <w:tcPr>
            <w:tcW w:w="7680" w:type="dxa"/>
            <w:vAlign w:val="bottom"/>
          </w:tcPr>
          <w:p>
            <w:pPr>
              <w:spacing w:after="0"/>
              <w:rPr>
                <w:sz w:val="20"/>
                <w:szCs w:val="20"/>
                <w:color w:val="auto"/>
              </w:rPr>
            </w:pPr>
            <w:r>
              <w:rPr>
                <w:rFonts w:ascii="Arial" w:cs="Arial" w:eastAsia="Arial" w:hAnsi="Arial"/>
                <w:sz w:val="16"/>
                <w:szCs w:val="16"/>
                <w:color w:val="auto"/>
              </w:rPr>
              <w:t>Investment securities</w:t>
            </w:r>
          </w:p>
        </w:tc>
        <w:tc>
          <w:tcPr>
            <w:tcW w:w="2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504</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775</w:t>
            </w:r>
          </w:p>
        </w:tc>
      </w:tr>
      <w:tr>
        <w:trPr>
          <w:trHeight w:val="294"/>
        </w:trPr>
        <w:tc>
          <w:tcPr>
            <w:tcW w:w="7680" w:type="dxa"/>
            <w:vAlign w:val="bottom"/>
          </w:tcPr>
          <w:p>
            <w:pPr>
              <w:spacing w:after="0"/>
              <w:rPr>
                <w:sz w:val="20"/>
                <w:szCs w:val="20"/>
                <w:color w:val="auto"/>
              </w:rPr>
            </w:pPr>
            <w:r>
              <w:rPr>
                <w:rFonts w:ascii="Arial" w:cs="Arial" w:eastAsia="Arial" w:hAnsi="Arial"/>
                <w:sz w:val="16"/>
                <w:szCs w:val="16"/>
                <w:color w:val="auto"/>
              </w:rPr>
              <w:t>Capital loss carryover</w:t>
            </w:r>
          </w:p>
        </w:tc>
        <w:tc>
          <w:tcPr>
            <w:tcW w:w="2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19</w:t>
            </w:r>
          </w:p>
        </w:tc>
      </w:tr>
      <w:tr>
        <w:trPr>
          <w:trHeight w:val="294"/>
        </w:trPr>
        <w:tc>
          <w:tcPr>
            <w:tcW w:w="7680" w:type="dxa"/>
            <w:vAlign w:val="bottom"/>
          </w:tcPr>
          <w:p>
            <w:pPr>
              <w:spacing w:after="0"/>
              <w:rPr>
                <w:sz w:val="20"/>
                <w:szCs w:val="20"/>
                <w:color w:val="auto"/>
              </w:rPr>
            </w:pPr>
            <w:r>
              <w:rPr>
                <w:rFonts w:ascii="Arial" w:cs="Arial" w:eastAsia="Arial" w:hAnsi="Arial"/>
                <w:sz w:val="16"/>
                <w:szCs w:val="16"/>
                <w:color w:val="auto"/>
              </w:rPr>
              <w:t>Life insurance and claim related adjustments</w:t>
            </w:r>
          </w:p>
        </w:tc>
        <w:tc>
          <w:tcPr>
            <w:tcW w:w="2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539</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451</w:t>
            </w:r>
          </w:p>
        </w:tc>
      </w:tr>
      <w:tr>
        <w:trPr>
          <w:trHeight w:val="294"/>
        </w:trPr>
        <w:tc>
          <w:tcPr>
            <w:tcW w:w="7680" w:type="dxa"/>
            <w:vAlign w:val="bottom"/>
          </w:tcPr>
          <w:p>
            <w:pPr>
              <w:spacing w:after="0"/>
              <w:rPr>
                <w:sz w:val="20"/>
                <w:szCs w:val="20"/>
                <w:color w:val="auto"/>
              </w:rPr>
            </w:pPr>
            <w:r>
              <w:rPr>
                <w:rFonts w:ascii="Arial" w:cs="Arial" w:eastAsia="Arial" w:hAnsi="Arial"/>
                <w:sz w:val="16"/>
                <w:szCs w:val="16"/>
                <w:color w:val="auto"/>
              </w:rPr>
              <w:t>Funds held under reinsurance agreements</w:t>
            </w:r>
          </w:p>
        </w:tc>
        <w:tc>
          <w:tcPr>
            <w:tcW w:w="2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1,178</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822</w:t>
            </w:r>
          </w:p>
        </w:tc>
      </w:tr>
      <w:tr>
        <w:trPr>
          <w:trHeight w:val="294"/>
        </w:trPr>
        <w:tc>
          <w:tcPr>
            <w:tcW w:w="7680" w:type="dxa"/>
            <w:vAlign w:val="bottom"/>
          </w:tcPr>
          <w:p>
            <w:pPr>
              <w:spacing w:after="0"/>
              <w:rPr>
                <w:sz w:val="20"/>
                <w:szCs w:val="20"/>
                <w:color w:val="auto"/>
              </w:rPr>
            </w:pPr>
            <w:r>
              <w:rPr>
                <w:rFonts w:ascii="Arial" w:cs="Arial" w:eastAsia="Arial" w:hAnsi="Arial"/>
                <w:sz w:val="16"/>
                <w:szCs w:val="16"/>
                <w:color w:val="auto"/>
              </w:rPr>
              <w:t>Market Risk Benefits</w:t>
            </w:r>
          </w:p>
        </w:tc>
        <w:tc>
          <w:tcPr>
            <w:tcW w:w="2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99</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56</w:t>
            </w:r>
          </w:p>
        </w:tc>
      </w:tr>
      <w:tr>
        <w:trPr>
          <w:trHeight w:val="279"/>
        </w:trPr>
        <w:tc>
          <w:tcPr>
            <w:tcW w:w="7680" w:type="dxa"/>
            <w:vAlign w:val="bottom"/>
          </w:tcPr>
          <w:p>
            <w:pPr>
              <w:spacing w:after="0"/>
              <w:rPr>
                <w:sz w:val="20"/>
                <w:szCs w:val="20"/>
                <w:color w:val="auto"/>
              </w:rPr>
            </w:pPr>
            <w:r>
              <w:rPr>
                <w:rFonts w:ascii="Arial" w:cs="Arial" w:eastAsia="Arial" w:hAnsi="Arial"/>
                <w:sz w:val="16"/>
                <w:szCs w:val="16"/>
                <w:color w:val="auto"/>
              </w:rPr>
              <w:t>Bermuda corporate income tax net operating loss carryforward</w:t>
            </w:r>
          </w:p>
        </w:tc>
        <w:tc>
          <w:tcPr>
            <w:tcW w:w="2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10</w:t>
            </w:r>
          </w:p>
        </w:tc>
      </w:tr>
      <w:tr>
        <w:trPr>
          <w:trHeight w:val="294"/>
        </w:trPr>
        <w:tc>
          <w:tcPr>
            <w:tcW w:w="7680" w:type="dxa"/>
            <w:vAlign w:val="bottom"/>
          </w:tcPr>
          <w:p>
            <w:pPr>
              <w:spacing w:after="0"/>
              <w:rPr>
                <w:sz w:val="20"/>
                <w:szCs w:val="20"/>
                <w:color w:val="auto"/>
              </w:rPr>
            </w:pPr>
            <w:r>
              <w:rPr>
                <w:rFonts w:ascii="Arial" w:cs="Arial" w:eastAsia="Arial" w:hAnsi="Arial"/>
                <w:sz w:val="16"/>
                <w:szCs w:val="16"/>
                <w:color w:val="auto"/>
              </w:rPr>
              <w:t>Section 263a Costs</w:t>
            </w:r>
          </w:p>
        </w:tc>
        <w:tc>
          <w:tcPr>
            <w:tcW w:w="2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30</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301"/>
        </w:trPr>
        <w:tc>
          <w:tcPr>
            <w:tcW w:w="7680" w:type="dxa"/>
            <w:vAlign w:val="bottom"/>
          </w:tcPr>
          <w:p>
            <w:pPr>
              <w:spacing w:after="0"/>
              <w:rPr>
                <w:sz w:val="20"/>
                <w:szCs w:val="20"/>
                <w:color w:val="auto"/>
              </w:rPr>
            </w:pPr>
            <w:r>
              <w:rPr>
                <w:rFonts w:ascii="Arial" w:cs="Arial" w:eastAsia="Arial" w:hAnsi="Arial"/>
                <w:sz w:val="16"/>
                <w:szCs w:val="16"/>
                <w:color w:val="auto"/>
              </w:rPr>
              <w:t>Other</w:t>
            </w:r>
          </w:p>
        </w:tc>
        <w:tc>
          <w:tcPr>
            <w:tcW w:w="2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w:t>
            </w:r>
          </w:p>
        </w:tc>
        <w:tc>
          <w:tcPr>
            <w:tcW w:w="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w:t>
            </w:r>
          </w:p>
        </w:tc>
      </w:tr>
      <w:tr>
        <w:trPr>
          <w:trHeight w:val="267"/>
        </w:trPr>
        <w:tc>
          <w:tcPr>
            <w:tcW w:w="7680" w:type="dxa"/>
            <w:vAlign w:val="bottom"/>
          </w:tcPr>
          <w:p>
            <w:pPr>
              <w:ind w:left="220"/>
              <w:spacing w:after="0"/>
              <w:rPr>
                <w:sz w:val="20"/>
                <w:szCs w:val="20"/>
                <w:color w:val="auto"/>
              </w:rPr>
            </w:pPr>
            <w:r>
              <w:rPr>
                <w:rFonts w:ascii="Arial" w:cs="Arial" w:eastAsia="Arial" w:hAnsi="Arial"/>
                <w:sz w:val="16"/>
                <w:szCs w:val="16"/>
                <w:color w:val="auto"/>
              </w:rPr>
              <w:t>Total gross deferred tax asset</w:t>
            </w:r>
          </w:p>
        </w:tc>
        <w:tc>
          <w:tcPr>
            <w:tcW w:w="22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2,821</w:t>
            </w: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2,623</w:t>
            </w:r>
          </w:p>
        </w:tc>
      </w:tr>
      <w:tr>
        <w:trPr>
          <w:trHeight w:val="301"/>
        </w:trPr>
        <w:tc>
          <w:tcPr>
            <w:tcW w:w="7680" w:type="dxa"/>
            <w:vAlign w:val="bottom"/>
          </w:tcPr>
          <w:p>
            <w:pPr>
              <w:ind w:left="220"/>
              <w:spacing w:after="0"/>
              <w:rPr>
                <w:sz w:val="20"/>
                <w:szCs w:val="20"/>
                <w:color w:val="auto"/>
              </w:rPr>
            </w:pPr>
            <w:r>
              <w:rPr>
                <w:rFonts w:ascii="Arial" w:cs="Arial" w:eastAsia="Arial" w:hAnsi="Arial"/>
                <w:sz w:val="16"/>
                <w:szCs w:val="16"/>
                <w:color w:val="auto"/>
              </w:rPr>
              <w:t>Less: valuation allowance</w:t>
            </w:r>
          </w:p>
        </w:tc>
        <w:tc>
          <w:tcPr>
            <w:tcW w:w="2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114</w:t>
            </w:r>
          </w:p>
        </w:tc>
        <w:tc>
          <w:tcPr>
            <w:tcW w:w="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164</w:t>
            </w:r>
          </w:p>
        </w:tc>
      </w:tr>
      <w:tr>
        <w:trPr>
          <w:trHeight w:val="274"/>
        </w:trPr>
        <w:tc>
          <w:tcPr>
            <w:tcW w:w="7680" w:type="dxa"/>
            <w:vAlign w:val="bottom"/>
          </w:tcPr>
          <w:p>
            <w:pPr>
              <w:ind w:left="220"/>
              <w:spacing w:after="0"/>
              <w:rPr>
                <w:sz w:val="20"/>
                <w:szCs w:val="20"/>
                <w:color w:val="auto"/>
              </w:rPr>
            </w:pPr>
            <w:r>
              <w:rPr>
                <w:rFonts w:ascii="Arial" w:cs="Arial" w:eastAsia="Arial" w:hAnsi="Arial"/>
                <w:sz w:val="16"/>
                <w:szCs w:val="16"/>
                <w:color w:val="auto"/>
              </w:rPr>
              <w:t>Total deferred tax asset</w:t>
            </w:r>
          </w:p>
        </w:tc>
        <w:tc>
          <w:tcPr>
            <w:tcW w:w="22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2,707</w:t>
            </w:r>
          </w:p>
        </w:tc>
        <w:tc>
          <w:tcPr>
            <w:tcW w:w="300" w:type="dxa"/>
            <w:vAlign w:val="bottom"/>
            <w:gridSpan w:val="2"/>
          </w:tcPr>
          <w:p>
            <w:pPr>
              <w:jc w:val="right"/>
              <w:ind w:right="22"/>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2,459</w:t>
            </w:r>
          </w:p>
        </w:tc>
      </w:tr>
      <w:tr>
        <w:trPr>
          <w:trHeight w:val="267"/>
        </w:trPr>
        <w:tc>
          <w:tcPr>
            <w:tcW w:w="7680" w:type="dxa"/>
            <w:vAlign w:val="bottom"/>
          </w:tcPr>
          <w:p>
            <w:pPr>
              <w:spacing w:after="0"/>
              <w:rPr>
                <w:sz w:val="20"/>
                <w:szCs w:val="20"/>
                <w:color w:val="auto"/>
              </w:rPr>
            </w:pPr>
            <w:r>
              <w:rPr>
                <w:rFonts w:ascii="Arial" w:cs="Arial" w:eastAsia="Arial" w:hAnsi="Arial"/>
                <w:sz w:val="16"/>
                <w:szCs w:val="16"/>
                <w:color w:val="auto"/>
              </w:rPr>
              <w:t>Deferred Tax Liabilities:</w:t>
            </w:r>
          </w:p>
        </w:tc>
        <w:tc>
          <w:tcPr>
            <w:tcW w:w="220" w:type="dxa"/>
            <w:vAlign w:val="bottom"/>
            <w:tcBorders>
              <w:top w:val="single" w:sz="8" w:color="auto"/>
            </w:tcBorders>
          </w:tcPr>
          <w:p>
            <w:pPr>
              <w:spacing w:after="0"/>
              <w:rPr>
                <w:sz w:val="23"/>
                <w:szCs w:val="23"/>
                <w:color w:val="auto"/>
              </w:rPr>
            </w:pPr>
          </w:p>
        </w:tc>
        <w:tc>
          <w:tcPr>
            <w:tcW w:w="720" w:type="dxa"/>
            <w:vAlign w:val="bottom"/>
            <w:tcBorders>
              <w:top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Borders>
              <w:top w:val="single" w:sz="8" w:color="auto"/>
            </w:tcBorders>
          </w:tcPr>
          <w:p>
            <w:pPr>
              <w:spacing w:after="0"/>
              <w:rPr>
                <w:sz w:val="23"/>
                <w:szCs w:val="23"/>
                <w:color w:val="auto"/>
              </w:rPr>
            </w:pPr>
          </w:p>
        </w:tc>
        <w:tc>
          <w:tcPr>
            <w:tcW w:w="720" w:type="dxa"/>
            <w:vAlign w:val="bottom"/>
            <w:tcBorders>
              <w:top w:val="single" w:sz="8" w:color="auto"/>
            </w:tcBorders>
          </w:tcPr>
          <w:p>
            <w:pPr>
              <w:spacing w:after="0"/>
              <w:rPr>
                <w:sz w:val="23"/>
                <w:szCs w:val="23"/>
                <w:color w:val="auto"/>
              </w:rPr>
            </w:pPr>
          </w:p>
        </w:tc>
      </w:tr>
      <w:tr>
        <w:trPr>
          <w:trHeight w:val="294"/>
        </w:trPr>
        <w:tc>
          <w:tcPr>
            <w:tcW w:w="7680" w:type="dxa"/>
            <w:vAlign w:val="bottom"/>
          </w:tcPr>
          <w:p>
            <w:pPr>
              <w:spacing w:after="0"/>
              <w:rPr>
                <w:sz w:val="20"/>
                <w:szCs w:val="20"/>
                <w:color w:val="auto"/>
              </w:rPr>
            </w:pPr>
            <w:r>
              <w:rPr>
                <w:rFonts w:ascii="Arial" w:cs="Arial" w:eastAsia="Arial" w:hAnsi="Arial"/>
                <w:sz w:val="16"/>
                <w:szCs w:val="16"/>
                <w:color w:val="auto"/>
              </w:rPr>
              <w:t>Title plant</w:t>
            </w:r>
          </w:p>
        </w:tc>
        <w:tc>
          <w:tcPr>
            <w:tcW w:w="22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(54)</w:t>
            </w:r>
          </w:p>
        </w:tc>
        <w:tc>
          <w:tcPr>
            <w:tcW w:w="300" w:type="dxa"/>
            <w:vAlign w:val="bottom"/>
            <w:gridSpan w:val="2"/>
          </w:tcPr>
          <w:p>
            <w:pPr>
              <w:jc w:val="right"/>
              <w:ind w:right="22"/>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(53)</w:t>
            </w:r>
          </w:p>
        </w:tc>
      </w:tr>
      <w:tr>
        <w:trPr>
          <w:trHeight w:val="294"/>
        </w:trPr>
        <w:tc>
          <w:tcPr>
            <w:tcW w:w="7680" w:type="dxa"/>
            <w:vAlign w:val="bottom"/>
          </w:tcPr>
          <w:p>
            <w:pPr>
              <w:spacing w:after="0"/>
              <w:rPr>
                <w:sz w:val="20"/>
                <w:szCs w:val="20"/>
                <w:color w:val="auto"/>
              </w:rPr>
            </w:pPr>
            <w:r>
              <w:rPr>
                <w:rFonts w:ascii="Arial" w:cs="Arial" w:eastAsia="Arial" w:hAnsi="Arial"/>
                <w:sz w:val="16"/>
                <w:szCs w:val="16"/>
                <w:color w:val="auto"/>
              </w:rPr>
              <w:t>Amortization of goodwill and intangible assets</w:t>
            </w:r>
          </w:p>
        </w:tc>
        <w:tc>
          <w:tcPr>
            <w:tcW w:w="2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(97)</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(71)</w:t>
            </w:r>
          </w:p>
        </w:tc>
      </w:tr>
      <w:tr>
        <w:trPr>
          <w:trHeight w:val="294"/>
        </w:trPr>
        <w:tc>
          <w:tcPr>
            <w:tcW w:w="7680" w:type="dxa"/>
            <w:vAlign w:val="bottom"/>
          </w:tcPr>
          <w:p>
            <w:pPr>
              <w:spacing w:after="0"/>
              <w:rPr>
                <w:sz w:val="20"/>
                <w:szCs w:val="20"/>
                <w:color w:val="auto"/>
              </w:rPr>
            </w:pPr>
            <w:r>
              <w:rPr>
                <w:rFonts w:ascii="Arial" w:cs="Arial" w:eastAsia="Arial" w:hAnsi="Arial"/>
                <w:sz w:val="16"/>
                <w:szCs w:val="16"/>
                <w:color w:val="auto"/>
              </w:rPr>
              <w:t>Other</w:t>
            </w:r>
          </w:p>
        </w:tc>
        <w:tc>
          <w:tcPr>
            <w:tcW w:w="2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(7)</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(11)</w:t>
            </w:r>
          </w:p>
        </w:tc>
      </w:tr>
      <w:tr>
        <w:trPr>
          <w:trHeight w:val="294"/>
        </w:trPr>
        <w:tc>
          <w:tcPr>
            <w:tcW w:w="7680" w:type="dxa"/>
            <w:vAlign w:val="bottom"/>
          </w:tcPr>
          <w:p>
            <w:pPr>
              <w:spacing w:after="0"/>
              <w:rPr>
                <w:sz w:val="20"/>
                <w:szCs w:val="20"/>
                <w:color w:val="auto"/>
              </w:rPr>
            </w:pPr>
            <w:r>
              <w:rPr>
                <w:rFonts w:ascii="Arial" w:cs="Arial" w:eastAsia="Arial" w:hAnsi="Arial"/>
                <w:sz w:val="16"/>
                <w:szCs w:val="16"/>
                <w:color w:val="auto"/>
              </w:rPr>
              <w:t>Depreciation</w:t>
            </w:r>
          </w:p>
        </w:tc>
        <w:tc>
          <w:tcPr>
            <w:tcW w:w="2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(21)</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(24)</w:t>
            </w:r>
          </w:p>
        </w:tc>
      </w:tr>
      <w:tr>
        <w:trPr>
          <w:trHeight w:val="294"/>
        </w:trPr>
        <w:tc>
          <w:tcPr>
            <w:tcW w:w="7680" w:type="dxa"/>
            <w:vAlign w:val="bottom"/>
          </w:tcPr>
          <w:p>
            <w:pPr>
              <w:spacing w:after="0"/>
              <w:rPr>
                <w:sz w:val="20"/>
                <w:szCs w:val="20"/>
                <w:color w:val="auto"/>
              </w:rPr>
            </w:pPr>
            <w:r>
              <w:rPr>
                <w:rFonts w:ascii="Arial" w:cs="Arial" w:eastAsia="Arial" w:hAnsi="Arial"/>
                <w:sz w:val="16"/>
                <w:szCs w:val="16"/>
                <w:color w:val="auto"/>
              </w:rPr>
              <w:t>Partnerships</w:t>
            </w:r>
          </w:p>
        </w:tc>
        <w:tc>
          <w:tcPr>
            <w:tcW w:w="2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(277)</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(198)</w:t>
            </w:r>
          </w:p>
        </w:tc>
      </w:tr>
      <w:tr>
        <w:trPr>
          <w:trHeight w:val="294"/>
        </w:trPr>
        <w:tc>
          <w:tcPr>
            <w:tcW w:w="7680" w:type="dxa"/>
            <w:vAlign w:val="bottom"/>
          </w:tcPr>
          <w:p>
            <w:pPr>
              <w:spacing w:after="0"/>
              <w:rPr>
                <w:sz w:val="20"/>
                <w:szCs w:val="20"/>
                <w:color w:val="auto"/>
              </w:rPr>
            </w:pPr>
            <w:r>
              <w:rPr>
                <w:rFonts w:ascii="Arial" w:cs="Arial" w:eastAsia="Arial" w:hAnsi="Arial"/>
                <w:sz w:val="16"/>
                <w:szCs w:val="16"/>
                <w:color w:val="auto"/>
              </w:rPr>
              <w:t>Value of business acquired</w:t>
            </w:r>
          </w:p>
        </w:tc>
        <w:tc>
          <w:tcPr>
            <w:tcW w:w="2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(251)</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(283)</w:t>
            </w:r>
          </w:p>
        </w:tc>
      </w:tr>
      <w:tr>
        <w:trPr>
          <w:trHeight w:val="294"/>
        </w:trPr>
        <w:tc>
          <w:tcPr>
            <w:tcW w:w="7680" w:type="dxa"/>
            <w:vAlign w:val="bottom"/>
          </w:tcPr>
          <w:p>
            <w:pPr>
              <w:spacing w:after="0"/>
              <w:rPr>
                <w:sz w:val="20"/>
                <w:szCs w:val="20"/>
                <w:color w:val="auto"/>
              </w:rPr>
            </w:pPr>
            <w:r>
              <w:rPr>
                <w:rFonts w:ascii="Arial" w:cs="Arial" w:eastAsia="Arial" w:hAnsi="Arial"/>
                <w:sz w:val="16"/>
                <w:szCs w:val="16"/>
                <w:color w:val="auto"/>
              </w:rPr>
              <w:t>Deferred acquisition costs</w:t>
            </w:r>
          </w:p>
        </w:tc>
        <w:tc>
          <w:tcPr>
            <w:tcW w:w="2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(677)</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(543)</w:t>
            </w:r>
          </w:p>
        </w:tc>
      </w:tr>
      <w:tr>
        <w:trPr>
          <w:trHeight w:val="294"/>
        </w:trPr>
        <w:tc>
          <w:tcPr>
            <w:tcW w:w="7680" w:type="dxa"/>
            <w:vAlign w:val="bottom"/>
          </w:tcPr>
          <w:p>
            <w:pPr>
              <w:spacing w:after="0"/>
              <w:rPr>
                <w:sz w:val="20"/>
                <w:szCs w:val="20"/>
                <w:color w:val="auto"/>
              </w:rPr>
            </w:pPr>
            <w:r>
              <w:rPr>
                <w:rFonts w:ascii="Arial" w:cs="Arial" w:eastAsia="Arial" w:hAnsi="Arial"/>
                <w:sz w:val="16"/>
                <w:szCs w:val="16"/>
                <w:color w:val="auto"/>
              </w:rPr>
              <w:t>Outside basis difference in F&amp;G</w:t>
            </w:r>
          </w:p>
        </w:tc>
        <w:tc>
          <w:tcPr>
            <w:tcW w:w="2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(404)</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94"/>
        </w:trPr>
        <w:tc>
          <w:tcPr>
            <w:tcW w:w="7680" w:type="dxa"/>
            <w:vAlign w:val="bottom"/>
          </w:tcPr>
          <w:p>
            <w:pPr>
              <w:spacing w:after="0"/>
              <w:rPr>
                <w:sz w:val="20"/>
                <w:szCs w:val="20"/>
                <w:color w:val="auto"/>
              </w:rPr>
            </w:pPr>
            <w:r>
              <w:rPr>
                <w:rFonts w:ascii="Arial" w:cs="Arial" w:eastAsia="Arial" w:hAnsi="Arial"/>
                <w:sz w:val="16"/>
                <w:szCs w:val="16"/>
                <w:color w:val="auto"/>
              </w:rPr>
              <w:t>Funds held under reinsurance agreements</w:t>
            </w:r>
          </w:p>
        </w:tc>
        <w:tc>
          <w:tcPr>
            <w:tcW w:w="2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(1,261)</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(945)</w:t>
            </w:r>
          </w:p>
        </w:tc>
      </w:tr>
      <w:tr>
        <w:trPr>
          <w:trHeight w:val="301"/>
        </w:trPr>
        <w:tc>
          <w:tcPr>
            <w:tcW w:w="7680" w:type="dxa"/>
            <w:vAlign w:val="bottom"/>
          </w:tcPr>
          <w:p>
            <w:pPr>
              <w:spacing w:after="0"/>
              <w:rPr>
                <w:sz w:val="20"/>
                <w:szCs w:val="20"/>
                <w:color w:val="auto"/>
              </w:rPr>
            </w:pPr>
            <w:r>
              <w:rPr>
                <w:rFonts w:ascii="Arial" w:cs="Arial" w:eastAsia="Arial" w:hAnsi="Arial"/>
                <w:sz w:val="16"/>
                <w:szCs w:val="16"/>
                <w:color w:val="auto"/>
              </w:rPr>
              <w:t>Title Insurance reserve discounting</w:t>
            </w:r>
          </w:p>
        </w:tc>
        <w:tc>
          <w:tcPr>
            <w:tcW w:w="2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w:t>
            </w:r>
          </w:p>
        </w:tc>
        <w:tc>
          <w:tcPr>
            <w:tcW w:w="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w:t>
            </w:r>
          </w:p>
        </w:tc>
      </w:tr>
      <w:tr>
        <w:trPr>
          <w:trHeight w:val="274"/>
        </w:trPr>
        <w:tc>
          <w:tcPr>
            <w:tcW w:w="7680" w:type="dxa"/>
            <w:vAlign w:val="bottom"/>
          </w:tcPr>
          <w:p>
            <w:pPr>
              <w:ind w:left="220"/>
              <w:spacing w:after="0"/>
              <w:rPr>
                <w:sz w:val="20"/>
                <w:szCs w:val="20"/>
                <w:color w:val="auto"/>
              </w:rPr>
            </w:pPr>
            <w:r>
              <w:rPr>
                <w:rFonts w:ascii="Arial" w:cs="Arial" w:eastAsia="Arial" w:hAnsi="Arial"/>
                <w:sz w:val="16"/>
                <w:szCs w:val="16"/>
                <w:color w:val="auto"/>
              </w:rPr>
              <w:t>Total deferred tax liability</w:t>
            </w:r>
          </w:p>
        </w:tc>
        <w:tc>
          <w:tcPr>
            <w:tcW w:w="22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(3,066)</w:t>
            </w:r>
          </w:p>
        </w:tc>
        <w:tc>
          <w:tcPr>
            <w:tcW w:w="80" w:type="dxa"/>
            <w:vAlign w:val="bottom"/>
          </w:tcPr>
          <w:p>
            <w:pPr>
              <w:spacing w:after="0"/>
              <w:rPr>
                <w:sz w:val="23"/>
                <w:szCs w:val="23"/>
                <w:color w:val="auto"/>
              </w:rPr>
            </w:pPr>
          </w:p>
        </w:tc>
        <w:tc>
          <w:tcPr>
            <w:tcW w:w="22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(2,144)</w:t>
            </w:r>
          </w:p>
        </w:tc>
      </w:tr>
      <w:tr>
        <w:trPr>
          <w:trHeight w:val="254"/>
        </w:trPr>
        <w:tc>
          <w:tcPr>
            <w:tcW w:w="7680" w:type="dxa"/>
            <w:vAlign w:val="bottom"/>
          </w:tcPr>
          <w:p>
            <w:pPr>
              <w:ind w:left="220"/>
              <w:spacing w:after="0"/>
              <w:rPr>
                <w:sz w:val="20"/>
                <w:szCs w:val="20"/>
                <w:color w:val="auto"/>
              </w:rPr>
            </w:pPr>
            <w:r>
              <w:rPr>
                <w:rFonts w:ascii="Arial" w:cs="Arial" w:eastAsia="Arial" w:hAnsi="Arial"/>
                <w:sz w:val="16"/>
                <w:szCs w:val="16"/>
                <w:color w:val="auto"/>
              </w:rPr>
              <w:t>Net deferred tax (liability) asset</w:t>
            </w:r>
          </w:p>
        </w:tc>
        <w:tc>
          <w:tcPr>
            <w:tcW w:w="22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(359)</w:t>
            </w:r>
          </w:p>
        </w:tc>
        <w:tc>
          <w:tcPr>
            <w:tcW w:w="300" w:type="dxa"/>
            <w:vAlign w:val="bottom"/>
            <w:gridSpan w:val="2"/>
          </w:tcPr>
          <w:p>
            <w:pPr>
              <w:jc w:val="right"/>
              <w:ind w:right="22"/>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315</w:t>
            </w:r>
          </w:p>
        </w:tc>
      </w:tr>
      <w:tr>
        <w:trPr>
          <w:trHeight w:val="20"/>
        </w:trPr>
        <w:tc>
          <w:tcPr>
            <w:tcW w:w="76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-5248910</wp:posOffset>
            </wp:positionV>
            <wp:extent cx="6186170" cy="525589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155">
                      <a:extLst>
                        <a:ext uri="{28A0092B-C50C-407E-A947-70E740481C1C}"/>
                      </a:extLst>
                    </a:blip>
                    <a:srcRect/>
                    <a:stretch>
                      <a:fillRect/>
                    </a:stretch>
                  </pic:blipFill>
                  <pic:spPr bwMode="auto">
                    <a:xfrm>
                      <a:off x="0" y="0"/>
                      <a:ext cx="6186170" cy="5255895"/>
                    </a:xfrm>
                    <a:prstGeom prst="rect">
                      <a:avLst/>
                    </a:prstGeom>
                    <a:noFill/>
                  </pic:spPr>
                </pic:pic>
              </a:graphicData>
            </a:graphic>
          </wp:anchor>
        </w:drawing>
      </w:r>
    </w:p>
    <w:p>
      <w:pPr>
        <w:spacing w:after="0" w:line="246" w:lineRule="exact"/>
        <w:rPr>
          <w:sz w:val="20"/>
          <w:szCs w:val="20"/>
          <w:color w:val="auto"/>
        </w:rPr>
      </w:pPr>
    </w:p>
    <w:p>
      <w:pPr>
        <w:jc w:val="both"/>
        <w:ind w:firstLine="353"/>
        <w:spacing w:after="0" w:line="298" w:lineRule="auto"/>
        <w:rPr>
          <w:sz w:val="20"/>
          <w:szCs w:val="20"/>
          <w:color w:val="auto"/>
        </w:rPr>
      </w:pPr>
      <w:r>
        <w:rPr>
          <w:rFonts w:ascii="Arial" w:cs="Arial" w:eastAsia="Arial" w:hAnsi="Arial"/>
          <w:sz w:val="17"/>
          <w:szCs w:val="17"/>
          <w:color w:val="auto"/>
        </w:rPr>
        <w:t>Our net deferred tax (liability) asset was $(359) million and $315 million as of December 31, 2025 and 2024, respectively. The significant changes in the deferred taxes are as follows: the deferred tax asset for investment securities decreased by $271 million primarily due to unrealized gains recorded for investment securities, of which $29 million was related to unrealized gains in our Title segment and $242 million was related to unrealized gains in our F&amp;G segment's life insurance business. The deferred tax liability related to deferred acquisition costs increased by $134 million, which is consistent with the growth in sales in our F&amp;G segment. The reinsurance receivable deferred tax asset increased by $356 million and the reinsurance receivable deferred tax liability increased by $316 million, both due to the increase in modified coinsurance reinsurance in the F&amp;G segment. The deferred tax asset relating to life insurance receivables increased by $88 million primarily due to GAAP reserves increasing more than tax reserves by F&amp;G. The deferred tax liability relating to partnerships increased by $79 million, of which $30 million relates to partnerships in our Title segment and $49 million relates to partnerships in our F&amp;G segment. In connection with the 2025 F&amp;G distribution, we recorded a deferred tax liability of $404 million for our outside basis difference in F&amp;G. This deferred tax liability represents the difference between the book basis and tax basis of the retained F&amp;G shares as of December 31, 2025, as we can no longer recover our investment tax free. $471 million was recorded through continuing operations, with the remaining movement in the deferred tax liability recorded through other comprehensive income and equity, following the accounting guidance regarding intraperiod allocation under ASC 740 and ASC 810. As a</w:t>
      </w:r>
    </w:p>
    <w:p>
      <w:pPr>
        <w:sectPr>
          <w:pgSz w:w="11880" w:h="15480" w:orient="portrait"/>
          <w:cols w:equalWidth="0" w:num="1">
            <w:col w:w="10040"/>
          </w:cols>
          <w:pgMar w:left="920" w:top="1027"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176</w:t>
      </w:r>
    </w:p>
    <w:p>
      <w:pPr>
        <w:sectPr>
          <w:pgSz w:w="11880" w:h="15480" w:orient="portrait"/>
          <w:cols w:equalWidth="0" w:num="1">
            <w:col w:w="10040"/>
          </w:cols>
          <w:pgMar w:left="920" w:top="1027" w:right="920" w:bottom="0" w:gutter="0" w:footer="0" w:header="0"/>
          <w:type w:val="continuous"/>
        </w:sectPr>
      </w:pPr>
    </w:p>
    <w:bookmarkStart w:id="188" w:name="page189"/>
    <w:bookmarkEnd w:id="188"/>
    <w:p>
      <w:pPr>
        <w:jc w:val="both"/>
        <w:spacing w:after="0" w:line="271" w:lineRule="auto"/>
        <w:rPr>
          <w:sz w:val="20"/>
          <w:szCs w:val="20"/>
          <w:color w:val="auto"/>
        </w:rPr>
      </w:pPr>
      <w:r>
        <w:rPr>
          <w:rFonts w:ascii="Arial" w:cs="Arial" w:eastAsia="Arial" w:hAnsi="Arial"/>
          <w:sz w:val="20"/>
          <w:szCs w:val="20"/>
          <w:color w:val="auto"/>
        </w:rPr>
        <w:t>result of the 2025 F&amp;G distribution, certain F&amp;G subsidiaries who have historically filed a consolidated tax return with FNF will no longer be eligible to file a consolidated tax return after the 2025 tax year.</w:t>
      </w:r>
    </w:p>
    <w:p>
      <w:pPr>
        <w:spacing w:after="0" w:line="69" w:lineRule="exact"/>
        <w:rPr>
          <w:sz w:val="20"/>
          <w:szCs w:val="20"/>
          <w:color w:val="auto"/>
        </w:rPr>
      </w:pPr>
    </w:p>
    <w:p>
      <w:pPr>
        <w:jc w:val="both"/>
        <w:ind w:firstLine="353"/>
        <w:spacing w:after="0" w:line="299" w:lineRule="auto"/>
        <w:rPr>
          <w:sz w:val="20"/>
          <w:szCs w:val="20"/>
          <w:color w:val="auto"/>
        </w:rPr>
      </w:pPr>
      <w:r>
        <w:rPr>
          <w:rFonts w:ascii="Arial" w:cs="Arial" w:eastAsia="Arial" w:hAnsi="Arial"/>
          <w:sz w:val="17"/>
          <w:szCs w:val="17"/>
          <w:color w:val="auto"/>
        </w:rPr>
        <w:t>As of December 31, 2025, we have net operating losses ("NOLs") on a pretax basis of $548 million, of which $42 million relates to our Title segment and $506 million relates to our F&amp;G segment's life insurance business, which are available to carryforward and offset future federal taxable income. The Title segment NOLs are U.S. federal NOLs arising from acquisitions made since 2012, including Buyers Protection Group, Inc., Digital Insurance Holdings, Inc. and THL Corporations (ServiceLink). Most of the NOLs are subject to an annual Internal Revenue Code Section 382 limitation. These losses will begin to expire in year 2034 and we fully anticipate utilizing the Title segment losses prior to expiration with the exception of $25 million of gross net operating losses that are offset by a $25 million valuation allowance in the Title segment. The F&amp;G NOLs are indefinite life U.S. federal NOLs arising from the life insurance business.</w:t>
      </w:r>
    </w:p>
    <w:p>
      <w:pPr>
        <w:spacing w:after="0" w:line="51" w:lineRule="exact"/>
        <w:rPr>
          <w:sz w:val="20"/>
          <w:szCs w:val="20"/>
          <w:color w:val="auto"/>
        </w:rPr>
      </w:pPr>
    </w:p>
    <w:p>
      <w:pPr>
        <w:jc w:val="both"/>
        <w:ind w:firstLine="353"/>
        <w:spacing w:after="0" w:line="266" w:lineRule="auto"/>
        <w:rPr>
          <w:sz w:val="20"/>
          <w:szCs w:val="20"/>
          <w:color w:val="auto"/>
        </w:rPr>
      </w:pPr>
      <w:r>
        <w:rPr>
          <w:rFonts w:ascii="Arial" w:cs="Arial" w:eastAsia="Arial" w:hAnsi="Arial"/>
          <w:sz w:val="19"/>
          <w:szCs w:val="19"/>
          <w:color w:val="auto"/>
        </w:rPr>
        <w:t>As of December 31, 2025 and 2024, we had $176 million and $204 million of tax credits, respectively, some of which have expiration dates and will begin to expire between 2029 and 2044. The credits primarily consist of general business credits and corporate alternative minimum tax credits, including $124 million associated with our F&amp;G segment's life insurance business. Our corporate alternative minimum tax credit has an indefinite life. We anticipate the remainder of the credits will be utilized prior to expiration with the exception of $31 million relating primarily to general business credits in our Title segment which have a corresponding $31 million valuation allowance recorded.</w:t>
      </w:r>
    </w:p>
    <w:p>
      <w:pPr>
        <w:spacing w:after="0" w:line="76" w:lineRule="exact"/>
        <w:rPr>
          <w:sz w:val="20"/>
          <w:szCs w:val="20"/>
          <w:color w:val="auto"/>
        </w:rPr>
      </w:pPr>
    </w:p>
    <w:p>
      <w:pPr>
        <w:jc w:val="both"/>
        <w:ind w:firstLine="353"/>
        <w:spacing w:after="0" w:line="251" w:lineRule="auto"/>
        <w:rPr>
          <w:sz w:val="20"/>
          <w:szCs w:val="20"/>
          <w:color w:val="auto"/>
        </w:rPr>
      </w:pPr>
      <w:r>
        <w:rPr>
          <w:rFonts w:ascii="Arial" w:cs="Arial" w:eastAsia="Arial" w:hAnsi="Arial"/>
          <w:sz w:val="20"/>
          <w:szCs w:val="20"/>
          <w:color w:val="auto"/>
        </w:rPr>
        <w:t>As of December 31, 2025, a valuation allowance of $71 million on the net deferred tax asset for capital losses was recorded, of which $34 million related to the Title segment and $37 million related to the F&amp;G segment. The net change in the capital loss valuation allowance was a $48 million decrease for the year ended December 31, 2025. This decrease to the valuation allowance was primarily due to fluctuations in the bond and equity markets, and to capital gains and losses generated in 2025.</w:t>
      </w:r>
    </w:p>
    <w:p>
      <w:pPr>
        <w:spacing w:after="0" w:line="91" w:lineRule="exact"/>
        <w:rPr>
          <w:sz w:val="20"/>
          <w:szCs w:val="20"/>
          <w:color w:val="auto"/>
        </w:rPr>
      </w:pPr>
    </w:p>
    <w:p>
      <w:pPr>
        <w:ind w:left="340"/>
        <w:spacing w:after="0"/>
        <w:rPr>
          <w:sz w:val="20"/>
          <w:szCs w:val="20"/>
          <w:color w:val="auto"/>
        </w:rPr>
      </w:pPr>
      <w:r>
        <w:rPr>
          <w:rFonts w:ascii="Arial" w:cs="Arial" w:eastAsia="Arial" w:hAnsi="Arial"/>
          <w:sz w:val="20"/>
          <w:szCs w:val="20"/>
          <w:color w:val="auto"/>
        </w:rPr>
        <w:t>As of December 31, 2025 and 2024, there were no unrecognized tax benefits.</w:t>
      </w:r>
    </w:p>
    <w:p>
      <w:pPr>
        <w:spacing w:after="0" w:line="146" w:lineRule="exact"/>
        <w:rPr>
          <w:sz w:val="20"/>
          <w:szCs w:val="20"/>
          <w:color w:val="auto"/>
        </w:rPr>
      </w:pPr>
    </w:p>
    <w:p>
      <w:pPr>
        <w:jc w:val="both"/>
        <w:ind w:firstLine="353"/>
        <w:spacing w:after="0" w:line="276" w:lineRule="auto"/>
        <w:rPr>
          <w:sz w:val="20"/>
          <w:szCs w:val="20"/>
          <w:color w:val="auto"/>
        </w:rPr>
      </w:pPr>
      <w:r>
        <w:rPr>
          <w:rFonts w:ascii="Arial" w:cs="Arial" w:eastAsia="Arial" w:hAnsi="Arial"/>
          <w:sz w:val="19"/>
          <w:szCs w:val="19"/>
          <w:color w:val="auto"/>
        </w:rPr>
        <w:t>F&amp;G's life insurance subsidiaries, as well as certain F&amp;G non-life subsidiaries file separate tax returns from the FNF consolidated group. Prepaid expenses and other assets in the accompanying Consolidated Balance Sheets as of December 31, 2025, includes: $82 million of deferred tax assets as well as $84 million of tax receivables related to F&amp;G subsidiaries who file separate tax returns. As of December 31, 2024, prepaid expenses and other assets included $20 million of deferred tax assets related to the FNF consolidated group as well as $6 million of tax receivables and $295 million of deferred tax assets related to F&amp;G subsidiaries who file separate tax returns.</w:t>
      </w:r>
    </w:p>
    <w:p>
      <w:pPr>
        <w:spacing w:after="0" w:line="68" w:lineRule="exact"/>
        <w:rPr>
          <w:sz w:val="20"/>
          <w:szCs w:val="20"/>
          <w:color w:val="auto"/>
        </w:rPr>
      </w:pPr>
    </w:p>
    <w:p>
      <w:pPr>
        <w:jc w:val="both"/>
        <w:ind w:firstLine="353"/>
        <w:spacing w:after="0" w:line="306" w:lineRule="auto"/>
        <w:rPr>
          <w:sz w:val="20"/>
          <w:szCs w:val="20"/>
          <w:color w:val="auto"/>
        </w:rPr>
      </w:pPr>
      <w:r>
        <w:rPr>
          <w:rFonts w:ascii="Arial" w:cs="Arial" w:eastAsia="Arial" w:hAnsi="Arial"/>
          <w:sz w:val="17"/>
          <w:szCs w:val="17"/>
          <w:color w:val="auto"/>
        </w:rPr>
        <w:t>We continue to be a participant in the Internal Revenue Service (“IRS”) Compliance Assurance Process that is a real-time audit. The 2025 U.S. federal income tax return remains open to examination by the IRS. We file income tax returns in various foreign and US state jurisdictions. Our state income tax returns for the 2021 through 2025 tax years remain subject to examination by state jurisdictions. The F&amp;G life insurance group files a separate consolidated return with the IRS. The F&amp;G federal income tax returns for 2020 through the current period remain open to examination by the IRS.</w:t>
      </w:r>
    </w:p>
    <w:p>
      <w:pPr>
        <w:spacing w:after="0" w:line="47" w:lineRule="exact"/>
        <w:rPr>
          <w:sz w:val="20"/>
          <w:szCs w:val="20"/>
          <w:color w:val="auto"/>
        </w:rPr>
      </w:pPr>
    </w:p>
    <w:p>
      <w:pPr>
        <w:jc w:val="both"/>
        <w:ind w:firstLine="353"/>
        <w:spacing w:after="0" w:line="312" w:lineRule="auto"/>
        <w:rPr>
          <w:sz w:val="20"/>
          <w:szCs w:val="20"/>
          <w:color w:val="auto"/>
        </w:rPr>
      </w:pPr>
      <w:r>
        <w:rPr>
          <w:rFonts w:ascii="Arial" w:cs="Arial" w:eastAsia="Arial" w:hAnsi="Arial"/>
          <w:sz w:val="17"/>
          <w:szCs w:val="17"/>
          <w:color w:val="auto"/>
        </w:rPr>
        <w:t>The Organization for Economic Cooperation and Development has developed guidance known as the Global Anti-Base Erosion Pillar Two minimum tax rules, or Pillar Two, which generally provide for a minimum effective tax rate of 15% and are intended to apply to tax years beginning in 2024. As of December 31, 2025, based on the countries in which we do business that have enacted legislation, the Company does not expect these rules to have a material impact on our income tax provision.</w:t>
      </w:r>
    </w:p>
    <w:p>
      <w:pPr>
        <w:spacing w:after="0" w:line="42" w:lineRule="exact"/>
        <w:rPr>
          <w:sz w:val="20"/>
          <w:szCs w:val="20"/>
          <w:color w:val="auto"/>
        </w:rPr>
      </w:pPr>
    </w:p>
    <w:p>
      <w:pPr>
        <w:jc w:val="both"/>
        <w:ind w:firstLine="353"/>
        <w:spacing w:after="0" w:line="258" w:lineRule="auto"/>
        <w:rPr>
          <w:sz w:val="20"/>
          <w:szCs w:val="20"/>
          <w:color w:val="auto"/>
        </w:rPr>
      </w:pPr>
      <w:r>
        <w:rPr>
          <w:rFonts w:ascii="Arial" w:cs="Arial" w:eastAsia="Arial" w:hAnsi="Arial"/>
          <w:sz w:val="20"/>
          <w:szCs w:val="20"/>
          <w:color w:val="auto"/>
        </w:rPr>
        <w:t>On July 4, 2025, the One Big Beautiful Bill Act ("OBBBA") was signed into law. The application of the OBBBA tax provisions did not result in material changes to the Company's total income tax expense or effective tax rate for the year ended December 31, 2025.</w:t>
      </w:r>
    </w:p>
    <w:p>
      <w:pPr>
        <w:spacing w:after="0" w:line="199" w:lineRule="exact"/>
        <w:rPr>
          <w:sz w:val="20"/>
          <w:szCs w:val="20"/>
          <w:color w:val="auto"/>
        </w:rPr>
      </w:pPr>
    </w:p>
    <w:p>
      <w:pPr>
        <w:jc w:val="both"/>
        <w:ind w:firstLine="353"/>
        <w:spacing w:after="0" w:line="271" w:lineRule="auto"/>
        <w:rPr>
          <w:sz w:val="20"/>
          <w:szCs w:val="20"/>
          <w:color w:val="auto"/>
        </w:rPr>
      </w:pPr>
      <w:r>
        <w:rPr>
          <w:rFonts w:ascii="Arial" w:cs="Arial" w:eastAsia="Arial" w:hAnsi="Arial"/>
          <w:sz w:val="19"/>
          <w:szCs w:val="19"/>
          <w:color w:val="auto"/>
        </w:rPr>
        <w:t>The Company considers its non-U.S. earnings to be indefinitely reinvested outside of the U.S. to the extent these earnings are not subject to the U.S. income tax under an anti-deferral tax regime. Given our intent to reinvest these earnings for an indefinite period of time, the Company has not accrued a deferred tax liability on these earnings. A determination of an unrecognized deferred tax liability related to these earnings is not practicable.</w:t>
      </w:r>
    </w:p>
    <w:p>
      <w:pPr>
        <w:sectPr>
          <w:pgSz w:w="11880" w:h="15480" w:orient="portrait"/>
          <w:cols w:equalWidth="0" w:num="1">
            <w:col w:w="10040"/>
          </w:cols>
          <w:pgMar w:left="920" w:top="772"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177</w:t>
      </w:r>
    </w:p>
    <w:p>
      <w:pPr>
        <w:sectPr>
          <w:pgSz w:w="11880" w:h="15480" w:orient="portrait"/>
          <w:cols w:equalWidth="0" w:num="1">
            <w:col w:w="10040"/>
          </w:cols>
          <w:pgMar w:left="920" w:top="772" w:right="920" w:bottom="0" w:gutter="0" w:footer="0" w:header="0"/>
          <w:type w:val="continuous"/>
        </w:sectPr>
      </w:pPr>
    </w:p>
    <w:bookmarkStart w:id="189" w:name="page190"/>
    <w:bookmarkEnd w:id="189"/>
    <w:p>
      <w:pPr>
        <w:spacing w:after="0"/>
        <w:rPr>
          <w:sz w:val="20"/>
          <w:szCs w:val="20"/>
          <w:color w:val="auto"/>
        </w:rPr>
      </w:pPr>
      <w:r>
        <w:rPr>
          <w:rFonts w:ascii="Arial" w:cs="Arial" w:eastAsia="Arial" w:hAnsi="Arial"/>
          <w:sz w:val="20"/>
          <w:szCs w:val="20"/>
          <w:b w:val="1"/>
          <w:bCs w:val="1"/>
          <w:color w:val="auto"/>
        </w:rPr>
        <w:t>Note T - Employee Benefit Plans</w:t>
      </w:r>
    </w:p>
    <w:p>
      <w:pPr>
        <w:spacing w:after="0" w:line="103" w:lineRule="exact"/>
        <w:rPr>
          <w:sz w:val="20"/>
          <w:szCs w:val="20"/>
          <w:color w:val="auto"/>
        </w:rPr>
      </w:pPr>
    </w:p>
    <w:p>
      <w:pPr>
        <w:ind w:left="340"/>
        <w:spacing w:after="0"/>
        <w:rPr>
          <w:sz w:val="20"/>
          <w:szCs w:val="20"/>
          <w:color w:val="auto"/>
        </w:rPr>
      </w:pPr>
      <w:r>
        <w:rPr>
          <w:rFonts w:ascii="Arial" w:cs="Arial" w:eastAsia="Arial" w:hAnsi="Arial"/>
          <w:sz w:val="20"/>
          <w:szCs w:val="20"/>
          <w:b w:val="1"/>
          <w:bCs w:val="1"/>
          <w:i w:val="1"/>
          <w:iCs w:val="1"/>
          <w:color w:val="auto"/>
        </w:rPr>
        <w:t>Stock Purchase Plan</w:t>
      </w:r>
    </w:p>
    <w:p>
      <w:pPr>
        <w:spacing w:after="0" w:line="110" w:lineRule="exact"/>
        <w:rPr>
          <w:sz w:val="20"/>
          <w:szCs w:val="20"/>
          <w:color w:val="auto"/>
        </w:rPr>
      </w:pPr>
    </w:p>
    <w:p>
      <w:pPr>
        <w:jc w:val="both"/>
        <w:ind w:firstLine="353"/>
        <w:spacing w:after="0" w:line="325" w:lineRule="auto"/>
        <w:rPr>
          <w:sz w:val="20"/>
          <w:szCs w:val="20"/>
          <w:color w:val="auto"/>
        </w:rPr>
      </w:pPr>
      <w:r>
        <w:rPr>
          <w:rFonts w:ascii="Arial" w:cs="Arial" w:eastAsia="Arial" w:hAnsi="Arial"/>
          <w:sz w:val="17"/>
          <w:szCs w:val="17"/>
          <w:color w:val="auto"/>
        </w:rPr>
        <w:t>During the three-year period ended December 31, 2025, our eligible employees could voluntarily participate in our employee stock purchase plan (“ESPP”) sponsored by us. Pursuant to the ESPP, employees may contribute an amount between 3% and 15% of their base salary and certain commissions. We contribute varying amounts as specified in the ESPP.</w:t>
      </w:r>
    </w:p>
    <w:p>
      <w:pPr>
        <w:spacing w:after="0" w:line="9" w:lineRule="exact"/>
        <w:rPr>
          <w:sz w:val="20"/>
          <w:szCs w:val="20"/>
          <w:color w:val="auto"/>
        </w:rPr>
      </w:pPr>
    </w:p>
    <w:p>
      <w:pPr>
        <w:jc w:val="both"/>
        <w:ind w:firstLine="353"/>
        <w:spacing w:after="0" w:line="271" w:lineRule="auto"/>
        <w:rPr>
          <w:sz w:val="20"/>
          <w:szCs w:val="20"/>
          <w:color w:val="auto"/>
        </w:rPr>
      </w:pPr>
      <w:r>
        <w:rPr>
          <w:rFonts w:ascii="Arial" w:cs="Arial" w:eastAsia="Arial" w:hAnsi="Arial"/>
          <w:sz w:val="20"/>
          <w:szCs w:val="20"/>
          <w:color w:val="auto"/>
        </w:rPr>
        <w:t>We contributed $51 million, $34 million, and $30 million to the ESPP in the years ended December 31, 2025, 2024, and 2023, respectively, in accordance with our matching contribution.</w:t>
      </w:r>
    </w:p>
    <w:p>
      <w:pPr>
        <w:spacing w:after="0" w:line="42" w:lineRule="exact"/>
        <w:rPr>
          <w:sz w:val="20"/>
          <w:szCs w:val="20"/>
          <w:color w:val="auto"/>
        </w:rPr>
      </w:pPr>
    </w:p>
    <w:p>
      <w:pPr>
        <w:ind w:left="340"/>
        <w:spacing w:after="0"/>
        <w:rPr>
          <w:sz w:val="20"/>
          <w:szCs w:val="20"/>
          <w:color w:val="auto"/>
        </w:rPr>
      </w:pPr>
      <w:r>
        <w:rPr>
          <w:rFonts w:ascii="Arial" w:cs="Arial" w:eastAsia="Arial" w:hAnsi="Arial"/>
          <w:sz w:val="20"/>
          <w:szCs w:val="20"/>
          <w:b w:val="1"/>
          <w:bCs w:val="1"/>
          <w:i w:val="1"/>
          <w:iCs w:val="1"/>
          <w:color w:val="auto"/>
        </w:rPr>
        <w:t>FNF 401(k) Profit Sharing Plan</w:t>
      </w:r>
    </w:p>
    <w:p>
      <w:pPr>
        <w:spacing w:after="0" w:line="110" w:lineRule="exact"/>
        <w:rPr>
          <w:sz w:val="20"/>
          <w:szCs w:val="20"/>
          <w:color w:val="auto"/>
        </w:rPr>
      </w:pPr>
    </w:p>
    <w:p>
      <w:pPr>
        <w:jc w:val="both"/>
        <w:ind w:firstLine="353"/>
        <w:spacing w:after="0" w:line="249" w:lineRule="auto"/>
        <w:rPr>
          <w:sz w:val="20"/>
          <w:szCs w:val="20"/>
          <w:color w:val="auto"/>
        </w:rPr>
      </w:pPr>
      <w:r>
        <w:rPr>
          <w:rFonts w:ascii="Arial" w:cs="Arial" w:eastAsia="Arial" w:hAnsi="Arial"/>
          <w:sz w:val="20"/>
          <w:szCs w:val="20"/>
          <w:color w:val="auto"/>
        </w:rPr>
        <w:t>During the three-year period ended December 31, 2025, we have offered our employees the opportunity to participate in our 401(k) profit sharing plan (the “401(k) Plan”), a qualified voluntary contributory savings plan that is available to substantially all of our employees. Eligible employees may contribute up to 40% of their pre-tax annual compensation, up to the amount allowed pursuant to the Internal Revenue Code. During the year ended December 31, 2025, 2024 and 2023, we made an employer match on the 401(k) Plan of $0.50 on each $1.00 contributed up to the first 6% of eligible earnings contributed to the 401(k) Plan by employees. The employer match was $50 million, $46 million, and $45 million for the years ended December 31, 2025, 2024 and 2023, respectively, and was credited based on the participant's individual investment elections in the FNF 401(k) Plan.</w:t>
      </w:r>
    </w:p>
    <w:p>
      <w:pPr>
        <w:spacing w:after="0" w:line="64" w:lineRule="exact"/>
        <w:rPr>
          <w:sz w:val="20"/>
          <w:szCs w:val="20"/>
          <w:color w:val="auto"/>
        </w:rPr>
      </w:pPr>
    </w:p>
    <w:p>
      <w:pPr>
        <w:ind w:left="340"/>
        <w:spacing w:after="0"/>
        <w:rPr>
          <w:sz w:val="20"/>
          <w:szCs w:val="20"/>
          <w:color w:val="auto"/>
        </w:rPr>
      </w:pPr>
      <w:r>
        <w:rPr>
          <w:rFonts w:ascii="Arial" w:cs="Arial" w:eastAsia="Arial" w:hAnsi="Arial"/>
          <w:sz w:val="20"/>
          <w:szCs w:val="20"/>
          <w:b w:val="1"/>
          <w:bCs w:val="1"/>
          <w:i w:val="1"/>
          <w:iCs w:val="1"/>
          <w:color w:val="auto"/>
        </w:rPr>
        <w:t>Omnibus Incentive Plan</w:t>
      </w:r>
    </w:p>
    <w:p>
      <w:pPr>
        <w:spacing w:after="0" w:line="110" w:lineRule="exact"/>
        <w:rPr>
          <w:sz w:val="20"/>
          <w:szCs w:val="20"/>
          <w:color w:val="auto"/>
        </w:rPr>
      </w:pPr>
    </w:p>
    <w:p>
      <w:pPr>
        <w:jc w:val="both"/>
        <w:ind w:firstLine="353"/>
        <w:spacing w:after="0" w:line="262" w:lineRule="auto"/>
        <w:rPr>
          <w:sz w:val="20"/>
          <w:szCs w:val="20"/>
          <w:color w:val="auto"/>
        </w:rPr>
      </w:pPr>
      <w:r>
        <w:rPr>
          <w:rFonts w:ascii="Arial" w:cs="Arial" w:eastAsia="Arial" w:hAnsi="Arial"/>
          <w:sz w:val="19"/>
          <w:szCs w:val="19"/>
          <w:color w:val="auto"/>
        </w:rPr>
        <w:t>In 2005, we established the FNT 2005 Omnibus Incentive Plan (as amended and restated, the “Omnibus Plan”) authorizing the issuance of up to 8 million shares of common stock, subject to the terms of the Omnibus Plan. On October 23, 2006; May 29, 2008; May 25, 2011; May 22, 2013; and June 15, 2016, the shareholders of FNF approved amendments to increase the number of shares for issuance under the Omnibus Plan by 16 million, 11 million, 6 million, 6 million, and 10 million shares, respectively. The primary purpose of the increases were to assure that we had adequate means to provide equity incentive compensation to our employees on a going-forward basis. The Omnibus Plan provides for the grant of stock options, stock appreciation rights, restricted stock, restricted stock units and performance shares, performance units, other cash and stock-based awards and dividend equivalents. As of December 31, 2025, there were 2,105,535 shares of restricted stock and no stock options outstanding under the Omnibus Plan. Awards granted are approved by the Compensation Committee of the Board of Directors.</w:t>
      </w:r>
    </w:p>
    <w:p>
      <w:pPr>
        <w:spacing w:after="0" w:line="77" w:lineRule="exact"/>
        <w:rPr>
          <w:sz w:val="20"/>
          <w:szCs w:val="20"/>
          <w:color w:val="auto"/>
        </w:rPr>
      </w:pPr>
    </w:p>
    <w:p>
      <w:pPr>
        <w:ind w:left="340"/>
        <w:spacing w:after="0"/>
        <w:rPr>
          <w:sz w:val="20"/>
          <w:szCs w:val="20"/>
          <w:color w:val="auto"/>
        </w:rPr>
      </w:pPr>
      <w:r>
        <w:rPr>
          <w:rFonts w:ascii="Arial" w:cs="Arial" w:eastAsia="Arial" w:hAnsi="Arial"/>
          <w:sz w:val="20"/>
          <w:szCs w:val="20"/>
          <w:b w:val="1"/>
          <w:bCs w:val="1"/>
          <w:i w:val="1"/>
          <w:iCs w:val="1"/>
          <w:color w:val="auto"/>
        </w:rPr>
        <w:t>F&amp;G Omnibus Incentive Plan</w:t>
      </w:r>
    </w:p>
    <w:p>
      <w:pPr>
        <w:spacing w:after="0" w:line="130" w:lineRule="exact"/>
        <w:rPr>
          <w:sz w:val="20"/>
          <w:szCs w:val="20"/>
          <w:color w:val="auto"/>
        </w:rPr>
      </w:pPr>
    </w:p>
    <w:p>
      <w:pPr>
        <w:jc w:val="both"/>
        <w:ind w:firstLine="353"/>
        <w:spacing w:after="0" w:line="299" w:lineRule="auto"/>
        <w:rPr>
          <w:sz w:val="20"/>
          <w:szCs w:val="20"/>
          <w:color w:val="auto"/>
        </w:rPr>
      </w:pPr>
      <w:r>
        <w:rPr>
          <w:rFonts w:ascii="Arial" w:cs="Arial" w:eastAsia="Arial" w:hAnsi="Arial"/>
          <w:sz w:val="17"/>
          <w:szCs w:val="17"/>
          <w:color w:val="auto"/>
        </w:rPr>
        <w:t>On June 1, 2020, in connection with the acquisition of F&amp;G, we assumed the shares that remained available for future awards under the FGL Holdings 2017 Omnibus Incentive Plan, as amended and restated (the “F&amp;G Omnibus Plan”) and converted such shares into 2,096,429 shares of FNF common stock that may be issued pursuant to future awards granted under the F&amp;G Omnibus Plan and 2,411,585 shares of FNF common stock that may be issued pursuant to outstanding stock options under the F&amp;G Omnibus Plan. Each unvested stock option assumed under the F&amp;G Omnibus Plan was converted into an FNF stock option and vests solely on the passage of time without any ongoing performance-vesting conditions. The options vest over a 3 year period, based on the option's initial grant date, and have a contractual life of 7 years. As of December 31, 2025, there were no shares of restricted stock and no stock options outstanding under the F&amp;G Omnibus Plan.</w:t>
      </w:r>
    </w:p>
    <w:p>
      <w:pPr>
        <w:spacing w:after="0" w:line="51" w:lineRule="exact"/>
        <w:rPr>
          <w:sz w:val="20"/>
          <w:szCs w:val="20"/>
          <w:color w:val="auto"/>
        </w:rPr>
      </w:pPr>
    </w:p>
    <w:p>
      <w:pPr>
        <w:ind w:left="340"/>
        <w:spacing w:after="0"/>
        <w:rPr>
          <w:sz w:val="20"/>
          <w:szCs w:val="20"/>
          <w:color w:val="auto"/>
        </w:rPr>
      </w:pPr>
      <w:r>
        <w:rPr>
          <w:rFonts w:ascii="Arial" w:cs="Arial" w:eastAsia="Arial" w:hAnsi="Arial"/>
          <w:sz w:val="20"/>
          <w:szCs w:val="20"/>
          <w:color w:val="auto"/>
        </w:rPr>
        <w:t>FNF stock option transactions under the F&amp;G Omnibus Plan for 2025, 2024, and 2023 are as follows:</w:t>
      </w:r>
    </w:p>
    <w:p>
      <w:pPr>
        <w:spacing w:after="0" w:line="79"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63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jc w:val="center"/>
              <w:ind w:right="102"/>
              <w:spacing w:after="0"/>
              <w:rPr>
                <w:sz w:val="20"/>
                <w:szCs w:val="20"/>
                <w:color w:val="auto"/>
              </w:rPr>
            </w:pPr>
            <w:r>
              <w:rPr>
                <w:rFonts w:ascii="Arial" w:cs="Arial" w:eastAsia="Arial" w:hAnsi="Arial"/>
                <w:sz w:val="16"/>
                <w:szCs w:val="16"/>
                <w:b w:val="1"/>
                <w:bCs w:val="1"/>
                <w:color w:val="auto"/>
                <w:w w:val="88"/>
              </w:rPr>
              <w:t>Weighted</w:t>
            </w:r>
          </w:p>
        </w:tc>
        <w:tc>
          <w:tcPr>
            <w:tcW w:w="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7"/>
        </w:trPr>
        <w:tc>
          <w:tcPr>
            <w:tcW w:w="6380" w:type="dxa"/>
            <w:vAlign w:val="bottom"/>
          </w:tcPr>
          <w:p>
            <w:pPr>
              <w:spacing w:after="0"/>
              <w:rPr>
                <w:sz w:val="13"/>
                <w:szCs w:val="13"/>
                <w:color w:val="auto"/>
              </w:rPr>
            </w:pPr>
          </w:p>
        </w:tc>
        <w:tc>
          <w:tcPr>
            <w:tcW w:w="1160" w:type="dxa"/>
            <w:vAlign w:val="bottom"/>
            <w:vMerge w:val="restart"/>
          </w:tcPr>
          <w:p>
            <w:pPr>
              <w:jc w:val="right"/>
              <w:ind w:right="242"/>
              <w:spacing w:after="0"/>
              <w:rPr>
                <w:sz w:val="20"/>
                <w:szCs w:val="20"/>
                <w:color w:val="auto"/>
              </w:rPr>
            </w:pPr>
            <w:r>
              <w:rPr>
                <w:rFonts w:ascii="Arial" w:cs="Arial" w:eastAsia="Arial" w:hAnsi="Arial"/>
                <w:sz w:val="16"/>
                <w:szCs w:val="16"/>
                <w:b w:val="1"/>
                <w:bCs w:val="1"/>
                <w:color w:val="auto"/>
              </w:rPr>
              <w:t>Options</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jc w:val="center"/>
              <w:ind w:right="102"/>
              <w:spacing w:after="0" w:line="157" w:lineRule="exact"/>
              <w:rPr>
                <w:sz w:val="20"/>
                <w:szCs w:val="20"/>
                <w:color w:val="auto"/>
              </w:rPr>
            </w:pPr>
            <w:r>
              <w:rPr>
                <w:rFonts w:ascii="Arial" w:cs="Arial" w:eastAsia="Arial" w:hAnsi="Arial"/>
                <w:sz w:val="16"/>
                <w:szCs w:val="16"/>
                <w:b w:val="1"/>
                <w:bCs w:val="1"/>
                <w:color w:val="auto"/>
                <w:w w:val="88"/>
              </w:rPr>
              <w:t>Average</w:t>
            </w:r>
          </w:p>
        </w:tc>
        <w:tc>
          <w:tcPr>
            <w:tcW w:w="80" w:type="dxa"/>
            <w:vAlign w:val="bottom"/>
          </w:tcPr>
          <w:p>
            <w:pPr>
              <w:spacing w:after="0"/>
              <w:rPr>
                <w:sz w:val="13"/>
                <w:szCs w:val="13"/>
                <w:color w:val="auto"/>
              </w:rPr>
            </w:pPr>
          </w:p>
        </w:tc>
        <w:tc>
          <w:tcPr>
            <w:tcW w:w="1160" w:type="dxa"/>
            <w:vAlign w:val="bottom"/>
            <w:vMerge w:val="restart"/>
          </w:tcPr>
          <w:p>
            <w:pPr>
              <w:jc w:val="right"/>
              <w:ind w:right="122"/>
              <w:spacing w:after="0"/>
              <w:rPr>
                <w:sz w:val="20"/>
                <w:szCs w:val="20"/>
                <w:color w:val="auto"/>
              </w:rPr>
            </w:pPr>
            <w:r>
              <w:rPr>
                <w:rFonts w:ascii="Arial" w:cs="Arial" w:eastAsia="Arial" w:hAnsi="Arial"/>
                <w:sz w:val="16"/>
                <w:szCs w:val="16"/>
                <w:b w:val="1"/>
                <w:bCs w:val="1"/>
                <w:color w:val="auto"/>
              </w:rPr>
              <w:t>Exercisable</w:t>
            </w:r>
          </w:p>
        </w:tc>
        <w:tc>
          <w:tcPr>
            <w:tcW w:w="0" w:type="dxa"/>
            <w:vAlign w:val="bottom"/>
          </w:tcPr>
          <w:p>
            <w:pPr>
              <w:spacing w:after="0"/>
              <w:rPr>
                <w:sz w:val="1"/>
                <w:szCs w:val="1"/>
                <w:color w:val="auto"/>
              </w:rPr>
            </w:pPr>
          </w:p>
        </w:tc>
      </w:tr>
      <w:tr>
        <w:trPr>
          <w:trHeight w:val="210"/>
        </w:trPr>
        <w:tc>
          <w:tcPr>
            <w:tcW w:w="6380" w:type="dxa"/>
            <w:vAlign w:val="bottom"/>
          </w:tcPr>
          <w:p>
            <w:pPr>
              <w:spacing w:after="0"/>
              <w:rPr>
                <w:sz w:val="18"/>
                <w:szCs w:val="18"/>
                <w:color w:val="auto"/>
              </w:rPr>
            </w:pPr>
          </w:p>
        </w:tc>
        <w:tc>
          <w:tcPr>
            <w:tcW w:w="116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w w:val="87"/>
              </w:rPr>
              <w:t>Exercise Price</w:t>
            </w:r>
          </w:p>
        </w:tc>
        <w:tc>
          <w:tcPr>
            <w:tcW w:w="80" w:type="dxa"/>
            <w:vAlign w:val="bottom"/>
          </w:tcPr>
          <w:p>
            <w:pPr>
              <w:spacing w:after="0"/>
              <w:rPr>
                <w:sz w:val="18"/>
                <w:szCs w:val="18"/>
                <w:color w:val="auto"/>
              </w:rPr>
            </w:pPr>
          </w:p>
        </w:tc>
        <w:tc>
          <w:tcPr>
            <w:tcW w:w="11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67"/>
        </w:trPr>
        <w:tc>
          <w:tcPr>
            <w:tcW w:w="6380" w:type="dxa"/>
            <w:vAlign w:val="bottom"/>
          </w:tcPr>
          <w:p>
            <w:pPr>
              <w:spacing w:after="0"/>
              <w:rPr>
                <w:sz w:val="20"/>
                <w:szCs w:val="20"/>
                <w:color w:val="auto"/>
              </w:rPr>
            </w:pPr>
            <w:r>
              <w:rPr>
                <w:rFonts w:ascii="Arial" w:cs="Arial" w:eastAsia="Arial" w:hAnsi="Arial"/>
                <w:sz w:val="16"/>
                <w:szCs w:val="16"/>
                <w:color w:val="auto"/>
              </w:rPr>
              <w:t>Balance January 1, 2023</w:t>
            </w:r>
          </w:p>
        </w:tc>
        <w:tc>
          <w:tcPr>
            <w:tcW w:w="1160" w:type="dxa"/>
            <w:vAlign w:val="bottom"/>
          </w:tcPr>
          <w:p>
            <w:pPr>
              <w:jc w:val="right"/>
              <w:spacing w:after="0"/>
              <w:rPr>
                <w:sz w:val="20"/>
                <w:szCs w:val="20"/>
                <w:color w:val="auto"/>
              </w:rPr>
            </w:pPr>
            <w:r>
              <w:rPr>
                <w:rFonts w:ascii="Arial" w:cs="Arial" w:eastAsia="Arial" w:hAnsi="Arial"/>
                <w:sz w:val="16"/>
                <w:szCs w:val="16"/>
                <w:color w:val="auto"/>
              </w:rPr>
              <w:t>1,172,607</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35.15</w:t>
            </w:r>
          </w:p>
        </w:tc>
        <w:tc>
          <w:tcPr>
            <w:tcW w:w="1240" w:type="dxa"/>
            <w:vAlign w:val="bottom"/>
            <w:gridSpan w:val="2"/>
          </w:tcPr>
          <w:p>
            <w:pPr>
              <w:jc w:val="right"/>
              <w:spacing w:after="0"/>
              <w:rPr>
                <w:sz w:val="20"/>
                <w:szCs w:val="20"/>
                <w:color w:val="auto"/>
              </w:rPr>
            </w:pPr>
            <w:r>
              <w:rPr>
                <w:rFonts w:ascii="Arial" w:cs="Arial" w:eastAsia="Arial" w:hAnsi="Arial"/>
                <w:sz w:val="16"/>
                <w:szCs w:val="16"/>
                <w:color w:val="auto"/>
              </w:rPr>
              <w:t>1,172,607</w:t>
            </w:r>
          </w:p>
        </w:tc>
        <w:tc>
          <w:tcPr>
            <w:tcW w:w="0" w:type="dxa"/>
            <w:vAlign w:val="bottom"/>
          </w:tcPr>
          <w:p>
            <w:pPr>
              <w:spacing w:after="0"/>
              <w:rPr>
                <w:sz w:val="1"/>
                <w:szCs w:val="1"/>
                <w:color w:val="auto"/>
              </w:rPr>
            </w:pPr>
          </w:p>
        </w:tc>
      </w:tr>
      <w:tr>
        <w:trPr>
          <w:trHeight w:val="294"/>
        </w:trPr>
        <w:tc>
          <w:tcPr>
            <w:tcW w:w="6380" w:type="dxa"/>
            <w:vAlign w:val="bottom"/>
          </w:tcPr>
          <w:p>
            <w:pPr>
              <w:ind w:left="240"/>
              <w:spacing w:after="0"/>
              <w:rPr>
                <w:sz w:val="20"/>
                <w:szCs w:val="20"/>
                <w:color w:val="auto"/>
              </w:rPr>
            </w:pPr>
            <w:r>
              <w:rPr>
                <w:rFonts w:ascii="Arial" w:cs="Arial" w:eastAsia="Arial" w:hAnsi="Arial"/>
                <w:sz w:val="16"/>
                <w:szCs w:val="16"/>
                <w:color w:val="auto"/>
              </w:rPr>
              <w:t>Exercised</w:t>
            </w:r>
          </w:p>
        </w:tc>
        <w:tc>
          <w:tcPr>
            <w:tcW w:w="1160" w:type="dxa"/>
            <w:vAlign w:val="bottom"/>
          </w:tcPr>
          <w:p>
            <w:pPr>
              <w:jc w:val="right"/>
              <w:spacing w:after="0"/>
              <w:rPr>
                <w:sz w:val="20"/>
                <w:szCs w:val="20"/>
                <w:color w:val="auto"/>
              </w:rPr>
            </w:pPr>
            <w:r>
              <w:rPr>
                <w:rFonts w:ascii="Arial" w:cs="Arial" w:eastAsia="Arial" w:hAnsi="Arial"/>
                <w:sz w:val="16"/>
                <w:szCs w:val="16"/>
                <w:color w:val="auto"/>
              </w:rPr>
              <w:t>(502,414)</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30.31</w:t>
            </w: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1"/>
        </w:trPr>
        <w:tc>
          <w:tcPr>
            <w:tcW w:w="6380" w:type="dxa"/>
            <w:vAlign w:val="bottom"/>
          </w:tcPr>
          <w:p>
            <w:pPr>
              <w:ind w:left="240"/>
              <w:spacing w:after="0"/>
              <w:rPr>
                <w:sz w:val="20"/>
                <w:szCs w:val="20"/>
                <w:color w:val="auto"/>
              </w:rPr>
            </w:pPr>
            <w:r>
              <w:rPr>
                <w:rFonts w:ascii="Arial" w:cs="Arial" w:eastAsia="Arial" w:hAnsi="Arial"/>
                <w:sz w:val="16"/>
                <w:szCs w:val="16"/>
                <w:color w:val="auto"/>
              </w:rPr>
              <w:t>Canceled</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(26,570)</w:t>
            </w:r>
          </w:p>
        </w:tc>
        <w:tc>
          <w:tcPr>
            <w:tcW w:w="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38.07</w:t>
            </w: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6380" w:type="dxa"/>
            <w:vAlign w:val="bottom"/>
          </w:tcPr>
          <w:p>
            <w:pPr>
              <w:spacing w:after="0"/>
              <w:rPr>
                <w:sz w:val="20"/>
                <w:szCs w:val="20"/>
                <w:color w:val="auto"/>
              </w:rPr>
            </w:pPr>
            <w:r>
              <w:rPr>
                <w:rFonts w:ascii="Arial" w:cs="Arial" w:eastAsia="Arial" w:hAnsi="Arial"/>
                <w:sz w:val="16"/>
                <w:szCs w:val="16"/>
                <w:color w:val="auto"/>
              </w:rPr>
              <w:t>Balance, December 31, 2023</w:t>
            </w:r>
          </w:p>
        </w:tc>
        <w:tc>
          <w:tcPr>
            <w:tcW w:w="1160" w:type="dxa"/>
            <w:vAlign w:val="bottom"/>
          </w:tcPr>
          <w:p>
            <w:pPr>
              <w:jc w:val="right"/>
              <w:spacing w:after="0"/>
              <w:rPr>
                <w:sz w:val="20"/>
                <w:szCs w:val="20"/>
                <w:color w:val="auto"/>
              </w:rPr>
            </w:pPr>
            <w:r>
              <w:rPr>
                <w:rFonts w:ascii="Arial" w:cs="Arial" w:eastAsia="Arial" w:hAnsi="Arial"/>
                <w:sz w:val="16"/>
                <w:szCs w:val="16"/>
                <w:color w:val="auto"/>
              </w:rPr>
              <w:t>643,623</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38.8</w:t>
            </w:r>
          </w:p>
        </w:tc>
        <w:tc>
          <w:tcPr>
            <w:tcW w:w="1240" w:type="dxa"/>
            <w:vAlign w:val="bottom"/>
            <w:gridSpan w:val="2"/>
          </w:tcPr>
          <w:p>
            <w:pPr>
              <w:jc w:val="right"/>
              <w:spacing w:after="0"/>
              <w:rPr>
                <w:sz w:val="20"/>
                <w:szCs w:val="20"/>
                <w:color w:val="auto"/>
              </w:rPr>
            </w:pPr>
            <w:r>
              <w:rPr>
                <w:rFonts w:ascii="Arial" w:cs="Arial" w:eastAsia="Arial" w:hAnsi="Arial"/>
                <w:sz w:val="16"/>
                <w:szCs w:val="16"/>
                <w:color w:val="auto"/>
              </w:rPr>
              <w:t>643,623</w:t>
            </w:r>
          </w:p>
        </w:tc>
        <w:tc>
          <w:tcPr>
            <w:tcW w:w="0" w:type="dxa"/>
            <w:vAlign w:val="bottom"/>
          </w:tcPr>
          <w:p>
            <w:pPr>
              <w:spacing w:after="0"/>
              <w:rPr>
                <w:sz w:val="1"/>
                <w:szCs w:val="1"/>
                <w:color w:val="auto"/>
              </w:rPr>
            </w:pPr>
          </w:p>
        </w:tc>
      </w:tr>
      <w:tr>
        <w:trPr>
          <w:trHeight w:val="294"/>
        </w:trPr>
        <w:tc>
          <w:tcPr>
            <w:tcW w:w="6380" w:type="dxa"/>
            <w:vAlign w:val="bottom"/>
          </w:tcPr>
          <w:p>
            <w:pPr>
              <w:ind w:left="220"/>
              <w:spacing w:after="0"/>
              <w:rPr>
                <w:sz w:val="20"/>
                <w:szCs w:val="20"/>
                <w:color w:val="auto"/>
              </w:rPr>
            </w:pPr>
            <w:r>
              <w:rPr>
                <w:rFonts w:ascii="Arial" w:cs="Arial" w:eastAsia="Arial" w:hAnsi="Arial"/>
                <w:sz w:val="16"/>
                <w:szCs w:val="16"/>
                <w:color w:val="auto"/>
              </w:rPr>
              <w:t>Exercised</w:t>
            </w:r>
          </w:p>
        </w:tc>
        <w:tc>
          <w:tcPr>
            <w:tcW w:w="1160" w:type="dxa"/>
            <w:vAlign w:val="bottom"/>
          </w:tcPr>
          <w:p>
            <w:pPr>
              <w:jc w:val="right"/>
              <w:spacing w:after="0"/>
              <w:rPr>
                <w:sz w:val="20"/>
                <w:szCs w:val="20"/>
                <w:color w:val="auto"/>
              </w:rPr>
            </w:pPr>
            <w:r>
              <w:rPr>
                <w:rFonts w:ascii="Arial" w:cs="Arial" w:eastAsia="Arial" w:hAnsi="Arial"/>
                <w:sz w:val="16"/>
                <w:szCs w:val="16"/>
                <w:color w:val="auto"/>
              </w:rPr>
              <w:t>(543,623)</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38.74</w:t>
            </w: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1"/>
        </w:trPr>
        <w:tc>
          <w:tcPr>
            <w:tcW w:w="6380" w:type="dxa"/>
            <w:vAlign w:val="bottom"/>
          </w:tcPr>
          <w:p>
            <w:pPr>
              <w:ind w:left="220"/>
              <w:spacing w:after="0"/>
              <w:rPr>
                <w:sz w:val="20"/>
                <w:szCs w:val="20"/>
                <w:color w:val="auto"/>
              </w:rPr>
            </w:pPr>
            <w:r>
              <w:rPr>
                <w:rFonts w:ascii="Arial" w:cs="Arial" w:eastAsia="Arial" w:hAnsi="Arial"/>
                <w:sz w:val="16"/>
                <w:szCs w:val="16"/>
                <w:color w:val="auto"/>
              </w:rPr>
              <w:t>Canceled</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6380" w:type="dxa"/>
            <w:vAlign w:val="bottom"/>
          </w:tcPr>
          <w:p>
            <w:pPr>
              <w:spacing w:after="0"/>
              <w:rPr>
                <w:sz w:val="20"/>
                <w:szCs w:val="20"/>
                <w:color w:val="auto"/>
              </w:rPr>
            </w:pPr>
            <w:r>
              <w:rPr>
                <w:rFonts w:ascii="Arial" w:cs="Arial" w:eastAsia="Arial" w:hAnsi="Arial"/>
                <w:sz w:val="16"/>
                <w:szCs w:val="16"/>
                <w:color w:val="auto"/>
              </w:rPr>
              <w:t>Balance, December 31, 2024</w:t>
            </w:r>
          </w:p>
        </w:tc>
        <w:tc>
          <w:tcPr>
            <w:tcW w:w="1160" w:type="dxa"/>
            <w:vAlign w:val="bottom"/>
          </w:tcPr>
          <w:p>
            <w:pPr>
              <w:jc w:val="right"/>
              <w:spacing w:after="0"/>
              <w:rPr>
                <w:sz w:val="20"/>
                <w:szCs w:val="20"/>
                <w:color w:val="auto"/>
              </w:rPr>
            </w:pPr>
            <w:r>
              <w:rPr>
                <w:rFonts w:ascii="Arial" w:cs="Arial" w:eastAsia="Arial" w:hAnsi="Arial"/>
                <w:sz w:val="16"/>
                <w:szCs w:val="16"/>
                <w:color w:val="auto"/>
              </w:rPr>
              <w:t>100,000</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39.10</w:t>
            </w:r>
          </w:p>
        </w:tc>
        <w:tc>
          <w:tcPr>
            <w:tcW w:w="1240" w:type="dxa"/>
            <w:vAlign w:val="bottom"/>
            <w:gridSpan w:val="2"/>
          </w:tcPr>
          <w:p>
            <w:pPr>
              <w:jc w:val="right"/>
              <w:spacing w:after="0"/>
              <w:rPr>
                <w:sz w:val="20"/>
                <w:szCs w:val="20"/>
                <w:color w:val="auto"/>
              </w:rPr>
            </w:pPr>
            <w:r>
              <w:rPr>
                <w:rFonts w:ascii="Arial" w:cs="Arial" w:eastAsia="Arial" w:hAnsi="Arial"/>
                <w:sz w:val="16"/>
                <w:szCs w:val="16"/>
                <w:color w:val="auto"/>
              </w:rPr>
              <w:t>100,000</w:t>
            </w:r>
          </w:p>
        </w:tc>
        <w:tc>
          <w:tcPr>
            <w:tcW w:w="0" w:type="dxa"/>
            <w:vAlign w:val="bottom"/>
          </w:tcPr>
          <w:p>
            <w:pPr>
              <w:spacing w:after="0"/>
              <w:rPr>
                <w:sz w:val="1"/>
                <w:szCs w:val="1"/>
                <w:color w:val="auto"/>
              </w:rPr>
            </w:pPr>
          </w:p>
        </w:tc>
      </w:tr>
      <w:tr>
        <w:trPr>
          <w:trHeight w:val="301"/>
        </w:trPr>
        <w:tc>
          <w:tcPr>
            <w:tcW w:w="6380" w:type="dxa"/>
            <w:vAlign w:val="bottom"/>
          </w:tcPr>
          <w:p>
            <w:pPr>
              <w:ind w:left="220"/>
              <w:spacing w:after="0"/>
              <w:rPr>
                <w:sz w:val="20"/>
                <w:szCs w:val="20"/>
                <w:color w:val="auto"/>
              </w:rPr>
            </w:pPr>
            <w:r>
              <w:rPr>
                <w:rFonts w:ascii="Arial" w:cs="Arial" w:eastAsia="Arial" w:hAnsi="Arial"/>
                <w:sz w:val="16"/>
                <w:szCs w:val="16"/>
                <w:color w:val="auto"/>
              </w:rPr>
              <w:t>Exercised</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(100,000)</w:t>
            </w:r>
          </w:p>
        </w:tc>
        <w:tc>
          <w:tcPr>
            <w:tcW w:w="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39.10</w:t>
            </w: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4"/>
        </w:trPr>
        <w:tc>
          <w:tcPr>
            <w:tcW w:w="6380" w:type="dxa"/>
            <w:vAlign w:val="bottom"/>
          </w:tcPr>
          <w:p>
            <w:pPr>
              <w:spacing w:after="0"/>
              <w:rPr>
                <w:sz w:val="20"/>
                <w:szCs w:val="20"/>
                <w:color w:val="auto"/>
              </w:rPr>
            </w:pPr>
            <w:r>
              <w:rPr>
                <w:rFonts w:ascii="Arial" w:cs="Arial" w:eastAsia="Arial" w:hAnsi="Arial"/>
                <w:sz w:val="16"/>
                <w:szCs w:val="16"/>
                <w:color w:val="auto"/>
              </w:rPr>
              <w:t>Balance, December 31, 2025</w:t>
            </w: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638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-1711325</wp:posOffset>
            </wp:positionV>
            <wp:extent cx="6391275" cy="171831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156">
                      <a:extLst>
                        <a:ext uri="{28A0092B-C50C-407E-A947-70E740481C1C}"/>
                      </a:extLst>
                    </a:blip>
                    <a:srcRect/>
                    <a:stretch>
                      <a:fillRect/>
                    </a:stretch>
                  </pic:blipFill>
                  <pic:spPr bwMode="auto">
                    <a:xfrm>
                      <a:off x="0" y="0"/>
                      <a:ext cx="6391275" cy="1718310"/>
                    </a:xfrm>
                    <a:prstGeom prst="rect">
                      <a:avLst/>
                    </a:prstGeom>
                    <a:noFill/>
                  </pic:spPr>
                </pic:pic>
              </a:graphicData>
            </a:graphic>
          </wp:anchor>
        </w:drawing>
      </w:r>
    </w:p>
    <w:p>
      <w:pPr>
        <w:sectPr>
          <w:pgSz w:w="11880" w:h="15480" w:orient="portrait"/>
          <w:cols w:equalWidth="0" w:num="1">
            <w:col w:w="10040"/>
          </w:cols>
          <w:pgMar w:left="920" w:top="765"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178</w:t>
      </w:r>
    </w:p>
    <w:p>
      <w:pPr>
        <w:sectPr>
          <w:pgSz w:w="11880" w:h="15480" w:orient="portrait"/>
          <w:cols w:equalWidth="0" w:num="1">
            <w:col w:w="10040"/>
          </w:cols>
          <w:pgMar w:left="920" w:top="765" w:right="920" w:bottom="0" w:gutter="0" w:footer="0" w:header="0"/>
          <w:type w:val="continuous"/>
        </w:sectPr>
      </w:pPr>
    </w:p>
    <w:bookmarkStart w:id="190" w:name="page191"/>
    <w:bookmarkEnd w:id="190"/>
    <w:p>
      <w:pPr>
        <w:ind w:left="340"/>
        <w:spacing w:after="0"/>
        <w:rPr>
          <w:sz w:val="20"/>
          <w:szCs w:val="20"/>
          <w:color w:val="auto"/>
        </w:rPr>
      </w:pPr>
      <w:r>
        <w:rPr>
          <w:rFonts w:ascii="Arial" w:cs="Arial" w:eastAsia="Arial" w:hAnsi="Arial"/>
          <w:sz w:val="20"/>
          <w:szCs w:val="20"/>
          <w:color w:val="auto"/>
        </w:rPr>
        <w:t>FNF restricted stock transactions under the Omnibus Plan in 2025, 2024, and 2023 are as follows:</w:t>
      </w:r>
    </w:p>
    <w:p>
      <w:pPr>
        <w:spacing w:after="0" w:line="98"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77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jc w:val="center"/>
              <w:ind w:right="62"/>
              <w:spacing w:after="0"/>
              <w:rPr>
                <w:sz w:val="20"/>
                <w:szCs w:val="20"/>
                <w:color w:val="auto"/>
              </w:rPr>
            </w:pPr>
            <w:r>
              <w:rPr>
                <w:rFonts w:ascii="Arial" w:cs="Arial" w:eastAsia="Arial" w:hAnsi="Arial"/>
                <w:sz w:val="16"/>
                <w:szCs w:val="16"/>
                <w:b w:val="1"/>
                <w:bCs w:val="1"/>
                <w:color w:val="auto"/>
                <w:w w:val="91"/>
              </w:rPr>
              <w:t>Weighted</w:t>
            </w:r>
          </w:p>
        </w:tc>
        <w:tc>
          <w:tcPr>
            <w:tcW w:w="0" w:type="dxa"/>
            <w:vAlign w:val="bottom"/>
          </w:tcPr>
          <w:p>
            <w:pPr>
              <w:spacing w:after="0"/>
              <w:rPr>
                <w:sz w:val="1"/>
                <w:szCs w:val="1"/>
                <w:color w:val="auto"/>
              </w:rPr>
            </w:pPr>
          </w:p>
        </w:tc>
      </w:tr>
      <w:tr>
        <w:trPr>
          <w:trHeight w:val="157"/>
        </w:trPr>
        <w:tc>
          <w:tcPr>
            <w:tcW w:w="77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tcPr>
          <w:p>
            <w:pPr>
              <w:jc w:val="center"/>
              <w:ind w:right="62"/>
              <w:spacing w:after="0" w:line="157" w:lineRule="exact"/>
              <w:rPr>
                <w:sz w:val="20"/>
                <w:szCs w:val="20"/>
                <w:color w:val="auto"/>
              </w:rPr>
            </w:pPr>
            <w:r>
              <w:rPr>
                <w:rFonts w:ascii="Arial" w:cs="Arial" w:eastAsia="Arial" w:hAnsi="Arial"/>
                <w:sz w:val="16"/>
                <w:szCs w:val="16"/>
                <w:b w:val="1"/>
                <w:bCs w:val="1"/>
                <w:color w:val="auto"/>
                <w:w w:val="85"/>
              </w:rPr>
              <w:t>Average</w:t>
            </w:r>
          </w:p>
        </w:tc>
        <w:tc>
          <w:tcPr>
            <w:tcW w:w="0" w:type="dxa"/>
            <w:vAlign w:val="bottom"/>
          </w:tcPr>
          <w:p>
            <w:pPr>
              <w:spacing w:after="0"/>
              <w:rPr>
                <w:sz w:val="1"/>
                <w:szCs w:val="1"/>
                <w:color w:val="auto"/>
              </w:rPr>
            </w:pPr>
          </w:p>
        </w:tc>
      </w:tr>
      <w:tr>
        <w:trPr>
          <w:trHeight w:val="157"/>
        </w:trPr>
        <w:tc>
          <w:tcPr>
            <w:tcW w:w="7780" w:type="dxa"/>
            <w:vAlign w:val="bottom"/>
          </w:tcPr>
          <w:p>
            <w:pPr>
              <w:spacing w:after="0"/>
              <w:rPr>
                <w:sz w:val="13"/>
                <w:szCs w:val="13"/>
                <w:color w:val="auto"/>
              </w:rPr>
            </w:pPr>
          </w:p>
        </w:tc>
        <w:tc>
          <w:tcPr>
            <w:tcW w:w="1060" w:type="dxa"/>
            <w:vAlign w:val="bottom"/>
            <w:vMerge w:val="restart"/>
          </w:tcPr>
          <w:p>
            <w:pPr>
              <w:jc w:val="right"/>
              <w:ind w:right="222"/>
              <w:spacing w:after="0"/>
              <w:rPr>
                <w:sz w:val="20"/>
                <w:szCs w:val="20"/>
                <w:color w:val="auto"/>
              </w:rPr>
            </w:pPr>
            <w:r>
              <w:rPr>
                <w:rFonts w:ascii="Arial" w:cs="Arial" w:eastAsia="Arial" w:hAnsi="Arial"/>
                <w:sz w:val="16"/>
                <w:szCs w:val="16"/>
                <w:b w:val="1"/>
                <w:bCs w:val="1"/>
                <w:color w:val="auto"/>
              </w:rPr>
              <w:t>Shares</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tcPr>
          <w:p>
            <w:pPr>
              <w:jc w:val="center"/>
              <w:ind w:right="82"/>
              <w:spacing w:after="0" w:line="157" w:lineRule="exact"/>
              <w:rPr>
                <w:sz w:val="20"/>
                <w:szCs w:val="20"/>
                <w:color w:val="auto"/>
              </w:rPr>
            </w:pPr>
            <w:r>
              <w:rPr>
                <w:rFonts w:ascii="Arial" w:cs="Arial" w:eastAsia="Arial" w:hAnsi="Arial"/>
                <w:sz w:val="16"/>
                <w:szCs w:val="16"/>
                <w:b w:val="1"/>
                <w:bCs w:val="1"/>
                <w:color w:val="auto"/>
                <w:w w:val="92"/>
              </w:rPr>
              <w:t>Grant Date</w:t>
            </w:r>
          </w:p>
        </w:tc>
        <w:tc>
          <w:tcPr>
            <w:tcW w:w="0" w:type="dxa"/>
            <w:vAlign w:val="bottom"/>
          </w:tcPr>
          <w:p>
            <w:pPr>
              <w:spacing w:after="0"/>
              <w:rPr>
                <w:sz w:val="1"/>
                <w:szCs w:val="1"/>
                <w:color w:val="auto"/>
              </w:rPr>
            </w:pPr>
          </w:p>
        </w:tc>
      </w:tr>
      <w:tr>
        <w:trPr>
          <w:trHeight w:val="210"/>
        </w:trPr>
        <w:tc>
          <w:tcPr>
            <w:tcW w:w="7780" w:type="dxa"/>
            <w:vAlign w:val="bottom"/>
          </w:tcPr>
          <w:p>
            <w:pPr>
              <w:spacing w:after="0"/>
              <w:rPr>
                <w:sz w:val="18"/>
                <w:szCs w:val="18"/>
                <w:color w:val="auto"/>
              </w:rPr>
            </w:pPr>
          </w:p>
        </w:tc>
        <w:tc>
          <w:tcPr>
            <w:tcW w:w="106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center"/>
              <w:ind w:right="82"/>
              <w:spacing w:after="0"/>
              <w:rPr>
                <w:sz w:val="20"/>
                <w:szCs w:val="20"/>
                <w:color w:val="auto"/>
              </w:rPr>
            </w:pPr>
            <w:r>
              <w:rPr>
                <w:rFonts w:ascii="Arial" w:cs="Arial" w:eastAsia="Arial" w:hAnsi="Arial"/>
                <w:sz w:val="16"/>
                <w:szCs w:val="16"/>
                <w:b w:val="1"/>
                <w:bCs w:val="1"/>
                <w:color w:val="auto"/>
                <w:w w:val="94"/>
              </w:rPr>
              <w:t>Fair Value</w:t>
            </w:r>
          </w:p>
        </w:tc>
        <w:tc>
          <w:tcPr>
            <w:tcW w:w="0" w:type="dxa"/>
            <w:vAlign w:val="bottom"/>
          </w:tcPr>
          <w:p>
            <w:pPr>
              <w:spacing w:after="0"/>
              <w:rPr>
                <w:sz w:val="1"/>
                <w:szCs w:val="1"/>
                <w:color w:val="auto"/>
              </w:rPr>
            </w:pPr>
          </w:p>
        </w:tc>
      </w:tr>
      <w:tr>
        <w:trPr>
          <w:trHeight w:val="267"/>
        </w:trPr>
        <w:tc>
          <w:tcPr>
            <w:tcW w:w="7780" w:type="dxa"/>
            <w:vAlign w:val="bottom"/>
          </w:tcPr>
          <w:p>
            <w:pPr>
              <w:spacing w:after="0"/>
              <w:rPr>
                <w:sz w:val="20"/>
                <w:szCs w:val="20"/>
                <w:color w:val="auto"/>
              </w:rPr>
            </w:pPr>
            <w:r>
              <w:rPr>
                <w:rFonts w:ascii="Arial" w:cs="Arial" w:eastAsia="Arial" w:hAnsi="Arial"/>
                <w:sz w:val="16"/>
                <w:szCs w:val="16"/>
                <w:color w:val="auto"/>
              </w:rPr>
              <w:t>Balance, December 31, 2022</w:t>
            </w:r>
          </w:p>
        </w:tc>
        <w:tc>
          <w:tcPr>
            <w:tcW w:w="1060" w:type="dxa"/>
            <w:vAlign w:val="bottom"/>
          </w:tcPr>
          <w:p>
            <w:pPr>
              <w:jc w:val="right"/>
              <w:spacing w:after="0"/>
              <w:rPr>
                <w:sz w:val="20"/>
                <w:szCs w:val="20"/>
                <w:color w:val="auto"/>
              </w:rPr>
            </w:pPr>
            <w:r>
              <w:rPr>
                <w:rFonts w:ascii="Arial" w:cs="Arial" w:eastAsia="Arial" w:hAnsi="Arial"/>
                <w:sz w:val="16"/>
                <w:szCs w:val="16"/>
                <w:color w:val="auto"/>
              </w:rPr>
              <w:t>1,841,544</w:t>
            </w:r>
          </w:p>
        </w:tc>
        <w:tc>
          <w:tcPr>
            <w:tcW w:w="22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41.59</w:t>
            </w:r>
          </w:p>
        </w:tc>
        <w:tc>
          <w:tcPr>
            <w:tcW w:w="0" w:type="dxa"/>
            <w:vAlign w:val="bottom"/>
          </w:tcPr>
          <w:p>
            <w:pPr>
              <w:spacing w:after="0"/>
              <w:rPr>
                <w:sz w:val="1"/>
                <w:szCs w:val="1"/>
                <w:color w:val="auto"/>
              </w:rPr>
            </w:pPr>
          </w:p>
        </w:tc>
      </w:tr>
      <w:tr>
        <w:trPr>
          <w:trHeight w:val="294"/>
        </w:trPr>
        <w:tc>
          <w:tcPr>
            <w:tcW w:w="7780" w:type="dxa"/>
            <w:vAlign w:val="bottom"/>
          </w:tcPr>
          <w:p>
            <w:pPr>
              <w:ind w:left="220"/>
              <w:spacing w:after="0"/>
              <w:rPr>
                <w:sz w:val="20"/>
                <w:szCs w:val="20"/>
                <w:color w:val="auto"/>
              </w:rPr>
            </w:pPr>
            <w:r>
              <w:rPr>
                <w:rFonts w:ascii="Arial" w:cs="Arial" w:eastAsia="Arial" w:hAnsi="Arial"/>
                <w:sz w:val="16"/>
                <w:szCs w:val="16"/>
                <w:color w:val="auto"/>
              </w:rPr>
              <w:t>Granted</w:t>
            </w:r>
          </w:p>
        </w:tc>
        <w:tc>
          <w:tcPr>
            <w:tcW w:w="1060" w:type="dxa"/>
            <w:vAlign w:val="bottom"/>
          </w:tcPr>
          <w:p>
            <w:pPr>
              <w:jc w:val="right"/>
              <w:spacing w:after="0"/>
              <w:rPr>
                <w:sz w:val="20"/>
                <w:szCs w:val="20"/>
                <w:color w:val="auto"/>
              </w:rPr>
            </w:pPr>
            <w:r>
              <w:rPr>
                <w:rFonts w:ascii="Arial" w:cs="Arial" w:eastAsia="Arial" w:hAnsi="Arial"/>
                <w:sz w:val="16"/>
                <w:szCs w:val="16"/>
                <w:color w:val="auto"/>
              </w:rPr>
              <w:t>966,093</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44.44</w:t>
            </w:r>
          </w:p>
        </w:tc>
        <w:tc>
          <w:tcPr>
            <w:tcW w:w="0" w:type="dxa"/>
            <w:vAlign w:val="bottom"/>
          </w:tcPr>
          <w:p>
            <w:pPr>
              <w:spacing w:after="0"/>
              <w:rPr>
                <w:sz w:val="1"/>
                <w:szCs w:val="1"/>
                <w:color w:val="auto"/>
              </w:rPr>
            </w:pPr>
          </w:p>
        </w:tc>
      </w:tr>
      <w:tr>
        <w:trPr>
          <w:trHeight w:val="294"/>
        </w:trPr>
        <w:tc>
          <w:tcPr>
            <w:tcW w:w="7780" w:type="dxa"/>
            <w:vAlign w:val="bottom"/>
          </w:tcPr>
          <w:p>
            <w:pPr>
              <w:ind w:left="220"/>
              <w:spacing w:after="0"/>
              <w:rPr>
                <w:sz w:val="20"/>
                <w:szCs w:val="20"/>
                <w:color w:val="auto"/>
              </w:rPr>
            </w:pPr>
            <w:r>
              <w:rPr>
                <w:rFonts w:ascii="Arial" w:cs="Arial" w:eastAsia="Arial" w:hAnsi="Arial"/>
                <w:sz w:val="16"/>
                <w:szCs w:val="16"/>
                <w:color w:val="auto"/>
              </w:rPr>
              <w:t>Canceled</w:t>
            </w:r>
          </w:p>
        </w:tc>
        <w:tc>
          <w:tcPr>
            <w:tcW w:w="1060" w:type="dxa"/>
            <w:vAlign w:val="bottom"/>
          </w:tcPr>
          <w:p>
            <w:pPr>
              <w:jc w:val="right"/>
              <w:spacing w:after="0"/>
              <w:rPr>
                <w:sz w:val="20"/>
                <w:szCs w:val="20"/>
                <w:color w:val="auto"/>
              </w:rPr>
            </w:pPr>
            <w:r>
              <w:rPr>
                <w:rFonts w:ascii="Arial" w:cs="Arial" w:eastAsia="Arial" w:hAnsi="Arial"/>
                <w:sz w:val="16"/>
                <w:szCs w:val="16"/>
                <w:color w:val="auto"/>
              </w:rPr>
              <w:t>(23,975)</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41.42</w:t>
            </w:r>
          </w:p>
        </w:tc>
        <w:tc>
          <w:tcPr>
            <w:tcW w:w="0" w:type="dxa"/>
            <w:vAlign w:val="bottom"/>
          </w:tcPr>
          <w:p>
            <w:pPr>
              <w:spacing w:after="0"/>
              <w:rPr>
                <w:sz w:val="1"/>
                <w:szCs w:val="1"/>
                <w:color w:val="auto"/>
              </w:rPr>
            </w:pPr>
          </w:p>
        </w:tc>
      </w:tr>
      <w:tr>
        <w:trPr>
          <w:trHeight w:val="301"/>
        </w:trPr>
        <w:tc>
          <w:tcPr>
            <w:tcW w:w="7780" w:type="dxa"/>
            <w:vAlign w:val="bottom"/>
          </w:tcPr>
          <w:p>
            <w:pPr>
              <w:ind w:left="220"/>
              <w:spacing w:after="0"/>
              <w:rPr>
                <w:sz w:val="20"/>
                <w:szCs w:val="20"/>
                <w:color w:val="auto"/>
              </w:rPr>
            </w:pPr>
            <w:r>
              <w:rPr>
                <w:rFonts w:ascii="Arial" w:cs="Arial" w:eastAsia="Arial" w:hAnsi="Arial"/>
                <w:sz w:val="16"/>
                <w:szCs w:val="16"/>
                <w:color w:val="auto"/>
              </w:rPr>
              <w:t>Vested</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(908,267)</w:t>
            </w:r>
          </w:p>
        </w:tc>
        <w:tc>
          <w:tcPr>
            <w:tcW w:w="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40.26</w:t>
            </w:r>
          </w:p>
        </w:tc>
        <w:tc>
          <w:tcPr>
            <w:tcW w:w="0" w:type="dxa"/>
            <w:vAlign w:val="bottom"/>
          </w:tcPr>
          <w:p>
            <w:pPr>
              <w:spacing w:after="0"/>
              <w:rPr>
                <w:sz w:val="1"/>
                <w:szCs w:val="1"/>
                <w:color w:val="auto"/>
              </w:rPr>
            </w:pPr>
          </w:p>
        </w:tc>
      </w:tr>
      <w:tr>
        <w:trPr>
          <w:trHeight w:val="267"/>
        </w:trPr>
        <w:tc>
          <w:tcPr>
            <w:tcW w:w="7780" w:type="dxa"/>
            <w:vAlign w:val="bottom"/>
          </w:tcPr>
          <w:p>
            <w:pPr>
              <w:spacing w:after="0"/>
              <w:rPr>
                <w:sz w:val="20"/>
                <w:szCs w:val="20"/>
                <w:color w:val="auto"/>
              </w:rPr>
            </w:pPr>
            <w:r>
              <w:rPr>
                <w:rFonts w:ascii="Arial" w:cs="Arial" w:eastAsia="Arial" w:hAnsi="Arial"/>
                <w:sz w:val="16"/>
                <w:szCs w:val="16"/>
                <w:color w:val="auto"/>
              </w:rPr>
              <w:t>Balance, December 31, 2023</w:t>
            </w:r>
          </w:p>
        </w:tc>
        <w:tc>
          <w:tcPr>
            <w:tcW w:w="1060" w:type="dxa"/>
            <w:vAlign w:val="bottom"/>
          </w:tcPr>
          <w:p>
            <w:pPr>
              <w:jc w:val="right"/>
              <w:spacing w:after="0"/>
              <w:rPr>
                <w:sz w:val="20"/>
                <w:szCs w:val="20"/>
                <w:color w:val="auto"/>
              </w:rPr>
            </w:pPr>
            <w:r>
              <w:rPr>
                <w:rFonts w:ascii="Arial" w:cs="Arial" w:eastAsia="Arial" w:hAnsi="Arial"/>
                <w:sz w:val="16"/>
                <w:szCs w:val="16"/>
                <w:color w:val="auto"/>
              </w:rPr>
              <w:t>1,875,395</w:t>
            </w:r>
          </w:p>
        </w:tc>
        <w:tc>
          <w:tcPr>
            <w:tcW w:w="22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43.69</w:t>
            </w:r>
          </w:p>
        </w:tc>
        <w:tc>
          <w:tcPr>
            <w:tcW w:w="0" w:type="dxa"/>
            <w:vAlign w:val="bottom"/>
          </w:tcPr>
          <w:p>
            <w:pPr>
              <w:spacing w:after="0"/>
              <w:rPr>
                <w:sz w:val="1"/>
                <w:szCs w:val="1"/>
                <w:color w:val="auto"/>
              </w:rPr>
            </w:pPr>
          </w:p>
        </w:tc>
      </w:tr>
      <w:tr>
        <w:trPr>
          <w:trHeight w:val="294"/>
        </w:trPr>
        <w:tc>
          <w:tcPr>
            <w:tcW w:w="7780" w:type="dxa"/>
            <w:vAlign w:val="bottom"/>
          </w:tcPr>
          <w:p>
            <w:pPr>
              <w:ind w:left="220"/>
              <w:spacing w:after="0"/>
              <w:rPr>
                <w:sz w:val="20"/>
                <w:szCs w:val="20"/>
                <w:color w:val="auto"/>
              </w:rPr>
            </w:pPr>
            <w:r>
              <w:rPr>
                <w:rFonts w:ascii="Arial" w:cs="Arial" w:eastAsia="Arial" w:hAnsi="Arial"/>
                <w:sz w:val="16"/>
                <w:szCs w:val="16"/>
                <w:color w:val="auto"/>
              </w:rPr>
              <w:t>Granted</w:t>
            </w:r>
          </w:p>
        </w:tc>
        <w:tc>
          <w:tcPr>
            <w:tcW w:w="1060" w:type="dxa"/>
            <w:vAlign w:val="bottom"/>
          </w:tcPr>
          <w:p>
            <w:pPr>
              <w:jc w:val="right"/>
              <w:spacing w:after="0"/>
              <w:rPr>
                <w:sz w:val="20"/>
                <w:szCs w:val="20"/>
                <w:color w:val="auto"/>
              </w:rPr>
            </w:pPr>
            <w:r>
              <w:rPr>
                <w:rFonts w:ascii="Arial" w:cs="Arial" w:eastAsia="Arial" w:hAnsi="Arial"/>
                <w:sz w:val="16"/>
                <w:szCs w:val="16"/>
                <w:color w:val="auto"/>
              </w:rPr>
              <w:t>1,604,119</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60.23</w:t>
            </w:r>
          </w:p>
        </w:tc>
        <w:tc>
          <w:tcPr>
            <w:tcW w:w="0" w:type="dxa"/>
            <w:vAlign w:val="bottom"/>
          </w:tcPr>
          <w:p>
            <w:pPr>
              <w:spacing w:after="0"/>
              <w:rPr>
                <w:sz w:val="1"/>
                <w:szCs w:val="1"/>
                <w:color w:val="auto"/>
              </w:rPr>
            </w:pPr>
          </w:p>
        </w:tc>
      </w:tr>
      <w:tr>
        <w:trPr>
          <w:trHeight w:val="294"/>
        </w:trPr>
        <w:tc>
          <w:tcPr>
            <w:tcW w:w="7780" w:type="dxa"/>
            <w:vAlign w:val="bottom"/>
          </w:tcPr>
          <w:p>
            <w:pPr>
              <w:ind w:left="220"/>
              <w:spacing w:after="0"/>
              <w:rPr>
                <w:sz w:val="20"/>
                <w:szCs w:val="20"/>
                <w:color w:val="auto"/>
              </w:rPr>
            </w:pPr>
            <w:r>
              <w:rPr>
                <w:rFonts w:ascii="Arial" w:cs="Arial" w:eastAsia="Arial" w:hAnsi="Arial"/>
                <w:sz w:val="16"/>
                <w:szCs w:val="16"/>
                <w:color w:val="auto"/>
              </w:rPr>
              <w:t>Canceled</w:t>
            </w:r>
          </w:p>
        </w:tc>
        <w:tc>
          <w:tcPr>
            <w:tcW w:w="1060" w:type="dxa"/>
            <w:vAlign w:val="bottom"/>
          </w:tcPr>
          <w:p>
            <w:pPr>
              <w:jc w:val="right"/>
              <w:spacing w:after="0"/>
              <w:rPr>
                <w:sz w:val="20"/>
                <w:szCs w:val="20"/>
                <w:color w:val="auto"/>
              </w:rPr>
            </w:pPr>
            <w:r>
              <w:rPr>
                <w:rFonts w:ascii="Arial" w:cs="Arial" w:eastAsia="Arial" w:hAnsi="Arial"/>
                <w:sz w:val="16"/>
                <w:szCs w:val="16"/>
                <w:color w:val="auto"/>
              </w:rPr>
              <w:t>(16,603)</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45.92</w:t>
            </w:r>
          </w:p>
        </w:tc>
        <w:tc>
          <w:tcPr>
            <w:tcW w:w="0" w:type="dxa"/>
            <w:vAlign w:val="bottom"/>
          </w:tcPr>
          <w:p>
            <w:pPr>
              <w:spacing w:after="0"/>
              <w:rPr>
                <w:sz w:val="1"/>
                <w:szCs w:val="1"/>
                <w:color w:val="auto"/>
              </w:rPr>
            </w:pPr>
          </w:p>
        </w:tc>
      </w:tr>
      <w:tr>
        <w:trPr>
          <w:trHeight w:val="301"/>
        </w:trPr>
        <w:tc>
          <w:tcPr>
            <w:tcW w:w="7780" w:type="dxa"/>
            <w:vAlign w:val="bottom"/>
          </w:tcPr>
          <w:p>
            <w:pPr>
              <w:ind w:left="220"/>
              <w:spacing w:after="0"/>
              <w:rPr>
                <w:sz w:val="20"/>
                <w:szCs w:val="20"/>
                <w:color w:val="auto"/>
              </w:rPr>
            </w:pPr>
            <w:r>
              <w:rPr>
                <w:rFonts w:ascii="Arial" w:cs="Arial" w:eastAsia="Arial" w:hAnsi="Arial"/>
                <w:sz w:val="16"/>
                <w:szCs w:val="16"/>
                <w:color w:val="auto"/>
              </w:rPr>
              <w:t>Vested</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(1,105,691)</w:t>
            </w:r>
          </w:p>
        </w:tc>
        <w:tc>
          <w:tcPr>
            <w:tcW w:w="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47.21</w:t>
            </w:r>
          </w:p>
        </w:tc>
        <w:tc>
          <w:tcPr>
            <w:tcW w:w="0" w:type="dxa"/>
            <w:vAlign w:val="bottom"/>
          </w:tcPr>
          <w:p>
            <w:pPr>
              <w:spacing w:after="0"/>
              <w:rPr>
                <w:sz w:val="1"/>
                <w:szCs w:val="1"/>
                <w:color w:val="auto"/>
              </w:rPr>
            </w:pPr>
          </w:p>
        </w:tc>
      </w:tr>
      <w:tr>
        <w:trPr>
          <w:trHeight w:val="267"/>
        </w:trPr>
        <w:tc>
          <w:tcPr>
            <w:tcW w:w="7780" w:type="dxa"/>
            <w:vAlign w:val="bottom"/>
          </w:tcPr>
          <w:p>
            <w:pPr>
              <w:spacing w:after="0"/>
              <w:rPr>
                <w:sz w:val="20"/>
                <w:szCs w:val="20"/>
                <w:color w:val="auto"/>
              </w:rPr>
            </w:pPr>
            <w:r>
              <w:rPr>
                <w:rFonts w:ascii="Arial" w:cs="Arial" w:eastAsia="Arial" w:hAnsi="Arial"/>
                <w:sz w:val="16"/>
                <w:szCs w:val="16"/>
                <w:color w:val="auto"/>
              </w:rPr>
              <w:t>Balance, December 31, 2024</w:t>
            </w:r>
          </w:p>
        </w:tc>
        <w:tc>
          <w:tcPr>
            <w:tcW w:w="1060" w:type="dxa"/>
            <w:vAlign w:val="bottom"/>
          </w:tcPr>
          <w:p>
            <w:pPr>
              <w:jc w:val="right"/>
              <w:spacing w:after="0"/>
              <w:rPr>
                <w:sz w:val="20"/>
                <w:szCs w:val="20"/>
                <w:color w:val="auto"/>
              </w:rPr>
            </w:pPr>
            <w:r>
              <w:rPr>
                <w:rFonts w:ascii="Arial" w:cs="Arial" w:eastAsia="Arial" w:hAnsi="Arial"/>
                <w:sz w:val="16"/>
                <w:szCs w:val="16"/>
                <w:color w:val="auto"/>
              </w:rPr>
              <w:t>2,357,220</w:t>
            </w:r>
          </w:p>
        </w:tc>
        <w:tc>
          <w:tcPr>
            <w:tcW w:w="22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53.28</w:t>
            </w:r>
          </w:p>
        </w:tc>
        <w:tc>
          <w:tcPr>
            <w:tcW w:w="0" w:type="dxa"/>
            <w:vAlign w:val="bottom"/>
          </w:tcPr>
          <w:p>
            <w:pPr>
              <w:spacing w:after="0"/>
              <w:rPr>
                <w:sz w:val="1"/>
                <w:szCs w:val="1"/>
                <w:color w:val="auto"/>
              </w:rPr>
            </w:pPr>
          </w:p>
        </w:tc>
      </w:tr>
      <w:tr>
        <w:trPr>
          <w:trHeight w:val="294"/>
        </w:trPr>
        <w:tc>
          <w:tcPr>
            <w:tcW w:w="7780" w:type="dxa"/>
            <w:vAlign w:val="bottom"/>
          </w:tcPr>
          <w:p>
            <w:pPr>
              <w:ind w:left="220"/>
              <w:spacing w:after="0"/>
              <w:rPr>
                <w:sz w:val="20"/>
                <w:szCs w:val="20"/>
                <w:color w:val="auto"/>
              </w:rPr>
            </w:pPr>
            <w:r>
              <w:rPr>
                <w:rFonts w:ascii="Arial" w:cs="Arial" w:eastAsia="Arial" w:hAnsi="Arial"/>
                <w:sz w:val="16"/>
                <w:szCs w:val="16"/>
                <w:color w:val="auto"/>
              </w:rPr>
              <w:t>Granted</w:t>
            </w:r>
          </w:p>
        </w:tc>
        <w:tc>
          <w:tcPr>
            <w:tcW w:w="1060" w:type="dxa"/>
            <w:vAlign w:val="bottom"/>
          </w:tcPr>
          <w:p>
            <w:pPr>
              <w:jc w:val="right"/>
              <w:spacing w:after="0"/>
              <w:rPr>
                <w:sz w:val="20"/>
                <w:szCs w:val="20"/>
                <w:color w:val="auto"/>
              </w:rPr>
            </w:pPr>
            <w:r>
              <w:rPr>
                <w:rFonts w:ascii="Arial" w:cs="Arial" w:eastAsia="Arial" w:hAnsi="Arial"/>
                <w:sz w:val="16"/>
                <w:szCs w:val="16"/>
                <w:color w:val="auto"/>
              </w:rPr>
              <w:t>862,320</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57.50</w:t>
            </w:r>
          </w:p>
        </w:tc>
        <w:tc>
          <w:tcPr>
            <w:tcW w:w="0" w:type="dxa"/>
            <w:vAlign w:val="bottom"/>
          </w:tcPr>
          <w:p>
            <w:pPr>
              <w:spacing w:after="0"/>
              <w:rPr>
                <w:sz w:val="1"/>
                <w:szCs w:val="1"/>
                <w:color w:val="auto"/>
              </w:rPr>
            </w:pPr>
          </w:p>
        </w:tc>
      </w:tr>
      <w:tr>
        <w:trPr>
          <w:trHeight w:val="294"/>
        </w:trPr>
        <w:tc>
          <w:tcPr>
            <w:tcW w:w="7780" w:type="dxa"/>
            <w:vAlign w:val="bottom"/>
          </w:tcPr>
          <w:p>
            <w:pPr>
              <w:ind w:left="220"/>
              <w:spacing w:after="0"/>
              <w:rPr>
                <w:sz w:val="20"/>
                <w:szCs w:val="20"/>
                <w:color w:val="auto"/>
              </w:rPr>
            </w:pPr>
            <w:r>
              <w:rPr>
                <w:rFonts w:ascii="Arial" w:cs="Arial" w:eastAsia="Arial" w:hAnsi="Arial"/>
                <w:sz w:val="16"/>
                <w:szCs w:val="16"/>
                <w:color w:val="auto"/>
              </w:rPr>
              <w:t>Canceled</w:t>
            </w:r>
          </w:p>
        </w:tc>
        <w:tc>
          <w:tcPr>
            <w:tcW w:w="1060" w:type="dxa"/>
            <w:vAlign w:val="bottom"/>
          </w:tcPr>
          <w:p>
            <w:pPr>
              <w:jc w:val="right"/>
              <w:spacing w:after="0"/>
              <w:rPr>
                <w:sz w:val="20"/>
                <w:szCs w:val="20"/>
                <w:color w:val="auto"/>
              </w:rPr>
            </w:pPr>
            <w:r>
              <w:rPr>
                <w:rFonts w:ascii="Arial" w:cs="Arial" w:eastAsia="Arial" w:hAnsi="Arial"/>
                <w:sz w:val="16"/>
                <w:szCs w:val="16"/>
                <w:color w:val="auto"/>
              </w:rPr>
              <w:t>(12,617)</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47.55</w:t>
            </w:r>
          </w:p>
        </w:tc>
        <w:tc>
          <w:tcPr>
            <w:tcW w:w="0" w:type="dxa"/>
            <w:vAlign w:val="bottom"/>
          </w:tcPr>
          <w:p>
            <w:pPr>
              <w:spacing w:after="0"/>
              <w:rPr>
                <w:sz w:val="1"/>
                <w:szCs w:val="1"/>
                <w:color w:val="auto"/>
              </w:rPr>
            </w:pPr>
          </w:p>
        </w:tc>
      </w:tr>
      <w:tr>
        <w:trPr>
          <w:trHeight w:val="301"/>
        </w:trPr>
        <w:tc>
          <w:tcPr>
            <w:tcW w:w="7780" w:type="dxa"/>
            <w:vAlign w:val="bottom"/>
          </w:tcPr>
          <w:p>
            <w:pPr>
              <w:ind w:left="220"/>
              <w:spacing w:after="0"/>
              <w:rPr>
                <w:sz w:val="20"/>
                <w:szCs w:val="20"/>
                <w:color w:val="auto"/>
              </w:rPr>
            </w:pPr>
            <w:r>
              <w:rPr>
                <w:rFonts w:ascii="Arial" w:cs="Arial" w:eastAsia="Arial" w:hAnsi="Arial"/>
                <w:sz w:val="16"/>
                <w:szCs w:val="16"/>
                <w:color w:val="auto"/>
              </w:rPr>
              <w:t>Vested</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(1,101,388)</w:t>
            </w:r>
          </w:p>
        </w:tc>
        <w:tc>
          <w:tcPr>
            <w:tcW w:w="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50.02</w:t>
            </w:r>
          </w:p>
        </w:tc>
        <w:tc>
          <w:tcPr>
            <w:tcW w:w="0" w:type="dxa"/>
            <w:vAlign w:val="bottom"/>
          </w:tcPr>
          <w:p>
            <w:pPr>
              <w:spacing w:after="0"/>
              <w:rPr>
                <w:sz w:val="1"/>
                <w:szCs w:val="1"/>
                <w:color w:val="auto"/>
              </w:rPr>
            </w:pPr>
          </w:p>
        </w:tc>
      </w:tr>
      <w:tr>
        <w:trPr>
          <w:trHeight w:val="254"/>
        </w:trPr>
        <w:tc>
          <w:tcPr>
            <w:tcW w:w="7780" w:type="dxa"/>
            <w:vAlign w:val="bottom"/>
          </w:tcPr>
          <w:p>
            <w:pPr>
              <w:spacing w:after="0"/>
              <w:rPr>
                <w:sz w:val="20"/>
                <w:szCs w:val="20"/>
                <w:color w:val="auto"/>
              </w:rPr>
            </w:pPr>
            <w:r>
              <w:rPr>
                <w:rFonts w:ascii="Arial" w:cs="Arial" w:eastAsia="Arial" w:hAnsi="Arial"/>
                <w:sz w:val="16"/>
                <w:szCs w:val="16"/>
                <w:color w:val="auto"/>
              </w:rPr>
              <w:t>Balance, December 31, 2025</w:t>
            </w:r>
          </w:p>
        </w:tc>
        <w:tc>
          <w:tcPr>
            <w:tcW w:w="1060" w:type="dxa"/>
            <w:vAlign w:val="bottom"/>
          </w:tcPr>
          <w:p>
            <w:pPr>
              <w:jc w:val="right"/>
              <w:spacing w:after="0"/>
              <w:rPr>
                <w:sz w:val="20"/>
                <w:szCs w:val="20"/>
                <w:color w:val="auto"/>
              </w:rPr>
            </w:pPr>
            <w:r>
              <w:rPr>
                <w:rFonts w:ascii="Arial" w:cs="Arial" w:eastAsia="Arial" w:hAnsi="Arial"/>
                <w:sz w:val="16"/>
                <w:szCs w:val="16"/>
                <w:color w:val="auto"/>
              </w:rPr>
              <w:t>2,105,535</w:t>
            </w:r>
          </w:p>
        </w:tc>
        <w:tc>
          <w:tcPr>
            <w:tcW w:w="22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56.75</w:t>
            </w:r>
          </w:p>
        </w:tc>
        <w:tc>
          <w:tcPr>
            <w:tcW w:w="0" w:type="dxa"/>
            <w:vAlign w:val="bottom"/>
          </w:tcPr>
          <w:p>
            <w:pPr>
              <w:spacing w:after="0"/>
              <w:rPr>
                <w:sz w:val="1"/>
                <w:szCs w:val="1"/>
                <w:color w:val="auto"/>
              </w:rPr>
            </w:pPr>
          </w:p>
        </w:tc>
      </w:tr>
      <w:tr>
        <w:trPr>
          <w:trHeight w:val="20"/>
        </w:trPr>
        <w:tc>
          <w:tcPr>
            <w:tcW w:w="778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-2271395</wp:posOffset>
            </wp:positionV>
            <wp:extent cx="6391275" cy="227838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157">
                      <a:extLst>
                        <a:ext uri="{28A0092B-C50C-407E-A947-70E740481C1C}"/>
                      </a:extLst>
                    </a:blip>
                    <a:srcRect/>
                    <a:stretch>
                      <a:fillRect/>
                    </a:stretch>
                  </pic:blipFill>
                  <pic:spPr bwMode="auto">
                    <a:xfrm>
                      <a:off x="0" y="0"/>
                      <a:ext cx="6391275" cy="2278380"/>
                    </a:xfrm>
                    <a:prstGeom prst="rect">
                      <a:avLst/>
                    </a:prstGeom>
                    <a:noFill/>
                  </pic:spPr>
                </pic:pic>
              </a:graphicData>
            </a:graphic>
          </wp:anchor>
        </w:drawing>
      </w:r>
    </w:p>
    <w:p>
      <w:pPr>
        <w:spacing w:after="0" w:line="242" w:lineRule="exact"/>
        <w:rPr>
          <w:sz w:val="20"/>
          <w:szCs w:val="20"/>
          <w:color w:val="auto"/>
        </w:rPr>
      </w:pPr>
    </w:p>
    <w:p>
      <w:pPr>
        <w:ind w:left="340"/>
        <w:spacing w:after="0"/>
        <w:rPr>
          <w:sz w:val="20"/>
          <w:szCs w:val="20"/>
          <w:color w:val="auto"/>
        </w:rPr>
      </w:pPr>
      <w:r>
        <w:rPr>
          <w:rFonts w:ascii="Arial" w:cs="Arial" w:eastAsia="Arial" w:hAnsi="Arial"/>
          <w:sz w:val="20"/>
          <w:szCs w:val="20"/>
          <w:color w:val="auto"/>
        </w:rPr>
        <w:t>FNF restricted stock transactions under the F&amp;G Omnibus Plan in 2025, 2024, and 2023 are as follows:</w:t>
      </w:r>
    </w:p>
    <w:p>
      <w:pPr>
        <w:spacing w:after="0" w:line="98"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77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jc w:val="center"/>
              <w:ind w:right="62"/>
              <w:spacing w:after="0"/>
              <w:rPr>
                <w:sz w:val="20"/>
                <w:szCs w:val="20"/>
                <w:color w:val="auto"/>
              </w:rPr>
            </w:pPr>
            <w:r>
              <w:rPr>
                <w:rFonts w:ascii="Arial" w:cs="Arial" w:eastAsia="Arial" w:hAnsi="Arial"/>
                <w:sz w:val="16"/>
                <w:szCs w:val="16"/>
                <w:b w:val="1"/>
                <w:bCs w:val="1"/>
                <w:color w:val="auto"/>
                <w:w w:val="91"/>
              </w:rPr>
              <w:t>Weighted</w:t>
            </w:r>
          </w:p>
        </w:tc>
        <w:tc>
          <w:tcPr>
            <w:tcW w:w="0" w:type="dxa"/>
            <w:vAlign w:val="bottom"/>
          </w:tcPr>
          <w:p>
            <w:pPr>
              <w:spacing w:after="0"/>
              <w:rPr>
                <w:sz w:val="1"/>
                <w:szCs w:val="1"/>
                <w:color w:val="auto"/>
              </w:rPr>
            </w:pPr>
          </w:p>
        </w:tc>
      </w:tr>
      <w:tr>
        <w:trPr>
          <w:trHeight w:val="157"/>
        </w:trPr>
        <w:tc>
          <w:tcPr>
            <w:tcW w:w="77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tcPr>
          <w:p>
            <w:pPr>
              <w:jc w:val="center"/>
              <w:ind w:right="62"/>
              <w:spacing w:after="0" w:line="157" w:lineRule="exact"/>
              <w:rPr>
                <w:sz w:val="20"/>
                <w:szCs w:val="20"/>
                <w:color w:val="auto"/>
              </w:rPr>
            </w:pPr>
            <w:r>
              <w:rPr>
                <w:rFonts w:ascii="Arial" w:cs="Arial" w:eastAsia="Arial" w:hAnsi="Arial"/>
                <w:sz w:val="16"/>
                <w:szCs w:val="16"/>
                <w:b w:val="1"/>
                <w:bCs w:val="1"/>
                <w:color w:val="auto"/>
                <w:w w:val="85"/>
              </w:rPr>
              <w:t>Average</w:t>
            </w:r>
          </w:p>
        </w:tc>
        <w:tc>
          <w:tcPr>
            <w:tcW w:w="0" w:type="dxa"/>
            <w:vAlign w:val="bottom"/>
          </w:tcPr>
          <w:p>
            <w:pPr>
              <w:spacing w:after="0"/>
              <w:rPr>
                <w:sz w:val="1"/>
                <w:szCs w:val="1"/>
                <w:color w:val="auto"/>
              </w:rPr>
            </w:pPr>
          </w:p>
        </w:tc>
      </w:tr>
      <w:tr>
        <w:trPr>
          <w:trHeight w:val="157"/>
        </w:trPr>
        <w:tc>
          <w:tcPr>
            <w:tcW w:w="7780" w:type="dxa"/>
            <w:vAlign w:val="bottom"/>
          </w:tcPr>
          <w:p>
            <w:pPr>
              <w:spacing w:after="0"/>
              <w:rPr>
                <w:sz w:val="13"/>
                <w:szCs w:val="13"/>
                <w:color w:val="auto"/>
              </w:rPr>
            </w:pPr>
          </w:p>
        </w:tc>
        <w:tc>
          <w:tcPr>
            <w:tcW w:w="1060" w:type="dxa"/>
            <w:vAlign w:val="bottom"/>
            <w:vMerge w:val="restart"/>
          </w:tcPr>
          <w:p>
            <w:pPr>
              <w:jc w:val="right"/>
              <w:ind w:right="222"/>
              <w:spacing w:after="0"/>
              <w:rPr>
                <w:sz w:val="20"/>
                <w:szCs w:val="20"/>
                <w:color w:val="auto"/>
              </w:rPr>
            </w:pPr>
            <w:r>
              <w:rPr>
                <w:rFonts w:ascii="Arial" w:cs="Arial" w:eastAsia="Arial" w:hAnsi="Arial"/>
                <w:sz w:val="16"/>
                <w:szCs w:val="16"/>
                <w:b w:val="1"/>
                <w:bCs w:val="1"/>
                <w:color w:val="auto"/>
              </w:rPr>
              <w:t>Shares</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tcPr>
          <w:p>
            <w:pPr>
              <w:jc w:val="center"/>
              <w:ind w:right="82"/>
              <w:spacing w:after="0" w:line="157" w:lineRule="exact"/>
              <w:rPr>
                <w:sz w:val="20"/>
                <w:szCs w:val="20"/>
                <w:color w:val="auto"/>
              </w:rPr>
            </w:pPr>
            <w:r>
              <w:rPr>
                <w:rFonts w:ascii="Arial" w:cs="Arial" w:eastAsia="Arial" w:hAnsi="Arial"/>
                <w:sz w:val="16"/>
                <w:szCs w:val="16"/>
                <w:b w:val="1"/>
                <w:bCs w:val="1"/>
                <w:color w:val="auto"/>
                <w:w w:val="92"/>
              </w:rPr>
              <w:t>Grant Date</w:t>
            </w:r>
          </w:p>
        </w:tc>
        <w:tc>
          <w:tcPr>
            <w:tcW w:w="0" w:type="dxa"/>
            <w:vAlign w:val="bottom"/>
          </w:tcPr>
          <w:p>
            <w:pPr>
              <w:spacing w:after="0"/>
              <w:rPr>
                <w:sz w:val="1"/>
                <w:szCs w:val="1"/>
                <w:color w:val="auto"/>
              </w:rPr>
            </w:pPr>
          </w:p>
        </w:tc>
      </w:tr>
      <w:tr>
        <w:trPr>
          <w:trHeight w:val="210"/>
        </w:trPr>
        <w:tc>
          <w:tcPr>
            <w:tcW w:w="7780" w:type="dxa"/>
            <w:vAlign w:val="bottom"/>
          </w:tcPr>
          <w:p>
            <w:pPr>
              <w:spacing w:after="0"/>
              <w:rPr>
                <w:sz w:val="18"/>
                <w:szCs w:val="18"/>
                <w:color w:val="auto"/>
              </w:rPr>
            </w:pPr>
          </w:p>
        </w:tc>
        <w:tc>
          <w:tcPr>
            <w:tcW w:w="106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center"/>
              <w:ind w:right="82"/>
              <w:spacing w:after="0"/>
              <w:rPr>
                <w:sz w:val="20"/>
                <w:szCs w:val="20"/>
                <w:color w:val="auto"/>
              </w:rPr>
            </w:pPr>
            <w:r>
              <w:rPr>
                <w:rFonts w:ascii="Arial" w:cs="Arial" w:eastAsia="Arial" w:hAnsi="Arial"/>
                <w:sz w:val="16"/>
                <w:szCs w:val="16"/>
                <w:b w:val="1"/>
                <w:bCs w:val="1"/>
                <w:color w:val="auto"/>
                <w:w w:val="94"/>
              </w:rPr>
              <w:t>Fair Value</w:t>
            </w:r>
          </w:p>
        </w:tc>
        <w:tc>
          <w:tcPr>
            <w:tcW w:w="0" w:type="dxa"/>
            <w:vAlign w:val="bottom"/>
          </w:tcPr>
          <w:p>
            <w:pPr>
              <w:spacing w:after="0"/>
              <w:rPr>
                <w:sz w:val="1"/>
                <w:szCs w:val="1"/>
                <w:color w:val="auto"/>
              </w:rPr>
            </w:pPr>
          </w:p>
        </w:tc>
      </w:tr>
      <w:tr>
        <w:trPr>
          <w:trHeight w:val="267"/>
        </w:trPr>
        <w:tc>
          <w:tcPr>
            <w:tcW w:w="7780" w:type="dxa"/>
            <w:vAlign w:val="bottom"/>
          </w:tcPr>
          <w:p>
            <w:pPr>
              <w:spacing w:after="0"/>
              <w:rPr>
                <w:sz w:val="20"/>
                <w:szCs w:val="20"/>
                <w:color w:val="auto"/>
              </w:rPr>
            </w:pPr>
            <w:r>
              <w:rPr>
                <w:rFonts w:ascii="Arial" w:cs="Arial" w:eastAsia="Arial" w:hAnsi="Arial"/>
                <w:sz w:val="16"/>
                <w:szCs w:val="16"/>
                <w:color w:val="auto"/>
              </w:rPr>
              <w:t>Balance, January 1, 2023</w:t>
            </w:r>
          </w:p>
        </w:tc>
        <w:tc>
          <w:tcPr>
            <w:tcW w:w="1060" w:type="dxa"/>
            <w:vAlign w:val="bottom"/>
          </w:tcPr>
          <w:p>
            <w:pPr>
              <w:jc w:val="right"/>
              <w:spacing w:after="0"/>
              <w:rPr>
                <w:sz w:val="20"/>
                <w:szCs w:val="20"/>
                <w:color w:val="auto"/>
              </w:rPr>
            </w:pPr>
            <w:r>
              <w:rPr>
                <w:rFonts w:ascii="Arial" w:cs="Arial" w:eastAsia="Arial" w:hAnsi="Arial"/>
                <w:sz w:val="16"/>
                <w:szCs w:val="16"/>
                <w:color w:val="auto"/>
              </w:rPr>
              <w:t>501,548</w:t>
            </w:r>
          </w:p>
        </w:tc>
        <w:tc>
          <w:tcPr>
            <w:tcW w:w="22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42.31</w:t>
            </w:r>
          </w:p>
        </w:tc>
        <w:tc>
          <w:tcPr>
            <w:tcW w:w="0" w:type="dxa"/>
            <w:vAlign w:val="bottom"/>
          </w:tcPr>
          <w:p>
            <w:pPr>
              <w:spacing w:after="0"/>
              <w:rPr>
                <w:sz w:val="1"/>
                <w:szCs w:val="1"/>
                <w:color w:val="auto"/>
              </w:rPr>
            </w:pPr>
          </w:p>
        </w:tc>
      </w:tr>
      <w:tr>
        <w:trPr>
          <w:trHeight w:val="294"/>
        </w:trPr>
        <w:tc>
          <w:tcPr>
            <w:tcW w:w="7780" w:type="dxa"/>
            <w:vAlign w:val="bottom"/>
          </w:tcPr>
          <w:p>
            <w:pPr>
              <w:ind w:left="240"/>
              <w:spacing w:after="0"/>
              <w:rPr>
                <w:sz w:val="20"/>
                <w:szCs w:val="20"/>
                <w:color w:val="auto"/>
              </w:rPr>
            </w:pPr>
            <w:r>
              <w:rPr>
                <w:rFonts w:ascii="Arial" w:cs="Arial" w:eastAsia="Arial" w:hAnsi="Arial"/>
                <w:sz w:val="16"/>
                <w:szCs w:val="16"/>
                <w:color w:val="auto"/>
              </w:rPr>
              <w:t>Granted</w:t>
            </w: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94"/>
        </w:trPr>
        <w:tc>
          <w:tcPr>
            <w:tcW w:w="7780" w:type="dxa"/>
            <w:vAlign w:val="bottom"/>
          </w:tcPr>
          <w:p>
            <w:pPr>
              <w:ind w:left="240"/>
              <w:spacing w:after="0"/>
              <w:rPr>
                <w:sz w:val="20"/>
                <w:szCs w:val="20"/>
                <w:color w:val="auto"/>
              </w:rPr>
            </w:pPr>
            <w:r>
              <w:rPr>
                <w:rFonts w:ascii="Arial" w:cs="Arial" w:eastAsia="Arial" w:hAnsi="Arial"/>
                <w:sz w:val="16"/>
                <w:szCs w:val="16"/>
                <w:color w:val="auto"/>
              </w:rPr>
              <w:t>Canceled</w:t>
            </w:r>
          </w:p>
        </w:tc>
        <w:tc>
          <w:tcPr>
            <w:tcW w:w="1060" w:type="dxa"/>
            <w:vAlign w:val="bottom"/>
          </w:tcPr>
          <w:p>
            <w:pPr>
              <w:jc w:val="right"/>
              <w:spacing w:after="0"/>
              <w:rPr>
                <w:sz w:val="20"/>
                <w:szCs w:val="20"/>
                <w:color w:val="auto"/>
              </w:rPr>
            </w:pPr>
            <w:r>
              <w:rPr>
                <w:rFonts w:ascii="Arial" w:cs="Arial" w:eastAsia="Arial" w:hAnsi="Arial"/>
                <w:sz w:val="16"/>
                <w:szCs w:val="16"/>
                <w:color w:val="auto"/>
              </w:rPr>
              <w:t>(15,965)</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45.63</w:t>
            </w:r>
          </w:p>
        </w:tc>
        <w:tc>
          <w:tcPr>
            <w:tcW w:w="0" w:type="dxa"/>
            <w:vAlign w:val="bottom"/>
          </w:tcPr>
          <w:p>
            <w:pPr>
              <w:spacing w:after="0"/>
              <w:rPr>
                <w:sz w:val="1"/>
                <w:szCs w:val="1"/>
                <w:color w:val="auto"/>
              </w:rPr>
            </w:pPr>
          </w:p>
        </w:tc>
      </w:tr>
      <w:tr>
        <w:trPr>
          <w:trHeight w:val="301"/>
        </w:trPr>
        <w:tc>
          <w:tcPr>
            <w:tcW w:w="7780" w:type="dxa"/>
            <w:vAlign w:val="bottom"/>
          </w:tcPr>
          <w:p>
            <w:pPr>
              <w:ind w:left="240"/>
              <w:spacing w:after="0"/>
              <w:rPr>
                <w:sz w:val="20"/>
                <w:szCs w:val="20"/>
                <w:color w:val="auto"/>
              </w:rPr>
            </w:pPr>
            <w:r>
              <w:rPr>
                <w:rFonts w:ascii="Arial" w:cs="Arial" w:eastAsia="Arial" w:hAnsi="Arial"/>
                <w:sz w:val="16"/>
                <w:szCs w:val="16"/>
                <w:color w:val="auto"/>
              </w:rPr>
              <w:t>Vested</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(304,104)</w:t>
            </w:r>
          </w:p>
        </w:tc>
        <w:tc>
          <w:tcPr>
            <w:tcW w:w="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42.87</w:t>
            </w:r>
          </w:p>
        </w:tc>
        <w:tc>
          <w:tcPr>
            <w:tcW w:w="0" w:type="dxa"/>
            <w:vAlign w:val="bottom"/>
          </w:tcPr>
          <w:p>
            <w:pPr>
              <w:spacing w:after="0"/>
              <w:rPr>
                <w:sz w:val="1"/>
                <w:szCs w:val="1"/>
                <w:color w:val="auto"/>
              </w:rPr>
            </w:pPr>
          </w:p>
        </w:tc>
      </w:tr>
      <w:tr>
        <w:trPr>
          <w:trHeight w:val="267"/>
        </w:trPr>
        <w:tc>
          <w:tcPr>
            <w:tcW w:w="7780" w:type="dxa"/>
            <w:vAlign w:val="bottom"/>
          </w:tcPr>
          <w:p>
            <w:pPr>
              <w:spacing w:after="0"/>
              <w:rPr>
                <w:sz w:val="20"/>
                <w:szCs w:val="20"/>
                <w:color w:val="auto"/>
              </w:rPr>
            </w:pPr>
            <w:r>
              <w:rPr>
                <w:rFonts w:ascii="Arial" w:cs="Arial" w:eastAsia="Arial" w:hAnsi="Arial"/>
                <w:sz w:val="16"/>
                <w:szCs w:val="16"/>
                <w:color w:val="auto"/>
              </w:rPr>
              <w:t>Balance, December 31, 2023</w:t>
            </w:r>
          </w:p>
        </w:tc>
        <w:tc>
          <w:tcPr>
            <w:tcW w:w="1060" w:type="dxa"/>
            <w:vAlign w:val="bottom"/>
          </w:tcPr>
          <w:p>
            <w:pPr>
              <w:jc w:val="right"/>
              <w:spacing w:after="0"/>
              <w:rPr>
                <w:sz w:val="20"/>
                <w:szCs w:val="20"/>
                <w:color w:val="auto"/>
              </w:rPr>
            </w:pPr>
            <w:r>
              <w:rPr>
                <w:rFonts w:ascii="Arial" w:cs="Arial" w:eastAsia="Arial" w:hAnsi="Arial"/>
                <w:sz w:val="16"/>
                <w:szCs w:val="16"/>
                <w:color w:val="auto"/>
              </w:rPr>
              <w:t>181,479</w:t>
            </w:r>
          </w:p>
        </w:tc>
        <w:tc>
          <w:tcPr>
            <w:tcW w:w="22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41.08</w:t>
            </w:r>
          </w:p>
        </w:tc>
        <w:tc>
          <w:tcPr>
            <w:tcW w:w="0" w:type="dxa"/>
            <w:vAlign w:val="bottom"/>
          </w:tcPr>
          <w:p>
            <w:pPr>
              <w:spacing w:after="0"/>
              <w:rPr>
                <w:sz w:val="1"/>
                <w:szCs w:val="1"/>
                <w:color w:val="auto"/>
              </w:rPr>
            </w:pPr>
          </w:p>
        </w:tc>
      </w:tr>
      <w:tr>
        <w:trPr>
          <w:trHeight w:val="294"/>
        </w:trPr>
        <w:tc>
          <w:tcPr>
            <w:tcW w:w="7780" w:type="dxa"/>
            <w:vAlign w:val="bottom"/>
          </w:tcPr>
          <w:p>
            <w:pPr>
              <w:ind w:left="220"/>
              <w:spacing w:after="0"/>
              <w:rPr>
                <w:sz w:val="20"/>
                <w:szCs w:val="20"/>
                <w:color w:val="auto"/>
              </w:rPr>
            </w:pPr>
            <w:r>
              <w:rPr>
                <w:rFonts w:ascii="Arial" w:cs="Arial" w:eastAsia="Arial" w:hAnsi="Arial"/>
                <w:sz w:val="16"/>
                <w:szCs w:val="16"/>
                <w:color w:val="auto"/>
              </w:rPr>
              <w:t>Granted</w:t>
            </w: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94"/>
        </w:trPr>
        <w:tc>
          <w:tcPr>
            <w:tcW w:w="7780" w:type="dxa"/>
            <w:vAlign w:val="bottom"/>
          </w:tcPr>
          <w:p>
            <w:pPr>
              <w:ind w:left="220"/>
              <w:spacing w:after="0"/>
              <w:rPr>
                <w:sz w:val="20"/>
                <w:szCs w:val="20"/>
                <w:color w:val="auto"/>
              </w:rPr>
            </w:pPr>
            <w:r>
              <w:rPr>
                <w:rFonts w:ascii="Arial" w:cs="Arial" w:eastAsia="Arial" w:hAnsi="Arial"/>
                <w:sz w:val="16"/>
                <w:szCs w:val="16"/>
                <w:color w:val="auto"/>
              </w:rPr>
              <w:t>Canceled</w:t>
            </w:r>
          </w:p>
        </w:tc>
        <w:tc>
          <w:tcPr>
            <w:tcW w:w="1060" w:type="dxa"/>
            <w:vAlign w:val="bottom"/>
          </w:tcPr>
          <w:p>
            <w:pPr>
              <w:jc w:val="right"/>
              <w:spacing w:after="0"/>
              <w:rPr>
                <w:sz w:val="20"/>
                <w:szCs w:val="20"/>
                <w:color w:val="auto"/>
              </w:rPr>
            </w:pPr>
            <w:r>
              <w:rPr>
                <w:rFonts w:ascii="Arial" w:cs="Arial" w:eastAsia="Arial" w:hAnsi="Arial"/>
                <w:sz w:val="16"/>
                <w:szCs w:val="16"/>
                <w:color w:val="auto"/>
              </w:rPr>
              <w:t>(13,082)</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48.28</w:t>
            </w:r>
          </w:p>
        </w:tc>
        <w:tc>
          <w:tcPr>
            <w:tcW w:w="0" w:type="dxa"/>
            <w:vAlign w:val="bottom"/>
          </w:tcPr>
          <w:p>
            <w:pPr>
              <w:spacing w:after="0"/>
              <w:rPr>
                <w:sz w:val="1"/>
                <w:szCs w:val="1"/>
                <w:color w:val="auto"/>
              </w:rPr>
            </w:pPr>
          </w:p>
        </w:tc>
      </w:tr>
      <w:tr>
        <w:trPr>
          <w:trHeight w:val="301"/>
        </w:trPr>
        <w:tc>
          <w:tcPr>
            <w:tcW w:w="7780" w:type="dxa"/>
            <w:vAlign w:val="bottom"/>
          </w:tcPr>
          <w:p>
            <w:pPr>
              <w:ind w:left="240"/>
              <w:spacing w:after="0"/>
              <w:rPr>
                <w:sz w:val="20"/>
                <w:szCs w:val="20"/>
                <w:color w:val="auto"/>
              </w:rPr>
            </w:pPr>
            <w:r>
              <w:rPr>
                <w:rFonts w:ascii="Arial" w:cs="Arial" w:eastAsia="Arial" w:hAnsi="Arial"/>
                <w:sz w:val="16"/>
                <w:szCs w:val="16"/>
                <w:color w:val="auto"/>
              </w:rPr>
              <w:t>Vested</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(168,397)</w:t>
            </w:r>
          </w:p>
        </w:tc>
        <w:tc>
          <w:tcPr>
            <w:tcW w:w="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40.53</w:t>
            </w:r>
          </w:p>
        </w:tc>
        <w:tc>
          <w:tcPr>
            <w:tcW w:w="0" w:type="dxa"/>
            <w:vAlign w:val="bottom"/>
          </w:tcPr>
          <w:p>
            <w:pPr>
              <w:spacing w:after="0"/>
              <w:rPr>
                <w:sz w:val="1"/>
                <w:szCs w:val="1"/>
                <w:color w:val="auto"/>
              </w:rPr>
            </w:pPr>
          </w:p>
        </w:tc>
      </w:tr>
      <w:tr>
        <w:trPr>
          <w:trHeight w:val="267"/>
        </w:trPr>
        <w:tc>
          <w:tcPr>
            <w:tcW w:w="7780" w:type="dxa"/>
            <w:vAlign w:val="bottom"/>
          </w:tcPr>
          <w:p>
            <w:pPr>
              <w:spacing w:after="0"/>
              <w:rPr>
                <w:sz w:val="20"/>
                <w:szCs w:val="20"/>
                <w:color w:val="auto"/>
              </w:rPr>
            </w:pPr>
            <w:r>
              <w:rPr>
                <w:rFonts w:ascii="Arial" w:cs="Arial" w:eastAsia="Arial" w:hAnsi="Arial"/>
                <w:sz w:val="16"/>
                <w:szCs w:val="16"/>
                <w:color w:val="auto"/>
              </w:rPr>
              <w:t>Balance, December 31, 2024</w:t>
            </w: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94"/>
        </w:trPr>
        <w:tc>
          <w:tcPr>
            <w:tcW w:w="7780" w:type="dxa"/>
            <w:vAlign w:val="bottom"/>
          </w:tcPr>
          <w:p>
            <w:pPr>
              <w:ind w:left="220"/>
              <w:spacing w:after="0"/>
              <w:rPr>
                <w:sz w:val="20"/>
                <w:szCs w:val="20"/>
                <w:color w:val="auto"/>
              </w:rPr>
            </w:pPr>
            <w:r>
              <w:rPr>
                <w:rFonts w:ascii="Arial" w:cs="Arial" w:eastAsia="Arial" w:hAnsi="Arial"/>
                <w:sz w:val="16"/>
                <w:szCs w:val="16"/>
                <w:color w:val="auto"/>
              </w:rPr>
              <w:t>Granted</w:t>
            </w: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94"/>
        </w:trPr>
        <w:tc>
          <w:tcPr>
            <w:tcW w:w="7780" w:type="dxa"/>
            <w:vAlign w:val="bottom"/>
          </w:tcPr>
          <w:p>
            <w:pPr>
              <w:ind w:left="220"/>
              <w:spacing w:after="0"/>
              <w:rPr>
                <w:sz w:val="20"/>
                <w:szCs w:val="20"/>
                <w:color w:val="auto"/>
              </w:rPr>
            </w:pPr>
            <w:r>
              <w:rPr>
                <w:rFonts w:ascii="Arial" w:cs="Arial" w:eastAsia="Arial" w:hAnsi="Arial"/>
                <w:sz w:val="16"/>
                <w:szCs w:val="16"/>
                <w:color w:val="auto"/>
              </w:rPr>
              <w:t>Canceled</w:t>
            </w: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01"/>
        </w:trPr>
        <w:tc>
          <w:tcPr>
            <w:tcW w:w="7780" w:type="dxa"/>
            <w:vAlign w:val="bottom"/>
          </w:tcPr>
          <w:p>
            <w:pPr>
              <w:ind w:left="220"/>
              <w:spacing w:after="0"/>
              <w:rPr>
                <w:sz w:val="20"/>
                <w:szCs w:val="20"/>
                <w:color w:val="auto"/>
              </w:rPr>
            </w:pPr>
            <w:r>
              <w:rPr>
                <w:rFonts w:ascii="Arial" w:cs="Arial" w:eastAsia="Arial" w:hAnsi="Arial"/>
                <w:sz w:val="16"/>
                <w:szCs w:val="16"/>
                <w:color w:val="auto"/>
              </w:rPr>
              <w:t>Vested</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4"/>
        </w:trPr>
        <w:tc>
          <w:tcPr>
            <w:tcW w:w="7780" w:type="dxa"/>
            <w:vAlign w:val="bottom"/>
          </w:tcPr>
          <w:p>
            <w:pPr>
              <w:spacing w:after="0"/>
              <w:rPr>
                <w:sz w:val="20"/>
                <w:szCs w:val="20"/>
                <w:color w:val="auto"/>
              </w:rPr>
            </w:pPr>
            <w:r>
              <w:rPr>
                <w:rFonts w:ascii="Arial" w:cs="Arial" w:eastAsia="Arial" w:hAnsi="Arial"/>
                <w:sz w:val="16"/>
                <w:szCs w:val="16"/>
                <w:color w:val="auto"/>
              </w:rPr>
              <w:t>Balance, December 31, 2025</w:t>
            </w: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778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-2271395</wp:posOffset>
            </wp:positionV>
            <wp:extent cx="6391275" cy="227838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158">
                      <a:extLst>
                        <a:ext uri="{28A0092B-C50C-407E-A947-70E740481C1C}"/>
                      </a:extLst>
                    </a:blip>
                    <a:srcRect/>
                    <a:stretch>
                      <a:fillRect/>
                    </a:stretch>
                  </pic:blipFill>
                  <pic:spPr bwMode="auto">
                    <a:xfrm>
                      <a:off x="0" y="0"/>
                      <a:ext cx="6391275" cy="2278380"/>
                    </a:xfrm>
                    <a:prstGeom prst="rect">
                      <a:avLst/>
                    </a:prstGeom>
                    <a:noFill/>
                  </pic:spPr>
                </pic:pic>
              </a:graphicData>
            </a:graphic>
          </wp:anchor>
        </w:drawing>
      </w:r>
    </w:p>
    <w:p>
      <w:pPr>
        <w:spacing w:after="0" w:line="223" w:lineRule="exact"/>
        <w:rPr>
          <w:sz w:val="20"/>
          <w:szCs w:val="20"/>
          <w:color w:val="auto"/>
        </w:rPr>
      </w:pPr>
    </w:p>
    <w:p>
      <w:pPr>
        <w:jc w:val="both"/>
        <w:ind w:firstLine="353"/>
        <w:spacing w:after="0" w:line="294" w:lineRule="auto"/>
        <w:rPr>
          <w:sz w:val="20"/>
          <w:szCs w:val="20"/>
          <w:color w:val="auto"/>
        </w:rPr>
      </w:pPr>
      <w:r>
        <w:rPr>
          <w:rFonts w:ascii="Arial" w:cs="Arial" w:eastAsia="Arial" w:hAnsi="Arial"/>
          <w:sz w:val="17"/>
          <w:szCs w:val="17"/>
          <w:color w:val="auto"/>
        </w:rPr>
        <w:t>We account for stock-based compensation plans in accordance with GAAP on share-based payments, which requires that compensation cost relating to share-based payments be recognized in the consolidated financial statements based on the fair value of each award. Using the fair value method of accounting, compensation cost is measured based on the fair value of the award at the grant date and recognized over the service period. Fair value of restricted stock awards and units is based on the grant date value of the underlying stock derived from quoted market prices. In 2024, we issued a $50 million restricted stock grant to our chairman, of which one quarter of the grant vested immediately, with the remaining three quarters vesting in equal installments over a period of three years on each anniversary of the grant date. The total fair value of restricted stock awards granted in the years ended December 31, 2025, 2024, and 2023 was $50 million, $97 million, and $43 million, respectively. The total fair value of restricted stock awards, which vested in the years ended December 31, 2025, 2024, and 2023 was $63 million, $76 million, and $51 million, respectively. Option awards are measured at fair value on the grant date using the Black Scholes Option Pricing Model. The intrinsic value of options exercised in the years ended December 31, 2025, 2024, and 2023 was $3 million, $9 million, and $8 million, respectively. Net earnings attributable to FNF Shareholders reflects stock-based compensation expense amounts of $88 million for the year ended December 31, 2025, $82 million for the year ended</w:t>
      </w:r>
    </w:p>
    <w:p>
      <w:pPr>
        <w:sectPr>
          <w:pgSz w:w="11880" w:h="15480" w:orient="portrait"/>
          <w:cols w:equalWidth="0" w:num="1">
            <w:col w:w="10040"/>
          </w:cols>
          <w:pgMar w:left="920" w:top="772"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179</w:t>
      </w:r>
    </w:p>
    <w:p>
      <w:pPr>
        <w:sectPr>
          <w:pgSz w:w="11880" w:h="15480" w:orient="portrait"/>
          <w:cols w:equalWidth="0" w:num="1">
            <w:col w:w="10040"/>
          </w:cols>
          <w:pgMar w:left="920" w:top="772" w:right="920" w:bottom="0" w:gutter="0" w:footer="0" w:header="0"/>
          <w:type w:val="continuous"/>
        </w:sectPr>
      </w:pPr>
    </w:p>
    <w:bookmarkStart w:id="191" w:name="page192"/>
    <w:bookmarkEnd w:id="191"/>
    <w:p>
      <w:pPr>
        <w:jc w:val="both"/>
        <w:spacing w:after="0" w:line="271" w:lineRule="auto"/>
        <w:rPr>
          <w:sz w:val="20"/>
          <w:szCs w:val="20"/>
          <w:color w:val="auto"/>
        </w:rPr>
      </w:pPr>
      <w:r>
        <w:rPr>
          <w:rFonts w:ascii="Arial" w:cs="Arial" w:eastAsia="Arial" w:hAnsi="Arial"/>
          <w:sz w:val="20"/>
          <w:szCs w:val="20"/>
          <w:color w:val="auto"/>
        </w:rPr>
        <w:t>December 31, 2024 and $60 million for the year ended December 31, 2023, which are included in personnel costs in the reported financial results of each period.</w:t>
      </w:r>
    </w:p>
    <w:p>
      <w:pPr>
        <w:spacing w:after="0" w:line="69" w:lineRule="exact"/>
        <w:rPr>
          <w:sz w:val="20"/>
          <w:szCs w:val="20"/>
          <w:color w:val="auto"/>
        </w:rPr>
      </w:pPr>
    </w:p>
    <w:p>
      <w:pPr>
        <w:jc w:val="both"/>
        <w:ind w:firstLine="353"/>
        <w:spacing w:after="0" w:line="356" w:lineRule="auto"/>
        <w:rPr>
          <w:sz w:val="20"/>
          <w:szCs w:val="20"/>
          <w:color w:val="auto"/>
        </w:rPr>
      </w:pPr>
      <w:r>
        <w:rPr>
          <w:rFonts w:ascii="Arial" w:cs="Arial" w:eastAsia="Arial" w:hAnsi="Arial"/>
          <w:sz w:val="17"/>
          <w:szCs w:val="17"/>
          <w:color w:val="auto"/>
        </w:rPr>
        <w:t>At December 31, 2025, the total unrecognized compensation cost related to non-vested stock option grants and restricted stock grants is $91 million, which is expected to be recognized in pre-tax income over a weighted average period of 1.69 years.</w:t>
      </w:r>
    </w:p>
    <w:p>
      <w:pPr>
        <w:spacing w:after="0" w:line="1" w:lineRule="exact"/>
        <w:rPr>
          <w:sz w:val="20"/>
          <w:szCs w:val="20"/>
          <w:color w:val="auto"/>
        </w:rPr>
      </w:pPr>
    </w:p>
    <w:p>
      <w:pPr>
        <w:ind w:left="340"/>
        <w:spacing w:after="0"/>
        <w:rPr>
          <w:sz w:val="20"/>
          <w:szCs w:val="20"/>
          <w:color w:val="auto"/>
        </w:rPr>
      </w:pPr>
      <w:r>
        <w:rPr>
          <w:rFonts w:ascii="Arial" w:cs="Arial" w:eastAsia="Arial" w:hAnsi="Arial"/>
          <w:sz w:val="20"/>
          <w:szCs w:val="20"/>
          <w:b w:val="1"/>
          <w:bCs w:val="1"/>
          <w:i w:val="1"/>
          <w:iCs w:val="1"/>
          <w:color w:val="auto"/>
        </w:rPr>
        <w:t>Pension Plan</w:t>
      </w:r>
    </w:p>
    <w:p>
      <w:pPr>
        <w:spacing w:after="0" w:line="130" w:lineRule="exact"/>
        <w:rPr>
          <w:sz w:val="20"/>
          <w:szCs w:val="20"/>
          <w:color w:val="auto"/>
        </w:rPr>
      </w:pPr>
    </w:p>
    <w:p>
      <w:pPr>
        <w:jc w:val="both"/>
        <w:ind w:firstLine="353"/>
        <w:spacing w:after="0" w:line="264" w:lineRule="auto"/>
        <w:rPr>
          <w:sz w:val="20"/>
          <w:szCs w:val="20"/>
          <w:color w:val="auto"/>
        </w:rPr>
      </w:pPr>
      <w:r>
        <w:rPr>
          <w:rFonts w:ascii="Arial" w:cs="Arial" w:eastAsia="Arial" w:hAnsi="Arial"/>
          <w:sz w:val="19"/>
          <w:szCs w:val="19"/>
          <w:color w:val="auto"/>
        </w:rPr>
        <w:t>In 2000, FNF merged with Chicago Title Corporation ("CTC"). In connection with the merger, we assumed CTC’s noncontributory defined contribution plan and noncontributory defined benefit pension plan (the “Pension Plan”). The Pension Plan covers certain CTC employees. The benefits are based on years of service and the employee’s average monthly compensation in the highest 60 consecutive calendar months during the 120 months ending at retirement or termination. Effective December 31, 2000, the Pension Plan was frozen and there will be no future credit given for years of service or changes in salary. The accumulated benefit obligation is the same as the projected benefit obligation due to the pension plan being frozen as of December 31, 2000. Pursuant to GAAP on employers’ accounting for defined benefit pension and other post-retirement plans, the measurement date is December 31.</w:t>
      </w:r>
    </w:p>
    <w:p>
      <w:pPr>
        <w:spacing w:after="0" w:line="77" w:lineRule="exact"/>
        <w:rPr>
          <w:sz w:val="20"/>
          <w:szCs w:val="20"/>
          <w:color w:val="auto"/>
        </w:rPr>
      </w:pPr>
    </w:p>
    <w:p>
      <w:pPr>
        <w:jc w:val="both"/>
        <w:ind w:firstLine="353"/>
        <w:spacing w:after="0" w:line="268" w:lineRule="auto"/>
        <w:rPr>
          <w:sz w:val="20"/>
          <w:szCs w:val="20"/>
          <w:color w:val="auto"/>
        </w:rPr>
      </w:pPr>
      <w:r>
        <w:rPr>
          <w:rFonts w:ascii="Arial" w:cs="Arial" w:eastAsia="Arial" w:hAnsi="Arial"/>
          <w:sz w:val="19"/>
          <w:szCs w:val="19"/>
          <w:color w:val="auto"/>
        </w:rPr>
        <w:t>On May 1, 2023, we elected to terminate the Pension Plan, subject to approval by the Pension Benefit Guarantee Corporation and the receipt of a favorable determination letter from the IRS. Upon termination, the account balance of each participant in the Pension Plan shall become fully vested. Each remaining participant or beneficiary in the Pension Plan shall be given one of the following options with respect to termination of the Pension Plan: (i) a lump-sum distribution of the participant's account balance; or (ii) an annuity benefit equal to the participant’s account balance.</w:t>
      </w:r>
    </w:p>
    <w:p>
      <w:pPr>
        <w:spacing w:after="0" w:line="74" w:lineRule="exact"/>
        <w:rPr>
          <w:sz w:val="20"/>
          <w:szCs w:val="20"/>
          <w:color w:val="auto"/>
        </w:rPr>
      </w:pPr>
    </w:p>
    <w:p>
      <w:pPr>
        <w:jc w:val="both"/>
        <w:ind w:firstLine="353"/>
        <w:spacing w:after="0" w:line="271" w:lineRule="auto"/>
        <w:rPr>
          <w:sz w:val="20"/>
          <w:szCs w:val="20"/>
          <w:color w:val="auto"/>
        </w:rPr>
      </w:pPr>
      <w:r>
        <w:rPr>
          <w:rFonts w:ascii="Arial" w:cs="Arial" w:eastAsia="Arial" w:hAnsi="Arial"/>
          <w:sz w:val="19"/>
          <w:szCs w:val="19"/>
          <w:color w:val="auto"/>
        </w:rPr>
        <w:t>During the year ended December 31, 2024, we distributed substantially all of the Pension Plan assets to the participants or beneficiaries of the Pension Plan. As of December 31, 2024, the project benefit obligation and fair value of plan assets were immaterial. The net pension liability and net periodic expense included in our financial position and results of operations relating to the Pension Plan is not considered material for any period presented.</w:t>
      </w:r>
    </w:p>
    <w:p>
      <w:pPr>
        <w:spacing w:after="0" w:line="6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U - Financial Instruments with Off-Balance Sheet Risk and Concentration of Risk</w:t>
      </w:r>
    </w:p>
    <w:p>
      <w:pPr>
        <w:spacing w:after="0" w:line="130" w:lineRule="exact"/>
        <w:rPr>
          <w:sz w:val="20"/>
          <w:szCs w:val="20"/>
          <w:color w:val="auto"/>
        </w:rPr>
      </w:pPr>
    </w:p>
    <w:p>
      <w:pPr>
        <w:jc w:val="both"/>
        <w:ind w:firstLine="435"/>
        <w:spacing w:after="0" w:line="271" w:lineRule="auto"/>
        <w:rPr>
          <w:sz w:val="20"/>
          <w:szCs w:val="20"/>
          <w:color w:val="auto"/>
        </w:rPr>
      </w:pPr>
      <w:r>
        <w:rPr>
          <w:rFonts w:ascii="Arial" w:cs="Arial" w:eastAsia="Arial" w:hAnsi="Arial"/>
          <w:sz w:val="20"/>
          <w:szCs w:val="20"/>
          <w:color w:val="auto"/>
        </w:rPr>
        <w:t>In the normal course of business, we and certain of our subsidiaries enter into off-balance sheet credit arrangements associated with certain aspects of the title insurance business and other activities.</w:t>
      </w:r>
    </w:p>
    <w:p>
      <w:pPr>
        <w:spacing w:after="0" w:line="69" w:lineRule="exact"/>
        <w:rPr>
          <w:sz w:val="20"/>
          <w:szCs w:val="20"/>
          <w:color w:val="auto"/>
        </w:rPr>
      </w:pPr>
    </w:p>
    <w:p>
      <w:pPr>
        <w:jc w:val="both"/>
        <w:ind w:firstLine="353"/>
        <w:spacing w:after="0" w:line="361" w:lineRule="auto"/>
        <w:rPr>
          <w:sz w:val="20"/>
          <w:szCs w:val="20"/>
          <w:color w:val="auto"/>
        </w:rPr>
      </w:pPr>
      <w:r>
        <w:rPr>
          <w:rFonts w:ascii="Arial" w:cs="Arial" w:eastAsia="Arial" w:hAnsi="Arial"/>
          <w:sz w:val="17"/>
          <w:szCs w:val="17"/>
          <w:color w:val="auto"/>
        </w:rPr>
        <w:t>We generate a significant amount of title insurance premiums in Texas, California, Florida, Pennsylvania and Illinois. Title insurance premiums as a percentage of the total title insurance premiums written from those five states are detailed as follows:</w:t>
      </w:r>
    </w:p>
    <w:p>
      <w:pPr>
        <w:spacing w:after="0" w:line="73" w:lineRule="exact"/>
        <w:rPr>
          <w:sz w:val="20"/>
          <w:szCs w:val="20"/>
          <w:color w:val="auto"/>
        </w:rPr>
      </w:pPr>
    </w:p>
    <w:tbl>
      <w:tblPr>
        <w:tblLayout w:type="fixed"/>
        <w:tblInd w:w="40" w:type="dxa"/>
        <w:tblCellMar>
          <w:top w:w="0" w:type="dxa"/>
          <w:left w:w="0" w:type="dxa"/>
          <w:bottom w:w="0" w:type="dxa"/>
          <w:right w:w="0" w:type="dxa"/>
        </w:tblCellMar>
      </w:tblPr>
      <w:tr>
        <w:trPr>
          <w:trHeight w:val="213"/>
        </w:trPr>
        <w:tc>
          <w:tcPr>
            <w:tcW w:w="6900" w:type="dxa"/>
            <w:vAlign w:val="bottom"/>
          </w:tcPr>
          <w:p>
            <w:pPr>
              <w:spacing w:after="0"/>
              <w:rPr>
                <w:sz w:val="18"/>
                <w:szCs w:val="18"/>
                <w:color w:val="auto"/>
              </w:rPr>
            </w:pPr>
          </w:p>
        </w:tc>
        <w:tc>
          <w:tcPr>
            <w:tcW w:w="980" w:type="dxa"/>
            <w:vAlign w:val="bottom"/>
            <w:tcBorders>
              <w:bottom w:val="single" w:sz="8" w:color="auto"/>
            </w:tcBorders>
          </w:tcPr>
          <w:p>
            <w:pPr>
              <w:jc w:val="right"/>
              <w:ind w:right="262"/>
              <w:spacing w:after="0"/>
              <w:rPr>
                <w:sz w:val="20"/>
                <w:szCs w:val="20"/>
                <w:color w:val="auto"/>
              </w:rPr>
            </w:pPr>
            <w:r>
              <w:rPr>
                <w:rFonts w:ascii="Arial" w:cs="Arial" w:eastAsia="Arial" w:hAnsi="Arial"/>
                <w:sz w:val="16"/>
                <w:szCs w:val="16"/>
                <w:b w:val="1"/>
                <w:bCs w:val="1"/>
                <w:color w:val="auto"/>
              </w:rPr>
              <w:t>2025</w:t>
            </w:r>
          </w:p>
        </w:tc>
        <w:tc>
          <w:tcPr>
            <w:tcW w:w="60" w:type="dxa"/>
            <w:vAlign w:val="bottom"/>
          </w:tcPr>
          <w:p>
            <w:pPr>
              <w:spacing w:after="0"/>
              <w:rPr>
                <w:sz w:val="18"/>
                <w:szCs w:val="18"/>
                <w:color w:val="auto"/>
              </w:rPr>
            </w:pPr>
          </w:p>
        </w:tc>
        <w:tc>
          <w:tcPr>
            <w:tcW w:w="1000" w:type="dxa"/>
            <w:vAlign w:val="bottom"/>
            <w:tcBorders>
              <w:bottom w:val="single" w:sz="8" w:color="auto"/>
            </w:tcBorders>
          </w:tcPr>
          <w:p>
            <w:pPr>
              <w:jc w:val="right"/>
              <w:ind w:right="262"/>
              <w:spacing w:after="0"/>
              <w:rPr>
                <w:sz w:val="20"/>
                <w:szCs w:val="20"/>
                <w:color w:val="auto"/>
              </w:rPr>
            </w:pPr>
            <w:r>
              <w:rPr>
                <w:rFonts w:ascii="Arial" w:cs="Arial" w:eastAsia="Arial" w:hAnsi="Arial"/>
                <w:sz w:val="16"/>
                <w:szCs w:val="16"/>
                <w:b w:val="1"/>
                <w:bCs w:val="1"/>
                <w:color w:val="auto"/>
              </w:rPr>
              <w:t>2024</w:t>
            </w:r>
          </w:p>
        </w:tc>
        <w:tc>
          <w:tcPr>
            <w:tcW w:w="60" w:type="dxa"/>
            <w:vAlign w:val="bottom"/>
          </w:tcPr>
          <w:p>
            <w:pPr>
              <w:spacing w:after="0"/>
              <w:rPr>
                <w:sz w:val="18"/>
                <w:szCs w:val="18"/>
                <w:color w:val="auto"/>
              </w:rPr>
            </w:pPr>
          </w:p>
        </w:tc>
        <w:tc>
          <w:tcPr>
            <w:tcW w:w="1000" w:type="dxa"/>
            <w:vAlign w:val="bottom"/>
            <w:tcBorders>
              <w:bottom w:val="single" w:sz="8" w:color="auto"/>
            </w:tcBorders>
          </w:tcPr>
          <w:p>
            <w:pPr>
              <w:jc w:val="right"/>
              <w:ind w:right="262"/>
              <w:spacing w:after="0"/>
              <w:rPr>
                <w:sz w:val="20"/>
                <w:szCs w:val="20"/>
                <w:color w:val="auto"/>
              </w:rPr>
            </w:pPr>
            <w:r>
              <w:rPr>
                <w:rFonts w:ascii="Arial" w:cs="Arial" w:eastAsia="Arial" w:hAnsi="Arial"/>
                <w:sz w:val="16"/>
                <w:szCs w:val="16"/>
                <w:b w:val="1"/>
                <w:bCs w:val="1"/>
                <w:color w:val="auto"/>
              </w:rPr>
              <w:t>2023</w:t>
            </w:r>
          </w:p>
        </w:tc>
      </w:tr>
      <w:tr>
        <w:trPr>
          <w:trHeight w:val="208"/>
        </w:trPr>
        <w:tc>
          <w:tcPr>
            <w:tcW w:w="6900" w:type="dxa"/>
            <w:vAlign w:val="bottom"/>
          </w:tcPr>
          <w:p>
            <w:pPr>
              <w:spacing w:after="0"/>
              <w:rPr>
                <w:sz w:val="20"/>
                <w:szCs w:val="20"/>
                <w:color w:val="auto"/>
              </w:rPr>
            </w:pPr>
            <w:r>
              <w:rPr>
                <w:rFonts w:ascii="Arial" w:cs="Arial" w:eastAsia="Arial" w:hAnsi="Arial"/>
                <w:sz w:val="16"/>
                <w:szCs w:val="16"/>
                <w:color w:val="auto"/>
              </w:rPr>
              <w:t>Texas</w:t>
            </w:r>
          </w:p>
        </w:tc>
        <w:tc>
          <w:tcPr>
            <w:tcW w:w="980" w:type="dxa"/>
            <w:vAlign w:val="bottom"/>
          </w:tcPr>
          <w:p>
            <w:pPr>
              <w:jc w:val="right"/>
              <w:spacing w:after="0"/>
              <w:rPr>
                <w:sz w:val="20"/>
                <w:szCs w:val="20"/>
                <w:color w:val="auto"/>
              </w:rPr>
            </w:pPr>
            <w:r>
              <w:rPr>
                <w:rFonts w:ascii="Arial" w:cs="Arial" w:eastAsia="Arial" w:hAnsi="Arial"/>
                <w:sz w:val="16"/>
                <w:szCs w:val="16"/>
                <w:color w:val="auto"/>
              </w:rPr>
              <w:t>14.1 %</w:t>
            </w: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13.8 %</w:t>
            </w: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14.3 %</w:t>
            </w:r>
          </w:p>
        </w:tc>
      </w:tr>
      <w:tr>
        <w:trPr>
          <w:trHeight w:val="235"/>
        </w:trPr>
        <w:tc>
          <w:tcPr>
            <w:tcW w:w="6900" w:type="dxa"/>
            <w:vAlign w:val="bottom"/>
          </w:tcPr>
          <w:p>
            <w:pPr>
              <w:spacing w:after="0"/>
              <w:rPr>
                <w:sz w:val="20"/>
                <w:szCs w:val="20"/>
                <w:color w:val="auto"/>
              </w:rPr>
            </w:pPr>
            <w:r>
              <w:rPr>
                <w:rFonts w:ascii="Arial" w:cs="Arial" w:eastAsia="Arial" w:hAnsi="Arial"/>
                <w:sz w:val="16"/>
                <w:szCs w:val="16"/>
                <w:color w:val="auto"/>
              </w:rPr>
              <w:t>California</w:t>
            </w:r>
          </w:p>
        </w:tc>
        <w:tc>
          <w:tcPr>
            <w:tcW w:w="980" w:type="dxa"/>
            <w:vAlign w:val="bottom"/>
          </w:tcPr>
          <w:p>
            <w:pPr>
              <w:jc w:val="right"/>
              <w:spacing w:after="0"/>
              <w:rPr>
                <w:sz w:val="20"/>
                <w:szCs w:val="20"/>
                <w:color w:val="auto"/>
              </w:rPr>
            </w:pPr>
            <w:r>
              <w:rPr>
                <w:rFonts w:ascii="Arial" w:cs="Arial" w:eastAsia="Arial" w:hAnsi="Arial"/>
                <w:sz w:val="16"/>
                <w:szCs w:val="16"/>
                <w:color w:val="auto"/>
              </w:rPr>
              <w:t>12.2 %</w:t>
            </w: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12.9 %</w:t>
            </w: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13.0 %</w:t>
            </w:r>
          </w:p>
        </w:tc>
      </w:tr>
      <w:tr>
        <w:trPr>
          <w:trHeight w:val="235"/>
        </w:trPr>
        <w:tc>
          <w:tcPr>
            <w:tcW w:w="6900" w:type="dxa"/>
            <w:vAlign w:val="bottom"/>
          </w:tcPr>
          <w:p>
            <w:pPr>
              <w:spacing w:after="0"/>
              <w:rPr>
                <w:sz w:val="20"/>
                <w:szCs w:val="20"/>
                <w:color w:val="auto"/>
              </w:rPr>
            </w:pPr>
            <w:r>
              <w:rPr>
                <w:rFonts w:ascii="Arial" w:cs="Arial" w:eastAsia="Arial" w:hAnsi="Arial"/>
                <w:sz w:val="16"/>
                <w:szCs w:val="16"/>
                <w:color w:val="auto"/>
              </w:rPr>
              <w:t>Florida</w:t>
            </w:r>
          </w:p>
        </w:tc>
        <w:tc>
          <w:tcPr>
            <w:tcW w:w="980" w:type="dxa"/>
            <w:vAlign w:val="bottom"/>
          </w:tcPr>
          <w:p>
            <w:pPr>
              <w:jc w:val="right"/>
              <w:spacing w:after="0"/>
              <w:rPr>
                <w:sz w:val="20"/>
                <w:szCs w:val="20"/>
                <w:color w:val="auto"/>
              </w:rPr>
            </w:pPr>
            <w:r>
              <w:rPr>
                <w:rFonts w:ascii="Arial" w:cs="Arial" w:eastAsia="Arial" w:hAnsi="Arial"/>
                <w:sz w:val="16"/>
                <w:szCs w:val="16"/>
                <w:color w:val="auto"/>
              </w:rPr>
              <w:t>9.4 %</w:t>
            </w: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10.2 %</w:t>
            </w: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10.7 %</w:t>
            </w:r>
          </w:p>
        </w:tc>
      </w:tr>
      <w:tr>
        <w:trPr>
          <w:trHeight w:val="235"/>
        </w:trPr>
        <w:tc>
          <w:tcPr>
            <w:tcW w:w="6900" w:type="dxa"/>
            <w:vAlign w:val="bottom"/>
          </w:tcPr>
          <w:p>
            <w:pPr>
              <w:spacing w:after="0"/>
              <w:rPr>
                <w:sz w:val="20"/>
                <w:szCs w:val="20"/>
                <w:color w:val="auto"/>
              </w:rPr>
            </w:pPr>
            <w:r>
              <w:rPr>
                <w:rFonts w:ascii="Arial" w:cs="Arial" w:eastAsia="Arial" w:hAnsi="Arial"/>
                <w:sz w:val="16"/>
                <w:szCs w:val="16"/>
                <w:color w:val="auto"/>
              </w:rPr>
              <w:t>Illinois</w:t>
            </w:r>
          </w:p>
        </w:tc>
        <w:tc>
          <w:tcPr>
            <w:tcW w:w="980" w:type="dxa"/>
            <w:vAlign w:val="bottom"/>
          </w:tcPr>
          <w:p>
            <w:pPr>
              <w:jc w:val="right"/>
              <w:spacing w:after="0"/>
              <w:rPr>
                <w:sz w:val="20"/>
                <w:szCs w:val="20"/>
                <w:color w:val="auto"/>
              </w:rPr>
            </w:pPr>
            <w:r>
              <w:rPr>
                <w:rFonts w:ascii="Arial" w:cs="Arial" w:eastAsia="Arial" w:hAnsi="Arial"/>
                <w:sz w:val="16"/>
                <w:szCs w:val="16"/>
                <w:color w:val="auto"/>
              </w:rPr>
              <w:t>5.8 %</w:t>
            </w: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5.8 %</w:t>
            </w: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6.0 %</w:t>
            </w:r>
          </w:p>
        </w:tc>
      </w:tr>
      <w:tr>
        <w:trPr>
          <w:trHeight w:val="235"/>
        </w:trPr>
        <w:tc>
          <w:tcPr>
            <w:tcW w:w="6900" w:type="dxa"/>
            <w:vAlign w:val="bottom"/>
          </w:tcPr>
          <w:p>
            <w:pPr>
              <w:spacing w:after="0"/>
              <w:rPr>
                <w:sz w:val="20"/>
                <w:szCs w:val="20"/>
                <w:color w:val="auto"/>
              </w:rPr>
            </w:pPr>
            <w:r>
              <w:rPr>
                <w:rFonts w:ascii="Arial" w:cs="Arial" w:eastAsia="Arial" w:hAnsi="Arial"/>
                <w:sz w:val="16"/>
                <w:szCs w:val="16"/>
                <w:color w:val="auto"/>
              </w:rPr>
              <w:t>Pennsylvania</w:t>
            </w:r>
          </w:p>
        </w:tc>
        <w:tc>
          <w:tcPr>
            <w:tcW w:w="980" w:type="dxa"/>
            <w:vAlign w:val="bottom"/>
          </w:tcPr>
          <w:p>
            <w:pPr>
              <w:jc w:val="right"/>
              <w:spacing w:after="0"/>
              <w:rPr>
                <w:sz w:val="20"/>
                <w:szCs w:val="20"/>
                <w:color w:val="auto"/>
              </w:rPr>
            </w:pPr>
            <w:r>
              <w:rPr>
                <w:rFonts w:ascii="Arial" w:cs="Arial" w:eastAsia="Arial" w:hAnsi="Arial"/>
                <w:sz w:val="16"/>
                <w:szCs w:val="16"/>
                <w:color w:val="auto"/>
              </w:rPr>
              <w:t>5.4 %</w:t>
            </w: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5.2 %</w:t>
            </w: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4.9 %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-598805</wp:posOffset>
            </wp:positionV>
            <wp:extent cx="6400800" cy="62293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159">
                      <a:extLst>
                        <a:ext uri="{28A0092B-C50C-407E-A947-70E740481C1C}"/>
                      </a:extLst>
                    </a:blip>
                    <a:srcRect/>
                    <a:stretch>
                      <a:fillRect/>
                    </a:stretch>
                  </pic:blipFill>
                  <pic:spPr bwMode="auto">
                    <a:xfrm>
                      <a:off x="0" y="0"/>
                      <a:ext cx="6400800" cy="622935"/>
                    </a:xfrm>
                    <a:prstGeom prst="rect">
                      <a:avLst/>
                    </a:prstGeom>
                    <a:noFill/>
                  </pic:spPr>
                </pic:pic>
              </a:graphicData>
            </a:graphic>
          </wp:anchor>
        </w:drawing>
      </w:r>
    </w:p>
    <w:p>
      <w:pPr>
        <w:spacing w:after="0" w:line="152" w:lineRule="exact"/>
        <w:rPr>
          <w:sz w:val="20"/>
          <w:szCs w:val="20"/>
          <w:color w:val="auto"/>
        </w:rPr>
      </w:pPr>
    </w:p>
    <w:p>
      <w:pPr>
        <w:jc w:val="both"/>
        <w:ind w:firstLine="353"/>
        <w:spacing w:after="0" w:line="271" w:lineRule="auto"/>
        <w:rPr>
          <w:sz w:val="20"/>
          <w:szCs w:val="20"/>
          <w:color w:val="auto"/>
        </w:rPr>
      </w:pPr>
      <w:r>
        <w:rPr>
          <w:rFonts w:ascii="Arial" w:cs="Arial" w:eastAsia="Arial" w:hAnsi="Arial"/>
          <w:sz w:val="20"/>
          <w:szCs w:val="20"/>
          <w:color w:val="auto"/>
        </w:rPr>
        <w:t>Financial instruments that potentially subject us to concentrations of credit risk consist primarily of cash equivalents, short-term investments, and trade receivables.</w:t>
      </w:r>
    </w:p>
    <w:p>
      <w:pPr>
        <w:spacing w:after="0" w:line="69" w:lineRule="exact"/>
        <w:rPr>
          <w:sz w:val="20"/>
          <w:szCs w:val="20"/>
          <w:color w:val="auto"/>
        </w:rPr>
      </w:pPr>
    </w:p>
    <w:p>
      <w:pPr>
        <w:jc w:val="both"/>
        <w:ind w:firstLine="353"/>
        <w:spacing w:after="0" w:line="258" w:lineRule="auto"/>
        <w:rPr>
          <w:sz w:val="20"/>
          <w:szCs w:val="20"/>
          <w:color w:val="auto"/>
        </w:rPr>
      </w:pPr>
      <w:r>
        <w:rPr>
          <w:rFonts w:ascii="Arial" w:cs="Arial" w:eastAsia="Arial" w:hAnsi="Arial"/>
          <w:sz w:val="20"/>
          <w:szCs w:val="20"/>
          <w:color w:val="auto"/>
        </w:rPr>
        <w:t>We place cash equivalents and short-term investments with high credit quality financial institutions and, by policy, limit the amount of credit exposure with any one financial institution. Investments in commercial paper of industrial firms and financial institutions are rated investment grade by nationally recognized rating agencies.</w:t>
      </w:r>
    </w:p>
    <w:p>
      <w:pPr>
        <w:spacing w:after="0" w:line="82" w:lineRule="exact"/>
        <w:rPr>
          <w:sz w:val="20"/>
          <w:szCs w:val="20"/>
          <w:color w:val="auto"/>
        </w:rPr>
      </w:pPr>
    </w:p>
    <w:p>
      <w:pPr>
        <w:jc w:val="both"/>
        <w:ind w:firstLine="353"/>
        <w:spacing w:after="0" w:line="258" w:lineRule="auto"/>
        <w:rPr>
          <w:sz w:val="20"/>
          <w:szCs w:val="20"/>
          <w:color w:val="auto"/>
        </w:rPr>
      </w:pPr>
      <w:r>
        <w:rPr>
          <w:rFonts w:ascii="Arial" w:cs="Arial" w:eastAsia="Arial" w:hAnsi="Arial"/>
          <w:sz w:val="20"/>
          <w:szCs w:val="20"/>
          <w:color w:val="auto"/>
        </w:rPr>
        <w:t>Concentrations of credit risk with respect to trade receivables are limited because a large number of geographically diverse customers make up our customer base, thus spreading the trade receivables credit risk. We control credit risk through monitoring procedures.</w:t>
      </w:r>
    </w:p>
    <w:p>
      <w:pPr>
        <w:spacing w:after="0" w:line="74" w:lineRule="exact"/>
        <w:rPr>
          <w:sz w:val="20"/>
          <w:szCs w:val="20"/>
          <w:color w:val="auto"/>
        </w:rPr>
      </w:pPr>
    </w:p>
    <w:p>
      <w:pPr>
        <w:ind w:left="40"/>
        <w:spacing w:after="0"/>
        <w:rPr>
          <w:sz w:val="20"/>
          <w:szCs w:val="20"/>
          <w:color w:val="auto"/>
        </w:rPr>
      </w:pPr>
      <w:r>
        <w:rPr>
          <w:rFonts w:ascii="Arial" w:cs="Arial" w:eastAsia="Arial" w:hAnsi="Arial"/>
          <w:sz w:val="20"/>
          <w:szCs w:val="20"/>
          <w:b w:val="1"/>
          <w:bCs w:val="1"/>
          <w:color w:val="auto"/>
        </w:rPr>
        <w:t>Note V - Recent Accounting Pronouncements</w:t>
      </w:r>
    </w:p>
    <w:p>
      <w:pPr>
        <w:spacing w:after="0" w:line="128" w:lineRule="exact"/>
        <w:rPr>
          <w:sz w:val="20"/>
          <w:szCs w:val="20"/>
          <w:color w:val="auto"/>
        </w:rPr>
      </w:pPr>
    </w:p>
    <w:p>
      <w:pPr>
        <w:ind w:left="340"/>
        <w:spacing w:after="0"/>
        <w:rPr>
          <w:sz w:val="20"/>
          <w:szCs w:val="20"/>
          <w:color w:val="auto"/>
        </w:rPr>
      </w:pPr>
      <w:r>
        <w:rPr>
          <w:rFonts w:ascii="Arial" w:cs="Arial" w:eastAsia="Arial" w:hAnsi="Arial"/>
          <w:sz w:val="20"/>
          <w:szCs w:val="20"/>
          <w:b w:val="1"/>
          <w:bCs w:val="1"/>
          <w:i w:val="1"/>
          <w:iCs w:val="1"/>
          <w:color w:val="auto"/>
        </w:rPr>
        <w:t>Adopted Pronouncements</w:t>
      </w:r>
    </w:p>
    <w:p>
      <w:pPr>
        <w:spacing w:after="0" w:line="125" w:lineRule="exact"/>
        <w:rPr>
          <w:sz w:val="20"/>
          <w:szCs w:val="20"/>
          <w:color w:val="auto"/>
        </w:rPr>
      </w:pPr>
    </w:p>
    <w:p>
      <w:pPr>
        <w:jc w:val="both"/>
        <w:ind w:firstLine="353"/>
        <w:spacing w:after="0" w:line="306" w:lineRule="auto"/>
        <w:rPr>
          <w:sz w:val="20"/>
          <w:szCs w:val="20"/>
          <w:color w:val="auto"/>
        </w:rPr>
      </w:pPr>
      <w:r>
        <w:rPr>
          <w:rFonts w:ascii="Arial" w:cs="Arial" w:eastAsia="Arial" w:hAnsi="Arial"/>
          <w:sz w:val="17"/>
          <w:szCs w:val="17"/>
          <w:color w:val="auto"/>
        </w:rPr>
        <w:t>In December 2023, the FASB issued ASU 2023-09, Income Taxes (Topic 740): Improvements to Income Tax Disclosures. The amendments in this update enhance the transparency of the income tax disclosures by expanding on the disclosures required annually. The amendments require entities to disclose in their rate reconciliation table additional categories of information about federal, state, and foreign income taxes, in addition to providing details about the reconciling items in some categories if above a quantitative threshold. Additionally, the amendments require annual disclosure of income taxes paid (net</w:t>
      </w:r>
    </w:p>
    <w:p>
      <w:pPr>
        <w:sectPr>
          <w:pgSz w:w="11880" w:h="15480" w:orient="portrait"/>
          <w:cols w:equalWidth="0" w:num="1">
            <w:col w:w="10040"/>
          </w:cols>
          <w:pgMar w:left="920" w:top="772"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180</w:t>
      </w:r>
    </w:p>
    <w:p>
      <w:pPr>
        <w:sectPr>
          <w:pgSz w:w="11880" w:h="15480" w:orient="portrait"/>
          <w:cols w:equalWidth="0" w:num="1">
            <w:col w:w="10040"/>
          </w:cols>
          <w:pgMar w:left="920" w:top="772" w:right="920" w:bottom="0" w:gutter="0" w:footer="0" w:header="0"/>
          <w:type w:val="continuous"/>
        </w:sectPr>
      </w:pPr>
    </w:p>
    <w:bookmarkStart w:id="192" w:name="page193"/>
    <w:bookmarkEnd w:id="192"/>
    <w:p>
      <w:pPr>
        <w:jc w:val="both"/>
        <w:ind w:left="7"/>
        <w:spacing w:after="0" w:line="359" w:lineRule="auto"/>
        <w:rPr>
          <w:sz w:val="20"/>
          <w:szCs w:val="20"/>
          <w:color w:val="auto"/>
        </w:rPr>
      </w:pPr>
      <w:r>
        <w:rPr>
          <w:rFonts w:ascii="Arial" w:cs="Arial" w:eastAsia="Arial" w:hAnsi="Arial"/>
          <w:sz w:val="17"/>
          <w:szCs w:val="17"/>
          <w:color w:val="auto"/>
        </w:rPr>
        <w:t xml:space="preserve">of refunds received) disaggregated by jurisdiction based on a quantitative threshold. We adopted this standard as of December 31, 2025 and are applying this guidance on a prospective basis. Refer to Note S </w:t>
      </w:r>
      <w:r>
        <w:rPr>
          <w:rFonts w:ascii="Arial" w:cs="Arial" w:eastAsia="Arial" w:hAnsi="Arial"/>
          <w:sz w:val="17"/>
          <w:szCs w:val="17"/>
          <w:b w:val="1"/>
          <w:bCs w:val="1"/>
          <w:i w:val="1"/>
          <w:iCs w:val="1"/>
          <w:color w:val="auto"/>
        </w:rPr>
        <w:t>Income Taxes</w:t>
      </w:r>
      <w:r>
        <w:rPr>
          <w:rFonts w:ascii="Arial" w:cs="Arial" w:eastAsia="Arial" w:hAnsi="Arial"/>
          <w:sz w:val="17"/>
          <w:szCs w:val="17"/>
          <w:color w:val="auto"/>
        </w:rPr>
        <w:t xml:space="preserve"> for further information.</w:t>
      </w:r>
    </w:p>
    <w:p>
      <w:pPr>
        <w:spacing w:after="0" w:line="1" w:lineRule="exact"/>
        <w:rPr>
          <w:sz w:val="20"/>
          <w:szCs w:val="20"/>
          <w:color w:val="auto"/>
        </w:rPr>
      </w:pPr>
    </w:p>
    <w:p>
      <w:pPr>
        <w:ind w:left="347"/>
        <w:spacing w:after="0"/>
        <w:rPr>
          <w:sz w:val="20"/>
          <w:szCs w:val="20"/>
          <w:color w:val="auto"/>
        </w:rPr>
      </w:pPr>
      <w:r>
        <w:rPr>
          <w:rFonts w:ascii="Arial" w:cs="Arial" w:eastAsia="Arial" w:hAnsi="Arial"/>
          <w:sz w:val="20"/>
          <w:szCs w:val="20"/>
          <w:b w:val="1"/>
          <w:bCs w:val="1"/>
          <w:i w:val="1"/>
          <w:iCs w:val="1"/>
          <w:color w:val="auto"/>
        </w:rPr>
        <w:t>Pronouncements Not Yet Adopted</w:t>
      </w:r>
    </w:p>
    <w:p>
      <w:pPr>
        <w:spacing w:after="0" w:line="125" w:lineRule="exact"/>
        <w:rPr>
          <w:sz w:val="20"/>
          <w:szCs w:val="20"/>
          <w:color w:val="auto"/>
        </w:rPr>
      </w:pPr>
    </w:p>
    <w:p>
      <w:pPr>
        <w:jc w:val="both"/>
        <w:ind w:left="7" w:firstLine="353"/>
        <w:spacing w:after="0" w:line="296" w:lineRule="auto"/>
        <w:rPr>
          <w:sz w:val="20"/>
          <w:szCs w:val="20"/>
          <w:color w:val="auto"/>
        </w:rPr>
      </w:pPr>
      <w:r>
        <w:rPr>
          <w:rFonts w:ascii="Arial" w:cs="Arial" w:eastAsia="Arial" w:hAnsi="Arial"/>
          <w:sz w:val="17"/>
          <w:szCs w:val="17"/>
          <w:color w:val="auto"/>
        </w:rPr>
        <w:t>In November 2024, the FASB issued ASU 2024-03, Income Statement—Reporting Comprehensive Income—Expense Disaggregation Disclosures (Subtopic 220-40): Disaggregation of Income Statement Expenses. The amendments in this update enhance transparency of certain expense captions by disclosing more granular information of specific expenses within those captions such as personnel costs, depreciation, and amortization. The amendments also require disclosure of qualitative description of amounts remaining in relevant expense captions that are not separately disaggregated. The amendments in this update are effective for all public companies for annual reporting periods beginning after December 15, 2026, and interim reporting periods beginning after December 15, 2027. Early adoption is permitted, and the amendments should be applied either prospectively to financial statements issued for reporting periods after the effective date or retrospectively to all prior periods presented in the financial statements. We do not expect to early adopt this standard and are in the process of assessing its impact on our disclosures upon adoption.</w:t>
      </w:r>
    </w:p>
    <w:p>
      <w:pPr>
        <w:spacing w:after="0" w:line="59" w:lineRule="exact"/>
        <w:rPr>
          <w:sz w:val="20"/>
          <w:szCs w:val="20"/>
          <w:color w:val="auto"/>
        </w:rPr>
      </w:pPr>
    </w:p>
    <w:p>
      <w:pPr>
        <w:jc w:val="both"/>
        <w:ind w:left="7" w:firstLine="353"/>
        <w:spacing w:after="0" w:line="297" w:lineRule="auto"/>
        <w:rPr>
          <w:sz w:val="20"/>
          <w:szCs w:val="20"/>
          <w:color w:val="auto"/>
        </w:rPr>
      </w:pPr>
      <w:r>
        <w:rPr>
          <w:rFonts w:ascii="Arial" w:cs="Arial" w:eastAsia="Arial" w:hAnsi="Arial"/>
          <w:sz w:val="17"/>
          <w:szCs w:val="17"/>
          <w:color w:val="auto"/>
        </w:rPr>
        <w:t>In September 2025, the FASB issued ASU 2025-06, Intangibles—Goodwill and Other—Internal-Use Software (Subtopic 350-40): Targeted Improvements to the Accounting for Internal-Use Software. The amendments in this update refine capitalization thresholds by removing all references to project stages. The amendments require that an entity capitalize software costs when management has authorized and committed to funding the software project and when it is probable that the project will be completed and the software will be used to perform the function intended (“probable-to-complete recognition threshold”). Additionally, the amendments clarify the disclosure requirements for internal-use software costs. The amendments in this update are effective for all companies for annual and interim reporting periods beginning after December 15, 2027. Early adoption is permitted, and the amendments should be applied using a prospective, retrospective, or modified transition approach. We are in the process of assessing this standard and its impact upon adoption.</w:t>
      </w:r>
    </w:p>
    <w:p>
      <w:pPr>
        <w:spacing w:after="0" w:line="57" w:lineRule="exact"/>
        <w:rPr>
          <w:sz w:val="20"/>
          <w:szCs w:val="20"/>
          <w:color w:val="auto"/>
        </w:rPr>
      </w:pPr>
    </w:p>
    <w:p>
      <w:pPr>
        <w:jc w:val="both"/>
        <w:ind w:left="7" w:firstLine="353"/>
        <w:spacing w:after="0" w:line="292" w:lineRule="auto"/>
        <w:rPr>
          <w:sz w:val="20"/>
          <w:szCs w:val="20"/>
          <w:color w:val="auto"/>
        </w:rPr>
      </w:pPr>
      <w:r>
        <w:rPr>
          <w:rFonts w:ascii="Arial" w:cs="Arial" w:eastAsia="Arial" w:hAnsi="Arial"/>
          <w:sz w:val="17"/>
          <w:szCs w:val="17"/>
          <w:color w:val="auto"/>
        </w:rPr>
        <w:t>In November 2025, the FASB issued ASU 2025-09, Derivatives and Hedging (Topic 815): Hedge Accounting Improvements. The amendments in this update make improvements to the hedge accounting guidance, with the overall goal of simplifying the application of hedge accounting guidance. The main amendments in this Update include: Issue 1) Similar Risk Assessment for Cash Flow Hedges: expands the hedged risks permitted to be aggregated in a group of individual forecasted transactions in a cash flow hedge, enabling entities to apply hedge accounting to potentially broader portfolios of forecasted transactions, Issue 2) Hedging Forecasted Interest Payments on Choose-Your-Rate Debt Instruments: establishes a model that enables hedge accounting to be applied more broadly to choose-your-rate debt and address existing diversity in practice, Issue</w:t>
      </w:r>
    </w:p>
    <w:p>
      <w:pPr>
        <w:spacing w:after="0" w:line="1" w:lineRule="exact"/>
        <w:rPr>
          <w:sz w:val="20"/>
          <w:szCs w:val="20"/>
          <w:color w:val="auto"/>
        </w:rPr>
      </w:pPr>
    </w:p>
    <w:p>
      <w:pPr>
        <w:jc w:val="both"/>
        <w:ind w:left="7" w:hanging="7"/>
        <w:spacing w:after="0" w:line="295" w:lineRule="auto"/>
        <w:tabs>
          <w:tab w:leader="none" w:pos="222" w:val="left"/>
        </w:tabs>
        <w:numPr>
          <w:ilvl w:val="0"/>
          <w:numId w:val="61"/>
        </w:numPr>
        <w:rPr>
          <w:rFonts w:ascii="Arial" w:cs="Arial" w:eastAsia="Arial" w:hAnsi="Arial"/>
          <w:sz w:val="17"/>
          <w:szCs w:val="17"/>
          <w:color w:val="auto"/>
        </w:rPr>
      </w:pPr>
      <w:r>
        <w:rPr>
          <w:rFonts w:ascii="Arial" w:cs="Arial" w:eastAsia="Arial" w:hAnsi="Arial"/>
          <w:sz w:val="17"/>
          <w:szCs w:val="17"/>
          <w:color w:val="auto"/>
        </w:rPr>
        <w:t>Cash Flow Hedges of Nonfinancial Forecasted Transactions: expands hedge accounting for forecasted purchases and sales of nonfinancial assets subject to certain criteria, Issue 4) Net Written Options as Hedging Instruments: accommodates differences in the loan and swap markets that resulted from reference rate reform, eliminating the requirement for the net written option test in certain instances, and Issue 5) Foreign-Currency-Denominated Debt Instrument as Hedging Instrument and Hedged Item (Dual Hedge): eliminates the recognition and presentation mismatch related to a dual hedge strategy. The amendments in this update are effective for public companies for annual and interim reporting periods beginning after December 15, 2026. Early adoption is permitted, and the amendments should be applied using a prospective basis for all hedging relationships. We are in the process of assessing this standard and its impact upon adoption.</w:t>
      </w:r>
    </w:p>
    <w:p>
      <w:pPr>
        <w:sectPr>
          <w:pgSz w:w="11880" w:h="15480" w:orient="portrait"/>
          <w:cols w:equalWidth="0" w:num="1">
            <w:col w:w="10047"/>
          </w:cols>
          <w:pgMar w:left="913" w:top="772"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6"/>
        <w:spacing w:after="0"/>
        <w:rPr>
          <w:sz w:val="20"/>
          <w:szCs w:val="20"/>
          <w:color w:val="auto"/>
        </w:rPr>
      </w:pPr>
      <w:r>
        <w:rPr>
          <w:rFonts w:ascii="Arial" w:cs="Arial" w:eastAsia="Arial" w:hAnsi="Arial"/>
          <w:sz w:val="16"/>
          <w:szCs w:val="16"/>
          <w:color w:val="auto"/>
        </w:rPr>
        <w:t>181</w:t>
      </w:r>
    </w:p>
    <w:p>
      <w:pPr>
        <w:sectPr>
          <w:pgSz w:w="11880" w:h="15480" w:orient="portrait"/>
          <w:cols w:equalWidth="0" w:num="1">
            <w:col w:w="10047"/>
          </w:cols>
          <w:pgMar w:left="913" w:top="772" w:right="920" w:bottom="0" w:gutter="0" w:footer="0" w:header="0"/>
          <w:type w:val="continuous"/>
        </w:sectPr>
      </w:pPr>
    </w:p>
    <w:bookmarkStart w:id="193" w:name="page194"/>
    <w:bookmarkEnd w:id="193"/>
    <w:p>
      <w:pPr>
        <w:spacing w:after="0"/>
        <w:rPr>
          <w:sz w:val="20"/>
          <w:szCs w:val="20"/>
          <w:color w:val="auto"/>
        </w:rPr>
      </w:pPr>
      <w:r>
        <w:rPr>
          <w:rFonts w:ascii="Arial" w:cs="Arial" w:eastAsia="Arial" w:hAnsi="Arial"/>
          <w:sz w:val="20"/>
          <w:szCs w:val="20"/>
          <w:b w:val="1"/>
          <w:bCs w:val="1"/>
          <w:color w:val="auto"/>
        </w:rPr>
        <w:t>Note W - Market Risk Benefits</w:t>
      </w:r>
    </w:p>
    <w:p>
      <w:pPr>
        <w:spacing w:after="0" w:line="130" w:lineRule="exact"/>
        <w:rPr>
          <w:sz w:val="20"/>
          <w:szCs w:val="20"/>
          <w:color w:val="auto"/>
        </w:rPr>
      </w:pPr>
    </w:p>
    <w:p>
      <w:pPr>
        <w:jc w:val="both"/>
        <w:ind w:firstLine="353"/>
        <w:spacing w:after="0" w:line="260" w:lineRule="auto"/>
        <w:rPr>
          <w:sz w:val="20"/>
          <w:szCs w:val="20"/>
          <w:color w:val="auto"/>
        </w:rPr>
      </w:pPr>
      <w:r>
        <w:rPr>
          <w:rFonts w:ascii="Arial" w:cs="Arial" w:eastAsia="Arial" w:hAnsi="Arial"/>
          <w:sz w:val="20"/>
          <w:szCs w:val="20"/>
          <w:color w:val="auto"/>
        </w:rPr>
        <w:t>The following table presents the balances of and changes in MRBs associated with indexed annuities and fixed rate annuities for the years ended December 31, 2025 and 2024:</w:t>
      </w:r>
    </w:p>
    <w:p>
      <w:pPr>
        <w:spacing w:after="0" w:line="217" w:lineRule="exact"/>
        <w:rPr>
          <w:sz w:val="20"/>
          <w:szCs w:val="20"/>
          <w:color w:val="auto"/>
        </w:rPr>
      </w:pPr>
    </w:p>
    <w:tbl>
      <w:tblPr>
        <w:tblLayout w:type="fixed"/>
        <w:tblInd w:w="40" w:type="dxa"/>
        <w:tblCellMar>
          <w:top w:w="0" w:type="dxa"/>
          <w:left w:w="0" w:type="dxa"/>
          <w:bottom w:w="0" w:type="dxa"/>
          <w:right w:w="0" w:type="dxa"/>
        </w:tblCellMar>
      </w:tblPr>
      <w:tr>
        <w:trPr>
          <w:trHeight w:val="213"/>
        </w:trPr>
        <w:tc>
          <w:tcPr>
            <w:tcW w:w="59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gridSpan w:val="4"/>
          </w:tcPr>
          <w:p>
            <w:pPr>
              <w:jc w:val="right"/>
              <w:ind w:right="302"/>
              <w:spacing w:after="0"/>
              <w:rPr>
                <w:sz w:val="20"/>
                <w:szCs w:val="20"/>
                <w:color w:val="auto"/>
              </w:rPr>
            </w:pPr>
            <w:r>
              <w:rPr>
                <w:rFonts w:ascii="Arial" w:cs="Arial" w:eastAsia="Arial" w:hAnsi="Arial"/>
                <w:sz w:val="16"/>
                <w:szCs w:val="16"/>
                <w:b w:val="1"/>
                <w:bCs w:val="1"/>
                <w:color w:val="auto"/>
              </w:rPr>
              <w:t>December 31, 2025</w:t>
            </w:r>
          </w:p>
        </w:tc>
        <w:tc>
          <w:tcPr>
            <w:tcW w:w="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gridSpan w:val="4"/>
          </w:tcPr>
          <w:p>
            <w:pPr>
              <w:jc w:val="right"/>
              <w:ind w:right="302"/>
              <w:spacing w:after="0"/>
              <w:rPr>
                <w:sz w:val="20"/>
                <w:szCs w:val="20"/>
                <w:color w:val="auto"/>
              </w:rPr>
            </w:pPr>
            <w:r>
              <w:rPr>
                <w:rFonts w:ascii="Arial" w:cs="Arial" w:eastAsia="Arial" w:hAnsi="Arial"/>
                <w:sz w:val="16"/>
                <w:szCs w:val="16"/>
                <w:b w:val="1"/>
                <w:bCs w:val="1"/>
                <w:color w:val="auto"/>
              </w:rPr>
              <w:t>December 31, 2024</w:t>
            </w:r>
          </w:p>
        </w:tc>
        <w:tc>
          <w:tcPr>
            <w:tcW w:w="0" w:type="dxa"/>
            <w:vAlign w:val="bottom"/>
          </w:tcPr>
          <w:p>
            <w:pPr>
              <w:spacing w:after="0"/>
              <w:rPr>
                <w:sz w:val="1"/>
                <w:szCs w:val="1"/>
                <w:color w:val="auto"/>
              </w:rPr>
            </w:pPr>
          </w:p>
        </w:tc>
      </w:tr>
      <w:tr>
        <w:trPr>
          <w:trHeight w:val="182"/>
        </w:trPr>
        <w:tc>
          <w:tcPr>
            <w:tcW w:w="5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jc w:val="right"/>
              <w:ind w:right="142"/>
              <w:spacing w:after="0" w:line="182" w:lineRule="exact"/>
              <w:rPr>
                <w:sz w:val="20"/>
                <w:szCs w:val="20"/>
                <w:color w:val="auto"/>
              </w:rPr>
            </w:pPr>
            <w:r>
              <w:rPr>
                <w:rFonts w:ascii="Arial" w:cs="Arial" w:eastAsia="Arial" w:hAnsi="Arial"/>
                <w:sz w:val="16"/>
                <w:szCs w:val="16"/>
                <w:b w:val="1"/>
                <w:bCs w:val="1"/>
                <w:color w:val="auto"/>
                <w:w w:val="95"/>
              </w:rPr>
              <w:t>Indexed</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jc w:val="right"/>
              <w:ind w:right="82"/>
              <w:spacing w:after="0" w:line="182" w:lineRule="exact"/>
              <w:rPr>
                <w:sz w:val="20"/>
                <w:szCs w:val="20"/>
                <w:color w:val="auto"/>
              </w:rPr>
            </w:pPr>
            <w:r>
              <w:rPr>
                <w:rFonts w:ascii="Arial" w:cs="Arial" w:eastAsia="Arial" w:hAnsi="Arial"/>
                <w:sz w:val="16"/>
                <w:szCs w:val="16"/>
                <w:b w:val="1"/>
                <w:bCs w:val="1"/>
                <w:color w:val="auto"/>
                <w:w w:val="87"/>
              </w:rPr>
              <w:t>Fixed rate</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jc w:val="right"/>
              <w:ind w:right="142"/>
              <w:spacing w:after="0" w:line="182" w:lineRule="exact"/>
              <w:rPr>
                <w:sz w:val="20"/>
                <w:szCs w:val="20"/>
                <w:color w:val="auto"/>
              </w:rPr>
            </w:pPr>
            <w:r>
              <w:rPr>
                <w:rFonts w:ascii="Arial" w:cs="Arial" w:eastAsia="Arial" w:hAnsi="Arial"/>
                <w:sz w:val="16"/>
                <w:szCs w:val="16"/>
                <w:b w:val="1"/>
                <w:bCs w:val="1"/>
                <w:color w:val="auto"/>
                <w:w w:val="95"/>
              </w:rPr>
              <w:t>Indexed</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jc w:val="right"/>
              <w:ind w:right="62"/>
              <w:spacing w:after="0" w:line="182" w:lineRule="exact"/>
              <w:rPr>
                <w:sz w:val="20"/>
                <w:szCs w:val="20"/>
                <w:color w:val="auto"/>
              </w:rPr>
            </w:pPr>
            <w:r>
              <w:rPr>
                <w:rFonts w:ascii="Arial" w:cs="Arial" w:eastAsia="Arial" w:hAnsi="Arial"/>
                <w:sz w:val="16"/>
                <w:szCs w:val="16"/>
                <w:b w:val="1"/>
                <w:bCs w:val="1"/>
                <w:color w:val="auto"/>
                <w:w w:val="89"/>
              </w:rPr>
              <w:t>Fixed rate</w:t>
            </w:r>
          </w:p>
        </w:tc>
        <w:tc>
          <w:tcPr>
            <w:tcW w:w="0" w:type="dxa"/>
            <w:vAlign w:val="bottom"/>
          </w:tcPr>
          <w:p>
            <w:pPr>
              <w:spacing w:after="0"/>
              <w:rPr>
                <w:sz w:val="1"/>
                <w:szCs w:val="1"/>
                <w:color w:val="auto"/>
              </w:rPr>
            </w:pPr>
          </w:p>
        </w:tc>
      </w:tr>
      <w:tr>
        <w:trPr>
          <w:trHeight w:val="210"/>
        </w:trPr>
        <w:tc>
          <w:tcPr>
            <w:tcW w:w="59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22"/>
              <w:spacing w:after="0"/>
              <w:rPr>
                <w:sz w:val="20"/>
                <w:szCs w:val="20"/>
                <w:color w:val="auto"/>
              </w:rPr>
            </w:pPr>
            <w:r>
              <w:rPr>
                <w:rFonts w:ascii="Arial" w:cs="Arial" w:eastAsia="Arial" w:hAnsi="Arial"/>
                <w:sz w:val="16"/>
                <w:szCs w:val="16"/>
                <w:b w:val="1"/>
                <w:bCs w:val="1"/>
                <w:color w:val="auto"/>
                <w:w w:val="85"/>
              </w:rPr>
              <w:t>annuities</w:t>
            </w:r>
          </w:p>
        </w:tc>
        <w:tc>
          <w:tcPr>
            <w:tcW w:w="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02"/>
              <w:spacing w:after="0"/>
              <w:rPr>
                <w:sz w:val="20"/>
                <w:szCs w:val="20"/>
                <w:color w:val="auto"/>
              </w:rPr>
            </w:pPr>
            <w:r>
              <w:rPr>
                <w:rFonts w:ascii="Arial" w:cs="Arial" w:eastAsia="Arial" w:hAnsi="Arial"/>
                <w:sz w:val="16"/>
                <w:szCs w:val="16"/>
                <w:b w:val="1"/>
                <w:bCs w:val="1"/>
                <w:color w:val="auto"/>
                <w:w w:val="91"/>
              </w:rPr>
              <w:t>annuities</w:t>
            </w:r>
          </w:p>
        </w:tc>
        <w:tc>
          <w:tcPr>
            <w:tcW w:w="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02"/>
              <w:spacing w:after="0"/>
              <w:rPr>
                <w:sz w:val="20"/>
                <w:szCs w:val="20"/>
                <w:color w:val="auto"/>
              </w:rPr>
            </w:pPr>
            <w:r>
              <w:rPr>
                <w:rFonts w:ascii="Arial" w:cs="Arial" w:eastAsia="Arial" w:hAnsi="Arial"/>
                <w:sz w:val="16"/>
                <w:szCs w:val="16"/>
                <w:b w:val="1"/>
                <w:bCs w:val="1"/>
                <w:color w:val="auto"/>
                <w:w w:val="88"/>
              </w:rPr>
              <w:t>annuities</w:t>
            </w:r>
          </w:p>
        </w:tc>
        <w:tc>
          <w:tcPr>
            <w:tcW w:w="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02"/>
              <w:spacing w:after="0"/>
              <w:rPr>
                <w:sz w:val="20"/>
                <w:szCs w:val="20"/>
                <w:color w:val="auto"/>
              </w:rPr>
            </w:pPr>
            <w:r>
              <w:rPr>
                <w:rFonts w:ascii="Arial" w:cs="Arial" w:eastAsia="Arial" w:hAnsi="Arial"/>
                <w:sz w:val="16"/>
                <w:szCs w:val="16"/>
                <w:b w:val="1"/>
                <w:bCs w:val="1"/>
                <w:color w:val="auto"/>
                <w:w w:val="91"/>
              </w:rPr>
              <w:t>annuities</w:t>
            </w:r>
          </w:p>
        </w:tc>
        <w:tc>
          <w:tcPr>
            <w:tcW w:w="0" w:type="dxa"/>
            <w:vAlign w:val="bottom"/>
          </w:tcPr>
          <w:p>
            <w:pPr>
              <w:spacing w:after="0"/>
              <w:rPr>
                <w:sz w:val="1"/>
                <w:szCs w:val="1"/>
                <w:color w:val="auto"/>
              </w:rPr>
            </w:pPr>
          </w:p>
        </w:tc>
      </w:tr>
      <w:tr>
        <w:trPr>
          <w:trHeight w:val="223"/>
        </w:trPr>
        <w:tc>
          <w:tcPr>
            <w:tcW w:w="5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80" w:type="dxa"/>
            <w:vAlign w:val="bottom"/>
            <w:gridSpan w:val="4"/>
          </w:tcPr>
          <w:p>
            <w:pPr>
              <w:jc w:val="right"/>
              <w:ind w:right="502"/>
              <w:spacing w:after="0"/>
              <w:rPr>
                <w:sz w:val="20"/>
                <w:szCs w:val="20"/>
                <w:color w:val="auto"/>
              </w:rPr>
            </w:pPr>
            <w:r>
              <w:rPr>
                <w:rFonts w:ascii="Arial" w:cs="Arial" w:eastAsia="Arial" w:hAnsi="Arial"/>
                <w:sz w:val="16"/>
                <w:szCs w:val="16"/>
                <w:b w:val="1"/>
                <w:bCs w:val="1"/>
                <w:color w:val="auto"/>
              </w:rPr>
              <w:t>(In millions)</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900" w:type="dxa"/>
            <w:vAlign w:val="bottom"/>
          </w:tcPr>
          <w:p>
            <w:pPr>
              <w:spacing w:after="0"/>
              <w:rPr>
                <w:sz w:val="20"/>
                <w:szCs w:val="20"/>
                <w:color w:val="auto"/>
              </w:rPr>
            </w:pPr>
            <w:r>
              <w:rPr>
                <w:rFonts w:ascii="Arial" w:cs="Arial" w:eastAsia="Arial" w:hAnsi="Arial"/>
                <w:sz w:val="16"/>
                <w:szCs w:val="16"/>
                <w:b w:val="1"/>
                <w:bCs w:val="1"/>
                <w:color w:val="auto"/>
              </w:rPr>
              <w:t>Balance, beginning of period, net liability</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2"/>
              <w:spacing w:after="0"/>
              <w:rPr>
                <w:sz w:val="20"/>
                <w:szCs w:val="20"/>
                <w:color w:val="auto"/>
              </w:rPr>
            </w:pPr>
            <w:r>
              <w:rPr>
                <w:rFonts w:ascii="Arial" w:cs="Arial" w:eastAsia="Arial" w:hAnsi="Arial"/>
                <w:sz w:val="16"/>
                <w:szCs w:val="16"/>
                <w:color w:val="auto"/>
              </w:rPr>
              <w:t>420</w:t>
            </w:r>
          </w:p>
        </w:tc>
        <w:tc>
          <w:tcPr>
            <w:tcW w:w="20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w:t>
            </w:r>
          </w:p>
        </w:tc>
        <w:tc>
          <w:tcPr>
            <w:tcW w:w="22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314</w:t>
            </w: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0"/>
        </w:trPr>
        <w:tc>
          <w:tcPr>
            <w:tcW w:w="5900" w:type="dxa"/>
            <w:vAlign w:val="bottom"/>
            <w:vMerge w:val="restart"/>
          </w:tcPr>
          <w:p>
            <w:pPr>
              <w:spacing w:after="0"/>
              <w:rPr>
                <w:sz w:val="20"/>
                <w:szCs w:val="20"/>
                <w:color w:val="auto"/>
              </w:rPr>
            </w:pPr>
            <w:r>
              <w:rPr>
                <w:rFonts w:ascii="Arial" w:cs="Arial" w:eastAsia="Arial" w:hAnsi="Arial"/>
                <w:sz w:val="16"/>
                <w:szCs w:val="16"/>
                <w:b w:val="1"/>
                <w:bCs w:val="1"/>
                <w:color w:val="auto"/>
                <w:w w:val="89"/>
              </w:rPr>
              <w:t>Balance, beginning of period, before effect of changes in the instrument-specific credit</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8"/>
        </w:trPr>
        <w:tc>
          <w:tcPr>
            <w:tcW w:w="5900" w:type="dxa"/>
            <w:vAlign w:val="bottom"/>
            <w:vMerge w:val="continue"/>
          </w:tcPr>
          <w:p>
            <w:pPr>
              <w:spacing w:after="0"/>
              <w:rPr>
                <w:sz w:val="24"/>
                <w:szCs w:val="24"/>
                <w:color w:val="auto"/>
              </w:rPr>
            </w:pPr>
          </w:p>
        </w:tc>
        <w:tc>
          <w:tcPr>
            <w:tcW w:w="1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820" w:type="dxa"/>
            <w:vAlign w:val="bottom"/>
            <w:vMerge w:val="restart"/>
          </w:tcPr>
          <w:p>
            <w:pPr>
              <w:jc w:val="right"/>
              <w:ind w:right="2"/>
              <w:spacing w:after="0"/>
              <w:rPr>
                <w:sz w:val="20"/>
                <w:szCs w:val="20"/>
                <w:color w:val="auto"/>
              </w:rPr>
            </w:pPr>
            <w:r>
              <w:rPr>
                <w:rFonts w:ascii="Arial" w:cs="Arial" w:eastAsia="Arial" w:hAnsi="Arial"/>
                <w:sz w:val="16"/>
                <w:szCs w:val="16"/>
                <w:color w:val="auto"/>
              </w:rPr>
              <w:t>322</w:t>
            </w:r>
          </w:p>
        </w:tc>
        <w:tc>
          <w:tcPr>
            <w:tcW w:w="200" w:type="dxa"/>
            <w:vAlign w:val="bottom"/>
            <w:gridSpan w:val="2"/>
            <w:vMerge w:val="restart"/>
          </w:tcPr>
          <w:p>
            <w:pPr>
              <w:jc w:val="right"/>
              <w:ind w:right="20"/>
              <w:spacing w:after="0"/>
              <w:rPr>
                <w:sz w:val="20"/>
                <w:szCs w:val="20"/>
                <w:color w:val="auto"/>
              </w:rPr>
            </w:pPr>
            <w:r>
              <w:rPr>
                <w:rFonts w:ascii="Arial" w:cs="Arial" w:eastAsia="Arial" w:hAnsi="Arial"/>
                <w:sz w:val="16"/>
                <w:szCs w:val="16"/>
                <w:color w:val="auto"/>
              </w:rPr>
              <w:t>$</w:t>
            </w: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1</w:t>
            </w:r>
          </w:p>
        </w:tc>
        <w:tc>
          <w:tcPr>
            <w:tcW w:w="220" w:type="dxa"/>
            <w:vAlign w:val="bottom"/>
            <w:gridSpan w:val="2"/>
            <w:vMerge w:val="restart"/>
          </w:tcPr>
          <w:p>
            <w:pPr>
              <w:jc w:val="right"/>
              <w:ind w:right="40"/>
              <w:spacing w:after="0"/>
              <w:rPr>
                <w:sz w:val="20"/>
                <w:szCs w:val="20"/>
                <w:color w:val="auto"/>
              </w:rPr>
            </w:pPr>
            <w:r>
              <w:rPr>
                <w:rFonts w:ascii="Arial" w:cs="Arial" w:eastAsia="Arial" w:hAnsi="Arial"/>
                <w:sz w:val="16"/>
                <w:szCs w:val="16"/>
                <w:color w:val="auto"/>
              </w:rPr>
              <w:t>$</w:t>
            </w: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209</w:t>
            </w:r>
          </w:p>
        </w:tc>
        <w:tc>
          <w:tcPr>
            <w:tcW w:w="200" w:type="dxa"/>
            <w:vAlign w:val="bottom"/>
            <w:gridSpan w:val="2"/>
            <w:vMerge w:val="restart"/>
          </w:tcPr>
          <w:p>
            <w:pPr>
              <w:jc w:val="right"/>
              <w:spacing w:after="0"/>
              <w:rPr>
                <w:sz w:val="20"/>
                <w:szCs w:val="20"/>
                <w:color w:val="auto"/>
              </w:rPr>
            </w:pPr>
            <w:r>
              <w:rPr>
                <w:rFonts w:ascii="Arial" w:cs="Arial" w:eastAsia="Arial" w:hAnsi="Arial"/>
                <w:sz w:val="16"/>
                <w:szCs w:val="16"/>
                <w:color w:val="auto"/>
              </w:rPr>
              <w:t>$</w:t>
            </w: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06"/>
        </w:trPr>
        <w:tc>
          <w:tcPr>
            <w:tcW w:w="5900" w:type="dxa"/>
            <w:vAlign w:val="bottom"/>
          </w:tcPr>
          <w:p>
            <w:pPr>
              <w:spacing w:after="0"/>
              <w:rPr>
                <w:sz w:val="20"/>
                <w:szCs w:val="20"/>
                <w:color w:val="auto"/>
              </w:rPr>
            </w:pPr>
            <w:r>
              <w:rPr>
                <w:rFonts w:ascii="Arial" w:cs="Arial" w:eastAsia="Arial" w:hAnsi="Arial"/>
                <w:sz w:val="16"/>
                <w:szCs w:val="16"/>
                <w:b w:val="1"/>
                <w:bCs w:val="1"/>
                <w:color w:val="auto"/>
              </w:rPr>
              <w:t>risk</w:t>
            </w:r>
          </w:p>
        </w:tc>
        <w:tc>
          <w:tcPr>
            <w:tcW w:w="160" w:type="dxa"/>
            <w:vAlign w:val="bottom"/>
            <w:vMerge w:val="continue"/>
          </w:tcPr>
          <w:p>
            <w:pPr>
              <w:spacing w:after="0"/>
              <w:rPr>
                <w:sz w:val="17"/>
                <w:szCs w:val="17"/>
                <w:color w:val="auto"/>
              </w:rPr>
            </w:pPr>
          </w:p>
        </w:tc>
        <w:tc>
          <w:tcPr>
            <w:tcW w:w="820" w:type="dxa"/>
            <w:vAlign w:val="bottom"/>
            <w:vMerge w:val="continue"/>
          </w:tcPr>
          <w:p>
            <w:pPr>
              <w:spacing w:after="0"/>
              <w:rPr>
                <w:sz w:val="17"/>
                <w:szCs w:val="17"/>
                <w:color w:val="auto"/>
              </w:rPr>
            </w:pPr>
          </w:p>
        </w:tc>
        <w:tc>
          <w:tcPr>
            <w:tcW w:w="200" w:type="dxa"/>
            <w:vAlign w:val="bottom"/>
            <w:gridSpan w:val="2"/>
            <w:vMerge w:val="continue"/>
          </w:tcPr>
          <w:p>
            <w:pPr>
              <w:spacing w:after="0"/>
              <w:rPr>
                <w:sz w:val="17"/>
                <w:szCs w:val="17"/>
                <w:color w:val="auto"/>
              </w:rPr>
            </w:pPr>
          </w:p>
        </w:tc>
        <w:tc>
          <w:tcPr>
            <w:tcW w:w="840" w:type="dxa"/>
            <w:vAlign w:val="bottom"/>
            <w:vMerge w:val="continue"/>
          </w:tcPr>
          <w:p>
            <w:pPr>
              <w:spacing w:after="0"/>
              <w:rPr>
                <w:sz w:val="17"/>
                <w:szCs w:val="17"/>
                <w:color w:val="auto"/>
              </w:rPr>
            </w:pPr>
          </w:p>
        </w:tc>
        <w:tc>
          <w:tcPr>
            <w:tcW w:w="220" w:type="dxa"/>
            <w:vAlign w:val="bottom"/>
            <w:gridSpan w:val="2"/>
            <w:vMerge w:val="continue"/>
          </w:tcPr>
          <w:p>
            <w:pPr>
              <w:spacing w:after="0"/>
              <w:rPr>
                <w:sz w:val="17"/>
                <w:szCs w:val="17"/>
                <w:color w:val="auto"/>
              </w:rPr>
            </w:pPr>
          </w:p>
        </w:tc>
        <w:tc>
          <w:tcPr>
            <w:tcW w:w="820" w:type="dxa"/>
            <w:vAlign w:val="bottom"/>
            <w:vMerge w:val="continue"/>
          </w:tcPr>
          <w:p>
            <w:pPr>
              <w:spacing w:after="0"/>
              <w:rPr>
                <w:sz w:val="17"/>
                <w:szCs w:val="17"/>
                <w:color w:val="auto"/>
              </w:rPr>
            </w:pPr>
          </w:p>
        </w:tc>
        <w:tc>
          <w:tcPr>
            <w:tcW w:w="200" w:type="dxa"/>
            <w:vAlign w:val="bottom"/>
            <w:gridSpan w:val="2"/>
            <w:vMerge w:val="continue"/>
          </w:tcPr>
          <w:p>
            <w:pPr>
              <w:spacing w:after="0"/>
              <w:rPr>
                <w:sz w:val="17"/>
                <w:szCs w:val="17"/>
                <w:color w:val="auto"/>
              </w:rPr>
            </w:pPr>
          </w:p>
        </w:tc>
        <w:tc>
          <w:tcPr>
            <w:tcW w:w="8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47"/>
        </w:trPr>
        <w:tc>
          <w:tcPr>
            <w:tcW w:w="5900" w:type="dxa"/>
            <w:vAlign w:val="bottom"/>
          </w:tcPr>
          <w:p>
            <w:pPr>
              <w:ind w:left="120"/>
              <w:spacing w:after="0"/>
              <w:rPr>
                <w:sz w:val="20"/>
                <w:szCs w:val="20"/>
                <w:color w:val="auto"/>
              </w:rPr>
            </w:pPr>
            <w:r>
              <w:rPr>
                <w:rFonts w:ascii="Arial" w:cs="Arial" w:eastAsia="Arial" w:hAnsi="Arial"/>
                <w:sz w:val="16"/>
                <w:szCs w:val="16"/>
                <w:color w:val="auto"/>
              </w:rPr>
              <w:t>Issuances and benefit payments</w:t>
            </w:r>
          </w:p>
        </w:tc>
        <w:tc>
          <w:tcPr>
            <w:tcW w:w="160" w:type="dxa"/>
            <w:vAlign w:val="bottom"/>
          </w:tcPr>
          <w:p>
            <w:pPr>
              <w:spacing w:after="0"/>
              <w:rPr>
                <w:sz w:val="21"/>
                <w:szCs w:val="21"/>
                <w:color w:val="auto"/>
              </w:rPr>
            </w:pPr>
          </w:p>
        </w:tc>
        <w:tc>
          <w:tcPr>
            <w:tcW w:w="820" w:type="dxa"/>
            <w:vAlign w:val="bottom"/>
          </w:tcPr>
          <w:p>
            <w:pPr>
              <w:jc w:val="right"/>
              <w:ind w:right="2"/>
              <w:spacing w:after="0"/>
              <w:rPr>
                <w:sz w:val="20"/>
                <w:szCs w:val="20"/>
                <w:color w:val="auto"/>
              </w:rPr>
            </w:pPr>
            <w:r>
              <w:rPr>
                <w:rFonts w:ascii="Arial" w:cs="Arial" w:eastAsia="Arial" w:hAnsi="Arial"/>
                <w:sz w:val="16"/>
                <w:szCs w:val="16"/>
                <w:color w:val="auto"/>
              </w:rPr>
              <w:t>147</w:t>
            </w: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109</w:t>
            </w: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0"/>
        </w:trPr>
        <w:tc>
          <w:tcPr>
            <w:tcW w:w="5900" w:type="dxa"/>
            <w:vAlign w:val="bottom"/>
          </w:tcPr>
          <w:p>
            <w:pPr>
              <w:ind w:left="120"/>
              <w:spacing w:after="0"/>
              <w:rPr>
                <w:sz w:val="20"/>
                <w:szCs w:val="20"/>
                <w:color w:val="auto"/>
              </w:rPr>
            </w:pPr>
            <w:r>
              <w:rPr>
                <w:rFonts w:ascii="Arial" w:cs="Arial" w:eastAsia="Arial" w:hAnsi="Arial"/>
                <w:sz w:val="16"/>
                <w:szCs w:val="16"/>
                <w:color w:val="auto"/>
              </w:rPr>
              <w:t>Attributed fees collected and interest accrual</w:t>
            </w:r>
          </w:p>
        </w:tc>
        <w:tc>
          <w:tcPr>
            <w:tcW w:w="160" w:type="dxa"/>
            <w:vAlign w:val="bottom"/>
          </w:tcPr>
          <w:p>
            <w:pPr>
              <w:spacing w:after="0"/>
              <w:rPr>
                <w:sz w:val="21"/>
                <w:szCs w:val="21"/>
                <w:color w:val="auto"/>
              </w:rPr>
            </w:pPr>
          </w:p>
        </w:tc>
        <w:tc>
          <w:tcPr>
            <w:tcW w:w="820" w:type="dxa"/>
            <w:vAlign w:val="bottom"/>
          </w:tcPr>
          <w:p>
            <w:pPr>
              <w:jc w:val="right"/>
              <w:ind w:right="2"/>
              <w:spacing w:after="0"/>
              <w:rPr>
                <w:sz w:val="20"/>
                <w:szCs w:val="20"/>
                <w:color w:val="auto"/>
              </w:rPr>
            </w:pPr>
            <w:r>
              <w:rPr>
                <w:rFonts w:ascii="Arial" w:cs="Arial" w:eastAsia="Arial" w:hAnsi="Arial"/>
                <w:sz w:val="16"/>
                <w:szCs w:val="16"/>
                <w:color w:val="auto"/>
              </w:rPr>
              <w:t>156</w:t>
            </w: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147</w:t>
            </w: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0"/>
        </w:trPr>
        <w:tc>
          <w:tcPr>
            <w:tcW w:w="5900" w:type="dxa"/>
            <w:vAlign w:val="bottom"/>
          </w:tcPr>
          <w:p>
            <w:pPr>
              <w:ind w:left="120"/>
              <w:spacing w:after="0"/>
              <w:rPr>
                <w:sz w:val="20"/>
                <w:szCs w:val="20"/>
                <w:color w:val="auto"/>
              </w:rPr>
            </w:pPr>
            <w:r>
              <w:rPr>
                <w:rFonts w:ascii="Arial" w:cs="Arial" w:eastAsia="Arial" w:hAnsi="Arial"/>
                <w:sz w:val="16"/>
                <w:szCs w:val="16"/>
                <w:color w:val="auto"/>
              </w:rPr>
              <w:t>Actual policyholder behavior different from expected</w:t>
            </w:r>
          </w:p>
        </w:tc>
        <w:tc>
          <w:tcPr>
            <w:tcW w:w="160" w:type="dxa"/>
            <w:vAlign w:val="bottom"/>
          </w:tcPr>
          <w:p>
            <w:pPr>
              <w:spacing w:after="0"/>
              <w:rPr>
                <w:sz w:val="21"/>
                <w:szCs w:val="21"/>
                <w:color w:val="auto"/>
              </w:rPr>
            </w:pPr>
          </w:p>
        </w:tc>
        <w:tc>
          <w:tcPr>
            <w:tcW w:w="820" w:type="dxa"/>
            <w:vAlign w:val="bottom"/>
          </w:tcPr>
          <w:p>
            <w:pPr>
              <w:jc w:val="right"/>
              <w:ind w:right="2"/>
              <w:spacing w:after="0"/>
              <w:rPr>
                <w:sz w:val="20"/>
                <w:szCs w:val="20"/>
                <w:color w:val="auto"/>
              </w:rPr>
            </w:pPr>
            <w:r>
              <w:rPr>
                <w:rFonts w:ascii="Arial" w:cs="Arial" w:eastAsia="Arial" w:hAnsi="Arial"/>
                <w:sz w:val="16"/>
                <w:szCs w:val="16"/>
                <w:color w:val="auto"/>
              </w:rPr>
              <w:t>45</w:t>
            </w: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(5)</w:t>
            </w: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0"/>
        </w:trPr>
        <w:tc>
          <w:tcPr>
            <w:tcW w:w="5900" w:type="dxa"/>
            <w:vAlign w:val="bottom"/>
          </w:tcPr>
          <w:p>
            <w:pPr>
              <w:ind w:left="120"/>
              <w:spacing w:after="0"/>
              <w:rPr>
                <w:sz w:val="20"/>
                <w:szCs w:val="20"/>
                <w:color w:val="auto"/>
              </w:rPr>
            </w:pPr>
            <w:r>
              <w:rPr>
                <w:rFonts w:ascii="Arial" w:cs="Arial" w:eastAsia="Arial" w:hAnsi="Arial"/>
                <w:sz w:val="16"/>
                <w:szCs w:val="16"/>
                <w:color w:val="auto"/>
              </w:rPr>
              <w:t>Changes in assumptions and other</w:t>
            </w:r>
          </w:p>
        </w:tc>
        <w:tc>
          <w:tcPr>
            <w:tcW w:w="160" w:type="dxa"/>
            <w:vAlign w:val="bottom"/>
          </w:tcPr>
          <w:p>
            <w:pPr>
              <w:spacing w:after="0"/>
              <w:rPr>
                <w:sz w:val="21"/>
                <w:szCs w:val="21"/>
                <w:color w:val="auto"/>
              </w:rPr>
            </w:pPr>
          </w:p>
        </w:tc>
        <w:tc>
          <w:tcPr>
            <w:tcW w:w="820" w:type="dxa"/>
            <w:vAlign w:val="bottom"/>
          </w:tcPr>
          <w:p>
            <w:pPr>
              <w:jc w:val="right"/>
              <w:ind w:right="2"/>
              <w:spacing w:after="0"/>
              <w:rPr>
                <w:sz w:val="20"/>
                <w:szCs w:val="20"/>
                <w:color w:val="auto"/>
              </w:rPr>
            </w:pPr>
            <w:r>
              <w:rPr>
                <w:rFonts w:ascii="Arial" w:cs="Arial" w:eastAsia="Arial" w:hAnsi="Arial"/>
                <w:sz w:val="16"/>
                <w:szCs w:val="16"/>
                <w:color w:val="auto"/>
              </w:rPr>
              <w:t>8</w:t>
            </w: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24</w:t>
            </w: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7"/>
        </w:trPr>
        <w:tc>
          <w:tcPr>
            <w:tcW w:w="5900" w:type="dxa"/>
            <w:vAlign w:val="bottom"/>
          </w:tcPr>
          <w:p>
            <w:pPr>
              <w:ind w:left="120"/>
              <w:spacing w:after="0"/>
              <w:rPr>
                <w:sz w:val="20"/>
                <w:szCs w:val="20"/>
                <w:color w:val="auto"/>
              </w:rPr>
            </w:pPr>
            <w:r>
              <w:rPr>
                <w:rFonts w:ascii="Arial" w:cs="Arial" w:eastAsia="Arial" w:hAnsi="Arial"/>
                <w:sz w:val="16"/>
                <w:szCs w:val="16"/>
                <w:color w:val="auto"/>
              </w:rPr>
              <w:t>Effects of market related movements</w:t>
            </w:r>
          </w:p>
        </w:tc>
        <w:tc>
          <w:tcPr>
            <w:tcW w:w="16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6</w:t>
            </w:r>
          </w:p>
        </w:tc>
        <w:tc>
          <w:tcPr>
            <w:tcW w:w="6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(162)</w:t>
            </w:r>
          </w:p>
        </w:tc>
        <w:tc>
          <w:tcPr>
            <w:tcW w:w="6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3"/>
        </w:trPr>
        <w:tc>
          <w:tcPr>
            <w:tcW w:w="5900" w:type="dxa"/>
            <w:vAlign w:val="bottom"/>
          </w:tcPr>
          <w:p>
            <w:pPr>
              <w:spacing w:after="0"/>
              <w:rPr>
                <w:sz w:val="20"/>
                <w:szCs w:val="20"/>
                <w:color w:val="auto"/>
              </w:rPr>
            </w:pPr>
            <w:r>
              <w:rPr>
                <w:rFonts w:ascii="Arial" w:cs="Arial" w:eastAsia="Arial" w:hAnsi="Arial"/>
                <w:sz w:val="16"/>
                <w:szCs w:val="16"/>
                <w:b w:val="1"/>
                <w:bCs w:val="1"/>
                <w:color w:val="auto"/>
                <w:w w:val="91"/>
              </w:rPr>
              <w:t>Balance, end of period, before effect of changes in the instrument-specific credit risk</w:t>
            </w:r>
          </w:p>
        </w:tc>
        <w:tc>
          <w:tcPr>
            <w:tcW w:w="160" w:type="dxa"/>
            <w:vAlign w:val="bottom"/>
          </w:tcPr>
          <w:p>
            <w:pPr>
              <w:spacing w:after="0"/>
              <w:rPr>
                <w:sz w:val="19"/>
                <w:szCs w:val="19"/>
                <w:color w:val="auto"/>
              </w:rPr>
            </w:pPr>
          </w:p>
        </w:tc>
        <w:tc>
          <w:tcPr>
            <w:tcW w:w="820" w:type="dxa"/>
            <w:vAlign w:val="bottom"/>
          </w:tcPr>
          <w:p>
            <w:pPr>
              <w:jc w:val="right"/>
              <w:ind w:right="2"/>
              <w:spacing w:after="0"/>
              <w:rPr>
                <w:sz w:val="20"/>
                <w:szCs w:val="20"/>
                <w:color w:val="auto"/>
              </w:rPr>
            </w:pPr>
            <w:r>
              <w:rPr>
                <w:rFonts w:ascii="Arial" w:cs="Arial" w:eastAsia="Arial" w:hAnsi="Arial"/>
                <w:sz w:val="16"/>
                <w:szCs w:val="16"/>
                <w:color w:val="auto"/>
              </w:rPr>
              <w:t>684</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322</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57"/>
        </w:trPr>
        <w:tc>
          <w:tcPr>
            <w:tcW w:w="5900" w:type="dxa"/>
            <w:vAlign w:val="bottom"/>
          </w:tcPr>
          <w:p>
            <w:pPr>
              <w:ind w:left="120"/>
              <w:spacing w:after="0"/>
              <w:rPr>
                <w:sz w:val="20"/>
                <w:szCs w:val="20"/>
                <w:color w:val="auto"/>
              </w:rPr>
            </w:pPr>
            <w:r>
              <w:rPr>
                <w:rFonts w:ascii="Arial" w:cs="Arial" w:eastAsia="Arial" w:hAnsi="Arial"/>
                <w:sz w:val="16"/>
                <w:szCs w:val="16"/>
                <w:color w:val="auto"/>
              </w:rPr>
              <w:t>Effect of changes in the instrument-specific credit risk</w:t>
            </w:r>
          </w:p>
        </w:tc>
        <w:tc>
          <w:tcPr>
            <w:tcW w:w="16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128</w:t>
            </w:r>
          </w:p>
        </w:tc>
        <w:tc>
          <w:tcPr>
            <w:tcW w:w="6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98</w:t>
            </w:r>
          </w:p>
        </w:tc>
        <w:tc>
          <w:tcPr>
            <w:tcW w:w="6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3"/>
        </w:trPr>
        <w:tc>
          <w:tcPr>
            <w:tcW w:w="5900" w:type="dxa"/>
            <w:vAlign w:val="bottom"/>
          </w:tcPr>
          <w:p>
            <w:pPr>
              <w:spacing w:after="0"/>
              <w:rPr>
                <w:sz w:val="20"/>
                <w:szCs w:val="20"/>
                <w:color w:val="auto"/>
              </w:rPr>
            </w:pPr>
            <w:r>
              <w:rPr>
                <w:rFonts w:ascii="Arial" w:cs="Arial" w:eastAsia="Arial" w:hAnsi="Arial"/>
                <w:sz w:val="16"/>
                <w:szCs w:val="16"/>
                <w:b w:val="1"/>
                <w:bCs w:val="1"/>
                <w:color w:val="auto"/>
              </w:rPr>
              <w:t>Balance, end of period, net liability</w:t>
            </w:r>
          </w:p>
        </w:tc>
        <w:tc>
          <w:tcPr>
            <w:tcW w:w="160" w:type="dxa"/>
            <w:vAlign w:val="bottom"/>
          </w:tcPr>
          <w:p>
            <w:pPr>
              <w:spacing w:after="0"/>
              <w:rPr>
                <w:sz w:val="19"/>
                <w:szCs w:val="19"/>
                <w:color w:val="auto"/>
              </w:rPr>
            </w:pPr>
          </w:p>
        </w:tc>
        <w:tc>
          <w:tcPr>
            <w:tcW w:w="820" w:type="dxa"/>
            <w:vAlign w:val="bottom"/>
          </w:tcPr>
          <w:p>
            <w:pPr>
              <w:jc w:val="right"/>
              <w:ind w:right="2"/>
              <w:spacing w:after="0"/>
              <w:rPr>
                <w:sz w:val="20"/>
                <w:szCs w:val="20"/>
                <w:color w:val="auto"/>
              </w:rPr>
            </w:pPr>
            <w:r>
              <w:rPr>
                <w:rFonts w:ascii="Arial" w:cs="Arial" w:eastAsia="Arial" w:hAnsi="Arial"/>
                <w:sz w:val="16"/>
                <w:szCs w:val="16"/>
                <w:color w:val="auto"/>
              </w:rPr>
              <w:t>812</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420</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57"/>
        </w:trPr>
        <w:tc>
          <w:tcPr>
            <w:tcW w:w="5900" w:type="dxa"/>
            <w:vAlign w:val="bottom"/>
          </w:tcPr>
          <w:p>
            <w:pPr>
              <w:spacing w:after="0"/>
              <w:rPr>
                <w:sz w:val="20"/>
                <w:szCs w:val="20"/>
                <w:color w:val="auto"/>
              </w:rPr>
            </w:pPr>
            <w:r>
              <w:rPr>
                <w:rFonts w:ascii="Arial" w:cs="Arial" w:eastAsia="Arial" w:hAnsi="Arial"/>
                <w:sz w:val="16"/>
                <w:szCs w:val="16"/>
                <w:color w:val="auto"/>
              </w:rPr>
              <w:t>Less: reinsured market risk benefits</w:t>
            </w:r>
          </w:p>
        </w:tc>
        <w:tc>
          <w:tcPr>
            <w:tcW w:w="16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195</w:t>
            </w:r>
          </w:p>
        </w:tc>
        <w:tc>
          <w:tcPr>
            <w:tcW w:w="6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w:t>
            </w:r>
          </w:p>
        </w:tc>
        <w:tc>
          <w:tcPr>
            <w:tcW w:w="6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5900" w:type="dxa"/>
            <w:vAlign w:val="bottom"/>
          </w:tcPr>
          <w:p>
            <w:pPr>
              <w:spacing w:after="0"/>
              <w:rPr>
                <w:sz w:val="20"/>
                <w:szCs w:val="20"/>
                <w:color w:val="auto"/>
              </w:rPr>
            </w:pPr>
            <w:r>
              <w:rPr>
                <w:rFonts w:ascii="Arial" w:cs="Arial" w:eastAsia="Arial" w:hAnsi="Arial"/>
                <w:sz w:val="16"/>
                <w:szCs w:val="16"/>
                <w:b w:val="1"/>
                <w:bCs w:val="1"/>
                <w:color w:val="auto"/>
              </w:rPr>
              <w:t>Balance, end of period, net of reinsurance</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2"/>
              <w:spacing w:after="0"/>
              <w:rPr>
                <w:sz w:val="20"/>
                <w:szCs w:val="20"/>
                <w:color w:val="auto"/>
              </w:rPr>
            </w:pPr>
            <w:r>
              <w:rPr>
                <w:rFonts w:ascii="Arial" w:cs="Arial" w:eastAsia="Arial" w:hAnsi="Arial"/>
                <w:sz w:val="16"/>
                <w:szCs w:val="16"/>
                <w:color w:val="auto"/>
              </w:rPr>
              <w:t>617</w:t>
            </w:r>
          </w:p>
        </w:tc>
        <w:tc>
          <w:tcPr>
            <w:tcW w:w="20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w:t>
            </w:r>
          </w:p>
        </w:tc>
        <w:tc>
          <w:tcPr>
            <w:tcW w:w="22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359</w:t>
            </w: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0"/>
        </w:trPr>
        <w:tc>
          <w:tcPr>
            <w:tcW w:w="59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5"/>
        </w:trPr>
        <w:tc>
          <w:tcPr>
            <w:tcW w:w="5900" w:type="dxa"/>
            <w:vAlign w:val="bottom"/>
          </w:tcPr>
          <w:p>
            <w:pPr>
              <w:spacing w:after="0"/>
              <w:rPr>
                <w:sz w:val="20"/>
                <w:szCs w:val="20"/>
                <w:color w:val="auto"/>
              </w:rPr>
            </w:pPr>
            <w:r>
              <w:rPr>
                <w:rFonts w:ascii="Arial" w:cs="Arial" w:eastAsia="Arial" w:hAnsi="Arial"/>
                <w:sz w:val="16"/>
                <w:szCs w:val="16"/>
                <w:color w:val="auto"/>
              </w:rPr>
              <w:t>Weighted-average attained age of policyholders weighted by total AV (years)</w:t>
            </w:r>
          </w:p>
        </w:tc>
        <w:tc>
          <w:tcPr>
            <w:tcW w:w="1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67.84</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84.69</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67.98</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83.51</w:t>
            </w:r>
          </w:p>
        </w:tc>
        <w:tc>
          <w:tcPr>
            <w:tcW w:w="0" w:type="dxa"/>
            <w:vAlign w:val="bottom"/>
          </w:tcPr>
          <w:p>
            <w:pPr>
              <w:spacing w:after="0"/>
              <w:rPr>
                <w:sz w:val="1"/>
                <w:szCs w:val="1"/>
                <w:color w:val="auto"/>
              </w:rPr>
            </w:pPr>
          </w:p>
        </w:tc>
      </w:tr>
      <w:tr>
        <w:trPr>
          <w:trHeight w:val="250"/>
        </w:trPr>
        <w:tc>
          <w:tcPr>
            <w:tcW w:w="5900" w:type="dxa"/>
            <w:vAlign w:val="bottom"/>
          </w:tcPr>
          <w:p>
            <w:pPr>
              <w:spacing w:after="0"/>
              <w:rPr>
                <w:sz w:val="20"/>
                <w:szCs w:val="20"/>
                <w:color w:val="auto"/>
              </w:rPr>
            </w:pPr>
            <w:r>
              <w:rPr>
                <w:rFonts w:ascii="Arial" w:cs="Arial" w:eastAsia="Arial" w:hAnsi="Arial"/>
                <w:sz w:val="16"/>
                <w:szCs w:val="16"/>
                <w:color w:val="auto"/>
              </w:rPr>
              <w:t>Net amount at risk</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2"/>
              <w:spacing w:after="0"/>
              <w:rPr>
                <w:sz w:val="20"/>
                <w:szCs w:val="20"/>
                <w:color w:val="auto"/>
              </w:rPr>
            </w:pPr>
            <w:r>
              <w:rPr>
                <w:rFonts w:ascii="Arial" w:cs="Arial" w:eastAsia="Arial" w:hAnsi="Arial"/>
                <w:sz w:val="16"/>
                <w:szCs w:val="16"/>
                <w:color w:val="auto"/>
              </w:rPr>
              <w:t>1,900</w:t>
            </w:r>
          </w:p>
        </w:tc>
        <w:tc>
          <w:tcPr>
            <w:tcW w:w="20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2</w:t>
            </w:r>
          </w:p>
        </w:tc>
        <w:tc>
          <w:tcPr>
            <w:tcW w:w="22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1,327</w:t>
            </w: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-2941320</wp:posOffset>
            </wp:positionV>
            <wp:extent cx="6410325" cy="296608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160">
                      <a:extLst>
                        <a:ext uri="{28A0092B-C50C-407E-A947-70E740481C1C}"/>
                      </a:extLst>
                    </a:blip>
                    <a:srcRect/>
                    <a:stretch>
                      <a:fillRect/>
                    </a:stretch>
                  </pic:blipFill>
                  <pic:spPr bwMode="auto">
                    <a:xfrm>
                      <a:off x="0" y="0"/>
                      <a:ext cx="6410325" cy="2966085"/>
                    </a:xfrm>
                    <a:prstGeom prst="rect">
                      <a:avLst/>
                    </a:prstGeom>
                    <a:noFill/>
                  </pic:spPr>
                </pic:pic>
              </a:graphicData>
            </a:graphic>
          </wp:anchor>
        </w:drawing>
      </w:r>
    </w:p>
    <w:p>
      <w:pPr>
        <w:spacing w:after="0" w:line="152" w:lineRule="exact"/>
        <w:rPr>
          <w:sz w:val="20"/>
          <w:szCs w:val="20"/>
          <w:color w:val="auto"/>
        </w:rPr>
      </w:pPr>
    </w:p>
    <w:p>
      <w:pPr>
        <w:jc w:val="both"/>
        <w:ind w:firstLine="353"/>
        <w:spacing w:after="0" w:line="271" w:lineRule="auto"/>
        <w:rPr>
          <w:sz w:val="20"/>
          <w:szCs w:val="20"/>
          <w:color w:val="auto"/>
        </w:rPr>
      </w:pPr>
      <w:r>
        <w:rPr>
          <w:rFonts w:ascii="Arial" w:cs="Arial" w:eastAsia="Arial" w:hAnsi="Arial"/>
          <w:sz w:val="20"/>
          <w:szCs w:val="20"/>
          <w:color w:val="auto"/>
        </w:rPr>
        <w:t>The following table reconciles MRBs by amounts in an asset position and amounts in a liability position to the MRBs amounts in the Consolidated Balance Sheets:</w:t>
      </w:r>
    </w:p>
    <w:p>
      <w:pPr>
        <w:spacing w:after="0" w:line="149" w:lineRule="exact"/>
        <w:rPr>
          <w:sz w:val="20"/>
          <w:szCs w:val="20"/>
          <w:color w:val="auto"/>
        </w:rPr>
      </w:pPr>
    </w:p>
    <w:tbl>
      <w:tblPr>
        <w:tblLayout w:type="fixed"/>
        <w:tblInd w:w="40" w:type="dxa"/>
        <w:tblCellMar>
          <w:top w:w="0" w:type="dxa"/>
          <w:left w:w="0" w:type="dxa"/>
          <w:bottom w:w="0" w:type="dxa"/>
          <w:right w:w="0" w:type="dxa"/>
        </w:tblCellMar>
      </w:tblPr>
      <w:tr>
        <w:trPr>
          <w:trHeight w:val="191"/>
        </w:trPr>
        <w:tc>
          <w:tcPr>
            <w:tcW w:w="3360" w:type="dxa"/>
            <w:vAlign w:val="bottom"/>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6"/>
          </w:tcPr>
          <w:p>
            <w:pPr>
              <w:ind w:left="20"/>
              <w:spacing w:after="0"/>
              <w:rPr>
                <w:sz w:val="20"/>
                <w:szCs w:val="20"/>
                <w:color w:val="auto"/>
              </w:rPr>
            </w:pPr>
            <w:r>
              <w:rPr>
                <w:rFonts w:ascii="Arial" w:cs="Arial" w:eastAsia="Arial" w:hAnsi="Arial"/>
                <w:sz w:val="16"/>
                <w:szCs w:val="16"/>
                <w:b w:val="1"/>
                <w:bCs w:val="1"/>
                <w:color w:val="auto"/>
                <w:w w:val="86"/>
              </w:rPr>
              <w:t>December 31, 2025</w:t>
            </w: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6"/>
          </w:tcPr>
          <w:p>
            <w:pPr>
              <w:spacing w:after="0"/>
              <w:rPr>
                <w:sz w:val="20"/>
                <w:szCs w:val="20"/>
                <w:color w:val="auto"/>
              </w:rPr>
            </w:pPr>
            <w:r>
              <w:rPr>
                <w:rFonts w:ascii="Arial" w:cs="Arial" w:eastAsia="Arial" w:hAnsi="Arial"/>
                <w:sz w:val="16"/>
                <w:szCs w:val="16"/>
                <w:b w:val="1"/>
                <w:bCs w:val="1"/>
                <w:color w:val="auto"/>
                <w:w w:val="87"/>
              </w:rPr>
              <w:t>December 31, 2024</w:t>
            </w:r>
          </w:p>
        </w:tc>
        <w:tc>
          <w:tcPr>
            <w:tcW w:w="1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89"/>
        </w:trPr>
        <w:tc>
          <w:tcPr>
            <w:tcW w:w="3360" w:type="dxa"/>
            <w:vAlign w:val="bottom"/>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Direct</w:t>
            </w:r>
          </w:p>
        </w:tc>
        <w:tc>
          <w:tcPr>
            <w:tcW w:w="2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102"/>
              <w:spacing w:after="0"/>
              <w:rPr>
                <w:sz w:val="20"/>
                <w:szCs w:val="20"/>
                <w:color w:val="auto"/>
              </w:rPr>
            </w:pPr>
            <w:r>
              <w:rPr>
                <w:rFonts w:ascii="Arial" w:cs="Arial" w:eastAsia="Arial" w:hAnsi="Arial"/>
                <w:sz w:val="16"/>
                <w:szCs w:val="16"/>
                <w:b w:val="1"/>
                <w:bCs w:val="1"/>
                <w:color w:val="auto"/>
                <w:w w:val="89"/>
              </w:rPr>
              <w:t>Reinsured</w:t>
            </w:r>
          </w:p>
        </w:tc>
        <w:tc>
          <w:tcPr>
            <w:tcW w:w="6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282"/>
              <w:spacing w:after="0"/>
              <w:rPr>
                <w:sz w:val="20"/>
                <w:szCs w:val="20"/>
                <w:color w:val="auto"/>
              </w:rPr>
            </w:pPr>
            <w:r>
              <w:rPr>
                <w:rFonts w:ascii="Arial" w:cs="Arial" w:eastAsia="Arial" w:hAnsi="Arial"/>
                <w:sz w:val="16"/>
                <w:szCs w:val="16"/>
                <w:b w:val="1"/>
                <w:bCs w:val="1"/>
                <w:color w:val="auto"/>
              </w:rPr>
              <w:t>Total</w:t>
            </w:r>
          </w:p>
        </w:tc>
        <w:tc>
          <w:tcPr>
            <w:tcW w:w="60" w:type="dxa"/>
            <w:vAlign w:val="bottom"/>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Direct</w:t>
            </w:r>
          </w:p>
        </w:tc>
        <w:tc>
          <w:tcPr>
            <w:tcW w:w="2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122"/>
              <w:spacing w:after="0"/>
              <w:rPr>
                <w:sz w:val="20"/>
                <w:szCs w:val="20"/>
                <w:color w:val="auto"/>
              </w:rPr>
            </w:pPr>
            <w:r>
              <w:rPr>
                <w:rFonts w:ascii="Arial" w:cs="Arial" w:eastAsia="Arial" w:hAnsi="Arial"/>
                <w:sz w:val="16"/>
                <w:szCs w:val="16"/>
                <w:b w:val="1"/>
                <w:bCs w:val="1"/>
                <w:color w:val="auto"/>
                <w:w w:val="89"/>
              </w:rPr>
              <w:t>Reinsured</w:t>
            </w:r>
          </w:p>
        </w:tc>
        <w:tc>
          <w:tcPr>
            <w:tcW w:w="4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262"/>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52"/>
        </w:trPr>
        <w:tc>
          <w:tcPr>
            <w:tcW w:w="33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20" w:type="dxa"/>
            <w:vAlign w:val="bottom"/>
            <w:gridSpan w:val="3"/>
          </w:tcPr>
          <w:p>
            <w:pPr>
              <w:jc w:val="right"/>
              <w:ind w:right="262"/>
              <w:spacing w:after="0"/>
              <w:rPr>
                <w:sz w:val="20"/>
                <w:szCs w:val="20"/>
                <w:color w:val="auto"/>
              </w:rPr>
            </w:pPr>
            <w:r>
              <w:rPr>
                <w:rFonts w:ascii="Arial" w:cs="Arial" w:eastAsia="Arial" w:hAnsi="Arial"/>
                <w:sz w:val="16"/>
                <w:szCs w:val="16"/>
                <w:b w:val="1"/>
                <w:bCs w:val="1"/>
                <w:color w:val="auto"/>
              </w:rPr>
              <w:t>(In millions)</w:t>
            </w:r>
          </w:p>
        </w:tc>
        <w:tc>
          <w:tcPr>
            <w:tcW w:w="2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9"/>
        </w:trPr>
        <w:tc>
          <w:tcPr>
            <w:tcW w:w="3360" w:type="dxa"/>
            <w:vAlign w:val="bottom"/>
          </w:tcPr>
          <w:p>
            <w:pPr>
              <w:spacing w:after="0"/>
              <w:rPr>
                <w:sz w:val="20"/>
                <w:szCs w:val="20"/>
                <w:color w:val="auto"/>
              </w:rPr>
            </w:pPr>
            <w:r>
              <w:rPr>
                <w:rFonts w:ascii="Arial" w:cs="Arial" w:eastAsia="Arial" w:hAnsi="Arial"/>
                <w:sz w:val="16"/>
                <w:szCs w:val="16"/>
                <w:b w:val="1"/>
                <w:bCs w:val="1"/>
                <w:color w:val="auto"/>
              </w:rPr>
              <w:t>MRB asset</w:t>
            </w: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3360" w:type="dxa"/>
            <w:vAlign w:val="bottom"/>
          </w:tcPr>
          <w:p>
            <w:pPr>
              <w:spacing w:after="0"/>
              <w:rPr>
                <w:sz w:val="20"/>
                <w:szCs w:val="20"/>
                <w:color w:val="auto"/>
              </w:rPr>
            </w:pPr>
            <w:r>
              <w:rPr>
                <w:rFonts w:ascii="Arial" w:cs="Arial" w:eastAsia="Arial" w:hAnsi="Arial"/>
                <w:sz w:val="16"/>
                <w:szCs w:val="16"/>
                <w:color w:val="auto"/>
              </w:rPr>
              <w:t>Indexed annuities</w:t>
            </w:r>
          </w:p>
        </w:tc>
        <w:tc>
          <w:tcPr>
            <w:tcW w:w="760" w:type="dxa"/>
            <w:vAlign w:val="bottom"/>
          </w:tcPr>
          <w:p>
            <w:pPr>
              <w:jc w:val="right"/>
              <w:ind w:right="542"/>
              <w:spacing w:after="0"/>
              <w:rPr>
                <w:sz w:val="20"/>
                <w:szCs w:val="20"/>
                <w:color w:val="auto"/>
              </w:rPr>
            </w:pPr>
            <w:r>
              <w:rPr>
                <w:rFonts w:ascii="Arial" w:cs="Arial" w:eastAsia="Arial" w:hAnsi="Arial"/>
                <w:sz w:val="16"/>
                <w:szCs w:val="16"/>
                <w:color w:val="auto"/>
              </w:rPr>
              <w:t>$</w:t>
            </w:r>
          </w:p>
        </w:tc>
        <w:tc>
          <w:tcPr>
            <w:tcW w:w="240" w:type="dxa"/>
            <w:vAlign w:val="bottom"/>
          </w:tcPr>
          <w:p>
            <w:pPr>
              <w:jc w:val="right"/>
              <w:spacing w:after="0"/>
              <w:rPr>
                <w:sz w:val="20"/>
                <w:szCs w:val="20"/>
                <w:color w:val="auto"/>
              </w:rPr>
            </w:pPr>
            <w:r>
              <w:rPr>
                <w:rFonts w:ascii="Arial" w:cs="Arial" w:eastAsia="Arial" w:hAnsi="Arial"/>
                <w:sz w:val="16"/>
                <w:szCs w:val="16"/>
                <w:color w:val="auto"/>
              </w:rPr>
              <w:t>88</w:t>
            </w:r>
          </w:p>
        </w:tc>
        <w:tc>
          <w:tcPr>
            <w:tcW w:w="280" w:type="dxa"/>
            <w:vAlign w:val="bottom"/>
            <w:gridSpan w:val="3"/>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197</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ind w:right="2"/>
              <w:spacing w:after="0"/>
              <w:rPr>
                <w:sz w:val="20"/>
                <w:szCs w:val="20"/>
                <w:color w:val="auto"/>
              </w:rPr>
            </w:pPr>
            <w:r>
              <w:rPr>
                <w:rFonts w:ascii="Arial" w:cs="Arial" w:eastAsia="Arial" w:hAnsi="Arial"/>
                <w:sz w:val="16"/>
                <w:szCs w:val="16"/>
                <w:color w:val="auto"/>
              </w:rPr>
              <w:t>285</w:t>
            </w:r>
          </w:p>
        </w:tc>
        <w:tc>
          <w:tcPr>
            <w:tcW w:w="800" w:type="dxa"/>
            <w:vAlign w:val="bottom"/>
            <w:gridSpan w:val="2"/>
          </w:tcPr>
          <w:p>
            <w:pPr>
              <w:jc w:val="right"/>
              <w:ind w:right="542"/>
              <w:spacing w:after="0"/>
              <w:rPr>
                <w:sz w:val="20"/>
                <w:szCs w:val="20"/>
                <w:color w:val="auto"/>
              </w:rPr>
            </w:pPr>
            <w:r>
              <w:rPr>
                <w:rFonts w:ascii="Arial" w:cs="Arial" w:eastAsia="Arial" w:hAnsi="Arial"/>
                <w:sz w:val="16"/>
                <w:szCs w:val="16"/>
                <w:color w:val="auto"/>
              </w:rPr>
              <w:t>$</w:t>
            </w:r>
          </w:p>
        </w:tc>
        <w:tc>
          <w:tcPr>
            <w:tcW w:w="260" w:type="dxa"/>
            <w:vAlign w:val="bottom"/>
          </w:tcPr>
          <w:p>
            <w:pPr>
              <w:jc w:val="right"/>
              <w:spacing w:after="0"/>
              <w:rPr>
                <w:sz w:val="20"/>
                <w:szCs w:val="20"/>
                <w:color w:val="auto"/>
              </w:rPr>
            </w:pPr>
            <w:r>
              <w:rPr>
                <w:rFonts w:ascii="Arial" w:cs="Arial" w:eastAsia="Arial" w:hAnsi="Arial"/>
                <w:sz w:val="16"/>
                <w:szCs w:val="16"/>
                <w:color w:val="auto"/>
                <w:w w:val="82"/>
              </w:rPr>
              <w:t>128</w:t>
            </w:r>
          </w:p>
        </w:tc>
        <w:tc>
          <w:tcPr>
            <w:tcW w:w="260" w:type="dxa"/>
            <w:vAlign w:val="bottom"/>
            <w:gridSpan w:val="3"/>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2"/>
              <w:spacing w:after="0"/>
              <w:rPr>
                <w:sz w:val="20"/>
                <w:szCs w:val="20"/>
                <w:color w:val="auto"/>
              </w:rPr>
            </w:pPr>
            <w:r>
              <w:rPr>
                <w:rFonts w:ascii="Arial" w:cs="Arial" w:eastAsia="Arial" w:hAnsi="Arial"/>
                <w:sz w:val="16"/>
                <w:szCs w:val="16"/>
                <w:color w:val="auto"/>
              </w:rPr>
              <w:t>61</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189</w:t>
            </w:r>
          </w:p>
        </w:tc>
        <w:tc>
          <w:tcPr>
            <w:tcW w:w="0" w:type="dxa"/>
            <w:vAlign w:val="bottom"/>
          </w:tcPr>
          <w:p>
            <w:pPr>
              <w:spacing w:after="0"/>
              <w:rPr>
                <w:sz w:val="1"/>
                <w:szCs w:val="1"/>
                <w:color w:val="auto"/>
              </w:rPr>
            </w:pPr>
          </w:p>
        </w:tc>
      </w:tr>
      <w:tr>
        <w:trPr>
          <w:trHeight w:val="286"/>
        </w:trPr>
        <w:tc>
          <w:tcPr>
            <w:tcW w:w="3360" w:type="dxa"/>
            <w:vAlign w:val="bottom"/>
          </w:tcPr>
          <w:p>
            <w:pPr>
              <w:spacing w:after="0"/>
              <w:rPr>
                <w:sz w:val="20"/>
                <w:szCs w:val="20"/>
                <w:color w:val="auto"/>
              </w:rPr>
            </w:pPr>
            <w:r>
              <w:rPr>
                <w:rFonts w:ascii="Arial" w:cs="Arial" w:eastAsia="Arial" w:hAnsi="Arial"/>
                <w:sz w:val="16"/>
                <w:szCs w:val="16"/>
                <w:color w:val="auto"/>
              </w:rPr>
              <w:t>Fixed rate annuities</w:t>
            </w:r>
          </w:p>
        </w:tc>
        <w:tc>
          <w:tcPr>
            <w:tcW w:w="7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0"/>
        </w:trPr>
        <w:tc>
          <w:tcPr>
            <w:tcW w:w="3360" w:type="dxa"/>
            <w:vAlign w:val="bottom"/>
          </w:tcPr>
          <w:p>
            <w:pPr>
              <w:spacing w:after="0"/>
              <w:rPr>
                <w:sz w:val="20"/>
                <w:szCs w:val="20"/>
                <w:color w:val="auto"/>
              </w:rPr>
            </w:pPr>
            <w:r>
              <w:rPr>
                <w:rFonts w:ascii="Arial" w:cs="Arial" w:eastAsia="Arial" w:hAnsi="Arial"/>
                <w:sz w:val="16"/>
                <w:szCs w:val="16"/>
                <w:b w:val="1"/>
                <w:bCs w:val="1"/>
                <w:color w:val="auto"/>
              </w:rPr>
              <w:t>Total MRB asset</w:t>
            </w:r>
          </w:p>
        </w:tc>
        <w:tc>
          <w:tcPr>
            <w:tcW w:w="760" w:type="dxa"/>
            <w:vAlign w:val="bottom"/>
          </w:tcPr>
          <w:p>
            <w:pPr>
              <w:jc w:val="right"/>
              <w:ind w:right="542"/>
              <w:spacing w:after="0"/>
              <w:rPr>
                <w:sz w:val="20"/>
                <w:szCs w:val="20"/>
                <w:color w:val="auto"/>
              </w:rPr>
            </w:pPr>
            <w:r>
              <w:rPr>
                <w:rFonts w:ascii="Arial" w:cs="Arial" w:eastAsia="Arial" w:hAnsi="Arial"/>
                <w:sz w:val="16"/>
                <w:szCs w:val="16"/>
                <w:color w:val="auto"/>
              </w:rPr>
              <w:t>$</w:t>
            </w:r>
          </w:p>
        </w:tc>
        <w:tc>
          <w:tcPr>
            <w:tcW w:w="240" w:type="dxa"/>
            <w:vAlign w:val="bottom"/>
          </w:tcPr>
          <w:p>
            <w:pPr>
              <w:jc w:val="right"/>
              <w:spacing w:after="0"/>
              <w:rPr>
                <w:sz w:val="20"/>
                <w:szCs w:val="20"/>
                <w:color w:val="auto"/>
              </w:rPr>
            </w:pPr>
            <w:r>
              <w:rPr>
                <w:rFonts w:ascii="Arial" w:cs="Arial" w:eastAsia="Arial" w:hAnsi="Arial"/>
                <w:sz w:val="16"/>
                <w:szCs w:val="16"/>
                <w:color w:val="auto"/>
              </w:rPr>
              <w:t>88</w:t>
            </w:r>
          </w:p>
        </w:tc>
        <w:tc>
          <w:tcPr>
            <w:tcW w:w="280" w:type="dxa"/>
            <w:vAlign w:val="bottom"/>
            <w:gridSpan w:val="3"/>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197</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ind w:right="2"/>
              <w:spacing w:after="0"/>
              <w:rPr>
                <w:sz w:val="20"/>
                <w:szCs w:val="20"/>
                <w:color w:val="auto"/>
              </w:rPr>
            </w:pPr>
            <w:r>
              <w:rPr>
                <w:rFonts w:ascii="Arial" w:cs="Arial" w:eastAsia="Arial" w:hAnsi="Arial"/>
                <w:sz w:val="16"/>
                <w:szCs w:val="16"/>
                <w:color w:val="auto"/>
              </w:rPr>
              <w:t>285</w:t>
            </w:r>
          </w:p>
        </w:tc>
        <w:tc>
          <w:tcPr>
            <w:tcW w:w="800" w:type="dxa"/>
            <w:vAlign w:val="bottom"/>
            <w:gridSpan w:val="2"/>
          </w:tcPr>
          <w:p>
            <w:pPr>
              <w:jc w:val="right"/>
              <w:ind w:right="542"/>
              <w:spacing w:after="0"/>
              <w:rPr>
                <w:sz w:val="20"/>
                <w:szCs w:val="20"/>
                <w:color w:val="auto"/>
              </w:rPr>
            </w:pPr>
            <w:r>
              <w:rPr>
                <w:rFonts w:ascii="Arial" w:cs="Arial" w:eastAsia="Arial" w:hAnsi="Arial"/>
                <w:sz w:val="16"/>
                <w:szCs w:val="16"/>
                <w:color w:val="auto"/>
              </w:rPr>
              <w:t>$</w:t>
            </w:r>
          </w:p>
        </w:tc>
        <w:tc>
          <w:tcPr>
            <w:tcW w:w="260" w:type="dxa"/>
            <w:vAlign w:val="bottom"/>
          </w:tcPr>
          <w:p>
            <w:pPr>
              <w:jc w:val="right"/>
              <w:spacing w:after="0"/>
              <w:rPr>
                <w:sz w:val="20"/>
                <w:szCs w:val="20"/>
                <w:color w:val="auto"/>
              </w:rPr>
            </w:pPr>
            <w:r>
              <w:rPr>
                <w:rFonts w:ascii="Arial" w:cs="Arial" w:eastAsia="Arial" w:hAnsi="Arial"/>
                <w:sz w:val="16"/>
                <w:szCs w:val="16"/>
                <w:color w:val="auto"/>
                <w:w w:val="82"/>
              </w:rPr>
              <w:t>128</w:t>
            </w:r>
          </w:p>
        </w:tc>
        <w:tc>
          <w:tcPr>
            <w:tcW w:w="260" w:type="dxa"/>
            <w:vAlign w:val="bottom"/>
            <w:gridSpan w:val="3"/>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2"/>
              <w:spacing w:after="0"/>
              <w:rPr>
                <w:sz w:val="20"/>
                <w:szCs w:val="20"/>
                <w:color w:val="auto"/>
              </w:rPr>
            </w:pPr>
            <w:r>
              <w:rPr>
                <w:rFonts w:ascii="Arial" w:cs="Arial" w:eastAsia="Arial" w:hAnsi="Arial"/>
                <w:sz w:val="16"/>
                <w:szCs w:val="16"/>
                <w:color w:val="auto"/>
              </w:rPr>
              <w:t>61</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189</w:t>
            </w:r>
          </w:p>
        </w:tc>
        <w:tc>
          <w:tcPr>
            <w:tcW w:w="0" w:type="dxa"/>
            <w:vAlign w:val="bottom"/>
          </w:tcPr>
          <w:p>
            <w:pPr>
              <w:spacing w:after="0"/>
              <w:rPr>
                <w:sz w:val="1"/>
                <w:szCs w:val="1"/>
                <w:color w:val="auto"/>
              </w:rPr>
            </w:pPr>
          </w:p>
        </w:tc>
      </w:tr>
      <w:tr>
        <w:trPr>
          <w:trHeight w:val="20"/>
        </w:trPr>
        <w:tc>
          <w:tcPr>
            <w:tcW w:w="3360" w:type="dxa"/>
            <w:vAlign w:val="bottom"/>
            <w:vMerge w:val="restart"/>
          </w:tcPr>
          <w:p>
            <w:pPr>
              <w:spacing w:after="0"/>
              <w:rPr>
                <w:sz w:val="20"/>
                <w:szCs w:val="20"/>
                <w:color w:val="auto"/>
              </w:rPr>
            </w:pPr>
            <w:r>
              <w:rPr>
                <w:rFonts w:ascii="Arial" w:cs="Arial" w:eastAsia="Arial" w:hAnsi="Arial"/>
                <w:sz w:val="16"/>
                <w:szCs w:val="16"/>
                <w:b w:val="1"/>
                <w:bCs w:val="1"/>
                <w:color w:val="auto"/>
              </w:rPr>
              <w:t>MRB liability</w:t>
            </w: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1"/>
        </w:trPr>
        <w:tc>
          <w:tcPr>
            <w:tcW w:w="3360" w:type="dxa"/>
            <w:vAlign w:val="bottom"/>
            <w:vMerge w:val="continue"/>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3360" w:type="dxa"/>
            <w:vAlign w:val="bottom"/>
          </w:tcPr>
          <w:p>
            <w:pPr>
              <w:spacing w:after="0"/>
              <w:rPr>
                <w:sz w:val="20"/>
                <w:szCs w:val="20"/>
                <w:color w:val="auto"/>
              </w:rPr>
            </w:pPr>
            <w:r>
              <w:rPr>
                <w:rFonts w:ascii="Arial" w:cs="Arial" w:eastAsia="Arial" w:hAnsi="Arial"/>
                <w:sz w:val="16"/>
                <w:szCs w:val="16"/>
                <w:color w:val="auto"/>
              </w:rPr>
              <w:t>Indexed annuities</w:t>
            </w:r>
          </w:p>
        </w:tc>
        <w:tc>
          <w:tcPr>
            <w:tcW w:w="760" w:type="dxa"/>
            <w:vAlign w:val="bottom"/>
          </w:tcPr>
          <w:p>
            <w:pPr>
              <w:jc w:val="right"/>
              <w:ind w:right="542"/>
              <w:spacing w:after="0"/>
              <w:rPr>
                <w:sz w:val="20"/>
                <w:szCs w:val="20"/>
                <w:color w:val="auto"/>
              </w:rPr>
            </w:pPr>
            <w:r>
              <w:rPr>
                <w:rFonts w:ascii="Arial" w:cs="Arial" w:eastAsia="Arial" w:hAnsi="Arial"/>
                <w:sz w:val="16"/>
                <w:szCs w:val="16"/>
                <w:color w:val="auto"/>
              </w:rPr>
              <w:t>$</w:t>
            </w:r>
          </w:p>
        </w:tc>
        <w:tc>
          <w:tcPr>
            <w:tcW w:w="240" w:type="dxa"/>
            <w:vAlign w:val="bottom"/>
          </w:tcPr>
          <w:p>
            <w:pPr>
              <w:jc w:val="right"/>
              <w:spacing w:after="0"/>
              <w:rPr>
                <w:sz w:val="20"/>
                <w:szCs w:val="20"/>
                <w:color w:val="auto"/>
              </w:rPr>
            </w:pPr>
            <w:r>
              <w:rPr>
                <w:rFonts w:ascii="Arial" w:cs="Arial" w:eastAsia="Arial" w:hAnsi="Arial"/>
                <w:sz w:val="16"/>
                <w:szCs w:val="16"/>
                <w:color w:val="auto"/>
                <w:w w:val="82"/>
              </w:rPr>
              <w:t>900</w:t>
            </w:r>
          </w:p>
        </w:tc>
        <w:tc>
          <w:tcPr>
            <w:tcW w:w="280" w:type="dxa"/>
            <w:vAlign w:val="bottom"/>
            <w:gridSpan w:val="3"/>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2</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ind w:right="2"/>
              <w:spacing w:after="0"/>
              <w:rPr>
                <w:sz w:val="20"/>
                <w:szCs w:val="20"/>
                <w:color w:val="auto"/>
              </w:rPr>
            </w:pPr>
            <w:r>
              <w:rPr>
                <w:rFonts w:ascii="Arial" w:cs="Arial" w:eastAsia="Arial" w:hAnsi="Arial"/>
                <w:sz w:val="16"/>
                <w:szCs w:val="16"/>
                <w:color w:val="auto"/>
              </w:rPr>
              <w:t>902</w:t>
            </w:r>
          </w:p>
        </w:tc>
        <w:tc>
          <w:tcPr>
            <w:tcW w:w="800" w:type="dxa"/>
            <w:vAlign w:val="bottom"/>
            <w:gridSpan w:val="2"/>
          </w:tcPr>
          <w:p>
            <w:pPr>
              <w:jc w:val="right"/>
              <w:ind w:right="542"/>
              <w:spacing w:after="0"/>
              <w:rPr>
                <w:sz w:val="20"/>
                <w:szCs w:val="20"/>
                <w:color w:val="auto"/>
              </w:rPr>
            </w:pPr>
            <w:r>
              <w:rPr>
                <w:rFonts w:ascii="Arial" w:cs="Arial" w:eastAsia="Arial" w:hAnsi="Arial"/>
                <w:sz w:val="16"/>
                <w:szCs w:val="16"/>
                <w:color w:val="auto"/>
              </w:rPr>
              <w:t>$</w:t>
            </w:r>
          </w:p>
        </w:tc>
        <w:tc>
          <w:tcPr>
            <w:tcW w:w="260" w:type="dxa"/>
            <w:vAlign w:val="bottom"/>
          </w:tcPr>
          <w:p>
            <w:pPr>
              <w:jc w:val="right"/>
              <w:spacing w:after="0"/>
              <w:rPr>
                <w:sz w:val="20"/>
                <w:szCs w:val="20"/>
                <w:color w:val="auto"/>
              </w:rPr>
            </w:pPr>
            <w:r>
              <w:rPr>
                <w:rFonts w:ascii="Arial" w:cs="Arial" w:eastAsia="Arial" w:hAnsi="Arial"/>
                <w:sz w:val="16"/>
                <w:szCs w:val="16"/>
                <w:color w:val="auto"/>
                <w:w w:val="82"/>
              </w:rPr>
              <w:t>548</w:t>
            </w:r>
          </w:p>
        </w:tc>
        <w:tc>
          <w:tcPr>
            <w:tcW w:w="260" w:type="dxa"/>
            <w:vAlign w:val="bottom"/>
            <w:gridSpan w:val="3"/>
          </w:tcPr>
          <w:p>
            <w:pPr>
              <w:jc w:val="right"/>
              <w:ind w:right="20"/>
              <w:spacing w:after="0"/>
              <w:rPr>
                <w:sz w:val="20"/>
                <w:szCs w:val="20"/>
                <w:color w:val="auto"/>
              </w:rPr>
            </w:pPr>
            <w:r>
              <w:rPr>
                <w:rFonts w:ascii="Arial" w:cs="Arial" w:eastAsia="Arial" w:hAnsi="Arial"/>
                <w:sz w:val="16"/>
                <w:szCs w:val="16"/>
                <w:color w:val="auto"/>
              </w:rPr>
              <w:t>$</w:t>
            </w:r>
          </w:p>
        </w:tc>
        <w:tc>
          <w:tcPr>
            <w:tcW w:w="1020" w:type="dxa"/>
            <w:vAlign w:val="bottom"/>
            <w:gridSpan w:val="3"/>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548</w:t>
            </w:r>
          </w:p>
        </w:tc>
        <w:tc>
          <w:tcPr>
            <w:tcW w:w="0" w:type="dxa"/>
            <w:vAlign w:val="bottom"/>
          </w:tcPr>
          <w:p>
            <w:pPr>
              <w:spacing w:after="0"/>
              <w:rPr>
                <w:sz w:val="1"/>
                <w:szCs w:val="1"/>
                <w:color w:val="auto"/>
              </w:rPr>
            </w:pPr>
          </w:p>
        </w:tc>
      </w:tr>
      <w:tr>
        <w:trPr>
          <w:trHeight w:val="286"/>
        </w:trPr>
        <w:tc>
          <w:tcPr>
            <w:tcW w:w="3360" w:type="dxa"/>
            <w:vAlign w:val="bottom"/>
          </w:tcPr>
          <w:p>
            <w:pPr>
              <w:spacing w:after="0"/>
              <w:rPr>
                <w:sz w:val="20"/>
                <w:szCs w:val="20"/>
                <w:color w:val="auto"/>
              </w:rPr>
            </w:pPr>
            <w:r>
              <w:rPr>
                <w:rFonts w:ascii="Arial" w:cs="Arial" w:eastAsia="Arial" w:hAnsi="Arial"/>
                <w:sz w:val="16"/>
                <w:szCs w:val="16"/>
                <w:color w:val="auto"/>
              </w:rPr>
              <w:t>Fixed rate annuities</w:t>
            </w:r>
          </w:p>
        </w:tc>
        <w:tc>
          <w:tcPr>
            <w:tcW w:w="7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6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w:t>
            </w:r>
          </w:p>
        </w:tc>
        <w:tc>
          <w:tcPr>
            <w:tcW w:w="60" w:type="dxa"/>
            <w:vAlign w:val="bottom"/>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6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40"/>
        </w:trPr>
        <w:tc>
          <w:tcPr>
            <w:tcW w:w="3360" w:type="dxa"/>
            <w:vAlign w:val="bottom"/>
          </w:tcPr>
          <w:p>
            <w:pPr>
              <w:spacing w:after="0"/>
              <w:rPr>
                <w:sz w:val="20"/>
                <w:szCs w:val="20"/>
                <w:color w:val="auto"/>
              </w:rPr>
            </w:pPr>
            <w:r>
              <w:rPr>
                <w:rFonts w:ascii="Arial" w:cs="Arial" w:eastAsia="Arial" w:hAnsi="Arial"/>
                <w:sz w:val="16"/>
                <w:szCs w:val="16"/>
                <w:b w:val="1"/>
                <w:bCs w:val="1"/>
                <w:color w:val="auto"/>
              </w:rPr>
              <w:t>Total MRB liability</w:t>
            </w:r>
          </w:p>
        </w:tc>
        <w:tc>
          <w:tcPr>
            <w:tcW w:w="760" w:type="dxa"/>
            <w:vAlign w:val="bottom"/>
          </w:tcPr>
          <w:p>
            <w:pPr>
              <w:jc w:val="right"/>
              <w:ind w:right="542"/>
              <w:spacing w:after="0"/>
              <w:rPr>
                <w:sz w:val="20"/>
                <w:szCs w:val="20"/>
                <w:color w:val="auto"/>
              </w:rPr>
            </w:pPr>
            <w:r>
              <w:rPr>
                <w:rFonts w:ascii="Arial" w:cs="Arial" w:eastAsia="Arial" w:hAnsi="Arial"/>
                <w:sz w:val="16"/>
                <w:szCs w:val="16"/>
                <w:color w:val="auto"/>
              </w:rPr>
              <w:t>$</w:t>
            </w:r>
          </w:p>
        </w:tc>
        <w:tc>
          <w:tcPr>
            <w:tcW w:w="240" w:type="dxa"/>
            <w:vAlign w:val="bottom"/>
          </w:tcPr>
          <w:p>
            <w:pPr>
              <w:jc w:val="right"/>
              <w:spacing w:after="0"/>
              <w:rPr>
                <w:sz w:val="20"/>
                <w:szCs w:val="20"/>
                <w:color w:val="auto"/>
              </w:rPr>
            </w:pPr>
            <w:r>
              <w:rPr>
                <w:rFonts w:ascii="Arial" w:cs="Arial" w:eastAsia="Arial" w:hAnsi="Arial"/>
                <w:sz w:val="16"/>
                <w:szCs w:val="16"/>
                <w:color w:val="auto"/>
                <w:w w:val="82"/>
              </w:rPr>
              <w:t>901</w:t>
            </w:r>
          </w:p>
        </w:tc>
        <w:tc>
          <w:tcPr>
            <w:tcW w:w="280" w:type="dxa"/>
            <w:vAlign w:val="bottom"/>
            <w:gridSpan w:val="3"/>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2</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ind w:right="2"/>
              <w:spacing w:after="0"/>
              <w:rPr>
                <w:sz w:val="20"/>
                <w:szCs w:val="20"/>
                <w:color w:val="auto"/>
              </w:rPr>
            </w:pPr>
            <w:r>
              <w:rPr>
                <w:rFonts w:ascii="Arial" w:cs="Arial" w:eastAsia="Arial" w:hAnsi="Arial"/>
                <w:sz w:val="16"/>
                <w:szCs w:val="16"/>
                <w:color w:val="auto"/>
              </w:rPr>
              <w:t>903</w:t>
            </w:r>
          </w:p>
        </w:tc>
        <w:tc>
          <w:tcPr>
            <w:tcW w:w="800" w:type="dxa"/>
            <w:vAlign w:val="bottom"/>
            <w:gridSpan w:val="2"/>
          </w:tcPr>
          <w:p>
            <w:pPr>
              <w:jc w:val="right"/>
              <w:ind w:right="542"/>
              <w:spacing w:after="0"/>
              <w:rPr>
                <w:sz w:val="20"/>
                <w:szCs w:val="20"/>
                <w:color w:val="auto"/>
              </w:rPr>
            </w:pPr>
            <w:r>
              <w:rPr>
                <w:rFonts w:ascii="Arial" w:cs="Arial" w:eastAsia="Arial" w:hAnsi="Arial"/>
                <w:sz w:val="16"/>
                <w:szCs w:val="16"/>
                <w:color w:val="auto"/>
              </w:rPr>
              <w:t>$</w:t>
            </w:r>
          </w:p>
        </w:tc>
        <w:tc>
          <w:tcPr>
            <w:tcW w:w="260" w:type="dxa"/>
            <w:vAlign w:val="bottom"/>
          </w:tcPr>
          <w:p>
            <w:pPr>
              <w:jc w:val="right"/>
              <w:spacing w:after="0"/>
              <w:rPr>
                <w:sz w:val="20"/>
                <w:szCs w:val="20"/>
                <w:color w:val="auto"/>
              </w:rPr>
            </w:pPr>
            <w:r>
              <w:rPr>
                <w:rFonts w:ascii="Arial" w:cs="Arial" w:eastAsia="Arial" w:hAnsi="Arial"/>
                <w:sz w:val="16"/>
                <w:szCs w:val="16"/>
                <w:color w:val="auto"/>
                <w:w w:val="82"/>
              </w:rPr>
              <w:t>549</w:t>
            </w:r>
          </w:p>
        </w:tc>
        <w:tc>
          <w:tcPr>
            <w:tcW w:w="260" w:type="dxa"/>
            <w:vAlign w:val="bottom"/>
            <w:gridSpan w:val="3"/>
          </w:tcPr>
          <w:p>
            <w:pPr>
              <w:jc w:val="right"/>
              <w:ind w:right="20"/>
              <w:spacing w:after="0"/>
              <w:rPr>
                <w:sz w:val="20"/>
                <w:szCs w:val="20"/>
                <w:color w:val="auto"/>
              </w:rPr>
            </w:pPr>
            <w:r>
              <w:rPr>
                <w:rFonts w:ascii="Arial" w:cs="Arial" w:eastAsia="Arial" w:hAnsi="Arial"/>
                <w:sz w:val="16"/>
                <w:szCs w:val="16"/>
                <w:color w:val="auto"/>
              </w:rPr>
              <w:t>$</w:t>
            </w:r>
          </w:p>
        </w:tc>
        <w:tc>
          <w:tcPr>
            <w:tcW w:w="1020" w:type="dxa"/>
            <w:vAlign w:val="bottom"/>
            <w:gridSpan w:val="3"/>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549</w:t>
            </w:r>
          </w:p>
        </w:tc>
        <w:tc>
          <w:tcPr>
            <w:tcW w:w="0" w:type="dxa"/>
            <w:vAlign w:val="bottom"/>
          </w:tcPr>
          <w:p>
            <w:pPr>
              <w:spacing w:after="0"/>
              <w:rPr>
                <w:sz w:val="1"/>
                <w:szCs w:val="1"/>
                <w:color w:val="auto"/>
              </w:rPr>
            </w:pPr>
          </w:p>
        </w:tc>
      </w:tr>
      <w:tr>
        <w:trPr>
          <w:trHeight w:val="20"/>
        </w:trPr>
        <w:tc>
          <w:tcPr>
            <w:tcW w:w="33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-1804670</wp:posOffset>
            </wp:positionV>
            <wp:extent cx="6410325" cy="18116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161">
                      <a:extLst>
                        <a:ext uri="{28A0092B-C50C-407E-A947-70E740481C1C}"/>
                      </a:extLst>
                    </a:blip>
                    <a:srcRect/>
                    <a:stretch>
                      <a:fillRect/>
                    </a:stretch>
                  </pic:blipFill>
                  <pic:spPr bwMode="auto">
                    <a:xfrm>
                      <a:off x="0" y="0"/>
                      <a:ext cx="6410325" cy="1811655"/>
                    </a:xfrm>
                    <a:prstGeom prst="rect">
                      <a:avLst/>
                    </a:prstGeom>
                    <a:noFill/>
                  </pic:spPr>
                </pic:pic>
              </a:graphicData>
            </a:graphic>
          </wp:anchor>
        </w:drawing>
      </w:r>
    </w:p>
    <w:p>
      <w:pPr>
        <w:spacing w:after="0" w:line="213" w:lineRule="exact"/>
        <w:rPr>
          <w:sz w:val="20"/>
          <w:szCs w:val="20"/>
          <w:color w:val="auto"/>
        </w:rPr>
      </w:pPr>
    </w:p>
    <w:p>
      <w:pPr>
        <w:jc w:val="both"/>
        <w:ind w:firstLine="353"/>
        <w:spacing w:after="0" w:line="254" w:lineRule="auto"/>
        <w:rPr>
          <w:sz w:val="20"/>
          <w:szCs w:val="20"/>
          <w:color w:val="auto"/>
        </w:rPr>
      </w:pPr>
      <w:r>
        <w:rPr>
          <w:rFonts w:ascii="Arial" w:cs="Arial" w:eastAsia="Arial" w:hAnsi="Arial"/>
          <w:sz w:val="20"/>
          <w:szCs w:val="20"/>
          <w:color w:val="auto"/>
        </w:rPr>
        <w:t>The net MRB liability increased for the year ended December 31, 2025, primarily as a result of collection of attributed fees, interest accrual, and MRB reserves for contracts issued within the period.</w:t>
      </w:r>
    </w:p>
    <w:p>
      <w:pPr>
        <w:spacing w:after="0" w:line="70" w:lineRule="exact"/>
        <w:rPr>
          <w:sz w:val="20"/>
          <w:szCs w:val="20"/>
          <w:color w:val="auto"/>
        </w:rPr>
      </w:pPr>
    </w:p>
    <w:p>
      <w:pPr>
        <w:jc w:val="both"/>
        <w:ind w:firstLine="353"/>
        <w:spacing w:after="0" w:line="254" w:lineRule="auto"/>
        <w:rPr>
          <w:sz w:val="20"/>
          <w:szCs w:val="20"/>
          <w:color w:val="auto"/>
        </w:rPr>
      </w:pPr>
      <w:r>
        <w:rPr>
          <w:rFonts w:ascii="Arial" w:cs="Arial" w:eastAsia="Arial" w:hAnsi="Arial"/>
          <w:sz w:val="19"/>
          <w:szCs w:val="19"/>
          <w:color w:val="auto"/>
        </w:rPr>
        <w:t>For the year ended December 31, 2025, notable changes made to the inputs to the fair value estimates of MRBs calculations included an increase in risk-free rates leading to a favorable change in the MRBs associated with indexed annuities and decreases in the equity market related projections resulted in an increase in the net amount at risk associated with indexed annuities, leading to an unfavorable change in the value of the associated MRBs.</w:t>
      </w:r>
    </w:p>
    <w:p>
      <w:pPr>
        <w:spacing w:after="0" w:line="71" w:lineRule="exact"/>
        <w:rPr>
          <w:sz w:val="20"/>
          <w:szCs w:val="20"/>
          <w:color w:val="auto"/>
        </w:rPr>
      </w:pPr>
    </w:p>
    <w:p>
      <w:pPr>
        <w:jc w:val="both"/>
        <w:ind w:firstLine="353"/>
        <w:spacing w:after="0" w:line="238" w:lineRule="auto"/>
        <w:rPr>
          <w:sz w:val="20"/>
          <w:szCs w:val="20"/>
          <w:color w:val="auto"/>
        </w:rPr>
      </w:pPr>
      <w:r>
        <w:rPr>
          <w:rFonts w:ascii="Arial" w:cs="Arial" w:eastAsia="Arial" w:hAnsi="Arial"/>
          <w:sz w:val="20"/>
          <w:szCs w:val="20"/>
          <w:color w:val="auto"/>
        </w:rPr>
        <w:t>The net MRB liability increased for the year ended December 31, 2024, primarily as a result of collection of attributed fees, interest accrual, MRB reserves for contracts issued within the period, and changes in actuarial assumptions. These increases were partially offset by the effects of market related movements, including the impacts of higher risk-free rates and increases in the equity market related projections.</w:t>
      </w:r>
    </w:p>
    <w:p>
      <w:pPr>
        <w:sectPr>
          <w:pgSz w:w="11880" w:h="15480" w:orient="portrait"/>
          <w:cols w:equalWidth="0" w:num="1">
            <w:col w:w="10040"/>
          </w:cols>
          <w:pgMar w:left="920" w:top="765"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182</w:t>
      </w:r>
    </w:p>
    <w:p>
      <w:pPr>
        <w:sectPr>
          <w:pgSz w:w="11880" w:h="15480" w:orient="portrait"/>
          <w:cols w:equalWidth="0" w:num="1">
            <w:col w:w="10040"/>
          </w:cols>
          <w:pgMar w:left="920" w:top="765" w:right="920" w:bottom="0" w:gutter="0" w:footer="0" w:header="0"/>
          <w:type w:val="continuous"/>
        </w:sectPr>
      </w:pPr>
    </w:p>
    <w:bookmarkStart w:id="194" w:name="page195"/>
    <w:bookmarkEnd w:id="194"/>
    <w:p>
      <w:pPr>
        <w:jc w:val="both"/>
        <w:ind w:left="7" w:right="20" w:firstLine="353"/>
        <w:spacing w:after="0" w:line="306" w:lineRule="auto"/>
        <w:rPr>
          <w:sz w:val="20"/>
          <w:szCs w:val="20"/>
          <w:color w:val="auto"/>
        </w:rPr>
      </w:pPr>
      <w:r>
        <w:rPr>
          <w:rFonts w:ascii="Arial" w:cs="Arial" w:eastAsia="Arial" w:hAnsi="Arial"/>
          <w:sz w:val="17"/>
          <w:szCs w:val="17"/>
          <w:color w:val="auto"/>
        </w:rPr>
        <w:t>For the year ended December 31, 2024, notable changes made to the inputs to the fair value estimates of MRBs calculations included an increase in risk-free rates leading to a favorable change in the MRBs associated with indexed annuities and fixed rate annuities; increases in the equity market related projections resulted in a decrease in the net amount at risk associated with indexed annuities, leading to a favorable change in the value of the associated MRBs; and an increase in the rider benefit utilization assumption, leading to an unfavorable change in the value of the associated MRBs.</w:t>
      </w:r>
    </w:p>
    <w:p>
      <w:pPr>
        <w:spacing w:after="0" w:line="165" w:lineRule="exact"/>
        <w:rPr>
          <w:sz w:val="20"/>
          <w:szCs w:val="20"/>
          <w:color w:val="auto"/>
        </w:rPr>
      </w:pPr>
    </w:p>
    <w:p>
      <w:pPr>
        <w:jc w:val="both"/>
        <w:ind w:left="7" w:right="20" w:firstLine="353"/>
        <w:spacing w:after="0" w:line="262" w:lineRule="auto"/>
        <w:rPr>
          <w:sz w:val="20"/>
          <w:szCs w:val="20"/>
          <w:color w:val="auto"/>
        </w:rPr>
      </w:pPr>
      <w:r>
        <w:rPr>
          <w:rFonts w:ascii="Arial" w:cs="Arial" w:eastAsia="Arial" w:hAnsi="Arial"/>
          <w:sz w:val="19"/>
          <w:szCs w:val="19"/>
          <w:color w:val="auto"/>
        </w:rPr>
        <w:t>In addition, the cash flow assumptions used to calculate MRBs reflect the Company’s best estimates for policyholder behavior. F&amp;G reviews cash flow assumptions annually, generally in the third quarter. In 2024 and 2025, F&amp;G undertook a review of all significant assumptions and revised several assumptions relating to their deferred annuities (indexed annuities and fixed rate annuities) with MRBs. For the year ended December 31, 2025, F&amp;G updated assumptions including surrender rates, mortality and mortality improvement, partial withdrawals, projected CPI, and option budgets. All updates to these assumptions brought F&amp;G more in line with internal and overall industry experience since the prior assumption updates. These updates, in total, led to an increase in the net MRB liability for the year ended December 31, 2025. For the year ended December 31, 2024, F&amp;G updated assumptions including surrender rates, rider benefit election utilization, mortality improvement, and option budgets. All updates to these assumptions brought F&amp;G more in line with internal and overall industry experience since the prior assumption updates. These updates, in total, led to an increase in the net MRB liability for the year ended December 31, 2024.</w:t>
      </w:r>
    </w:p>
    <w:p>
      <w:pPr>
        <w:spacing w:after="0" w:line="309" w:lineRule="exact"/>
        <w:rPr>
          <w:sz w:val="20"/>
          <w:szCs w:val="20"/>
          <w:color w:val="auto"/>
        </w:rPr>
      </w:pPr>
    </w:p>
    <w:p>
      <w:pPr>
        <w:ind w:left="7"/>
        <w:spacing w:after="0"/>
        <w:rPr>
          <w:sz w:val="20"/>
          <w:szCs w:val="20"/>
          <w:color w:val="auto"/>
        </w:rPr>
      </w:pPr>
      <w:r>
        <w:rPr>
          <w:rFonts w:ascii="Arial" w:cs="Arial" w:eastAsia="Arial" w:hAnsi="Arial"/>
          <w:sz w:val="20"/>
          <w:szCs w:val="20"/>
          <w:b w:val="1"/>
          <w:bCs w:val="1"/>
          <w:color w:val="auto"/>
        </w:rPr>
        <w:t>Note X — Contractholder Funds</w:t>
      </w:r>
    </w:p>
    <w:p>
      <w:pPr>
        <w:spacing w:after="0" w:line="130" w:lineRule="exact"/>
        <w:rPr>
          <w:sz w:val="20"/>
          <w:szCs w:val="20"/>
          <w:color w:val="auto"/>
        </w:rPr>
      </w:pPr>
    </w:p>
    <w:p>
      <w:pPr>
        <w:ind w:left="347"/>
        <w:spacing w:after="0"/>
        <w:rPr>
          <w:sz w:val="20"/>
          <w:szCs w:val="20"/>
          <w:color w:val="auto"/>
        </w:rPr>
      </w:pPr>
      <w:r>
        <w:rPr>
          <w:rFonts w:ascii="Arial" w:cs="Arial" w:eastAsia="Arial" w:hAnsi="Arial"/>
          <w:sz w:val="20"/>
          <w:szCs w:val="20"/>
          <w:color w:val="auto"/>
        </w:rPr>
        <w:t>The following tables summarize balances of and changes in contractholder funds’ account balances:</w:t>
      </w:r>
    </w:p>
    <w:p>
      <w:pPr>
        <w:spacing w:after="0" w:line="203" w:lineRule="exact"/>
        <w:rPr>
          <w:sz w:val="20"/>
          <w:szCs w:val="20"/>
          <w:color w:val="auto"/>
        </w:rPr>
      </w:pPr>
    </w:p>
    <w:tbl>
      <w:tblPr>
        <w:tblLayout w:type="fixed"/>
        <w:tblInd w:w="47" w:type="dxa"/>
        <w:tblCellMar>
          <w:top w:w="0" w:type="dxa"/>
          <w:left w:w="0" w:type="dxa"/>
          <w:bottom w:w="0" w:type="dxa"/>
          <w:right w:w="0" w:type="dxa"/>
        </w:tblCellMar>
      </w:tblPr>
      <w:tr>
        <w:trPr>
          <w:trHeight w:val="205"/>
        </w:trPr>
        <w:tc>
          <w:tcPr>
            <w:tcW w:w="33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w w:val="87"/>
              </w:rPr>
              <w:t>December 31, 2025</w:t>
            </w:r>
          </w:p>
        </w:tc>
        <w:tc>
          <w:tcPr>
            <w:tcW w:w="6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70"/>
        </w:trPr>
        <w:tc>
          <w:tcPr>
            <w:tcW w:w="3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tcPr>
          <w:p>
            <w:pPr>
              <w:jc w:val="right"/>
              <w:ind w:right="302"/>
              <w:spacing w:after="0" w:line="170" w:lineRule="exact"/>
              <w:rPr>
                <w:sz w:val="20"/>
                <w:szCs w:val="20"/>
                <w:color w:val="auto"/>
              </w:rPr>
            </w:pPr>
            <w:r>
              <w:rPr>
                <w:rFonts w:ascii="Arial" w:cs="Arial" w:eastAsia="Arial" w:hAnsi="Arial"/>
                <w:sz w:val="16"/>
                <w:szCs w:val="16"/>
                <w:b w:val="1"/>
                <w:bCs w:val="1"/>
                <w:color w:val="auto"/>
              </w:rPr>
              <w:t>Indexed</w:t>
            </w: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tcPr>
          <w:p>
            <w:pPr>
              <w:jc w:val="right"/>
              <w:ind w:right="222"/>
              <w:spacing w:after="0" w:line="170" w:lineRule="exact"/>
              <w:rPr>
                <w:sz w:val="20"/>
                <w:szCs w:val="20"/>
                <w:color w:val="auto"/>
              </w:rPr>
            </w:pPr>
            <w:r>
              <w:rPr>
                <w:rFonts w:ascii="Arial" w:cs="Arial" w:eastAsia="Arial" w:hAnsi="Arial"/>
                <w:sz w:val="16"/>
                <w:szCs w:val="16"/>
                <w:b w:val="1"/>
                <w:bCs w:val="1"/>
                <w:color w:val="auto"/>
              </w:rPr>
              <w:t>Fixed rate</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vMerge w:val="restart"/>
          </w:tcPr>
          <w:p>
            <w:pPr>
              <w:jc w:val="center"/>
              <w:ind w:right="102"/>
              <w:spacing w:after="0"/>
              <w:rPr>
                <w:sz w:val="20"/>
                <w:szCs w:val="20"/>
                <w:color w:val="auto"/>
              </w:rPr>
            </w:pPr>
            <w:r>
              <w:rPr>
                <w:rFonts w:ascii="Arial" w:cs="Arial" w:eastAsia="Arial" w:hAnsi="Arial"/>
                <w:sz w:val="16"/>
                <w:szCs w:val="16"/>
                <w:b w:val="1"/>
                <w:bCs w:val="1"/>
                <w:color w:val="auto"/>
                <w:w w:val="90"/>
              </w:rPr>
              <w:t>Universal life</w:t>
            </w: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vMerge w:val="restart"/>
          </w:tcPr>
          <w:p>
            <w:pPr>
              <w:jc w:val="right"/>
              <w:ind w:right="222"/>
              <w:spacing w:after="0"/>
              <w:rPr>
                <w:sz w:val="20"/>
                <w:szCs w:val="20"/>
                <w:color w:val="auto"/>
              </w:rPr>
            </w:pPr>
            <w:r>
              <w:rPr>
                <w:rFonts w:ascii="Arial" w:cs="Arial" w:eastAsia="Arial" w:hAnsi="Arial"/>
                <w:sz w:val="16"/>
                <w:szCs w:val="16"/>
                <w:b w:val="1"/>
                <w:bCs w:val="1"/>
                <w:color w:val="auto"/>
              </w:rPr>
              <w:t>FABN (b)</w:t>
            </w: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vMerge w:val="restart"/>
          </w:tcPr>
          <w:p>
            <w:pPr>
              <w:jc w:val="right"/>
              <w:ind w:right="222"/>
              <w:spacing w:after="0"/>
              <w:rPr>
                <w:sz w:val="20"/>
                <w:szCs w:val="20"/>
                <w:color w:val="auto"/>
              </w:rPr>
            </w:pPr>
            <w:r>
              <w:rPr>
                <w:rFonts w:ascii="Arial" w:cs="Arial" w:eastAsia="Arial" w:hAnsi="Arial"/>
                <w:sz w:val="16"/>
                <w:szCs w:val="16"/>
                <w:b w:val="1"/>
                <w:bCs w:val="1"/>
                <w:color w:val="auto"/>
              </w:rPr>
              <w:t>FHLB (b)</w:t>
            </w:r>
          </w:p>
        </w:tc>
        <w:tc>
          <w:tcPr>
            <w:tcW w:w="0" w:type="dxa"/>
            <w:vAlign w:val="bottom"/>
          </w:tcPr>
          <w:p>
            <w:pPr>
              <w:spacing w:after="0"/>
              <w:rPr>
                <w:sz w:val="1"/>
                <w:szCs w:val="1"/>
                <w:color w:val="auto"/>
              </w:rPr>
            </w:pPr>
          </w:p>
        </w:tc>
      </w:tr>
      <w:tr>
        <w:trPr>
          <w:trHeight w:val="207"/>
        </w:trPr>
        <w:tc>
          <w:tcPr>
            <w:tcW w:w="33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262"/>
              <w:spacing w:after="0"/>
              <w:rPr>
                <w:sz w:val="20"/>
                <w:szCs w:val="20"/>
                <w:color w:val="auto"/>
              </w:rPr>
            </w:pPr>
            <w:r>
              <w:rPr>
                <w:rFonts w:ascii="Arial" w:cs="Arial" w:eastAsia="Arial" w:hAnsi="Arial"/>
                <w:sz w:val="16"/>
                <w:szCs w:val="16"/>
                <w:b w:val="1"/>
                <w:bCs w:val="1"/>
                <w:color w:val="auto"/>
                <w:w w:val="96"/>
              </w:rPr>
              <w:t>annuities</w:t>
            </w:r>
          </w:p>
        </w:tc>
        <w:tc>
          <w:tcPr>
            <w:tcW w:w="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262"/>
              <w:spacing w:after="0"/>
              <w:rPr>
                <w:sz w:val="20"/>
                <w:szCs w:val="20"/>
                <w:color w:val="auto"/>
              </w:rPr>
            </w:pPr>
            <w:r>
              <w:rPr>
                <w:rFonts w:ascii="Arial" w:cs="Arial" w:eastAsia="Arial" w:hAnsi="Arial"/>
                <w:sz w:val="16"/>
                <w:szCs w:val="16"/>
                <w:b w:val="1"/>
                <w:bCs w:val="1"/>
                <w:color w:val="auto"/>
              </w:rPr>
              <w:t>annuities</w:t>
            </w:r>
          </w:p>
        </w:tc>
        <w:tc>
          <w:tcPr>
            <w:tcW w:w="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vMerge w:val="continue"/>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vMerge w:val="continue"/>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center"/>
              <w:ind w:right="62"/>
              <w:spacing w:after="0"/>
              <w:rPr>
                <w:sz w:val="20"/>
                <w:szCs w:val="20"/>
                <w:color w:val="auto"/>
              </w:rPr>
            </w:pPr>
            <w:r>
              <w:rPr>
                <w:rFonts w:ascii="Arial" w:cs="Arial" w:eastAsia="Arial" w:hAnsi="Arial"/>
                <w:sz w:val="16"/>
                <w:szCs w:val="16"/>
                <w:b w:val="1"/>
                <w:bCs w:val="1"/>
                <w:color w:val="auto"/>
                <w:w w:val="91"/>
              </w:rPr>
              <w:t>(In millions)</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3380" w:type="dxa"/>
            <w:vAlign w:val="bottom"/>
          </w:tcPr>
          <w:p>
            <w:pPr>
              <w:spacing w:after="0"/>
              <w:rPr>
                <w:sz w:val="20"/>
                <w:szCs w:val="20"/>
                <w:color w:val="auto"/>
              </w:rPr>
            </w:pPr>
            <w:r>
              <w:rPr>
                <w:rFonts w:ascii="Arial" w:cs="Arial" w:eastAsia="Arial" w:hAnsi="Arial"/>
                <w:sz w:val="16"/>
                <w:szCs w:val="16"/>
                <w:b w:val="1"/>
                <w:bCs w:val="1"/>
                <w:color w:val="auto"/>
              </w:rPr>
              <w:t>Balance, beginning of year</w:t>
            </w:r>
          </w:p>
        </w:tc>
        <w:tc>
          <w:tcPr>
            <w:tcW w:w="24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22"/>
              <w:spacing w:after="0"/>
              <w:rPr>
                <w:sz w:val="20"/>
                <w:szCs w:val="20"/>
                <w:color w:val="auto"/>
              </w:rPr>
            </w:pPr>
            <w:r>
              <w:rPr>
                <w:rFonts w:ascii="Arial" w:cs="Arial" w:eastAsia="Arial" w:hAnsi="Arial"/>
                <w:sz w:val="16"/>
                <w:szCs w:val="16"/>
                <w:color w:val="auto"/>
              </w:rPr>
              <w:t>30,235</w:t>
            </w:r>
          </w:p>
        </w:tc>
        <w:tc>
          <w:tcPr>
            <w:tcW w:w="26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122"/>
              <w:spacing w:after="0"/>
              <w:rPr>
                <w:sz w:val="20"/>
                <w:szCs w:val="20"/>
                <w:color w:val="auto"/>
              </w:rPr>
            </w:pPr>
            <w:r>
              <w:rPr>
                <w:rFonts w:ascii="Arial" w:cs="Arial" w:eastAsia="Arial" w:hAnsi="Arial"/>
                <w:sz w:val="16"/>
                <w:szCs w:val="16"/>
                <w:color w:val="auto"/>
              </w:rPr>
              <w:t>17,442</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122"/>
              <w:spacing w:after="0"/>
              <w:rPr>
                <w:sz w:val="20"/>
                <w:szCs w:val="20"/>
                <w:color w:val="auto"/>
              </w:rPr>
            </w:pPr>
            <w:r>
              <w:rPr>
                <w:rFonts w:ascii="Arial" w:cs="Arial" w:eastAsia="Arial" w:hAnsi="Arial"/>
                <w:sz w:val="16"/>
                <w:szCs w:val="16"/>
                <w:color w:val="auto"/>
              </w:rPr>
              <w:t>2,817</w:t>
            </w:r>
          </w:p>
        </w:tc>
        <w:tc>
          <w:tcPr>
            <w:tcW w:w="2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2,463</w:t>
            </w:r>
          </w:p>
        </w:tc>
        <w:tc>
          <w:tcPr>
            <w:tcW w:w="28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2,852</w:t>
            </w:r>
          </w:p>
        </w:tc>
        <w:tc>
          <w:tcPr>
            <w:tcW w:w="0" w:type="dxa"/>
            <w:vAlign w:val="bottom"/>
          </w:tcPr>
          <w:p>
            <w:pPr>
              <w:spacing w:after="0"/>
              <w:rPr>
                <w:sz w:val="1"/>
                <w:szCs w:val="1"/>
                <w:color w:val="auto"/>
              </w:rPr>
            </w:pPr>
          </w:p>
        </w:tc>
      </w:tr>
      <w:tr>
        <w:trPr>
          <w:trHeight w:val="238"/>
        </w:trPr>
        <w:tc>
          <w:tcPr>
            <w:tcW w:w="3380" w:type="dxa"/>
            <w:vAlign w:val="bottom"/>
          </w:tcPr>
          <w:p>
            <w:pPr>
              <w:ind w:left="200"/>
              <w:spacing w:after="0"/>
              <w:rPr>
                <w:sz w:val="20"/>
                <w:szCs w:val="20"/>
                <w:color w:val="auto"/>
              </w:rPr>
            </w:pPr>
            <w:r>
              <w:rPr>
                <w:rFonts w:ascii="Arial" w:cs="Arial" w:eastAsia="Arial" w:hAnsi="Arial"/>
                <w:sz w:val="16"/>
                <w:szCs w:val="16"/>
                <w:color w:val="auto"/>
              </w:rPr>
              <w:t>Issuances</w:t>
            </w:r>
          </w:p>
        </w:tc>
        <w:tc>
          <w:tcPr>
            <w:tcW w:w="240" w:type="dxa"/>
            <w:vAlign w:val="bottom"/>
          </w:tcPr>
          <w:p>
            <w:pPr>
              <w:spacing w:after="0"/>
              <w:rPr>
                <w:sz w:val="20"/>
                <w:szCs w:val="20"/>
                <w:color w:val="auto"/>
              </w:rPr>
            </w:pPr>
          </w:p>
        </w:tc>
        <w:tc>
          <w:tcPr>
            <w:tcW w:w="1040" w:type="dxa"/>
            <w:vAlign w:val="bottom"/>
          </w:tcPr>
          <w:p>
            <w:pPr>
              <w:jc w:val="right"/>
              <w:ind w:right="122"/>
              <w:spacing w:after="0"/>
              <w:rPr>
                <w:sz w:val="20"/>
                <w:szCs w:val="20"/>
                <w:color w:val="auto"/>
              </w:rPr>
            </w:pPr>
            <w:r>
              <w:rPr>
                <w:rFonts w:ascii="Arial" w:cs="Arial" w:eastAsia="Arial" w:hAnsi="Arial"/>
                <w:sz w:val="16"/>
                <w:szCs w:val="16"/>
                <w:color w:val="auto"/>
              </w:rPr>
              <w:t>6,714</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jc w:val="right"/>
              <w:ind w:right="122"/>
              <w:spacing w:after="0"/>
              <w:rPr>
                <w:sz w:val="20"/>
                <w:szCs w:val="20"/>
                <w:color w:val="auto"/>
              </w:rPr>
            </w:pPr>
            <w:r>
              <w:rPr>
                <w:rFonts w:ascii="Arial" w:cs="Arial" w:eastAsia="Arial" w:hAnsi="Arial"/>
                <w:sz w:val="16"/>
                <w:szCs w:val="16"/>
                <w:color w:val="auto"/>
              </w:rPr>
              <w:t>3,801</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jc w:val="right"/>
              <w:ind w:right="122"/>
              <w:spacing w:after="0"/>
              <w:rPr>
                <w:sz w:val="20"/>
                <w:szCs w:val="20"/>
                <w:color w:val="auto"/>
              </w:rPr>
            </w:pPr>
            <w:r>
              <w:rPr>
                <w:rFonts w:ascii="Arial" w:cs="Arial" w:eastAsia="Arial" w:hAnsi="Arial"/>
                <w:sz w:val="16"/>
                <w:szCs w:val="16"/>
                <w:color w:val="auto"/>
              </w:rPr>
              <w:t>229</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1,148</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2,241</w:t>
            </w:r>
          </w:p>
        </w:tc>
        <w:tc>
          <w:tcPr>
            <w:tcW w:w="0" w:type="dxa"/>
            <w:vAlign w:val="bottom"/>
          </w:tcPr>
          <w:p>
            <w:pPr>
              <w:spacing w:after="0"/>
              <w:rPr>
                <w:sz w:val="1"/>
                <w:szCs w:val="1"/>
                <w:color w:val="auto"/>
              </w:rPr>
            </w:pPr>
          </w:p>
        </w:tc>
      </w:tr>
      <w:tr>
        <w:trPr>
          <w:trHeight w:val="235"/>
        </w:trPr>
        <w:tc>
          <w:tcPr>
            <w:tcW w:w="3380" w:type="dxa"/>
            <w:vAlign w:val="bottom"/>
          </w:tcPr>
          <w:p>
            <w:pPr>
              <w:ind w:left="200"/>
              <w:spacing w:after="0"/>
              <w:rPr>
                <w:sz w:val="20"/>
                <w:szCs w:val="20"/>
                <w:color w:val="auto"/>
              </w:rPr>
            </w:pPr>
            <w:r>
              <w:rPr>
                <w:rFonts w:ascii="Arial" w:cs="Arial" w:eastAsia="Arial" w:hAnsi="Arial"/>
                <w:sz w:val="16"/>
                <w:szCs w:val="16"/>
                <w:color w:val="auto"/>
              </w:rPr>
              <w:t>Premiums received</w:t>
            </w:r>
          </w:p>
        </w:tc>
        <w:tc>
          <w:tcPr>
            <w:tcW w:w="240" w:type="dxa"/>
            <w:vAlign w:val="bottom"/>
          </w:tcPr>
          <w:p>
            <w:pPr>
              <w:spacing w:after="0"/>
              <w:rPr>
                <w:sz w:val="20"/>
                <w:szCs w:val="20"/>
                <w:color w:val="auto"/>
              </w:rPr>
            </w:pPr>
          </w:p>
        </w:tc>
        <w:tc>
          <w:tcPr>
            <w:tcW w:w="1040" w:type="dxa"/>
            <w:vAlign w:val="bottom"/>
          </w:tcPr>
          <w:p>
            <w:pPr>
              <w:jc w:val="right"/>
              <w:ind w:right="122"/>
              <w:spacing w:after="0"/>
              <w:rPr>
                <w:sz w:val="20"/>
                <w:szCs w:val="20"/>
                <w:color w:val="auto"/>
              </w:rPr>
            </w:pPr>
            <w:r>
              <w:rPr>
                <w:rFonts w:ascii="Arial" w:cs="Arial" w:eastAsia="Arial" w:hAnsi="Arial"/>
                <w:sz w:val="16"/>
                <w:szCs w:val="16"/>
                <w:color w:val="auto"/>
              </w:rPr>
              <w:t>31</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jc w:val="right"/>
              <w:ind w:right="122"/>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jc w:val="right"/>
              <w:ind w:right="122"/>
              <w:spacing w:after="0"/>
              <w:rPr>
                <w:sz w:val="20"/>
                <w:szCs w:val="20"/>
                <w:color w:val="auto"/>
              </w:rPr>
            </w:pPr>
            <w:r>
              <w:rPr>
                <w:rFonts w:ascii="Arial" w:cs="Arial" w:eastAsia="Arial" w:hAnsi="Arial"/>
                <w:sz w:val="16"/>
                <w:szCs w:val="16"/>
                <w:color w:val="auto"/>
              </w:rPr>
              <w:t>593</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5"/>
        </w:trPr>
        <w:tc>
          <w:tcPr>
            <w:tcW w:w="3380" w:type="dxa"/>
            <w:vAlign w:val="bottom"/>
          </w:tcPr>
          <w:p>
            <w:pPr>
              <w:ind w:left="200"/>
              <w:spacing w:after="0"/>
              <w:rPr>
                <w:sz w:val="20"/>
                <w:szCs w:val="20"/>
                <w:color w:val="auto"/>
              </w:rPr>
            </w:pPr>
            <w:r>
              <w:rPr>
                <w:rFonts w:ascii="Arial" w:cs="Arial" w:eastAsia="Arial" w:hAnsi="Arial"/>
                <w:sz w:val="16"/>
                <w:szCs w:val="16"/>
                <w:color w:val="auto"/>
              </w:rPr>
              <w:t>Policy charges (a)</w:t>
            </w:r>
          </w:p>
        </w:tc>
        <w:tc>
          <w:tcPr>
            <w:tcW w:w="240" w:type="dxa"/>
            <w:vAlign w:val="bottom"/>
          </w:tcPr>
          <w:p>
            <w:pPr>
              <w:spacing w:after="0"/>
              <w:rPr>
                <w:sz w:val="20"/>
                <w:szCs w:val="20"/>
                <w:color w:val="auto"/>
              </w:rPr>
            </w:pPr>
          </w:p>
        </w:tc>
        <w:tc>
          <w:tcPr>
            <w:tcW w:w="1040" w:type="dxa"/>
            <w:vAlign w:val="bottom"/>
          </w:tcPr>
          <w:p>
            <w:pPr>
              <w:jc w:val="right"/>
              <w:ind w:right="62"/>
              <w:spacing w:after="0"/>
              <w:rPr>
                <w:sz w:val="20"/>
                <w:szCs w:val="20"/>
                <w:color w:val="auto"/>
              </w:rPr>
            </w:pPr>
            <w:r>
              <w:rPr>
                <w:rFonts w:ascii="Arial" w:cs="Arial" w:eastAsia="Arial" w:hAnsi="Arial"/>
                <w:sz w:val="16"/>
                <w:szCs w:val="16"/>
                <w:color w:val="auto"/>
              </w:rPr>
              <w:t>(222)</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jc w:val="right"/>
              <w:ind w:right="122"/>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jc w:val="right"/>
              <w:ind w:right="82"/>
              <w:spacing w:after="0"/>
              <w:rPr>
                <w:sz w:val="20"/>
                <w:szCs w:val="20"/>
                <w:color w:val="auto"/>
              </w:rPr>
            </w:pPr>
            <w:r>
              <w:rPr>
                <w:rFonts w:ascii="Arial" w:cs="Arial" w:eastAsia="Arial" w:hAnsi="Arial"/>
                <w:sz w:val="16"/>
                <w:szCs w:val="16"/>
                <w:color w:val="auto"/>
              </w:rPr>
              <w:t>(378)</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5"/>
        </w:trPr>
        <w:tc>
          <w:tcPr>
            <w:tcW w:w="3380" w:type="dxa"/>
            <w:vAlign w:val="bottom"/>
          </w:tcPr>
          <w:p>
            <w:pPr>
              <w:ind w:left="200"/>
              <w:spacing w:after="0"/>
              <w:rPr>
                <w:sz w:val="20"/>
                <w:szCs w:val="20"/>
                <w:color w:val="auto"/>
              </w:rPr>
            </w:pPr>
            <w:r>
              <w:rPr>
                <w:rFonts w:ascii="Arial" w:cs="Arial" w:eastAsia="Arial" w:hAnsi="Arial"/>
                <w:sz w:val="16"/>
                <w:szCs w:val="16"/>
                <w:color w:val="auto"/>
              </w:rPr>
              <w:t>Surrenders and withdrawals</w:t>
            </w:r>
          </w:p>
        </w:tc>
        <w:tc>
          <w:tcPr>
            <w:tcW w:w="240" w:type="dxa"/>
            <w:vAlign w:val="bottom"/>
          </w:tcPr>
          <w:p>
            <w:pPr>
              <w:spacing w:after="0"/>
              <w:rPr>
                <w:sz w:val="20"/>
                <w:szCs w:val="20"/>
                <w:color w:val="auto"/>
              </w:rPr>
            </w:pPr>
          </w:p>
        </w:tc>
        <w:tc>
          <w:tcPr>
            <w:tcW w:w="1040" w:type="dxa"/>
            <w:vAlign w:val="bottom"/>
          </w:tcPr>
          <w:p>
            <w:pPr>
              <w:jc w:val="right"/>
              <w:ind w:right="62"/>
              <w:spacing w:after="0"/>
              <w:rPr>
                <w:sz w:val="20"/>
                <w:szCs w:val="20"/>
                <w:color w:val="auto"/>
              </w:rPr>
            </w:pPr>
            <w:r>
              <w:rPr>
                <w:rFonts w:ascii="Arial" w:cs="Arial" w:eastAsia="Arial" w:hAnsi="Arial"/>
                <w:sz w:val="16"/>
                <w:szCs w:val="16"/>
                <w:color w:val="auto"/>
              </w:rPr>
              <w:t>(3,831)</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jc w:val="right"/>
              <w:ind w:right="82"/>
              <w:spacing w:after="0"/>
              <w:rPr>
                <w:sz w:val="20"/>
                <w:szCs w:val="20"/>
                <w:color w:val="auto"/>
              </w:rPr>
            </w:pPr>
            <w:r>
              <w:rPr>
                <w:rFonts w:ascii="Arial" w:cs="Arial" w:eastAsia="Arial" w:hAnsi="Arial"/>
                <w:sz w:val="16"/>
                <w:szCs w:val="16"/>
                <w:color w:val="auto"/>
              </w:rPr>
              <w:t>(2,485)</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jc w:val="right"/>
              <w:ind w:right="82"/>
              <w:spacing w:after="0"/>
              <w:rPr>
                <w:sz w:val="20"/>
                <w:szCs w:val="20"/>
                <w:color w:val="auto"/>
              </w:rPr>
            </w:pPr>
            <w:r>
              <w:rPr>
                <w:rFonts w:ascii="Arial" w:cs="Arial" w:eastAsia="Arial" w:hAnsi="Arial"/>
                <w:sz w:val="16"/>
                <w:szCs w:val="16"/>
                <w:color w:val="auto"/>
              </w:rPr>
              <w:t>(130)</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5"/>
        </w:trPr>
        <w:tc>
          <w:tcPr>
            <w:tcW w:w="3380" w:type="dxa"/>
            <w:vAlign w:val="bottom"/>
          </w:tcPr>
          <w:p>
            <w:pPr>
              <w:ind w:left="200"/>
              <w:spacing w:after="0"/>
              <w:rPr>
                <w:sz w:val="20"/>
                <w:szCs w:val="20"/>
                <w:color w:val="auto"/>
              </w:rPr>
            </w:pPr>
            <w:r>
              <w:rPr>
                <w:rFonts w:ascii="Arial" w:cs="Arial" w:eastAsia="Arial" w:hAnsi="Arial"/>
                <w:sz w:val="16"/>
                <w:szCs w:val="16"/>
                <w:color w:val="auto"/>
              </w:rPr>
              <w:t>Benefit payments</w:t>
            </w:r>
          </w:p>
        </w:tc>
        <w:tc>
          <w:tcPr>
            <w:tcW w:w="240" w:type="dxa"/>
            <w:vAlign w:val="bottom"/>
          </w:tcPr>
          <w:p>
            <w:pPr>
              <w:spacing w:after="0"/>
              <w:rPr>
                <w:sz w:val="20"/>
                <w:szCs w:val="20"/>
                <w:color w:val="auto"/>
              </w:rPr>
            </w:pPr>
          </w:p>
        </w:tc>
        <w:tc>
          <w:tcPr>
            <w:tcW w:w="1040" w:type="dxa"/>
            <w:vAlign w:val="bottom"/>
          </w:tcPr>
          <w:p>
            <w:pPr>
              <w:jc w:val="right"/>
              <w:ind w:right="62"/>
              <w:spacing w:after="0"/>
              <w:rPr>
                <w:sz w:val="20"/>
                <w:szCs w:val="20"/>
                <w:color w:val="auto"/>
              </w:rPr>
            </w:pPr>
            <w:r>
              <w:rPr>
                <w:rFonts w:ascii="Arial" w:cs="Arial" w:eastAsia="Arial" w:hAnsi="Arial"/>
                <w:sz w:val="16"/>
                <w:szCs w:val="16"/>
                <w:color w:val="auto"/>
              </w:rPr>
              <w:t>(536)</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jc w:val="right"/>
              <w:ind w:right="82"/>
              <w:spacing w:after="0"/>
              <w:rPr>
                <w:sz w:val="20"/>
                <w:szCs w:val="20"/>
                <w:color w:val="auto"/>
              </w:rPr>
            </w:pPr>
            <w:r>
              <w:rPr>
                <w:rFonts w:ascii="Arial" w:cs="Arial" w:eastAsia="Arial" w:hAnsi="Arial"/>
                <w:sz w:val="16"/>
                <w:szCs w:val="16"/>
                <w:color w:val="auto"/>
              </w:rPr>
              <w:t>(358)</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jc w:val="right"/>
              <w:ind w:right="82"/>
              <w:spacing w:after="0"/>
              <w:rPr>
                <w:sz w:val="20"/>
                <w:szCs w:val="20"/>
                <w:color w:val="auto"/>
              </w:rPr>
            </w:pPr>
            <w:r>
              <w:rPr>
                <w:rFonts w:ascii="Arial" w:cs="Arial" w:eastAsia="Arial" w:hAnsi="Arial"/>
                <w:sz w:val="16"/>
                <w:szCs w:val="16"/>
                <w:color w:val="auto"/>
              </w:rPr>
              <w:t>(21)</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(395)</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(2,298)</w:t>
            </w:r>
          </w:p>
        </w:tc>
        <w:tc>
          <w:tcPr>
            <w:tcW w:w="0" w:type="dxa"/>
            <w:vAlign w:val="bottom"/>
          </w:tcPr>
          <w:p>
            <w:pPr>
              <w:spacing w:after="0"/>
              <w:rPr>
                <w:sz w:val="1"/>
                <w:szCs w:val="1"/>
                <w:color w:val="auto"/>
              </w:rPr>
            </w:pPr>
          </w:p>
        </w:tc>
      </w:tr>
      <w:tr>
        <w:trPr>
          <w:trHeight w:val="235"/>
        </w:trPr>
        <w:tc>
          <w:tcPr>
            <w:tcW w:w="3380" w:type="dxa"/>
            <w:vAlign w:val="bottom"/>
          </w:tcPr>
          <w:p>
            <w:pPr>
              <w:ind w:left="200"/>
              <w:spacing w:after="0"/>
              <w:rPr>
                <w:sz w:val="20"/>
                <w:szCs w:val="20"/>
                <w:color w:val="auto"/>
              </w:rPr>
            </w:pPr>
            <w:r>
              <w:rPr>
                <w:rFonts w:ascii="Arial" w:cs="Arial" w:eastAsia="Arial" w:hAnsi="Arial"/>
                <w:sz w:val="16"/>
                <w:szCs w:val="16"/>
                <w:color w:val="auto"/>
              </w:rPr>
              <w:t>Interest credited</w:t>
            </w:r>
          </w:p>
        </w:tc>
        <w:tc>
          <w:tcPr>
            <w:tcW w:w="240" w:type="dxa"/>
            <w:vAlign w:val="bottom"/>
          </w:tcPr>
          <w:p>
            <w:pPr>
              <w:spacing w:after="0"/>
              <w:rPr>
                <w:sz w:val="20"/>
                <w:szCs w:val="20"/>
                <w:color w:val="auto"/>
              </w:rPr>
            </w:pPr>
          </w:p>
        </w:tc>
        <w:tc>
          <w:tcPr>
            <w:tcW w:w="1040" w:type="dxa"/>
            <w:vAlign w:val="bottom"/>
          </w:tcPr>
          <w:p>
            <w:pPr>
              <w:jc w:val="right"/>
              <w:ind w:right="122"/>
              <w:spacing w:after="0"/>
              <w:rPr>
                <w:sz w:val="20"/>
                <w:szCs w:val="20"/>
                <w:color w:val="auto"/>
              </w:rPr>
            </w:pPr>
            <w:r>
              <w:rPr>
                <w:rFonts w:ascii="Arial" w:cs="Arial" w:eastAsia="Arial" w:hAnsi="Arial"/>
                <w:sz w:val="16"/>
                <w:szCs w:val="16"/>
                <w:color w:val="auto"/>
              </w:rPr>
              <w:t>830</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jc w:val="right"/>
              <w:ind w:right="122"/>
              <w:spacing w:after="0"/>
              <w:rPr>
                <w:sz w:val="20"/>
                <w:szCs w:val="20"/>
                <w:color w:val="auto"/>
              </w:rPr>
            </w:pPr>
            <w:r>
              <w:rPr>
                <w:rFonts w:ascii="Arial" w:cs="Arial" w:eastAsia="Arial" w:hAnsi="Arial"/>
                <w:sz w:val="16"/>
                <w:szCs w:val="16"/>
                <w:color w:val="auto"/>
              </w:rPr>
              <w:t>866</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jc w:val="right"/>
              <w:ind w:right="122"/>
              <w:spacing w:after="0"/>
              <w:rPr>
                <w:sz w:val="20"/>
                <w:szCs w:val="20"/>
                <w:color w:val="auto"/>
              </w:rPr>
            </w:pPr>
            <w:r>
              <w:rPr>
                <w:rFonts w:ascii="Arial" w:cs="Arial" w:eastAsia="Arial" w:hAnsi="Arial"/>
                <w:sz w:val="16"/>
                <w:szCs w:val="16"/>
                <w:color w:val="auto"/>
              </w:rPr>
              <w:t>182</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107</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103</w:t>
            </w:r>
          </w:p>
        </w:tc>
        <w:tc>
          <w:tcPr>
            <w:tcW w:w="0" w:type="dxa"/>
            <w:vAlign w:val="bottom"/>
          </w:tcPr>
          <w:p>
            <w:pPr>
              <w:spacing w:after="0"/>
              <w:rPr>
                <w:sz w:val="1"/>
                <w:szCs w:val="1"/>
                <w:color w:val="auto"/>
              </w:rPr>
            </w:pPr>
          </w:p>
        </w:tc>
      </w:tr>
      <w:tr>
        <w:trPr>
          <w:trHeight w:val="232"/>
        </w:trPr>
        <w:tc>
          <w:tcPr>
            <w:tcW w:w="3380" w:type="dxa"/>
            <w:vAlign w:val="bottom"/>
          </w:tcPr>
          <w:p>
            <w:pPr>
              <w:ind w:left="200"/>
              <w:spacing w:after="0"/>
              <w:rPr>
                <w:sz w:val="20"/>
                <w:szCs w:val="20"/>
                <w:color w:val="auto"/>
              </w:rPr>
            </w:pPr>
            <w:r>
              <w:rPr>
                <w:rFonts w:ascii="Arial" w:cs="Arial" w:eastAsia="Arial" w:hAnsi="Arial"/>
                <w:sz w:val="16"/>
                <w:szCs w:val="16"/>
                <w:color w:val="auto"/>
              </w:rPr>
              <w:t>Other</w:t>
            </w:r>
          </w:p>
        </w:tc>
        <w:tc>
          <w:tcPr>
            <w:tcW w:w="2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122"/>
              <w:spacing w:after="0"/>
              <w:rPr>
                <w:sz w:val="20"/>
                <w:szCs w:val="20"/>
                <w:color w:val="auto"/>
              </w:rPr>
            </w:pPr>
            <w:r>
              <w:rPr>
                <w:rFonts w:ascii="Arial" w:cs="Arial" w:eastAsia="Arial" w:hAnsi="Arial"/>
                <w:sz w:val="16"/>
                <w:szCs w:val="16"/>
                <w:color w:val="auto"/>
              </w:rPr>
              <w:t>5</w:t>
            </w:r>
          </w:p>
        </w:tc>
        <w:tc>
          <w:tcPr>
            <w:tcW w:w="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82"/>
              <w:spacing w:after="0"/>
              <w:rPr>
                <w:sz w:val="20"/>
                <w:szCs w:val="20"/>
                <w:color w:val="auto"/>
              </w:rPr>
            </w:pPr>
            <w:r>
              <w:rPr>
                <w:rFonts w:ascii="Arial" w:cs="Arial" w:eastAsia="Arial" w:hAnsi="Arial"/>
                <w:sz w:val="16"/>
                <w:szCs w:val="16"/>
                <w:color w:val="auto"/>
              </w:rPr>
              <w:t>(1)</w:t>
            </w:r>
          </w:p>
        </w:tc>
        <w:tc>
          <w:tcPr>
            <w:tcW w:w="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122"/>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3380" w:type="dxa"/>
            <w:vAlign w:val="bottom"/>
          </w:tcPr>
          <w:p>
            <w:pPr>
              <w:spacing w:after="0"/>
              <w:rPr>
                <w:sz w:val="20"/>
                <w:szCs w:val="20"/>
                <w:color w:val="auto"/>
              </w:rPr>
            </w:pPr>
            <w:r>
              <w:rPr>
                <w:rFonts w:ascii="Arial" w:cs="Arial" w:eastAsia="Arial" w:hAnsi="Arial"/>
                <w:sz w:val="16"/>
                <w:szCs w:val="16"/>
                <w:b w:val="1"/>
                <w:bCs w:val="1"/>
                <w:color w:val="auto"/>
              </w:rPr>
              <w:t>Balance, end of year</w:t>
            </w:r>
          </w:p>
        </w:tc>
        <w:tc>
          <w:tcPr>
            <w:tcW w:w="240" w:type="dxa"/>
            <w:vAlign w:val="bottom"/>
          </w:tcPr>
          <w:p>
            <w:pPr>
              <w:spacing w:after="0"/>
              <w:rPr>
                <w:sz w:val="18"/>
                <w:szCs w:val="18"/>
                <w:color w:val="auto"/>
              </w:rPr>
            </w:pPr>
          </w:p>
        </w:tc>
        <w:tc>
          <w:tcPr>
            <w:tcW w:w="1040" w:type="dxa"/>
            <w:vAlign w:val="bottom"/>
          </w:tcPr>
          <w:p>
            <w:pPr>
              <w:jc w:val="right"/>
              <w:ind w:right="122"/>
              <w:spacing w:after="0"/>
              <w:rPr>
                <w:sz w:val="20"/>
                <w:szCs w:val="20"/>
                <w:color w:val="auto"/>
              </w:rPr>
            </w:pPr>
            <w:r>
              <w:rPr>
                <w:rFonts w:ascii="Arial" w:cs="Arial" w:eastAsia="Arial" w:hAnsi="Arial"/>
                <w:sz w:val="16"/>
                <w:szCs w:val="16"/>
                <w:color w:val="auto"/>
              </w:rPr>
              <w:t>33,226</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jc w:val="right"/>
              <w:ind w:right="122"/>
              <w:spacing w:after="0"/>
              <w:rPr>
                <w:sz w:val="20"/>
                <w:szCs w:val="20"/>
                <w:color w:val="auto"/>
              </w:rPr>
            </w:pPr>
            <w:r>
              <w:rPr>
                <w:rFonts w:ascii="Arial" w:cs="Arial" w:eastAsia="Arial" w:hAnsi="Arial"/>
                <w:sz w:val="16"/>
                <w:szCs w:val="16"/>
                <w:color w:val="auto"/>
              </w:rPr>
              <w:t>19,265</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right"/>
              <w:ind w:right="122"/>
              <w:spacing w:after="0"/>
              <w:rPr>
                <w:sz w:val="20"/>
                <w:szCs w:val="20"/>
                <w:color w:val="auto"/>
              </w:rPr>
            </w:pPr>
            <w:r>
              <w:rPr>
                <w:rFonts w:ascii="Arial" w:cs="Arial" w:eastAsia="Arial" w:hAnsi="Arial"/>
                <w:sz w:val="16"/>
                <w:szCs w:val="16"/>
                <w:color w:val="auto"/>
              </w:rPr>
              <w:t>3,292</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3,324</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2,898</w:t>
            </w:r>
          </w:p>
        </w:tc>
        <w:tc>
          <w:tcPr>
            <w:tcW w:w="0" w:type="dxa"/>
            <w:vAlign w:val="bottom"/>
          </w:tcPr>
          <w:p>
            <w:pPr>
              <w:spacing w:after="0"/>
              <w:rPr>
                <w:sz w:val="1"/>
                <w:szCs w:val="1"/>
                <w:color w:val="auto"/>
              </w:rPr>
            </w:pPr>
          </w:p>
        </w:tc>
      </w:tr>
      <w:tr>
        <w:trPr>
          <w:trHeight w:val="235"/>
        </w:trPr>
        <w:tc>
          <w:tcPr>
            <w:tcW w:w="3380" w:type="dxa"/>
            <w:vAlign w:val="bottom"/>
          </w:tcPr>
          <w:p>
            <w:pPr>
              <w:spacing w:after="0"/>
              <w:rPr>
                <w:sz w:val="20"/>
                <w:szCs w:val="20"/>
                <w:color w:val="auto"/>
              </w:rPr>
            </w:pPr>
            <w:r>
              <w:rPr>
                <w:rFonts w:ascii="Arial" w:cs="Arial" w:eastAsia="Arial" w:hAnsi="Arial"/>
                <w:sz w:val="16"/>
                <w:szCs w:val="16"/>
                <w:color w:val="auto"/>
              </w:rPr>
              <w:t>Reconciling items (c)</w:t>
            </w:r>
          </w:p>
        </w:tc>
        <w:tc>
          <w:tcPr>
            <w:tcW w:w="2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122"/>
              <w:spacing w:after="0"/>
              <w:rPr>
                <w:sz w:val="20"/>
                <w:szCs w:val="20"/>
                <w:color w:val="auto"/>
              </w:rPr>
            </w:pPr>
            <w:r>
              <w:rPr>
                <w:rFonts w:ascii="Arial" w:cs="Arial" w:eastAsia="Arial" w:hAnsi="Arial"/>
                <w:sz w:val="16"/>
                <w:szCs w:val="16"/>
                <w:color w:val="auto"/>
              </w:rPr>
              <w:t>321</w:t>
            </w:r>
          </w:p>
        </w:tc>
        <w:tc>
          <w:tcPr>
            <w:tcW w:w="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122"/>
              <w:spacing w:after="0"/>
              <w:rPr>
                <w:sz w:val="20"/>
                <w:szCs w:val="20"/>
                <w:color w:val="auto"/>
              </w:rPr>
            </w:pPr>
            <w:r>
              <w:rPr>
                <w:rFonts w:ascii="Arial" w:cs="Arial" w:eastAsia="Arial" w:hAnsi="Arial"/>
                <w:sz w:val="16"/>
                <w:szCs w:val="16"/>
                <w:color w:val="auto"/>
              </w:rPr>
              <w:t>2</w:t>
            </w:r>
          </w:p>
        </w:tc>
        <w:tc>
          <w:tcPr>
            <w:tcW w:w="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122"/>
              <w:spacing w:after="0"/>
              <w:rPr>
                <w:sz w:val="20"/>
                <w:szCs w:val="20"/>
                <w:color w:val="auto"/>
              </w:rPr>
            </w:pPr>
            <w:r>
              <w:rPr>
                <w:rFonts w:ascii="Arial" w:cs="Arial" w:eastAsia="Arial" w:hAnsi="Arial"/>
                <w:sz w:val="16"/>
                <w:szCs w:val="16"/>
                <w:color w:val="auto"/>
              </w:rPr>
              <w:t>115</w:t>
            </w:r>
          </w:p>
        </w:tc>
        <w:tc>
          <w:tcPr>
            <w:tcW w:w="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w:t>
            </w:r>
          </w:p>
        </w:tc>
        <w:tc>
          <w:tcPr>
            <w:tcW w:w="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3380" w:type="dxa"/>
            <w:vAlign w:val="bottom"/>
          </w:tcPr>
          <w:p>
            <w:pPr>
              <w:spacing w:after="0"/>
              <w:rPr>
                <w:sz w:val="20"/>
                <w:szCs w:val="20"/>
                <w:color w:val="auto"/>
              </w:rPr>
            </w:pPr>
            <w:r>
              <w:rPr>
                <w:rFonts w:ascii="Arial" w:cs="Arial" w:eastAsia="Arial" w:hAnsi="Arial"/>
                <w:sz w:val="16"/>
                <w:szCs w:val="16"/>
                <w:b w:val="1"/>
                <w:bCs w:val="1"/>
                <w:color w:val="auto"/>
              </w:rPr>
              <w:t>Gross liability, end of year</w:t>
            </w:r>
          </w:p>
        </w:tc>
        <w:tc>
          <w:tcPr>
            <w:tcW w:w="240" w:type="dxa"/>
            <w:vAlign w:val="bottom"/>
          </w:tcPr>
          <w:p>
            <w:pPr>
              <w:spacing w:after="0"/>
              <w:rPr>
                <w:sz w:val="18"/>
                <w:szCs w:val="18"/>
                <w:color w:val="auto"/>
              </w:rPr>
            </w:pPr>
          </w:p>
        </w:tc>
        <w:tc>
          <w:tcPr>
            <w:tcW w:w="1040" w:type="dxa"/>
            <w:vAlign w:val="bottom"/>
          </w:tcPr>
          <w:p>
            <w:pPr>
              <w:jc w:val="right"/>
              <w:ind w:right="122"/>
              <w:spacing w:after="0"/>
              <w:rPr>
                <w:sz w:val="20"/>
                <w:szCs w:val="20"/>
                <w:color w:val="auto"/>
              </w:rPr>
            </w:pPr>
            <w:r>
              <w:rPr>
                <w:rFonts w:ascii="Arial" w:cs="Arial" w:eastAsia="Arial" w:hAnsi="Arial"/>
                <w:sz w:val="16"/>
                <w:szCs w:val="16"/>
                <w:color w:val="auto"/>
              </w:rPr>
              <w:t>33,547</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jc w:val="right"/>
              <w:ind w:right="122"/>
              <w:spacing w:after="0"/>
              <w:rPr>
                <w:sz w:val="20"/>
                <w:szCs w:val="20"/>
                <w:color w:val="auto"/>
              </w:rPr>
            </w:pPr>
            <w:r>
              <w:rPr>
                <w:rFonts w:ascii="Arial" w:cs="Arial" w:eastAsia="Arial" w:hAnsi="Arial"/>
                <w:sz w:val="16"/>
                <w:szCs w:val="16"/>
                <w:color w:val="auto"/>
              </w:rPr>
              <w:t>19,267</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right"/>
              <w:ind w:right="122"/>
              <w:spacing w:after="0"/>
              <w:rPr>
                <w:sz w:val="20"/>
                <w:szCs w:val="20"/>
                <w:color w:val="auto"/>
              </w:rPr>
            </w:pPr>
            <w:r>
              <w:rPr>
                <w:rFonts w:ascii="Arial" w:cs="Arial" w:eastAsia="Arial" w:hAnsi="Arial"/>
                <w:sz w:val="16"/>
                <w:szCs w:val="16"/>
                <w:color w:val="auto"/>
              </w:rPr>
              <w:t>3,407</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3,335</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2,898</w:t>
            </w:r>
          </w:p>
        </w:tc>
        <w:tc>
          <w:tcPr>
            <w:tcW w:w="0" w:type="dxa"/>
            <w:vAlign w:val="bottom"/>
          </w:tcPr>
          <w:p>
            <w:pPr>
              <w:spacing w:after="0"/>
              <w:rPr>
                <w:sz w:val="1"/>
                <w:szCs w:val="1"/>
                <w:color w:val="auto"/>
              </w:rPr>
            </w:pPr>
          </w:p>
        </w:tc>
      </w:tr>
      <w:tr>
        <w:trPr>
          <w:trHeight w:val="235"/>
        </w:trPr>
        <w:tc>
          <w:tcPr>
            <w:tcW w:w="3380" w:type="dxa"/>
            <w:vAlign w:val="bottom"/>
          </w:tcPr>
          <w:p>
            <w:pPr>
              <w:spacing w:after="0"/>
              <w:rPr>
                <w:sz w:val="20"/>
                <w:szCs w:val="20"/>
                <w:color w:val="auto"/>
              </w:rPr>
            </w:pPr>
            <w:r>
              <w:rPr>
                <w:rFonts w:ascii="Arial" w:cs="Arial" w:eastAsia="Arial" w:hAnsi="Arial"/>
                <w:sz w:val="16"/>
                <w:szCs w:val="16"/>
                <w:color w:val="auto"/>
              </w:rPr>
              <w:t>Less: Reinsurance recoverable</w:t>
            </w:r>
          </w:p>
        </w:tc>
        <w:tc>
          <w:tcPr>
            <w:tcW w:w="2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122"/>
              <w:spacing w:after="0"/>
              <w:rPr>
                <w:sz w:val="20"/>
                <w:szCs w:val="20"/>
                <w:color w:val="auto"/>
              </w:rPr>
            </w:pPr>
            <w:r>
              <w:rPr>
                <w:rFonts w:ascii="Arial" w:cs="Arial" w:eastAsia="Arial" w:hAnsi="Arial"/>
                <w:sz w:val="16"/>
                <w:szCs w:val="16"/>
                <w:color w:val="auto"/>
              </w:rPr>
              <w:t>3,198</w:t>
            </w:r>
          </w:p>
        </w:tc>
        <w:tc>
          <w:tcPr>
            <w:tcW w:w="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122"/>
              <w:spacing w:after="0"/>
              <w:rPr>
                <w:sz w:val="20"/>
                <w:szCs w:val="20"/>
                <w:color w:val="auto"/>
              </w:rPr>
            </w:pPr>
            <w:r>
              <w:rPr>
                <w:rFonts w:ascii="Arial" w:cs="Arial" w:eastAsia="Arial" w:hAnsi="Arial"/>
                <w:sz w:val="16"/>
                <w:szCs w:val="16"/>
                <w:color w:val="auto"/>
              </w:rPr>
              <w:t>12,863</w:t>
            </w:r>
          </w:p>
        </w:tc>
        <w:tc>
          <w:tcPr>
            <w:tcW w:w="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122"/>
              <w:spacing w:after="0"/>
              <w:rPr>
                <w:sz w:val="20"/>
                <w:szCs w:val="20"/>
                <w:color w:val="auto"/>
              </w:rPr>
            </w:pPr>
            <w:r>
              <w:rPr>
                <w:rFonts w:ascii="Arial" w:cs="Arial" w:eastAsia="Arial" w:hAnsi="Arial"/>
                <w:sz w:val="16"/>
                <w:szCs w:val="16"/>
                <w:color w:val="auto"/>
              </w:rPr>
              <w:t>887</w:t>
            </w:r>
          </w:p>
        </w:tc>
        <w:tc>
          <w:tcPr>
            <w:tcW w:w="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3380" w:type="dxa"/>
            <w:vAlign w:val="bottom"/>
          </w:tcPr>
          <w:p>
            <w:pPr>
              <w:spacing w:after="0"/>
              <w:rPr>
                <w:sz w:val="20"/>
                <w:szCs w:val="20"/>
                <w:color w:val="auto"/>
              </w:rPr>
            </w:pPr>
            <w:r>
              <w:rPr>
                <w:rFonts w:ascii="Arial" w:cs="Arial" w:eastAsia="Arial" w:hAnsi="Arial"/>
                <w:sz w:val="16"/>
                <w:szCs w:val="16"/>
                <w:b w:val="1"/>
                <w:bCs w:val="1"/>
                <w:color w:val="auto"/>
              </w:rPr>
              <w:t>Net liability, after reinsurance</w:t>
            </w:r>
          </w:p>
        </w:tc>
        <w:tc>
          <w:tcPr>
            <w:tcW w:w="24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22"/>
              <w:spacing w:after="0"/>
              <w:rPr>
                <w:sz w:val="20"/>
                <w:szCs w:val="20"/>
                <w:color w:val="auto"/>
              </w:rPr>
            </w:pPr>
            <w:r>
              <w:rPr>
                <w:rFonts w:ascii="Arial" w:cs="Arial" w:eastAsia="Arial" w:hAnsi="Arial"/>
                <w:sz w:val="16"/>
                <w:szCs w:val="16"/>
                <w:color w:val="auto"/>
              </w:rPr>
              <w:t>30,349</w:t>
            </w:r>
          </w:p>
        </w:tc>
        <w:tc>
          <w:tcPr>
            <w:tcW w:w="26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122"/>
              <w:spacing w:after="0"/>
              <w:rPr>
                <w:sz w:val="20"/>
                <w:szCs w:val="20"/>
                <w:color w:val="auto"/>
              </w:rPr>
            </w:pPr>
            <w:r>
              <w:rPr>
                <w:rFonts w:ascii="Arial" w:cs="Arial" w:eastAsia="Arial" w:hAnsi="Arial"/>
                <w:sz w:val="16"/>
                <w:szCs w:val="16"/>
                <w:color w:val="auto"/>
              </w:rPr>
              <w:t>6,404</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122"/>
              <w:spacing w:after="0"/>
              <w:rPr>
                <w:sz w:val="20"/>
                <w:szCs w:val="20"/>
                <w:color w:val="auto"/>
              </w:rPr>
            </w:pPr>
            <w:r>
              <w:rPr>
                <w:rFonts w:ascii="Arial" w:cs="Arial" w:eastAsia="Arial" w:hAnsi="Arial"/>
                <w:sz w:val="16"/>
                <w:szCs w:val="16"/>
                <w:color w:val="auto"/>
              </w:rPr>
              <w:t>2,520</w:t>
            </w:r>
          </w:p>
        </w:tc>
        <w:tc>
          <w:tcPr>
            <w:tcW w:w="2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3,335</w:t>
            </w:r>
          </w:p>
        </w:tc>
        <w:tc>
          <w:tcPr>
            <w:tcW w:w="28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2,898</w:t>
            </w:r>
          </w:p>
        </w:tc>
        <w:tc>
          <w:tcPr>
            <w:tcW w:w="0" w:type="dxa"/>
            <w:vAlign w:val="bottom"/>
          </w:tcPr>
          <w:p>
            <w:pPr>
              <w:spacing w:after="0"/>
              <w:rPr>
                <w:sz w:val="1"/>
                <w:szCs w:val="1"/>
                <w:color w:val="auto"/>
              </w:rPr>
            </w:pPr>
          </w:p>
        </w:tc>
      </w:tr>
      <w:tr>
        <w:trPr>
          <w:trHeight w:val="20"/>
        </w:trPr>
        <w:tc>
          <w:tcPr>
            <w:tcW w:w="33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7"/>
        </w:trPr>
        <w:tc>
          <w:tcPr>
            <w:tcW w:w="3380" w:type="dxa"/>
            <w:vAlign w:val="bottom"/>
          </w:tcPr>
          <w:p>
            <w:pPr>
              <w:spacing w:after="0"/>
              <w:rPr>
                <w:sz w:val="20"/>
                <w:szCs w:val="20"/>
                <w:color w:val="auto"/>
              </w:rPr>
            </w:pPr>
            <w:r>
              <w:rPr>
                <w:rFonts w:ascii="Arial" w:cs="Arial" w:eastAsia="Arial" w:hAnsi="Arial"/>
                <w:sz w:val="16"/>
                <w:szCs w:val="16"/>
                <w:color w:val="auto"/>
              </w:rPr>
              <w:t>Weighted-average crediting rate</w:t>
            </w:r>
          </w:p>
        </w:tc>
        <w:tc>
          <w:tcPr>
            <w:tcW w:w="24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2.65 %</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4.84 %</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6.13 %</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N/A</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235"/>
        </w:trPr>
        <w:tc>
          <w:tcPr>
            <w:tcW w:w="3380" w:type="dxa"/>
            <w:vAlign w:val="bottom"/>
          </w:tcPr>
          <w:p>
            <w:pPr>
              <w:spacing w:after="0"/>
              <w:rPr>
                <w:sz w:val="20"/>
                <w:szCs w:val="20"/>
                <w:color w:val="auto"/>
              </w:rPr>
            </w:pPr>
            <w:r>
              <w:rPr>
                <w:rFonts w:ascii="Arial" w:cs="Arial" w:eastAsia="Arial" w:hAnsi="Arial"/>
                <w:sz w:val="16"/>
                <w:szCs w:val="16"/>
                <w:color w:val="auto"/>
              </w:rPr>
              <w:t>Net amount at risk (d)</w:t>
            </w:r>
          </w:p>
        </w:tc>
        <w:tc>
          <w:tcPr>
            <w:tcW w:w="2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N/A</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N/A</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122"/>
              <w:spacing w:after="0"/>
              <w:rPr>
                <w:sz w:val="20"/>
                <w:szCs w:val="20"/>
                <w:color w:val="auto"/>
              </w:rPr>
            </w:pPr>
            <w:r>
              <w:rPr>
                <w:rFonts w:ascii="Arial" w:cs="Arial" w:eastAsia="Arial" w:hAnsi="Arial"/>
                <w:sz w:val="16"/>
                <w:szCs w:val="16"/>
                <w:color w:val="auto"/>
              </w:rPr>
              <w:t>29,581</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N/A</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235"/>
        </w:trPr>
        <w:tc>
          <w:tcPr>
            <w:tcW w:w="3380" w:type="dxa"/>
            <w:vAlign w:val="bottom"/>
          </w:tcPr>
          <w:p>
            <w:pPr>
              <w:spacing w:after="0"/>
              <w:rPr>
                <w:sz w:val="20"/>
                <w:szCs w:val="20"/>
                <w:color w:val="auto"/>
              </w:rPr>
            </w:pPr>
            <w:r>
              <w:rPr>
                <w:rFonts w:ascii="Arial" w:cs="Arial" w:eastAsia="Arial" w:hAnsi="Arial"/>
                <w:sz w:val="16"/>
                <w:szCs w:val="16"/>
                <w:color w:val="auto"/>
              </w:rPr>
              <w:t>Cash surrender value (e)</w:t>
            </w:r>
          </w:p>
        </w:tc>
        <w:tc>
          <w:tcPr>
            <w:tcW w:w="24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22"/>
              <w:spacing w:after="0"/>
              <w:rPr>
                <w:sz w:val="20"/>
                <w:szCs w:val="20"/>
                <w:color w:val="auto"/>
              </w:rPr>
            </w:pPr>
            <w:r>
              <w:rPr>
                <w:rFonts w:ascii="Arial" w:cs="Arial" w:eastAsia="Arial" w:hAnsi="Arial"/>
                <w:sz w:val="16"/>
                <w:szCs w:val="16"/>
                <w:color w:val="auto"/>
              </w:rPr>
              <w:t>30,920</w:t>
            </w:r>
          </w:p>
        </w:tc>
        <w:tc>
          <w:tcPr>
            <w:tcW w:w="26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122"/>
              <w:spacing w:after="0"/>
              <w:rPr>
                <w:sz w:val="20"/>
                <w:szCs w:val="20"/>
                <w:color w:val="auto"/>
              </w:rPr>
            </w:pPr>
            <w:r>
              <w:rPr>
                <w:rFonts w:ascii="Arial" w:cs="Arial" w:eastAsia="Arial" w:hAnsi="Arial"/>
                <w:sz w:val="16"/>
                <w:szCs w:val="16"/>
                <w:color w:val="auto"/>
              </w:rPr>
              <w:t>18,034</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122"/>
              <w:spacing w:after="0"/>
              <w:rPr>
                <w:sz w:val="20"/>
                <w:szCs w:val="20"/>
                <w:color w:val="auto"/>
              </w:rPr>
            </w:pPr>
            <w:r>
              <w:rPr>
                <w:rFonts w:ascii="Arial" w:cs="Arial" w:eastAsia="Arial" w:hAnsi="Arial"/>
                <w:sz w:val="16"/>
                <w:szCs w:val="16"/>
                <w:color w:val="auto"/>
              </w:rPr>
              <w:t>2,533</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N/A</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-2583815</wp:posOffset>
            </wp:positionV>
            <wp:extent cx="6410325" cy="260159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162">
                      <a:extLst>
                        <a:ext uri="{28A0092B-C50C-407E-A947-70E740481C1C}"/>
                      </a:extLst>
                    </a:blip>
                    <a:srcRect/>
                    <a:stretch>
                      <a:fillRect/>
                    </a:stretch>
                  </pic:blipFill>
                  <pic:spPr bwMode="auto">
                    <a:xfrm>
                      <a:off x="0" y="0"/>
                      <a:ext cx="6410325" cy="2601595"/>
                    </a:xfrm>
                    <a:prstGeom prst="rect">
                      <a:avLst/>
                    </a:prstGeom>
                    <a:noFill/>
                  </pic:spPr>
                </pic:pic>
              </a:graphicData>
            </a:graphic>
          </wp:anchor>
        </w:drawing>
      </w:r>
    </w:p>
    <w:p>
      <w:pPr>
        <w:spacing w:after="0" w:line="40" w:lineRule="exact"/>
        <w:rPr>
          <w:sz w:val="20"/>
          <w:szCs w:val="20"/>
          <w:color w:val="auto"/>
        </w:rPr>
      </w:pPr>
    </w:p>
    <w:p>
      <w:pPr>
        <w:ind w:left="347" w:hanging="347"/>
        <w:spacing w:after="0"/>
        <w:tabs>
          <w:tab w:leader="none" w:pos="347" w:val="left"/>
        </w:tabs>
        <w:numPr>
          <w:ilvl w:val="0"/>
          <w:numId w:val="62"/>
        </w:numPr>
        <w:rPr>
          <w:rFonts w:ascii="Arial" w:cs="Arial" w:eastAsia="Arial" w:hAnsi="Arial"/>
          <w:sz w:val="15"/>
          <w:szCs w:val="15"/>
          <w:color w:val="auto"/>
        </w:rPr>
      </w:pPr>
      <w:r>
        <w:rPr>
          <w:rFonts w:ascii="Arial" w:cs="Arial" w:eastAsia="Arial" w:hAnsi="Arial"/>
          <w:sz w:val="15"/>
          <w:szCs w:val="15"/>
          <w:color w:val="auto"/>
        </w:rPr>
        <w:t>Contracts included in the contractholder funds are generally charged a premium and/or monthly assessments on the basis of the account balance.</w:t>
      </w:r>
    </w:p>
    <w:p>
      <w:pPr>
        <w:spacing w:after="0" w:line="18" w:lineRule="exact"/>
        <w:rPr>
          <w:rFonts w:ascii="Arial" w:cs="Arial" w:eastAsia="Arial" w:hAnsi="Arial"/>
          <w:sz w:val="15"/>
          <w:szCs w:val="15"/>
          <w:color w:val="auto"/>
        </w:rPr>
      </w:pPr>
    </w:p>
    <w:p>
      <w:pPr>
        <w:jc w:val="both"/>
        <w:ind w:left="347" w:hanging="347"/>
        <w:spacing w:after="0" w:line="245" w:lineRule="auto"/>
        <w:tabs>
          <w:tab w:leader="none" w:pos="347" w:val="left"/>
        </w:tabs>
        <w:numPr>
          <w:ilvl w:val="0"/>
          <w:numId w:val="62"/>
        </w:numPr>
        <w:rPr>
          <w:rFonts w:ascii="Arial" w:cs="Arial" w:eastAsia="Arial" w:hAnsi="Arial"/>
          <w:sz w:val="15"/>
          <w:szCs w:val="15"/>
          <w:color w:val="auto"/>
        </w:rPr>
      </w:pPr>
      <w:r>
        <w:rPr>
          <w:rFonts w:ascii="Arial" w:cs="Arial" w:eastAsia="Arial" w:hAnsi="Arial"/>
          <w:sz w:val="15"/>
          <w:szCs w:val="15"/>
          <w:color w:val="auto"/>
        </w:rPr>
        <w:t>FABN and FHLB are considered funding agreements that are investment contracts which follow the interest method of accounting, and therefore are not subject to ASU 2018-12 disclosure requirements. However, the Company has elected to present the liability for these agreements within the disaggregated roll forward as we believe it will provide meaningful information for users of the financials.</w:t>
      </w:r>
    </w:p>
    <w:p>
      <w:pPr>
        <w:jc w:val="both"/>
        <w:ind w:left="347" w:hanging="347"/>
        <w:spacing w:after="0" w:line="245" w:lineRule="auto"/>
        <w:tabs>
          <w:tab w:leader="none" w:pos="347" w:val="left"/>
        </w:tabs>
        <w:numPr>
          <w:ilvl w:val="0"/>
          <w:numId w:val="62"/>
        </w:numPr>
        <w:rPr>
          <w:rFonts w:ascii="Arial" w:cs="Arial" w:eastAsia="Arial" w:hAnsi="Arial"/>
          <w:sz w:val="15"/>
          <w:szCs w:val="15"/>
          <w:color w:val="auto"/>
        </w:rPr>
      </w:pPr>
      <w:r>
        <w:rPr>
          <w:rFonts w:ascii="Arial" w:cs="Arial" w:eastAsia="Arial" w:hAnsi="Arial"/>
          <w:sz w:val="15"/>
          <w:szCs w:val="15"/>
          <w:color w:val="auto"/>
        </w:rPr>
        <w:t>The reconciling items reconcile the account balance to the gross GAAP liability. For indexed annuities and universal life, the reconciling items represent embedded derivatives and include the combination of the host contracts and the fair value of the embedded derivatives. For FABN, the reconciling items represent basis adjustments due to the impact of fair value hedge accounting.</w:t>
      </w:r>
    </w:p>
    <w:p>
      <w:pPr>
        <w:ind w:left="347" w:right="20" w:hanging="347"/>
        <w:spacing w:after="0" w:line="250" w:lineRule="auto"/>
        <w:tabs>
          <w:tab w:leader="none" w:pos="347" w:val="left"/>
        </w:tabs>
        <w:numPr>
          <w:ilvl w:val="0"/>
          <w:numId w:val="62"/>
        </w:numPr>
        <w:rPr>
          <w:rFonts w:ascii="Arial" w:cs="Arial" w:eastAsia="Arial" w:hAnsi="Arial"/>
          <w:sz w:val="15"/>
          <w:szCs w:val="15"/>
          <w:color w:val="auto"/>
        </w:rPr>
      </w:pPr>
      <w:r>
        <w:rPr>
          <w:rFonts w:ascii="Arial" w:cs="Arial" w:eastAsia="Arial" w:hAnsi="Arial"/>
          <w:sz w:val="15"/>
          <w:szCs w:val="15"/>
          <w:color w:val="auto"/>
        </w:rPr>
        <w:t>For those guarantees of benefits that are payable in the event of death, the net amount at risk is generally defined as the current guaranteed minimum death benefit in excess of the current account balance at the balance sheet date.</w:t>
      </w:r>
    </w:p>
    <w:p>
      <w:pPr>
        <w:sectPr>
          <w:pgSz w:w="11880" w:h="15480" w:orient="portrait"/>
          <w:cols w:equalWidth="0" w:num="1">
            <w:col w:w="10067"/>
          </w:cols>
          <w:pgMar w:left="913" w:top="772"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3"/>
        <w:spacing w:after="0"/>
        <w:rPr>
          <w:sz w:val="20"/>
          <w:szCs w:val="20"/>
          <w:color w:val="auto"/>
        </w:rPr>
      </w:pPr>
      <w:r>
        <w:rPr>
          <w:rFonts w:ascii="Arial" w:cs="Arial" w:eastAsia="Arial" w:hAnsi="Arial"/>
          <w:sz w:val="16"/>
          <w:szCs w:val="16"/>
          <w:color w:val="auto"/>
        </w:rPr>
        <w:t>183</w:t>
      </w:r>
    </w:p>
    <w:p>
      <w:pPr>
        <w:sectPr>
          <w:pgSz w:w="11880" w:h="15480" w:orient="portrait"/>
          <w:cols w:equalWidth="0" w:num="1">
            <w:col w:w="10067"/>
          </w:cols>
          <w:pgMar w:left="913" w:top="772" w:right="900" w:bottom="0" w:gutter="0" w:footer="0" w:header="0"/>
          <w:type w:val="continuous"/>
        </w:sectPr>
      </w:pPr>
    </w:p>
    <w:bookmarkStart w:id="195" w:name="page196"/>
    <w:bookmarkEnd w:id="195"/>
    <w:p>
      <w:pPr>
        <w:ind w:left="347" w:hanging="347"/>
        <w:spacing w:after="0"/>
        <w:tabs>
          <w:tab w:leader="none" w:pos="347" w:val="left"/>
        </w:tabs>
        <w:numPr>
          <w:ilvl w:val="0"/>
          <w:numId w:val="63"/>
        </w:numPr>
        <w:rPr>
          <w:rFonts w:ascii="Arial" w:cs="Arial" w:eastAsia="Arial" w:hAnsi="Arial"/>
          <w:sz w:val="15"/>
          <w:szCs w:val="15"/>
          <w:color w:val="auto"/>
        </w:rPr>
      </w:pPr>
      <w:r>
        <w:rPr>
          <w:rFonts w:ascii="Arial" w:cs="Arial" w:eastAsia="Arial" w:hAnsi="Arial"/>
          <w:sz w:val="15"/>
          <w:szCs w:val="15"/>
          <w:color w:val="auto"/>
        </w:rPr>
        <w:t>These amounts are gross of reinsurance.</w:t>
      </w:r>
    </w:p>
    <w:p>
      <w:pPr>
        <w:spacing w:after="0" w:line="69" w:lineRule="exact"/>
        <w:rPr>
          <w:sz w:val="20"/>
          <w:szCs w:val="20"/>
          <w:color w:val="auto"/>
        </w:rPr>
      </w:pPr>
    </w:p>
    <w:tbl>
      <w:tblPr>
        <w:tblLayout w:type="fixed"/>
        <w:tblInd w:w="47" w:type="dxa"/>
        <w:tblCellMar>
          <w:top w:w="0" w:type="dxa"/>
          <w:left w:w="0" w:type="dxa"/>
          <w:bottom w:w="0" w:type="dxa"/>
          <w:right w:w="0" w:type="dxa"/>
        </w:tblCellMar>
      </w:tblPr>
      <w:tr>
        <w:trPr>
          <w:trHeight w:val="205"/>
        </w:trPr>
        <w:tc>
          <w:tcPr>
            <w:tcW w:w="33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w w:val="87"/>
              </w:rPr>
              <w:t>December 31, 2024</w:t>
            </w:r>
          </w:p>
        </w:tc>
        <w:tc>
          <w:tcPr>
            <w:tcW w:w="6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70"/>
        </w:trPr>
        <w:tc>
          <w:tcPr>
            <w:tcW w:w="3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tcPr>
          <w:p>
            <w:pPr>
              <w:jc w:val="right"/>
              <w:ind w:right="302"/>
              <w:spacing w:after="0" w:line="170" w:lineRule="exact"/>
              <w:rPr>
                <w:sz w:val="20"/>
                <w:szCs w:val="20"/>
                <w:color w:val="auto"/>
              </w:rPr>
            </w:pPr>
            <w:r>
              <w:rPr>
                <w:rFonts w:ascii="Arial" w:cs="Arial" w:eastAsia="Arial" w:hAnsi="Arial"/>
                <w:sz w:val="16"/>
                <w:szCs w:val="16"/>
                <w:b w:val="1"/>
                <w:bCs w:val="1"/>
                <w:color w:val="auto"/>
              </w:rPr>
              <w:t>Indexed</w:t>
            </w: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tcPr>
          <w:p>
            <w:pPr>
              <w:jc w:val="right"/>
              <w:ind w:right="222"/>
              <w:spacing w:after="0" w:line="170" w:lineRule="exact"/>
              <w:rPr>
                <w:sz w:val="20"/>
                <w:szCs w:val="20"/>
                <w:color w:val="auto"/>
              </w:rPr>
            </w:pPr>
            <w:r>
              <w:rPr>
                <w:rFonts w:ascii="Arial" w:cs="Arial" w:eastAsia="Arial" w:hAnsi="Arial"/>
                <w:sz w:val="16"/>
                <w:szCs w:val="16"/>
                <w:b w:val="1"/>
                <w:bCs w:val="1"/>
                <w:color w:val="auto"/>
              </w:rPr>
              <w:t>Fixed rate</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vMerge w:val="restart"/>
          </w:tcPr>
          <w:p>
            <w:pPr>
              <w:jc w:val="center"/>
              <w:ind w:right="102"/>
              <w:spacing w:after="0"/>
              <w:rPr>
                <w:sz w:val="20"/>
                <w:szCs w:val="20"/>
                <w:color w:val="auto"/>
              </w:rPr>
            </w:pPr>
            <w:r>
              <w:rPr>
                <w:rFonts w:ascii="Arial" w:cs="Arial" w:eastAsia="Arial" w:hAnsi="Arial"/>
                <w:sz w:val="16"/>
                <w:szCs w:val="16"/>
                <w:b w:val="1"/>
                <w:bCs w:val="1"/>
                <w:color w:val="auto"/>
                <w:w w:val="90"/>
              </w:rPr>
              <w:t>Universal life</w:t>
            </w: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vMerge w:val="restart"/>
          </w:tcPr>
          <w:p>
            <w:pPr>
              <w:jc w:val="right"/>
              <w:ind w:right="222"/>
              <w:spacing w:after="0"/>
              <w:rPr>
                <w:sz w:val="20"/>
                <w:szCs w:val="20"/>
                <w:color w:val="auto"/>
              </w:rPr>
            </w:pPr>
            <w:r>
              <w:rPr>
                <w:rFonts w:ascii="Arial" w:cs="Arial" w:eastAsia="Arial" w:hAnsi="Arial"/>
                <w:sz w:val="16"/>
                <w:szCs w:val="16"/>
                <w:b w:val="1"/>
                <w:bCs w:val="1"/>
                <w:color w:val="auto"/>
              </w:rPr>
              <w:t>FABN (b)</w:t>
            </w: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vMerge w:val="restart"/>
          </w:tcPr>
          <w:p>
            <w:pPr>
              <w:jc w:val="right"/>
              <w:ind w:right="222"/>
              <w:spacing w:after="0"/>
              <w:rPr>
                <w:sz w:val="20"/>
                <w:szCs w:val="20"/>
                <w:color w:val="auto"/>
              </w:rPr>
            </w:pPr>
            <w:r>
              <w:rPr>
                <w:rFonts w:ascii="Arial" w:cs="Arial" w:eastAsia="Arial" w:hAnsi="Arial"/>
                <w:sz w:val="16"/>
                <w:szCs w:val="16"/>
                <w:b w:val="1"/>
                <w:bCs w:val="1"/>
                <w:color w:val="auto"/>
              </w:rPr>
              <w:t>FHLB (b)</w:t>
            </w:r>
          </w:p>
        </w:tc>
        <w:tc>
          <w:tcPr>
            <w:tcW w:w="0" w:type="dxa"/>
            <w:vAlign w:val="bottom"/>
          </w:tcPr>
          <w:p>
            <w:pPr>
              <w:spacing w:after="0"/>
              <w:rPr>
                <w:sz w:val="1"/>
                <w:szCs w:val="1"/>
                <w:color w:val="auto"/>
              </w:rPr>
            </w:pPr>
          </w:p>
        </w:tc>
      </w:tr>
      <w:tr>
        <w:trPr>
          <w:trHeight w:val="207"/>
        </w:trPr>
        <w:tc>
          <w:tcPr>
            <w:tcW w:w="33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262"/>
              <w:spacing w:after="0"/>
              <w:rPr>
                <w:sz w:val="20"/>
                <w:szCs w:val="20"/>
                <w:color w:val="auto"/>
              </w:rPr>
            </w:pPr>
            <w:r>
              <w:rPr>
                <w:rFonts w:ascii="Arial" w:cs="Arial" w:eastAsia="Arial" w:hAnsi="Arial"/>
                <w:sz w:val="16"/>
                <w:szCs w:val="16"/>
                <w:b w:val="1"/>
                <w:bCs w:val="1"/>
                <w:color w:val="auto"/>
                <w:w w:val="96"/>
              </w:rPr>
              <w:t>annuities</w:t>
            </w:r>
          </w:p>
        </w:tc>
        <w:tc>
          <w:tcPr>
            <w:tcW w:w="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262"/>
              <w:spacing w:after="0"/>
              <w:rPr>
                <w:sz w:val="20"/>
                <w:szCs w:val="20"/>
                <w:color w:val="auto"/>
              </w:rPr>
            </w:pPr>
            <w:r>
              <w:rPr>
                <w:rFonts w:ascii="Arial" w:cs="Arial" w:eastAsia="Arial" w:hAnsi="Arial"/>
                <w:sz w:val="16"/>
                <w:szCs w:val="16"/>
                <w:b w:val="1"/>
                <w:bCs w:val="1"/>
                <w:color w:val="auto"/>
              </w:rPr>
              <w:t>annuities</w:t>
            </w:r>
          </w:p>
        </w:tc>
        <w:tc>
          <w:tcPr>
            <w:tcW w:w="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vMerge w:val="continue"/>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vMerge w:val="continue"/>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center"/>
              <w:ind w:right="62"/>
              <w:spacing w:after="0"/>
              <w:rPr>
                <w:sz w:val="20"/>
                <w:szCs w:val="20"/>
                <w:color w:val="auto"/>
              </w:rPr>
            </w:pPr>
            <w:r>
              <w:rPr>
                <w:rFonts w:ascii="Arial" w:cs="Arial" w:eastAsia="Arial" w:hAnsi="Arial"/>
                <w:sz w:val="16"/>
                <w:szCs w:val="16"/>
                <w:b w:val="1"/>
                <w:bCs w:val="1"/>
                <w:color w:val="auto"/>
                <w:w w:val="91"/>
              </w:rPr>
              <w:t>(In millions)</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3380" w:type="dxa"/>
            <w:vAlign w:val="bottom"/>
          </w:tcPr>
          <w:p>
            <w:pPr>
              <w:spacing w:after="0"/>
              <w:rPr>
                <w:sz w:val="20"/>
                <w:szCs w:val="20"/>
                <w:color w:val="auto"/>
              </w:rPr>
            </w:pPr>
            <w:r>
              <w:rPr>
                <w:rFonts w:ascii="Arial" w:cs="Arial" w:eastAsia="Arial" w:hAnsi="Arial"/>
                <w:sz w:val="16"/>
                <w:szCs w:val="16"/>
                <w:b w:val="1"/>
                <w:bCs w:val="1"/>
                <w:color w:val="auto"/>
              </w:rPr>
              <w:t>Balance, beginning of year</w:t>
            </w:r>
          </w:p>
        </w:tc>
        <w:tc>
          <w:tcPr>
            <w:tcW w:w="24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22"/>
              <w:spacing w:after="0"/>
              <w:rPr>
                <w:sz w:val="20"/>
                <w:szCs w:val="20"/>
                <w:color w:val="auto"/>
              </w:rPr>
            </w:pPr>
            <w:r>
              <w:rPr>
                <w:rFonts w:ascii="Arial" w:cs="Arial" w:eastAsia="Arial" w:hAnsi="Arial"/>
                <w:sz w:val="16"/>
                <w:szCs w:val="16"/>
                <w:color w:val="auto"/>
              </w:rPr>
              <w:t>27,164</w:t>
            </w:r>
          </w:p>
        </w:tc>
        <w:tc>
          <w:tcPr>
            <w:tcW w:w="26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122"/>
              <w:spacing w:after="0"/>
              <w:rPr>
                <w:sz w:val="20"/>
                <w:szCs w:val="20"/>
                <w:color w:val="auto"/>
              </w:rPr>
            </w:pPr>
            <w:r>
              <w:rPr>
                <w:rFonts w:ascii="Arial" w:cs="Arial" w:eastAsia="Arial" w:hAnsi="Arial"/>
                <w:sz w:val="16"/>
                <w:szCs w:val="16"/>
                <w:color w:val="auto"/>
              </w:rPr>
              <w:t>13,443</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122"/>
              <w:spacing w:after="0"/>
              <w:rPr>
                <w:sz w:val="20"/>
                <w:szCs w:val="20"/>
                <w:color w:val="auto"/>
              </w:rPr>
            </w:pPr>
            <w:r>
              <w:rPr>
                <w:rFonts w:ascii="Arial" w:cs="Arial" w:eastAsia="Arial" w:hAnsi="Arial"/>
                <w:sz w:val="16"/>
                <w:szCs w:val="16"/>
                <w:color w:val="auto"/>
              </w:rPr>
              <w:t>2,391</w:t>
            </w:r>
          </w:p>
        </w:tc>
        <w:tc>
          <w:tcPr>
            <w:tcW w:w="2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2,613</w:t>
            </w:r>
          </w:p>
        </w:tc>
        <w:tc>
          <w:tcPr>
            <w:tcW w:w="28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2,539</w:t>
            </w:r>
          </w:p>
        </w:tc>
        <w:tc>
          <w:tcPr>
            <w:tcW w:w="0" w:type="dxa"/>
            <w:vAlign w:val="bottom"/>
          </w:tcPr>
          <w:p>
            <w:pPr>
              <w:spacing w:after="0"/>
              <w:rPr>
                <w:sz w:val="1"/>
                <w:szCs w:val="1"/>
                <w:color w:val="auto"/>
              </w:rPr>
            </w:pPr>
          </w:p>
        </w:tc>
      </w:tr>
      <w:tr>
        <w:trPr>
          <w:trHeight w:val="238"/>
        </w:trPr>
        <w:tc>
          <w:tcPr>
            <w:tcW w:w="3380" w:type="dxa"/>
            <w:vAlign w:val="bottom"/>
          </w:tcPr>
          <w:p>
            <w:pPr>
              <w:ind w:left="200"/>
              <w:spacing w:after="0"/>
              <w:rPr>
                <w:sz w:val="20"/>
                <w:szCs w:val="20"/>
                <w:color w:val="auto"/>
              </w:rPr>
            </w:pPr>
            <w:r>
              <w:rPr>
                <w:rFonts w:ascii="Arial" w:cs="Arial" w:eastAsia="Arial" w:hAnsi="Arial"/>
                <w:sz w:val="16"/>
                <w:szCs w:val="16"/>
                <w:color w:val="auto"/>
              </w:rPr>
              <w:t>Issuances</w:t>
            </w:r>
          </w:p>
        </w:tc>
        <w:tc>
          <w:tcPr>
            <w:tcW w:w="240" w:type="dxa"/>
            <w:vAlign w:val="bottom"/>
          </w:tcPr>
          <w:p>
            <w:pPr>
              <w:spacing w:after="0"/>
              <w:rPr>
                <w:sz w:val="20"/>
                <w:szCs w:val="20"/>
                <w:color w:val="auto"/>
              </w:rPr>
            </w:pPr>
          </w:p>
        </w:tc>
        <w:tc>
          <w:tcPr>
            <w:tcW w:w="1040" w:type="dxa"/>
            <w:vAlign w:val="bottom"/>
          </w:tcPr>
          <w:p>
            <w:pPr>
              <w:jc w:val="right"/>
              <w:ind w:right="122"/>
              <w:spacing w:after="0"/>
              <w:rPr>
                <w:sz w:val="20"/>
                <w:szCs w:val="20"/>
                <w:color w:val="auto"/>
              </w:rPr>
            </w:pPr>
            <w:r>
              <w:rPr>
                <w:rFonts w:ascii="Arial" w:cs="Arial" w:eastAsia="Arial" w:hAnsi="Arial"/>
                <w:sz w:val="16"/>
                <w:szCs w:val="16"/>
                <w:color w:val="auto"/>
              </w:rPr>
              <w:t>6,649</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jc w:val="right"/>
              <w:ind w:right="122"/>
              <w:spacing w:after="0"/>
              <w:rPr>
                <w:sz w:val="20"/>
                <w:szCs w:val="20"/>
                <w:color w:val="auto"/>
              </w:rPr>
            </w:pPr>
            <w:r>
              <w:rPr>
                <w:rFonts w:ascii="Arial" w:cs="Arial" w:eastAsia="Arial" w:hAnsi="Arial"/>
                <w:sz w:val="16"/>
                <w:szCs w:val="16"/>
                <w:color w:val="auto"/>
              </w:rPr>
              <w:t>5,125</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jc w:val="right"/>
              <w:ind w:right="122"/>
              <w:spacing w:after="0"/>
              <w:rPr>
                <w:sz w:val="20"/>
                <w:szCs w:val="20"/>
                <w:color w:val="auto"/>
              </w:rPr>
            </w:pPr>
            <w:r>
              <w:rPr>
                <w:rFonts w:ascii="Arial" w:cs="Arial" w:eastAsia="Arial" w:hAnsi="Arial"/>
                <w:sz w:val="16"/>
                <w:szCs w:val="16"/>
                <w:color w:val="auto"/>
              </w:rPr>
              <w:t>208</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600</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1,804</w:t>
            </w:r>
          </w:p>
        </w:tc>
        <w:tc>
          <w:tcPr>
            <w:tcW w:w="0" w:type="dxa"/>
            <w:vAlign w:val="bottom"/>
          </w:tcPr>
          <w:p>
            <w:pPr>
              <w:spacing w:after="0"/>
              <w:rPr>
                <w:sz w:val="1"/>
                <w:szCs w:val="1"/>
                <w:color w:val="auto"/>
              </w:rPr>
            </w:pPr>
          </w:p>
        </w:tc>
      </w:tr>
      <w:tr>
        <w:trPr>
          <w:trHeight w:val="235"/>
        </w:trPr>
        <w:tc>
          <w:tcPr>
            <w:tcW w:w="3380" w:type="dxa"/>
            <w:vAlign w:val="bottom"/>
          </w:tcPr>
          <w:p>
            <w:pPr>
              <w:ind w:left="200"/>
              <w:spacing w:after="0"/>
              <w:rPr>
                <w:sz w:val="20"/>
                <w:szCs w:val="20"/>
                <w:color w:val="auto"/>
              </w:rPr>
            </w:pPr>
            <w:r>
              <w:rPr>
                <w:rFonts w:ascii="Arial" w:cs="Arial" w:eastAsia="Arial" w:hAnsi="Arial"/>
                <w:sz w:val="16"/>
                <w:szCs w:val="16"/>
                <w:color w:val="auto"/>
              </w:rPr>
              <w:t>Premiums received</w:t>
            </w:r>
          </w:p>
        </w:tc>
        <w:tc>
          <w:tcPr>
            <w:tcW w:w="240" w:type="dxa"/>
            <w:vAlign w:val="bottom"/>
          </w:tcPr>
          <w:p>
            <w:pPr>
              <w:spacing w:after="0"/>
              <w:rPr>
                <w:sz w:val="20"/>
                <w:szCs w:val="20"/>
                <w:color w:val="auto"/>
              </w:rPr>
            </w:pPr>
          </w:p>
        </w:tc>
        <w:tc>
          <w:tcPr>
            <w:tcW w:w="1040" w:type="dxa"/>
            <w:vAlign w:val="bottom"/>
          </w:tcPr>
          <w:p>
            <w:pPr>
              <w:jc w:val="right"/>
              <w:ind w:right="122"/>
              <w:spacing w:after="0"/>
              <w:rPr>
                <w:sz w:val="20"/>
                <w:szCs w:val="20"/>
                <w:color w:val="auto"/>
              </w:rPr>
            </w:pPr>
            <w:r>
              <w:rPr>
                <w:rFonts w:ascii="Arial" w:cs="Arial" w:eastAsia="Arial" w:hAnsi="Arial"/>
                <w:sz w:val="16"/>
                <w:szCs w:val="16"/>
                <w:color w:val="auto"/>
              </w:rPr>
              <w:t>120</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jc w:val="right"/>
              <w:ind w:right="122"/>
              <w:spacing w:after="0"/>
              <w:rPr>
                <w:sz w:val="20"/>
                <w:szCs w:val="20"/>
                <w:color w:val="auto"/>
              </w:rPr>
            </w:pPr>
            <w:r>
              <w:rPr>
                <w:rFonts w:ascii="Arial" w:cs="Arial" w:eastAsia="Arial" w:hAnsi="Arial"/>
                <w:sz w:val="16"/>
                <w:szCs w:val="16"/>
                <w:color w:val="auto"/>
              </w:rPr>
              <w:t>1</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jc w:val="right"/>
              <w:ind w:right="122"/>
              <w:spacing w:after="0"/>
              <w:rPr>
                <w:sz w:val="20"/>
                <w:szCs w:val="20"/>
                <w:color w:val="auto"/>
              </w:rPr>
            </w:pPr>
            <w:r>
              <w:rPr>
                <w:rFonts w:ascii="Arial" w:cs="Arial" w:eastAsia="Arial" w:hAnsi="Arial"/>
                <w:sz w:val="16"/>
                <w:szCs w:val="16"/>
                <w:color w:val="auto"/>
              </w:rPr>
              <w:t>495</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5"/>
        </w:trPr>
        <w:tc>
          <w:tcPr>
            <w:tcW w:w="3380" w:type="dxa"/>
            <w:vAlign w:val="bottom"/>
          </w:tcPr>
          <w:p>
            <w:pPr>
              <w:ind w:left="200"/>
              <w:spacing w:after="0"/>
              <w:rPr>
                <w:sz w:val="20"/>
                <w:szCs w:val="20"/>
                <w:color w:val="auto"/>
              </w:rPr>
            </w:pPr>
            <w:r>
              <w:rPr>
                <w:rFonts w:ascii="Arial" w:cs="Arial" w:eastAsia="Arial" w:hAnsi="Arial"/>
                <w:sz w:val="16"/>
                <w:szCs w:val="16"/>
                <w:color w:val="auto"/>
              </w:rPr>
              <w:t>Policy charges (a)</w:t>
            </w:r>
          </w:p>
        </w:tc>
        <w:tc>
          <w:tcPr>
            <w:tcW w:w="240" w:type="dxa"/>
            <w:vAlign w:val="bottom"/>
          </w:tcPr>
          <w:p>
            <w:pPr>
              <w:spacing w:after="0"/>
              <w:rPr>
                <w:sz w:val="20"/>
                <w:szCs w:val="20"/>
                <w:color w:val="auto"/>
              </w:rPr>
            </w:pPr>
          </w:p>
        </w:tc>
        <w:tc>
          <w:tcPr>
            <w:tcW w:w="1040" w:type="dxa"/>
            <w:vAlign w:val="bottom"/>
          </w:tcPr>
          <w:p>
            <w:pPr>
              <w:jc w:val="right"/>
              <w:ind w:right="62"/>
              <w:spacing w:after="0"/>
              <w:rPr>
                <w:sz w:val="20"/>
                <w:szCs w:val="20"/>
                <w:color w:val="auto"/>
              </w:rPr>
            </w:pPr>
            <w:r>
              <w:rPr>
                <w:rFonts w:ascii="Arial" w:cs="Arial" w:eastAsia="Arial" w:hAnsi="Arial"/>
                <w:sz w:val="16"/>
                <w:szCs w:val="16"/>
                <w:color w:val="auto"/>
              </w:rPr>
              <w:t>(195)</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jc w:val="right"/>
              <w:ind w:right="122"/>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jc w:val="right"/>
              <w:ind w:right="82"/>
              <w:spacing w:after="0"/>
              <w:rPr>
                <w:sz w:val="20"/>
                <w:szCs w:val="20"/>
                <w:color w:val="auto"/>
              </w:rPr>
            </w:pPr>
            <w:r>
              <w:rPr>
                <w:rFonts w:ascii="Arial" w:cs="Arial" w:eastAsia="Arial" w:hAnsi="Arial"/>
                <w:sz w:val="16"/>
                <w:szCs w:val="16"/>
                <w:color w:val="auto"/>
              </w:rPr>
              <w:t>(315)</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5"/>
        </w:trPr>
        <w:tc>
          <w:tcPr>
            <w:tcW w:w="3380" w:type="dxa"/>
            <w:vAlign w:val="bottom"/>
          </w:tcPr>
          <w:p>
            <w:pPr>
              <w:ind w:left="200"/>
              <w:spacing w:after="0"/>
              <w:rPr>
                <w:sz w:val="20"/>
                <w:szCs w:val="20"/>
                <w:color w:val="auto"/>
              </w:rPr>
            </w:pPr>
            <w:r>
              <w:rPr>
                <w:rFonts w:ascii="Arial" w:cs="Arial" w:eastAsia="Arial" w:hAnsi="Arial"/>
                <w:sz w:val="16"/>
                <w:szCs w:val="16"/>
                <w:color w:val="auto"/>
              </w:rPr>
              <w:t>Surrenders and withdrawals</w:t>
            </w:r>
          </w:p>
        </w:tc>
        <w:tc>
          <w:tcPr>
            <w:tcW w:w="240" w:type="dxa"/>
            <w:vAlign w:val="bottom"/>
          </w:tcPr>
          <w:p>
            <w:pPr>
              <w:spacing w:after="0"/>
              <w:rPr>
                <w:sz w:val="20"/>
                <w:szCs w:val="20"/>
                <w:color w:val="auto"/>
              </w:rPr>
            </w:pPr>
          </w:p>
        </w:tc>
        <w:tc>
          <w:tcPr>
            <w:tcW w:w="1040" w:type="dxa"/>
            <w:vAlign w:val="bottom"/>
          </w:tcPr>
          <w:p>
            <w:pPr>
              <w:jc w:val="right"/>
              <w:ind w:right="62"/>
              <w:spacing w:after="0"/>
              <w:rPr>
                <w:sz w:val="20"/>
                <w:szCs w:val="20"/>
                <w:color w:val="auto"/>
              </w:rPr>
            </w:pPr>
            <w:r>
              <w:rPr>
                <w:rFonts w:ascii="Arial" w:cs="Arial" w:eastAsia="Arial" w:hAnsi="Arial"/>
                <w:sz w:val="16"/>
                <w:szCs w:val="16"/>
                <w:color w:val="auto"/>
              </w:rPr>
              <w:t>(3,832)</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jc w:val="right"/>
              <w:ind w:right="82"/>
              <w:spacing w:after="0"/>
              <w:rPr>
                <w:sz w:val="20"/>
                <w:szCs w:val="20"/>
                <w:color w:val="auto"/>
              </w:rPr>
            </w:pPr>
            <w:r>
              <w:rPr>
                <w:rFonts w:ascii="Arial" w:cs="Arial" w:eastAsia="Arial" w:hAnsi="Arial"/>
                <w:sz w:val="16"/>
                <w:szCs w:val="16"/>
                <w:color w:val="auto"/>
              </w:rPr>
              <w:t>(1,479)</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jc w:val="right"/>
              <w:ind w:right="82"/>
              <w:spacing w:after="0"/>
              <w:rPr>
                <w:sz w:val="20"/>
                <w:szCs w:val="20"/>
                <w:color w:val="auto"/>
              </w:rPr>
            </w:pPr>
            <w:r>
              <w:rPr>
                <w:rFonts w:ascii="Arial" w:cs="Arial" w:eastAsia="Arial" w:hAnsi="Arial"/>
                <w:sz w:val="16"/>
                <w:szCs w:val="16"/>
                <w:color w:val="auto"/>
              </w:rPr>
              <w:t>(101)</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5"/>
        </w:trPr>
        <w:tc>
          <w:tcPr>
            <w:tcW w:w="3380" w:type="dxa"/>
            <w:vAlign w:val="bottom"/>
          </w:tcPr>
          <w:p>
            <w:pPr>
              <w:ind w:left="200"/>
              <w:spacing w:after="0"/>
              <w:rPr>
                <w:sz w:val="20"/>
                <w:szCs w:val="20"/>
                <w:color w:val="auto"/>
              </w:rPr>
            </w:pPr>
            <w:r>
              <w:rPr>
                <w:rFonts w:ascii="Arial" w:cs="Arial" w:eastAsia="Arial" w:hAnsi="Arial"/>
                <w:sz w:val="16"/>
                <w:szCs w:val="16"/>
                <w:color w:val="auto"/>
              </w:rPr>
              <w:t>Benefit payments</w:t>
            </w:r>
          </w:p>
        </w:tc>
        <w:tc>
          <w:tcPr>
            <w:tcW w:w="240" w:type="dxa"/>
            <w:vAlign w:val="bottom"/>
          </w:tcPr>
          <w:p>
            <w:pPr>
              <w:spacing w:after="0"/>
              <w:rPr>
                <w:sz w:val="20"/>
                <w:szCs w:val="20"/>
                <w:color w:val="auto"/>
              </w:rPr>
            </w:pPr>
          </w:p>
        </w:tc>
        <w:tc>
          <w:tcPr>
            <w:tcW w:w="1040" w:type="dxa"/>
            <w:vAlign w:val="bottom"/>
          </w:tcPr>
          <w:p>
            <w:pPr>
              <w:jc w:val="right"/>
              <w:ind w:right="62"/>
              <w:spacing w:after="0"/>
              <w:rPr>
                <w:sz w:val="20"/>
                <w:szCs w:val="20"/>
                <w:color w:val="auto"/>
              </w:rPr>
            </w:pPr>
            <w:r>
              <w:rPr>
                <w:rFonts w:ascii="Arial" w:cs="Arial" w:eastAsia="Arial" w:hAnsi="Arial"/>
                <w:sz w:val="16"/>
                <w:szCs w:val="16"/>
                <w:color w:val="auto"/>
              </w:rPr>
              <w:t>(495)</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jc w:val="right"/>
              <w:ind w:right="82"/>
              <w:spacing w:after="0"/>
              <w:rPr>
                <w:sz w:val="20"/>
                <w:szCs w:val="20"/>
                <w:color w:val="auto"/>
              </w:rPr>
            </w:pPr>
            <w:r>
              <w:rPr>
                <w:rFonts w:ascii="Arial" w:cs="Arial" w:eastAsia="Arial" w:hAnsi="Arial"/>
                <w:sz w:val="16"/>
                <w:szCs w:val="16"/>
                <w:color w:val="auto"/>
              </w:rPr>
              <w:t>(315)</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jc w:val="right"/>
              <w:ind w:right="82"/>
              <w:spacing w:after="0"/>
              <w:rPr>
                <w:sz w:val="20"/>
                <w:szCs w:val="20"/>
                <w:color w:val="auto"/>
              </w:rPr>
            </w:pPr>
            <w:r>
              <w:rPr>
                <w:rFonts w:ascii="Arial" w:cs="Arial" w:eastAsia="Arial" w:hAnsi="Arial"/>
                <w:sz w:val="16"/>
                <w:szCs w:val="16"/>
                <w:color w:val="auto"/>
              </w:rPr>
              <w:t>(18)</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(820)</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(1,606)</w:t>
            </w:r>
          </w:p>
        </w:tc>
        <w:tc>
          <w:tcPr>
            <w:tcW w:w="0" w:type="dxa"/>
            <w:vAlign w:val="bottom"/>
          </w:tcPr>
          <w:p>
            <w:pPr>
              <w:spacing w:after="0"/>
              <w:rPr>
                <w:sz w:val="1"/>
                <w:szCs w:val="1"/>
                <w:color w:val="auto"/>
              </w:rPr>
            </w:pPr>
          </w:p>
        </w:tc>
      </w:tr>
      <w:tr>
        <w:trPr>
          <w:trHeight w:val="235"/>
        </w:trPr>
        <w:tc>
          <w:tcPr>
            <w:tcW w:w="3380" w:type="dxa"/>
            <w:vAlign w:val="bottom"/>
          </w:tcPr>
          <w:p>
            <w:pPr>
              <w:ind w:left="200"/>
              <w:spacing w:after="0"/>
              <w:rPr>
                <w:sz w:val="20"/>
                <w:szCs w:val="20"/>
                <w:color w:val="auto"/>
              </w:rPr>
            </w:pPr>
            <w:r>
              <w:rPr>
                <w:rFonts w:ascii="Arial" w:cs="Arial" w:eastAsia="Arial" w:hAnsi="Arial"/>
                <w:sz w:val="16"/>
                <w:szCs w:val="16"/>
                <w:color w:val="auto"/>
              </w:rPr>
              <w:t>Interest credited</w:t>
            </w:r>
          </w:p>
        </w:tc>
        <w:tc>
          <w:tcPr>
            <w:tcW w:w="240" w:type="dxa"/>
            <w:vAlign w:val="bottom"/>
          </w:tcPr>
          <w:p>
            <w:pPr>
              <w:spacing w:after="0"/>
              <w:rPr>
                <w:sz w:val="20"/>
                <w:szCs w:val="20"/>
                <w:color w:val="auto"/>
              </w:rPr>
            </w:pPr>
          </w:p>
        </w:tc>
        <w:tc>
          <w:tcPr>
            <w:tcW w:w="1040" w:type="dxa"/>
            <w:vAlign w:val="bottom"/>
          </w:tcPr>
          <w:p>
            <w:pPr>
              <w:jc w:val="right"/>
              <w:ind w:right="122"/>
              <w:spacing w:after="0"/>
              <w:rPr>
                <w:sz w:val="20"/>
                <w:szCs w:val="20"/>
                <w:color w:val="auto"/>
              </w:rPr>
            </w:pPr>
            <w:r>
              <w:rPr>
                <w:rFonts w:ascii="Arial" w:cs="Arial" w:eastAsia="Arial" w:hAnsi="Arial"/>
                <w:sz w:val="16"/>
                <w:szCs w:val="16"/>
                <w:color w:val="auto"/>
              </w:rPr>
              <w:t>821</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jc w:val="right"/>
              <w:ind w:right="122"/>
              <w:spacing w:after="0"/>
              <w:rPr>
                <w:sz w:val="20"/>
                <w:szCs w:val="20"/>
                <w:color w:val="auto"/>
              </w:rPr>
            </w:pPr>
            <w:r>
              <w:rPr>
                <w:rFonts w:ascii="Arial" w:cs="Arial" w:eastAsia="Arial" w:hAnsi="Arial"/>
                <w:sz w:val="16"/>
                <w:szCs w:val="16"/>
                <w:color w:val="auto"/>
              </w:rPr>
              <w:t>667</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jc w:val="right"/>
              <w:ind w:right="122"/>
              <w:spacing w:after="0"/>
              <w:rPr>
                <w:sz w:val="20"/>
                <w:szCs w:val="20"/>
                <w:color w:val="auto"/>
              </w:rPr>
            </w:pPr>
            <w:r>
              <w:rPr>
                <w:rFonts w:ascii="Arial" w:cs="Arial" w:eastAsia="Arial" w:hAnsi="Arial"/>
                <w:sz w:val="16"/>
                <w:szCs w:val="16"/>
                <w:color w:val="auto"/>
              </w:rPr>
              <w:t>157</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71</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117</w:t>
            </w:r>
          </w:p>
        </w:tc>
        <w:tc>
          <w:tcPr>
            <w:tcW w:w="0" w:type="dxa"/>
            <w:vAlign w:val="bottom"/>
          </w:tcPr>
          <w:p>
            <w:pPr>
              <w:spacing w:after="0"/>
              <w:rPr>
                <w:sz w:val="1"/>
                <w:szCs w:val="1"/>
                <w:color w:val="auto"/>
              </w:rPr>
            </w:pPr>
          </w:p>
        </w:tc>
      </w:tr>
      <w:tr>
        <w:trPr>
          <w:trHeight w:val="232"/>
        </w:trPr>
        <w:tc>
          <w:tcPr>
            <w:tcW w:w="3380" w:type="dxa"/>
            <w:vAlign w:val="bottom"/>
          </w:tcPr>
          <w:p>
            <w:pPr>
              <w:ind w:left="200"/>
              <w:spacing w:after="0"/>
              <w:rPr>
                <w:sz w:val="20"/>
                <w:szCs w:val="20"/>
                <w:color w:val="auto"/>
              </w:rPr>
            </w:pPr>
            <w:r>
              <w:rPr>
                <w:rFonts w:ascii="Arial" w:cs="Arial" w:eastAsia="Arial" w:hAnsi="Arial"/>
                <w:sz w:val="16"/>
                <w:szCs w:val="16"/>
                <w:color w:val="auto"/>
              </w:rPr>
              <w:t>Other</w:t>
            </w:r>
          </w:p>
        </w:tc>
        <w:tc>
          <w:tcPr>
            <w:tcW w:w="2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122"/>
              <w:spacing w:after="0"/>
              <w:rPr>
                <w:sz w:val="20"/>
                <w:szCs w:val="20"/>
                <w:color w:val="auto"/>
              </w:rPr>
            </w:pPr>
            <w:r>
              <w:rPr>
                <w:rFonts w:ascii="Arial" w:cs="Arial" w:eastAsia="Arial" w:hAnsi="Arial"/>
                <w:sz w:val="16"/>
                <w:szCs w:val="16"/>
                <w:color w:val="auto"/>
              </w:rPr>
              <w:t>3</w:t>
            </w:r>
          </w:p>
        </w:tc>
        <w:tc>
          <w:tcPr>
            <w:tcW w:w="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122"/>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122"/>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16"/>
        </w:trPr>
        <w:tc>
          <w:tcPr>
            <w:tcW w:w="3380" w:type="dxa"/>
            <w:vAlign w:val="bottom"/>
          </w:tcPr>
          <w:p>
            <w:pPr>
              <w:spacing w:after="0"/>
              <w:rPr>
                <w:sz w:val="20"/>
                <w:szCs w:val="20"/>
                <w:color w:val="auto"/>
              </w:rPr>
            </w:pPr>
            <w:r>
              <w:rPr>
                <w:rFonts w:ascii="Arial" w:cs="Arial" w:eastAsia="Arial" w:hAnsi="Arial"/>
                <w:sz w:val="16"/>
                <w:szCs w:val="16"/>
                <w:b w:val="1"/>
                <w:bCs w:val="1"/>
                <w:color w:val="auto"/>
              </w:rPr>
              <w:t>Balance, end of year</w:t>
            </w:r>
          </w:p>
        </w:tc>
        <w:tc>
          <w:tcPr>
            <w:tcW w:w="240" w:type="dxa"/>
            <w:vAlign w:val="bottom"/>
          </w:tcPr>
          <w:p>
            <w:pPr>
              <w:spacing w:after="0"/>
              <w:rPr>
                <w:sz w:val="18"/>
                <w:szCs w:val="18"/>
                <w:color w:val="auto"/>
              </w:rPr>
            </w:pPr>
          </w:p>
        </w:tc>
        <w:tc>
          <w:tcPr>
            <w:tcW w:w="1040" w:type="dxa"/>
            <w:vAlign w:val="bottom"/>
          </w:tcPr>
          <w:p>
            <w:pPr>
              <w:jc w:val="right"/>
              <w:ind w:right="122"/>
              <w:spacing w:after="0"/>
              <w:rPr>
                <w:sz w:val="20"/>
                <w:szCs w:val="20"/>
                <w:color w:val="auto"/>
              </w:rPr>
            </w:pPr>
            <w:r>
              <w:rPr>
                <w:rFonts w:ascii="Arial" w:cs="Arial" w:eastAsia="Arial" w:hAnsi="Arial"/>
                <w:sz w:val="16"/>
                <w:szCs w:val="16"/>
                <w:color w:val="auto"/>
              </w:rPr>
              <w:t>30,235</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jc w:val="right"/>
              <w:ind w:right="122"/>
              <w:spacing w:after="0"/>
              <w:rPr>
                <w:sz w:val="20"/>
                <w:szCs w:val="20"/>
                <w:color w:val="auto"/>
              </w:rPr>
            </w:pPr>
            <w:r>
              <w:rPr>
                <w:rFonts w:ascii="Arial" w:cs="Arial" w:eastAsia="Arial" w:hAnsi="Arial"/>
                <w:sz w:val="16"/>
                <w:szCs w:val="16"/>
                <w:color w:val="auto"/>
              </w:rPr>
              <w:t>17,442</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right"/>
              <w:ind w:right="122"/>
              <w:spacing w:after="0"/>
              <w:rPr>
                <w:sz w:val="20"/>
                <w:szCs w:val="20"/>
                <w:color w:val="auto"/>
              </w:rPr>
            </w:pPr>
            <w:r>
              <w:rPr>
                <w:rFonts w:ascii="Arial" w:cs="Arial" w:eastAsia="Arial" w:hAnsi="Arial"/>
                <w:sz w:val="16"/>
                <w:szCs w:val="16"/>
                <w:color w:val="auto"/>
              </w:rPr>
              <w:t>2,817</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2,463</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2,852</w:t>
            </w:r>
          </w:p>
        </w:tc>
        <w:tc>
          <w:tcPr>
            <w:tcW w:w="0" w:type="dxa"/>
            <w:vAlign w:val="bottom"/>
          </w:tcPr>
          <w:p>
            <w:pPr>
              <w:spacing w:after="0"/>
              <w:rPr>
                <w:sz w:val="1"/>
                <w:szCs w:val="1"/>
                <w:color w:val="auto"/>
              </w:rPr>
            </w:pPr>
          </w:p>
        </w:tc>
      </w:tr>
      <w:tr>
        <w:trPr>
          <w:trHeight w:val="235"/>
        </w:trPr>
        <w:tc>
          <w:tcPr>
            <w:tcW w:w="3380" w:type="dxa"/>
            <w:vAlign w:val="bottom"/>
          </w:tcPr>
          <w:p>
            <w:pPr>
              <w:spacing w:after="0"/>
              <w:rPr>
                <w:sz w:val="20"/>
                <w:szCs w:val="20"/>
                <w:color w:val="auto"/>
              </w:rPr>
            </w:pPr>
            <w:r>
              <w:rPr>
                <w:rFonts w:ascii="Arial" w:cs="Arial" w:eastAsia="Arial" w:hAnsi="Arial"/>
                <w:sz w:val="16"/>
                <w:szCs w:val="16"/>
                <w:color w:val="auto"/>
              </w:rPr>
              <w:t>Embedded derivative adjustment (c)</w:t>
            </w:r>
          </w:p>
        </w:tc>
        <w:tc>
          <w:tcPr>
            <w:tcW w:w="2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122"/>
              <w:spacing w:after="0"/>
              <w:rPr>
                <w:sz w:val="20"/>
                <w:szCs w:val="20"/>
                <w:color w:val="auto"/>
              </w:rPr>
            </w:pPr>
            <w:r>
              <w:rPr>
                <w:rFonts w:ascii="Arial" w:cs="Arial" w:eastAsia="Arial" w:hAnsi="Arial"/>
                <w:sz w:val="16"/>
                <w:szCs w:val="16"/>
                <w:color w:val="auto"/>
              </w:rPr>
              <w:t>219</w:t>
            </w:r>
          </w:p>
        </w:tc>
        <w:tc>
          <w:tcPr>
            <w:tcW w:w="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122"/>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122"/>
              <w:spacing w:after="0"/>
              <w:rPr>
                <w:sz w:val="20"/>
                <w:szCs w:val="20"/>
                <w:color w:val="auto"/>
              </w:rPr>
            </w:pPr>
            <w:r>
              <w:rPr>
                <w:rFonts w:ascii="Arial" w:cs="Arial" w:eastAsia="Arial" w:hAnsi="Arial"/>
                <w:sz w:val="16"/>
                <w:szCs w:val="16"/>
                <w:color w:val="auto"/>
              </w:rPr>
              <w:t>79</w:t>
            </w:r>
          </w:p>
        </w:tc>
        <w:tc>
          <w:tcPr>
            <w:tcW w:w="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3380" w:type="dxa"/>
            <w:vAlign w:val="bottom"/>
          </w:tcPr>
          <w:p>
            <w:pPr>
              <w:spacing w:after="0"/>
              <w:rPr>
                <w:sz w:val="20"/>
                <w:szCs w:val="20"/>
                <w:color w:val="auto"/>
              </w:rPr>
            </w:pPr>
            <w:r>
              <w:rPr>
                <w:rFonts w:ascii="Arial" w:cs="Arial" w:eastAsia="Arial" w:hAnsi="Arial"/>
                <w:sz w:val="16"/>
                <w:szCs w:val="16"/>
                <w:b w:val="1"/>
                <w:bCs w:val="1"/>
                <w:color w:val="auto"/>
              </w:rPr>
              <w:t>Gross liability, end of year</w:t>
            </w:r>
          </w:p>
        </w:tc>
        <w:tc>
          <w:tcPr>
            <w:tcW w:w="240" w:type="dxa"/>
            <w:vAlign w:val="bottom"/>
          </w:tcPr>
          <w:p>
            <w:pPr>
              <w:spacing w:after="0"/>
              <w:rPr>
                <w:sz w:val="18"/>
                <w:szCs w:val="18"/>
                <w:color w:val="auto"/>
              </w:rPr>
            </w:pPr>
          </w:p>
        </w:tc>
        <w:tc>
          <w:tcPr>
            <w:tcW w:w="1040" w:type="dxa"/>
            <w:vAlign w:val="bottom"/>
          </w:tcPr>
          <w:p>
            <w:pPr>
              <w:jc w:val="right"/>
              <w:ind w:right="122"/>
              <w:spacing w:after="0"/>
              <w:rPr>
                <w:sz w:val="20"/>
                <w:szCs w:val="20"/>
                <w:color w:val="auto"/>
              </w:rPr>
            </w:pPr>
            <w:r>
              <w:rPr>
                <w:rFonts w:ascii="Arial" w:cs="Arial" w:eastAsia="Arial" w:hAnsi="Arial"/>
                <w:sz w:val="16"/>
                <w:szCs w:val="16"/>
                <w:color w:val="auto"/>
              </w:rPr>
              <w:t>30,454</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jc w:val="right"/>
              <w:ind w:right="122"/>
              <w:spacing w:after="0"/>
              <w:rPr>
                <w:sz w:val="20"/>
                <w:szCs w:val="20"/>
                <w:color w:val="auto"/>
              </w:rPr>
            </w:pPr>
            <w:r>
              <w:rPr>
                <w:rFonts w:ascii="Arial" w:cs="Arial" w:eastAsia="Arial" w:hAnsi="Arial"/>
                <w:sz w:val="16"/>
                <w:szCs w:val="16"/>
                <w:color w:val="auto"/>
              </w:rPr>
              <w:t>17,442</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right"/>
              <w:ind w:right="122"/>
              <w:spacing w:after="0"/>
              <w:rPr>
                <w:sz w:val="20"/>
                <w:szCs w:val="20"/>
                <w:color w:val="auto"/>
              </w:rPr>
            </w:pPr>
            <w:r>
              <w:rPr>
                <w:rFonts w:ascii="Arial" w:cs="Arial" w:eastAsia="Arial" w:hAnsi="Arial"/>
                <w:sz w:val="16"/>
                <w:szCs w:val="16"/>
                <w:color w:val="auto"/>
              </w:rPr>
              <w:t>2,896</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2,463</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2,852</w:t>
            </w:r>
          </w:p>
        </w:tc>
        <w:tc>
          <w:tcPr>
            <w:tcW w:w="0" w:type="dxa"/>
            <w:vAlign w:val="bottom"/>
          </w:tcPr>
          <w:p>
            <w:pPr>
              <w:spacing w:after="0"/>
              <w:rPr>
                <w:sz w:val="1"/>
                <w:szCs w:val="1"/>
                <w:color w:val="auto"/>
              </w:rPr>
            </w:pPr>
          </w:p>
        </w:tc>
      </w:tr>
      <w:tr>
        <w:trPr>
          <w:trHeight w:val="235"/>
        </w:trPr>
        <w:tc>
          <w:tcPr>
            <w:tcW w:w="3380" w:type="dxa"/>
            <w:vAlign w:val="bottom"/>
          </w:tcPr>
          <w:p>
            <w:pPr>
              <w:spacing w:after="0"/>
              <w:rPr>
                <w:sz w:val="20"/>
                <w:szCs w:val="20"/>
                <w:color w:val="auto"/>
              </w:rPr>
            </w:pPr>
            <w:r>
              <w:rPr>
                <w:rFonts w:ascii="Arial" w:cs="Arial" w:eastAsia="Arial" w:hAnsi="Arial"/>
                <w:sz w:val="16"/>
                <w:szCs w:val="16"/>
                <w:color w:val="auto"/>
              </w:rPr>
              <w:t>Less: Reinsurance recoverable</w:t>
            </w:r>
          </w:p>
        </w:tc>
        <w:tc>
          <w:tcPr>
            <w:tcW w:w="2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122"/>
              <w:spacing w:after="0"/>
              <w:rPr>
                <w:sz w:val="20"/>
                <w:szCs w:val="20"/>
                <w:color w:val="auto"/>
              </w:rPr>
            </w:pPr>
            <w:r>
              <w:rPr>
                <w:rFonts w:ascii="Arial" w:cs="Arial" w:eastAsia="Arial" w:hAnsi="Arial"/>
                <w:sz w:val="16"/>
                <w:szCs w:val="16"/>
                <w:color w:val="auto"/>
              </w:rPr>
              <w:t>861</w:t>
            </w:r>
          </w:p>
        </w:tc>
        <w:tc>
          <w:tcPr>
            <w:tcW w:w="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122"/>
              <w:spacing w:after="0"/>
              <w:rPr>
                <w:sz w:val="20"/>
                <w:szCs w:val="20"/>
                <w:color w:val="auto"/>
              </w:rPr>
            </w:pPr>
            <w:r>
              <w:rPr>
                <w:rFonts w:ascii="Arial" w:cs="Arial" w:eastAsia="Arial" w:hAnsi="Arial"/>
                <w:sz w:val="16"/>
                <w:szCs w:val="16"/>
                <w:color w:val="auto"/>
              </w:rPr>
              <w:t>11,009</w:t>
            </w:r>
          </w:p>
        </w:tc>
        <w:tc>
          <w:tcPr>
            <w:tcW w:w="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122"/>
              <w:spacing w:after="0"/>
              <w:rPr>
                <w:sz w:val="20"/>
                <w:szCs w:val="20"/>
                <w:color w:val="auto"/>
              </w:rPr>
            </w:pPr>
            <w:r>
              <w:rPr>
                <w:rFonts w:ascii="Arial" w:cs="Arial" w:eastAsia="Arial" w:hAnsi="Arial"/>
                <w:sz w:val="16"/>
                <w:szCs w:val="16"/>
                <w:color w:val="auto"/>
              </w:rPr>
              <w:t>877</w:t>
            </w:r>
          </w:p>
        </w:tc>
        <w:tc>
          <w:tcPr>
            <w:tcW w:w="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3380" w:type="dxa"/>
            <w:vAlign w:val="bottom"/>
          </w:tcPr>
          <w:p>
            <w:pPr>
              <w:spacing w:after="0"/>
              <w:rPr>
                <w:sz w:val="20"/>
                <w:szCs w:val="20"/>
                <w:color w:val="auto"/>
              </w:rPr>
            </w:pPr>
            <w:r>
              <w:rPr>
                <w:rFonts w:ascii="Arial" w:cs="Arial" w:eastAsia="Arial" w:hAnsi="Arial"/>
                <w:sz w:val="16"/>
                <w:szCs w:val="16"/>
                <w:b w:val="1"/>
                <w:bCs w:val="1"/>
                <w:color w:val="auto"/>
              </w:rPr>
              <w:t>Net liability, after reinsurance</w:t>
            </w:r>
          </w:p>
        </w:tc>
        <w:tc>
          <w:tcPr>
            <w:tcW w:w="24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22"/>
              <w:spacing w:after="0"/>
              <w:rPr>
                <w:sz w:val="20"/>
                <w:szCs w:val="20"/>
                <w:color w:val="auto"/>
              </w:rPr>
            </w:pPr>
            <w:r>
              <w:rPr>
                <w:rFonts w:ascii="Arial" w:cs="Arial" w:eastAsia="Arial" w:hAnsi="Arial"/>
                <w:sz w:val="16"/>
                <w:szCs w:val="16"/>
                <w:color w:val="auto"/>
              </w:rPr>
              <w:t>29,593</w:t>
            </w:r>
          </w:p>
        </w:tc>
        <w:tc>
          <w:tcPr>
            <w:tcW w:w="26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122"/>
              <w:spacing w:after="0"/>
              <w:rPr>
                <w:sz w:val="20"/>
                <w:szCs w:val="20"/>
                <w:color w:val="auto"/>
              </w:rPr>
            </w:pPr>
            <w:r>
              <w:rPr>
                <w:rFonts w:ascii="Arial" w:cs="Arial" w:eastAsia="Arial" w:hAnsi="Arial"/>
                <w:sz w:val="16"/>
                <w:szCs w:val="16"/>
                <w:color w:val="auto"/>
              </w:rPr>
              <w:t>6,433</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122"/>
              <w:spacing w:after="0"/>
              <w:rPr>
                <w:sz w:val="20"/>
                <w:szCs w:val="20"/>
                <w:color w:val="auto"/>
              </w:rPr>
            </w:pPr>
            <w:r>
              <w:rPr>
                <w:rFonts w:ascii="Arial" w:cs="Arial" w:eastAsia="Arial" w:hAnsi="Arial"/>
                <w:sz w:val="16"/>
                <w:szCs w:val="16"/>
                <w:color w:val="auto"/>
              </w:rPr>
              <w:t>2,019</w:t>
            </w:r>
          </w:p>
        </w:tc>
        <w:tc>
          <w:tcPr>
            <w:tcW w:w="2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2,463</w:t>
            </w:r>
          </w:p>
        </w:tc>
        <w:tc>
          <w:tcPr>
            <w:tcW w:w="28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2,852</w:t>
            </w:r>
          </w:p>
        </w:tc>
        <w:tc>
          <w:tcPr>
            <w:tcW w:w="0" w:type="dxa"/>
            <w:vAlign w:val="bottom"/>
          </w:tcPr>
          <w:p>
            <w:pPr>
              <w:spacing w:after="0"/>
              <w:rPr>
                <w:sz w:val="1"/>
                <w:szCs w:val="1"/>
                <w:color w:val="auto"/>
              </w:rPr>
            </w:pPr>
          </w:p>
        </w:tc>
      </w:tr>
      <w:tr>
        <w:trPr>
          <w:trHeight w:val="20"/>
        </w:trPr>
        <w:tc>
          <w:tcPr>
            <w:tcW w:w="33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8"/>
        </w:trPr>
        <w:tc>
          <w:tcPr>
            <w:tcW w:w="3380" w:type="dxa"/>
            <w:vAlign w:val="bottom"/>
          </w:tcPr>
          <w:p>
            <w:pPr>
              <w:spacing w:after="0"/>
              <w:rPr>
                <w:sz w:val="20"/>
                <w:szCs w:val="20"/>
                <w:color w:val="auto"/>
              </w:rPr>
            </w:pPr>
            <w:r>
              <w:rPr>
                <w:rFonts w:ascii="Arial" w:cs="Arial" w:eastAsia="Arial" w:hAnsi="Arial"/>
                <w:sz w:val="16"/>
                <w:szCs w:val="16"/>
                <w:color w:val="auto"/>
              </w:rPr>
              <w:t>Weighted-average crediting rate</w:t>
            </w:r>
          </w:p>
        </w:tc>
        <w:tc>
          <w:tcPr>
            <w:tcW w:w="24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2.90 %</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4.42 %</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6.20 %</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N/A</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235"/>
        </w:trPr>
        <w:tc>
          <w:tcPr>
            <w:tcW w:w="3380" w:type="dxa"/>
            <w:vAlign w:val="bottom"/>
          </w:tcPr>
          <w:p>
            <w:pPr>
              <w:spacing w:after="0"/>
              <w:rPr>
                <w:sz w:val="20"/>
                <w:szCs w:val="20"/>
                <w:color w:val="auto"/>
              </w:rPr>
            </w:pPr>
            <w:r>
              <w:rPr>
                <w:rFonts w:ascii="Arial" w:cs="Arial" w:eastAsia="Arial" w:hAnsi="Arial"/>
                <w:sz w:val="16"/>
                <w:szCs w:val="16"/>
                <w:color w:val="auto"/>
              </w:rPr>
              <w:t>Net amount at risk (d)</w:t>
            </w:r>
          </w:p>
        </w:tc>
        <w:tc>
          <w:tcPr>
            <w:tcW w:w="2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N/A</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N/A</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122"/>
              <w:spacing w:after="0"/>
              <w:rPr>
                <w:sz w:val="20"/>
                <w:szCs w:val="20"/>
                <w:color w:val="auto"/>
              </w:rPr>
            </w:pPr>
            <w:r>
              <w:rPr>
                <w:rFonts w:ascii="Arial" w:cs="Arial" w:eastAsia="Arial" w:hAnsi="Arial"/>
                <w:sz w:val="16"/>
                <w:szCs w:val="16"/>
                <w:color w:val="auto"/>
              </w:rPr>
              <w:t>74,279</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N/A</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235"/>
        </w:trPr>
        <w:tc>
          <w:tcPr>
            <w:tcW w:w="3380" w:type="dxa"/>
            <w:vAlign w:val="bottom"/>
          </w:tcPr>
          <w:p>
            <w:pPr>
              <w:spacing w:after="0"/>
              <w:rPr>
                <w:sz w:val="20"/>
                <w:szCs w:val="20"/>
                <w:color w:val="auto"/>
              </w:rPr>
            </w:pPr>
            <w:r>
              <w:rPr>
                <w:rFonts w:ascii="Arial" w:cs="Arial" w:eastAsia="Arial" w:hAnsi="Arial"/>
                <w:sz w:val="16"/>
                <w:szCs w:val="16"/>
                <w:color w:val="auto"/>
              </w:rPr>
              <w:t>Cash surrender value (e)</w:t>
            </w:r>
          </w:p>
        </w:tc>
        <w:tc>
          <w:tcPr>
            <w:tcW w:w="24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22"/>
              <w:spacing w:after="0"/>
              <w:rPr>
                <w:sz w:val="20"/>
                <w:szCs w:val="20"/>
                <w:color w:val="auto"/>
              </w:rPr>
            </w:pPr>
            <w:r>
              <w:rPr>
                <w:rFonts w:ascii="Arial" w:cs="Arial" w:eastAsia="Arial" w:hAnsi="Arial"/>
                <w:sz w:val="16"/>
                <w:szCs w:val="16"/>
                <w:color w:val="auto"/>
              </w:rPr>
              <w:t>27,865</w:t>
            </w:r>
          </w:p>
        </w:tc>
        <w:tc>
          <w:tcPr>
            <w:tcW w:w="26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122"/>
              <w:spacing w:after="0"/>
              <w:rPr>
                <w:sz w:val="20"/>
                <w:szCs w:val="20"/>
                <w:color w:val="auto"/>
              </w:rPr>
            </w:pPr>
            <w:r>
              <w:rPr>
                <w:rFonts w:ascii="Arial" w:cs="Arial" w:eastAsia="Arial" w:hAnsi="Arial"/>
                <w:sz w:val="16"/>
                <w:szCs w:val="16"/>
                <w:color w:val="auto"/>
              </w:rPr>
              <w:t>16,266</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122"/>
              <w:spacing w:after="0"/>
              <w:rPr>
                <w:sz w:val="20"/>
                <w:szCs w:val="20"/>
                <w:color w:val="auto"/>
              </w:rPr>
            </w:pPr>
            <w:r>
              <w:rPr>
                <w:rFonts w:ascii="Arial" w:cs="Arial" w:eastAsia="Arial" w:hAnsi="Arial"/>
                <w:sz w:val="16"/>
                <w:szCs w:val="16"/>
                <w:color w:val="auto"/>
              </w:rPr>
              <w:t>2,177</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N/A</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-2565400</wp:posOffset>
            </wp:positionV>
            <wp:extent cx="6410325" cy="258318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163">
                      <a:extLst>
                        <a:ext uri="{28A0092B-C50C-407E-A947-70E740481C1C}"/>
                      </a:extLst>
                    </a:blip>
                    <a:srcRect/>
                    <a:stretch>
                      <a:fillRect/>
                    </a:stretch>
                  </pic:blipFill>
                  <pic:spPr bwMode="auto">
                    <a:xfrm>
                      <a:off x="0" y="0"/>
                      <a:ext cx="6410325" cy="2583180"/>
                    </a:xfrm>
                    <a:prstGeom prst="rect">
                      <a:avLst/>
                    </a:prstGeom>
                    <a:noFill/>
                  </pic:spPr>
                </pic:pic>
              </a:graphicData>
            </a:graphic>
          </wp:anchor>
        </w:drawing>
      </w:r>
    </w:p>
    <w:p>
      <w:pPr>
        <w:spacing w:after="0" w:line="40" w:lineRule="exact"/>
        <w:rPr>
          <w:sz w:val="20"/>
          <w:szCs w:val="20"/>
          <w:color w:val="auto"/>
        </w:rPr>
      </w:pPr>
    </w:p>
    <w:p>
      <w:pPr>
        <w:ind w:left="347" w:hanging="347"/>
        <w:spacing w:after="0"/>
        <w:tabs>
          <w:tab w:leader="none" w:pos="347" w:val="left"/>
        </w:tabs>
        <w:numPr>
          <w:ilvl w:val="0"/>
          <w:numId w:val="64"/>
        </w:numPr>
        <w:rPr>
          <w:rFonts w:ascii="Arial" w:cs="Arial" w:eastAsia="Arial" w:hAnsi="Arial"/>
          <w:sz w:val="15"/>
          <w:szCs w:val="15"/>
          <w:color w:val="auto"/>
        </w:rPr>
      </w:pPr>
      <w:r>
        <w:rPr>
          <w:rFonts w:ascii="Arial" w:cs="Arial" w:eastAsia="Arial" w:hAnsi="Arial"/>
          <w:sz w:val="15"/>
          <w:szCs w:val="15"/>
          <w:color w:val="auto"/>
        </w:rPr>
        <w:t>Contracts included in the contractholder funds are generally charged a premium and/or monthly assessments on the basis of the account balance.</w:t>
      </w:r>
    </w:p>
    <w:p>
      <w:pPr>
        <w:spacing w:after="0" w:line="18" w:lineRule="exact"/>
        <w:rPr>
          <w:rFonts w:ascii="Arial" w:cs="Arial" w:eastAsia="Arial" w:hAnsi="Arial"/>
          <w:sz w:val="15"/>
          <w:szCs w:val="15"/>
          <w:color w:val="auto"/>
        </w:rPr>
      </w:pPr>
    </w:p>
    <w:p>
      <w:pPr>
        <w:jc w:val="both"/>
        <w:ind w:left="347" w:hanging="347"/>
        <w:spacing w:after="0" w:line="245" w:lineRule="auto"/>
        <w:tabs>
          <w:tab w:leader="none" w:pos="347" w:val="left"/>
        </w:tabs>
        <w:numPr>
          <w:ilvl w:val="0"/>
          <w:numId w:val="64"/>
        </w:numPr>
        <w:rPr>
          <w:rFonts w:ascii="Arial" w:cs="Arial" w:eastAsia="Arial" w:hAnsi="Arial"/>
          <w:sz w:val="15"/>
          <w:szCs w:val="15"/>
          <w:color w:val="auto"/>
        </w:rPr>
      </w:pPr>
      <w:r>
        <w:rPr>
          <w:rFonts w:ascii="Arial" w:cs="Arial" w:eastAsia="Arial" w:hAnsi="Arial"/>
          <w:sz w:val="15"/>
          <w:szCs w:val="15"/>
          <w:color w:val="auto"/>
        </w:rPr>
        <w:t>FABN and FHLB are considered funding agreements that are investment contracts which follow the interest method of accounting, and therefore are not subject to ASU 2018-12 disclosure requirements. However, the Company has elected to present the liability for these agreements within the disaggregated roll forward as we believe it will provide meaningful information for users of the financials.</w:t>
      </w:r>
    </w:p>
    <w:p>
      <w:pPr>
        <w:ind w:left="347" w:right="20" w:hanging="347"/>
        <w:spacing w:after="0" w:line="245" w:lineRule="auto"/>
        <w:tabs>
          <w:tab w:leader="none" w:pos="347" w:val="left"/>
        </w:tabs>
        <w:numPr>
          <w:ilvl w:val="0"/>
          <w:numId w:val="64"/>
        </w:numPr>
        <w:rPr>
          <w:rFonts w:ascii="Arial" w:cs="Arial" w:eastAsia="Arial" w:hAnsi="Arial"/>
          <w:sz w:val="15"/>
          <w:szCs w:val="15"/>
          <w:color w:val="auto"/>
        </w:rPr>
      </w:pPr>
      <w:r>
        <w:rPr>
          <w:rFonts w:ascii="Arial" w:cs="Arial" w:eastAsia="Arial" w:hAnsi="Arial"/>
          <w:sz w:val="15"/>
          <w:szCs w:val="15"/>
          <w:color w:val="auto"/>
        </w:rPr>
        <w:t>The embedded derivative adjustment reconciles the account balance to the gross GAAP liability and represents the combination of the host contract and the fair value of the embedded derivatives.</w:t>
      </w:r>
    </w:p>
    <w:p>
      <w:pPr>
        <w:ind w:left="347" w:right="20" w:hanging="347"/>
        <w:spacing w:after="0" w:line="245" w:lineRule="auto"/>
        <w:tabs>
          <w:tab w:leader="none" w:pos="347" w:val="left"/>
        </w:tabs>
        <w:numPr>
          <w:ilvl w:val="0"/>
          <w:numId w:val="64"/>
        </w:numPr>
        <w:rPr>
          <w:rFonts w:ascii="Arial" w:cs="Arial" w:eastAsia="Arial" w:hAnsi="Arial"/>
          <w:sz w:val="15"/>
          <w:szCs w:val="15"/>
          <w:color w:val="auto"/>
        </w:rPr>
      </w:pPr>
      <w:r>
        <w:rPr>
          <w:rFonts w:ascii="Arial" w:cs="Arial" w:eastAsia="Arial" w:hAnsi="Arial"/>
          <w:sz w:val="15"/>
          <w:szCs w:val="15"/>
          <w:color w:val="auto"/>
        </w:rPr>
        <w:t>For those guarantees of benefits that are payable in the event of death, the net amount at risk is generally defined as the current guaranteed minimum death benefit in excess of the current account balance at the balance sheet date.</w:t>
      </w:r>
    </w:p>
    <w:p>
      <w:pPr>
        <w:ind w:left="347" w:hanging="347"/>
        <w:spacing w:after="0"/>
        <w:tabs>
          <w:tab w:leader="none" w:pos="347" w:val="left"/>
        </w:tabs>
        <w:numPr>
          <w:ilvl w:val="0"/>
          <w:numId w:val="64"/>
        </w:numPr>
        <w:rPr>
          <w:rFonts w:ascii="Arial" w:cs="Arial" w:eastAsia="Arial" w:hAnsi="Arial"/>
          <w:sz w:val="15"/>
          <w:szCs w:val="15"/>
          <w:color w:val="auto"/>
        </w:rPr>
      </w:pPr>
      <w:r>
        <w:rPr>
          <w:rFonts w:ascii="Arial" w:cs="Arial" w:eastAsia="Arial" w:hAnsi="Arial"/>
          <w:sz w:val="15"/>
          <w:szCs w:val="15"/>
          <w:color w:val="auto"/>
        </w:rPr>
        <w:t>These amounts are gross of reinsurance.</w:t>
      </w:r>
    </w:p>
    <w:p>
      <w:pPr>
        <w:spacing w:after="0" w:line="130" w:lineRule="exact"/>
        <w:rPr>
          <w:sz w:val="20"/>
          <w:szCs w:val="20"/>
          <w:color w:val="auto"/>
        </w:rPr>
      </w:pPr>
    </w:p>
    <w:p>
      <w:pPr>
        <w:ind w:left="347"/>
        <w:spacing w:after="0"/>
        <w:rPr>
          <w:sz w:val="20"/>
          <w:szCs w:val="20"/>
          <w:color w:val="auto"/>
        </w:rPr>
      </w:pPr>
      <w:r>
        <w:rPr>
          <w:rFonts w:ascii="Arial" w:cs="Arial" w:eastAsia="Arial" w:hAnsi="Arial"/>
          <w:sz w:val="19"/>
          <w:szCs w:val="19"/>
          <w:color w:val="auto"/>
        </w:rPr>
        <w:t>The following table reconciles contractholder funds’ account balances to the contractholder funds liability in the</w:t>
      </w:r>
    </w:p>
    <w:p>
      <w:pPr>
        <w:spacing w:after="0" w:line="36" w:lineRule="exact"/>
        <w:rPr>
          <w:sz w:val="20"/>
          <w:szCs w:val="20"/>
          <w:color w:val="auto"/>
        </w:rPr>
      </w:pPr>
    </w:p>
    <w:p>
      <w:pPr>
        <w:ind w:left="7"/>
        <w:spacing w:after="0"/>
        <w:rPr>
          <w:sz w:val="20"/>
          <w:szCs w:val="20"/>
          <w:color w:val="auto"/>
        </w:rPr>
      </w:pPr>
      <w:r>
        <w:rPr>
          <w:rFonts w:ascii="Arial" w:cs="Arial" w:eastAsia="Arial" w:hAnsi="Arial"/>
          <w:sz w:val="20"/>
          <w:szCs w:val="20"/>
          <w:color w:val="auto"/>
        </w:rPr>
        <w:t>Consolidated Balance Sheets:</w:t>
      </w:r>
    </w:p>
    <w:p>
      <w:pPr>
        <w:spacing w:after="0" w:line="184" w:lineRule="exact"/>
        <w:rPr>
          <w:sz w:val="20"/>
          <w:szCs w:val="20"/>
          <w:color w:val="auto"/>
        </w:rPr>
      </w:pPr>
    </w:p>
    <w:tbl>
      <w:tblPr>
        <w:tblLayout w:type="fixed"/>
        <w:tblInd w:w="47" w:type="dxa"/>
        <w:tblCellMar>
          <w:top w:w="0" w:type="dxa"/>
          <w:left w:w="0" w:type="dxa"/>
          <w:bottom w:w="0" w:type="dxa"/>
          <w:right w:w="0" w:type="dxa"/>
        </w:tblCellMar>
      </w:tblPr>
      <w:tr>
        <w:trPr>
          <w:trHeight w:val="205"/>
        </w:trPr>
        <w:tc>
          <w:tcPr>
            <w:tcW w:w="69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160" w:type="dxa"/>
            <w:vAlign w:val="bottom"/>
            <w:gridSpan w:val="3"/>
          </w:tcPr>
          <w:p>
            <w:pPr>
              <w:jc w:val="right"/>
              <w:ind w:right="80"/>
              <w:spacing w:after="0"/>
              <w:rPr>
                <w:sz w:val="20"/>
                <w:szCs w:val="20"/>
                <w:color w:val="auto"/>
              </w:rPr>
            </w:pPr>
            <w:r>
              <w:rPr>
                <w:rFonts w:ascii="Arial" w:cs="Arial" w:eastAsia="Arial" w:hAnsi="Arial"/>
                <w:sz w:val="16"/>
                <w:szCs w:val="16"/>
                <w:b w:val="1"/>
                <w:bCs w:val="1"/>
                <w:color w:val="auto"/>
              </w:rPr>
              <w:t>December 31,</w:t>
            </w:r>
          </w:p>
        </w:tc>
        <w:tc>
          <w:tcPr>
            <w:tcW w:w="1020" w:type="dxa"/>
            <w:vAlign w:val="bottom"/>
          </w:tcPr>
          <w:p>
            <w:pPr>
              <w:spacing w:after="0"/>
              <w:rPr>
                <w:sz w:val="17"/>
                <w:szCs w:val="17"/>
                <w:color w:val="auto"/>
              </w:rPr>
            </w:pPr>
          </w:p>
        </w:tc>
      </w:tr>
      <w:tr>
        <w:trPr>
          <w:trHeight w:val="215"/>
        </w:trPr>
        <w:tc>
          <w:tcPr>
            <w:tcW w:w="6900" w:type="dxa"/>
            <w:vAlign w:val="bottom"/>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2025</w:t>
            </w:r>
          </w:p>
        </w:tc>
        <w:tc>
          <w:tcPr>
            <w:tcW w:w="540" w:type="dxa"/>
            <w:vAlign w:val="bottom"/>
            <w:tcBorders>
              <w:top w:val="single" w:sz="8" w:color="auto"/>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56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542"/>
              <w:spacing w:after="0"/>
              <w:rPr>
                <w:sz w:val="20"/>
                <w:szCs w:val="20"/>
                <w:color w:val="auto"/>
              </w:rPr>
            </w:pPr>
            <w:r>
              <w:rPr>
                <w:rFonts w:ascii="Arial" w:cs="Arial" w:eastAsia="Arial" w:hAnsi="Arial"/>
                <w:sz w:val="16"/>
                <w:szCs w:val="16"/>
                <w:b w:val="1"/>
                <w:bCs w:val="1"/>
                <w:color w:val="auto"/>
              </w:rPr>
              <w:t>2024</w:t>
            </w:r>
          </w:p>
        </w:tc>
      </w:tr>
      <w:tr>
        <w:trPr>
          <w:trHeight w:val="208"/>
        </w:trPr>
        <w:tc>
          <w:tcPr>
            <w:tcW w:w="69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160" w:type="dxa"/>
            <w:vAlign w:val="bottom"/>
            <w:gridSpan w:val="3"/>
          </w:tcPr>
          <w:p>
            <w:pPr>
              <w:jc w:val="right"/>
              <w:ind w:right="100"/>
              <w:spacing w:after="0"/>
              <w:rPr>
                <w:sz w:val="20"/>
                <w:szCs w:val="20"/>
                <w:color w:val="auto"/>
              </w:rPr>
            </w:pPr>
            <w:r>
              <w:rPr>
                <w:rFonts w:ascii="Arial" w:cs="Arial" w:eastAsia="Arial" w:hAnsi="Arial"/>
                <w:sz w:val="16"/>
                <w:szCs w:val="16"/>
                <w:b w:val="1"/>
                <w:bCs w:val="1"/>
                <w:color w:val="auto"/>
              </w:rPr>
              <w:t>(In millions)</w:t>
            </w:r>
          </w:p>
        </w:tc>
        <w:tc>
          <w:tcPr>
            <w:tcW w:w="1020" w:type="dxa"/>
            <w:vAlign w:val="bottom"/>
          </w:tcPr>
          <w:p>
            <w:pPr>
              <w:spacing w:after="0"/>
              <w:rPr>
                <w:sz w:val="18"/>
                <w:szCs w:val="18"/>
                <w:color w:val="auto"/>
              </w:rPr>
            </w:pPr>
          </w:p>
        </w:tc>
      </w:tr>
      <w:tr>
        <w:trPr>
          <w:trHeight w:val="245"/>
        </w:trPr>
        <w:tc>
          <w:tcPr>
            <w:tcW w:w="6900" w:type="dxa"/>
            <w:vAlign w:val="bottom"/>
          </w:tcPr>
          <w:p>
            <w:pPr>
              <w:spacing w:after="0"/>
              <w:rPr>
                <w:sz w:val="20"/>
                <w:szCs w:val="20"/>
                <w:color w:val="auto"/>
              </w:rPr>
            </w:pPr>
            <w:r>
              <w:rPr>
                <w:rFonts w:ascii="Arial" w:cs="Arial" w:eastAsia="Arial" w:hAnsi="Arial"/>
                <w:sz w:val="16"/>
                <w:szCs w:val="16"/>
                <w:color w:val="auto"/>
              </w:rPr>
              <w:t>Indexed annuities</w:t>
            </w:r>
          </w:p>
        </w:tc>
        <w:tc>
          <w:tcPr>
            <w:tcW w:w="920" w:type="dxa"/>
            <w:vAlign w:val="bottom"/>
          </w:tcPr>
          <w:p>
            <w:pPr>
              <w:jc w:val="right"/>
              <w:ind w:right="722"/>
              <w:spacing w:after="0"/>
              <w:rPr>
                <w:sz w:val="20"/>
                <w:szCs w:val="20"/>
                <w:color w:val="auto"/>
              </w:rPr>
            </w:pPr>
            <w:r>
              <w:rPr>
                <w:rFonts w:ascii="Arial" w:cs="Arial" w:eastAsia="Arial" w:hAnsi="Arial"/>
                <w:sz w:val="16"/>
                <w:szCs w:val="16"/>
                <w:color w:val="auto"/>
              </w:rPr>
              <w:t>$</w:t>
            </w:r>
          </w:p>
        </w:tc>
        <w:tc>
          <w:tcPr>
            <w:tcW w:w="540" w:type="dxa"/>
            <w:vAlign w:val="bottom"/>
          </w:tcPr>
          <w:p>
            <w:pPr>
              <w:jc w:val="right"/>
              <w:spacing w:after="0"/>
              <w:rPr>
                <w:sz w:val="20"/>
                <w:szCs w:val="20"/>
                <w:color w:val="auto"/>
              </w:rPr>
            </w:pPr>
            <w:r>
              <w:rPr>
                <w:rFonts w:ascii="Arial" w:cs="Arial" w:eastAsia="Arial" w:hAnsi="Arial"/>
                <w:sz w:val="16"/>
                <w:szCs w:val="16"/>
                <w:color w:val="auto"/>
                <w:w w:val="93"/>
              </w:rPr>
              <w:t>33,547</w:t>
            </w:r>
          </w:p>
        </w:tc>
        <w:tc>
          <w:tcPr>
            <w:tcW w:w="620" w:type="dxa"/>
            <w:vAlign w:val="bottom"/>
            <w:gridSpan w:val="2"/>
          </w:tcPr>
          <w:p>
            <w:pPr>
              <w:jc w:val="right"/>
              <w:ind w:right="440"/>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30,454</w:t>
            </w:r>
          </w:p>
        </w:tc>
      </w:tr>
      <w:tr>
        <w:trPr>
          <w:trHeight w:val="235"/>
        </w:trPr>
        <w:tc>
          <w:tcPr>
            <w:tcW w:w="6900" w:type="dxa"/>
            <w:vAlign w:val="bottom"/>
          </w:tcPr>
          <w:p>
            <w:pPr>
              <w:spacing w:after="0"/>
              <w:rPr>
                <w:sz w:val="20"/>
                <w:szCs w:val="20"/>
                <w:color w:val="auto"/>
              </w:rPr>
            </w:pPr>
            <w:r>
              <w:rPr>
                <w:rFonts w:ascii="Arial" w:cs="Arial" w:eastAsia="Arial" w:hAnsi="Arial"/>
                <w:sz w:val="16"/>
                <w:szCs w:val="16"/>
                <w:color w:val="auto"/>
              </w:rPr>
              <w:t>Fixed rate annuities</w:t>
            </w:r>
          </w:p>
        </w:tc>
        <w:tc>
          <w:tcPr>
            <w:tcW w:w="92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w w:val="93"/>
              </w:rPr>
              <w:t>19,267</w:t>
            </w:r>
          </w:p>
        </w:tc>
        <w:tc>
          <w:tcPr>
            <w:tcW w:w="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17,442</w:t>
            </w:r>
          </w:p>
        </w:tc>
      </w:tr>
      <w:tr>
        <w:trPr>
          <w:trHeight w:val="235"/>
        </w:trPr>
        <w:tc>
          <w:tcPr>
            <w:tcW w:w="6900" w:type="dxa"/>
            <w:vAlign w:val="bottom"/>
          </w:tcPr>
          <w:p>
            <w:pPr>
              <w:spacing w:after="0"/>
              <w:rPr>
                <w:sz w:val="20"/>
                <w:szCs w:val="20"/>
                <w:color w:val="auto"/>
              </w:rPr>
            </w:pPr>
            <w:r>
              <w:rPr>
                <w:rFonts w:ascii="Arial" w:cs="Arial" w:eastAsia="Arial" w:hAnsi="Arial"/>
                <w:sz w:val="16"/>
                <w:szCs w:val="16"/>
                <w:color w:val="auto"/>
              </w:rPr>
              <w:t>Immediate annuities</w:t>
            </w:r>
          </w:p>
        </w:tc>
        <w:tc>
          <w:tcPr>
            <w:tcW w:w="92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262</w:t>
            </w:r>
          </w:p>
        </w:tc>
        <w:tc>
          <w:tcPr>
            <w:tcW w:w="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286</w:t>
            </w:r>
          </w:p>
        </w:tc>
      </w:tr>
      <w:tr>
        <w:trPr>
          <w:trHeight w:val="235"/>
        </w:trPr>
        <w:tc>
          <w:tcPr>
            <w:tcW w:w="6900" w:type="dxa"/>
            <w:vAlign w:val="bottom"/>
          </w:tcPr>
          <w:p>
            <w:pPr>
              <w:spacing w:after="0"/>
              <w:rPr>
                <w:sz w:val="20"/>
                <w:szCs w:val="20"/>
                <w:color w:val="auto"/>
              </w:rPr>
            </w:pPr>
            <w:r>
              <w:rPr>
                <w:rFonts w:ascii="Arial" w:cs="Arial" w:eastAsia="Arial" w:hAnsi="Arial"/>
                <w:sz w:val="16"/>
                <w:szCs w:val="16"/>
                <w:color w:val="auto"/>
              </w:rPr>
              <w:t>Universal life</w:t>
            </w:r>
          </w:p>
        </w:tc>
        <w:tc>
          <w:tcPr>
            <w:tcW w:w="92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3,407</w:t>
            </w:r>
          </w:p>
        </w:tc>
        <w:tc>
          <w:tcPr>
            <w:tcW w:w="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2,896</w:t>
            </w:r>
          </w:p>
        </w:tc>
      </w:tr>
      <w:tr>
        <w:trPr>
          <w:trHeight w:val="235"/>
        </w:trPr>
        <w:tc>
          <w:tcPr>
            <w:tcW w:w="6900" w:type="dxa"/>
            <w:vAlign w:val="bottom"/>
          </w:tcPr>
          <w:p>
            <w:pPr>
              <w:spacing w:after="0"/>
              <w:rPr>
                <w:sz w:val="20"/>
                <w:szCs w:val="20"/>
                <w:color w:val="auto"/>
              </w:rPr>
            </w:pPr>
            <w:r>
              <w:rPr>
                <w:rFonts w:ascii="Arial" w:cs="Arial" w:eastAsia="Arial" w:hAnsi="Arial"/>
                <w:sz w:val="16"/>
                <w:szCs w:val="16"/>
                <w:color w:val="auto"/>
              </w:rPr>
              <w:t>Traditional life</w:t>
            </w:r>
          </w:p>
        </w:tc>
        <w:tc>
          <w:tcPr>
            <w:tcW w:w="92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4</w:t>
            </w:r>
          </w:p>
        </w:tc>
        <w:tc>
          <w:tcPr>
            <w:tcW w:w="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w:t>
            </w:r>
          </w:p>
        </w:tc>
      </w:tr>
      <w:tr>
        <w:trPr>
          <w:trHeight w:val="235"/>
        </w:trPr>
        <w:tc>
          <w:tcPr>
            <w:tcW w:w="6900" w:type="dxa"/>
            <w:vAlign w:val="bottom"/>
          </w:tcPr>
          <w:p>
            <w:pPr>
              <w:spacing w:after="0"/>
              <w:rPr>
                <w:sz w:val="20"/>
                <w:szCs w:val="20"/>
                <w:color w:val="auto"/>
              </w:rPr>
            </w:pPr>
            <w:r>
              <w:rPr>
                <w:rFonts w:ascii="Arial" w:cs="Arial" w:eastAsia="Arial" w:hAnsi="Arial"/>
                <w:sz w:val="16"/>
                <w:szCs w:val="16"/>
                <w:color w:val="auto"/>
              </w:rPr>
              <w:t>FABN</w:t>
            </w:r>
          </w:p>
        </w:tc>
        <w:tc>
          <w:tcPr>
            <w:tcW w:w="92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3,335</w:t>
            </w:r>
          </w:p>
        </w:tc>
        <w:tc>
          <w:tcPr>
            <w:tcW w:w="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2,463</w:t>
            </w:r>
          </w:p>
        </w:tc>
      </w:tr>
      <w:tr>
        <w:trPr>
          <w:trHeight w:val="235"/>
        </w:trPr>
        <w:tc>
          <w:tcPr>
            <w:tcW w:w="6900" w:type="dxa"/>
            <w:vAlign w:val="bottom"/>
          </w:tcPr>
          <w:p>
            <w:pPr>
              <w:spacing w:after="0"/>
              <w:rPr>
                <w:sz w:val="20"/>
                <w:szCs w:val="20"/>
                <w:color w:val="auto"/>
              </w:rPr>
            </w:pPr>
            <w:r>
              <w:rPr>
                <w:rFonts w:ascii="Arial" w:cs="Arial" w:eastAsia="Arial" w:hAnsi="Arial"/>
                <w:sz w:val="16"/>
                <w:szCs w:val="16"/>
                <w:color w:val="auto"/>
              </w:rPr>
              <w:t>FHLB</w:t>
            </w:r>
          </w:p>
        </w:tc>
        <w:tc>
          <w:tcPr>
            <w:tcW w:w="92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2,898</w:t>
            </w:r>
          </w:p>
        </w:tc>
        <w:tc>
          <w:tcPr>
            <w:tcW w:w="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2,852</w:t>
            </w:r>
          </w:p>
        </w:tc>
      </w:tr>
      <w:tr>
        <w:trPr>
          <w:trHeight w:val="232"/>
        </w:trPr>
        <w:tc>
          <w:tcPr>
            <w:tcW w:w="6900" w:type="dxa"/>
            <w:vAlign w:val="bottom"/>
          </w:tcPr>
          <w:p>
            <w:pPr>
              <w:spacing w:after="0"/>
              <w:rPr>
                <w:sz w:val="20"/>
                <w:szCs w:val="20"/>
                <w:color w:val="auto"/>
              </w:rPr>
            </w:pPr>
            <w:r>
              <w:rPr>
                <w:rFonts w:ascii="Arial" w:cs="Arial" w:eastAsia="Arial" w:hAnsi="Arial"/>
                <w:sz w:val="16"/>
                <w:szCs w:val="16"/>
                <w:color w:val="auto"/>
              </w:rPr>
              <w:t>PRT</w:t>
            </w:r>
          </w:p>
        </w:tc>
        <w:tc>
          <w:tcPr>
            <w:tcW w:w="92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w:t>
            </w:r>
          </w:p>
        </w:tc>
        <w:tc>
          <w:tcPr>
            <w:tcW w:w="60" w:type="dxa"/>
            <w:vAlign w:val="bottom"/>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w:t>
            </w:r>
          </w:p>
        </w:tc>
      </w:tr>
      <w:tr>
        <w:trPr>
          <w:trHeight w:val="196"/>
        </w:trPr>
        <w:tc>
          <w:tcPr>
            <w:tcW w:w="6900" w:type="dxa"/>
            <w:vAlign w:val="bottom"/>
          </w:tcPr>
          <w:p>
            <w:pPr>
              <w:ind w:left="120"/>
              <w:spacing w:after="0"/>
              <w:rPr>
                <w:sz w:val="20"/>
                <w:szCs w:val="20"/>
                <w:color w:val="auto"/>
              </w:rPr>
            </w:pPr>
            <w:r>
              <w:rPr>
                <w:rFonts w:ascii="Arial" w:cs="Arial" w:eastAsia="Arial" w:hAnsi="Arial"/>
                <w:sz w:val="16"/>
                <w:szCs w:val="16"/>
                <w:b w:val="1"/>
                <w:bCs w:val="1"/>
                <w:color w:val="auto"/>
              </w:rPr>
              <w:t>Total</w:t>
            </w:r>
          </w:p>
        </w:tc>
        <w:tc>
          <w:tcPr>
            <w:tcW w:w="920" w:type="dxa"/>
            <w:vAlign w:val="bottom"/>
          </w:tcPr>
          <w:p>
            <w:pPr>
              <w:jc w:val="right"/>
              <w:ind w:right="722"/>
              <w:spacing w:after="0"/>
              <w:rPr>
                <w:sz w:val="20"/>
                <w:szCs w:val="20"/>
                <w:color w:val="auto"/>
              </w:rPr>
            </w:pPr>
            <w:r>
              <w:rPr>
                <w:rFonts w:ascii="Arial" w:cs="Arial" w:eastAsia="Arial" w:hAnsi="Arial"/>
                <w:sz w:val="16"/>
                <w:szCs w:val="16"/>
                <w:color w:val="auto"/>
              </w:rPr>
              <w:t>$</w:t>
            </w:r>
          </w:p>
        </w:tc>
        <w:tc>
          <w:tcPr>
            <w:tcW w:w="540" w:type="dxa"/>
            <w:vAlign w:val="bottom"/>
          </w:tcPr>
          <w:p>
            <w:pPr>
              <w:jc w:val="right"/>
              <w:spacing w:after="0"/>
              <w:rPr>
                <w:sz w:val="20"/>
                <w:szCs w:val="20"/>
                <w:color w:val="auto"/>
              </w:rPr>
            </w:pPr>
            <w:r>
              <w:rPr>
                <w:rFonts w:ascii="Arial" w:cs="Arial" w:eastAsia="Arial" w:hAnsi="Arial"/>
                <w:sz w:val="16"/>
                <w:szCs w:val="16"/>
                <w:color w:val="auto"/>
                <w:w w:val="93"/>
              </w:rPr>
              <w:t>62,726</w:t>
            </w:r>
          </w:p>
        </w:tc>
        <w:tc>
          <w:tcPr>
            <w:tcW w:w="620" w:type="dxa"/>
            <w:vAlign w:val="bottom"/>
            <w:gridSpan w:val="2"/>
          </w:tcPr>
          <w:p>
            <w:pPr>
              <w:jc w:val="right"/>
              <w:ind w:right="440"/>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56,404</w:t>
            </w:r>
          </w:p>
        </w:tc>
      </w:tr>
      <w:tr>
        <w:trPr>
          <w:trHeight w:val="20"/>
        </w:trPr>
        <w:tc>
          <w:tcPr>
            <w:tcW w:w="69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-1374775</wp:posOffset>
            </wp:positionV>
            <wp:extent cx="6410325" cy="138176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164">
                      <a:extLst>
                        <a:ext uri="{28A0092B-C50C-407E-A947-70E740481C1C}"/>
                      </a:extLst>
                    </a:blip>
                    <a:srcRect/>
                    <a:stretch>
                      <a:fillRect/>
                    </a:stretch>
                  </pic:blipFill>
                  <pic:spPr bwMode="auto">
                    <a:xfrm>
                      <a:off x="0" y="0"/>
                      <a:ext cx="6410325" cy="1381760"/>
                    </a:xfrm>
                    <a:prstGeom prst="rect">
                      <a:avLst/>
                    </a:prstGeom>
                    <a:noFill/>
                  </pic:spPr>
                </pic:pic>
              </a:graphicData>
            </a:graphic>
          </wp:anchor>
        </w:drawing>
      </w:r>
    </w:p>
    <w:p>
      <w:pPr>
        <w:spacing w:after="0" w:line="105" w:lineRule="exact"/>
        <w:rPr>
          <w:sz w:val="20"/>
          <w:szCs w:val="20"/>
          <w:color w:val="auto"/>
        </w:rPr>
      </w:pPr>
    </w:p>
    <w:p>
      <w:pPr>
        <w:jc w:val="both"/>
        <w:ind w:left="7" w:right="20" w:firstLine="353"/>
        <w:spacing w:after="0" w:line="303" w:lineRule="auto"/>
        <w:rPr>
          <w:sz w:val="20"/>
          <w:szCs w:val="20"/>
          <w:color w:val="auto"/>
        </w:rPr>
      </w:pPr>
      <w:r>
        <w:rPr>
          <w:rFonts w:ascii="Arial" w:cs="Arial" w:eastAsia="Arial" w:hAnsi="Arial"/>
          <w:sz w:val="17"/>
          <w:szCs w:val="17"/>
          <w:color w:val="auto"/>
        </w:rPr>
        <w:t>Annually, typically in the third quarter, F&amp;G reviews assumptions associated with reserves for policy benefits and product guarantees. During the years ended December 31, 2025 and 2024, based on policyholder behavior, experience and interest rate movements, F&amp;G reflected updates to surrender assumptions for recent and expected near term policyholder behavior, as well as updated certain indexed annuities assumptions used to calculate the fair value of the embedded derivative component within Contractholder funds. These changes resulted in a decrease in Contractholder funds of approximately $22 million and $89 million for the years ended December 31, 2025 and December 31, 2024, respectively.</w:t>
      </w:r>
    </w:p>
    <w:p>
      <w:pPr>
        <w:sectPr>
          <w:pgSz w:w="11880" w:h="15480" w:orient="portrait"/>
          <w:cols w:equalWidth="0" w:num="1">
            <w:col w:w="10067"/>
          </w:cols>
          <w:pgMar w:left="913" w:top="788"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13"/>
        <w:spacing w:after="0"/>
        <w:rPr>
          <w:sz w:val="20"/>
          <w:szCs w:val="20"/>
          <w:color w:val="auto"/>
        </w:rPr>
      </w:pPr>
      <w:r>
        <w:rPr>
          <w:rFonts w:ascii="Arial" w:cs="Arial" w:eastAsia="Arial" w:hAnsi="Arial"/>
          <w:sz w:val="16"/>
          <w:szCs w:val="16"/>
          <w:color w:val="auto"/>
        </w:rPr>
        <w:t>184</w:t>
      </w:r>
    </w:p>
    <w:p>
      <w:pPr>
        <w:sectPr>
          <w:pgSz w:w="11880" w:h="15480" w:orient="portrait"/>
          <w:cols w:equalWidth="0" w:num="1">
            <w:col w:w="10067"/>
          </w:cols>
          <w:pgMar w:left="913" w:top="788" w:right="900" w:bottom="0" w:gutter="0" w:footer="0" w:header="0"/>
          <w:type w:val="continuous"/>
        </w:sectPr>
      </w:pPr>
    </w:p>
    <w:bookmarkStart w:id="196" w:name="page197"/>
    <w:bookmarkEnd w:id="196"/>
    <w:p>
      <w:pPr>
        <w:ind w:firstLine="353"/>
        <w:spacing w:after="0" w:line="361" w:lineRule="auto"/>
        <w:rPr>
          <w:sz w:val="20"/>
          <w:szCs w:val="20"/>
          <w:color w:val="auto"/>
        </w:rPr>
      </w:pPr>
      <w:r>
        <w:rPr>
          <w:rFonts w:ascii="Arial" w:cs="Arial" w:eastAsia="Arial" w:hAnsi="Arial"/>
          <w:sz w:val="17"/>
          <w:szCs w:val="17"/>
          <w:color w:val="auto"/>
        </w:rPr>
        <w:t>The following tables present the account values by range of guaranteed minimum crediting rates and the related range of difference, in basis points, between rates being credited to policyholders and the respective guaranteed minimums:</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33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gridSpan w:val="4"/>
          </w:tcPr>
          <w:p>
            <w:pPr>
              <w:jc w:val="center"/>
              <w:spacing w:after="0"/>
              <w:rPr>
                <w:sz w:val="20"/>
                <w:szCs w:val="20"/>
                <w:color w:val="auto"/>
              </w:rPr>
            </w:pPr>
            <w:r>
              <w:rPr>
                <w:rFonts w:ascii="Arial" w:cs="Arial" w:eastAsia="Arial" w:hAnsi="Arial"/>
                <w:sz w:val="16"/>
                <w:szCs w:val="16"/>
                <w:b w:val="1"/>
                <w:bCs w:val="1"/>
                <w:color w:val="auto"/>
                <w:w w:val="87"/>
              </w:rPr>
              <w:t>December 31, 2025</w:t>
            </w:r>
          </w:p>
        </w:tc>
        <w:tc>
          <w:tcPr>
            <w:tcW w:w="4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70"/>
        </w:trPr>
        <w:tc>
          <w:tcPr>
            <w:tcW w:w="3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2"/>
          </w:tcPr>
          <w:p>
            <w:pPr>
              <w:jc w:val="right"/>
              <w:ind w:right="500"/>
              <w:spacing w:after="0" w:line="170" w:lineRule="exact"/>
              <w:rPr>
                <w:sz w:val="20"/>
                <w:szCs w:val="20"/>
                <w:color w:val="auto"/>
              </w:rPr>
            </w:pPr>
            <w:r>
              <w:rPr>
                <w:rFonts w:ascii="Arial" w:cs="Arial" w:eastAsia="Arial" w:hAnsi="Arial"/>
                <w:sz w:val="16"/>
                <w:szCs w:val="16"/>
                <w:b w:val="1"/>
                <w:bCs w:val="1"/>
                <w:color w:val="auto"/>
              </w:rPr>
              <w:t>At</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80" w:type="dxa"/>
            <w:vAlign w:val="bottom"/>
            <w:gridSpan w:val="3"/>
          </w:tcPr>
          <w:p>
            <w:pPr>
              <w:ind w:left="20"/>
              <w:spacing w:after="0" w:line="170" w:lineRule="exact"/>
              <w:rPr>
                <w:sz w:val="20"/>
                <w:szCs w:val="20"/>
                <w:color w:val="auto"/>
              </w:rPr>
            </w:pPr>
            <w:r>
              <w:rPr>
                <w:rFonts w:ascii="Arial" w:cs="Arial" w:eastAsia="Arial" w:hAnsi="Arial"/>
                <w:sz w:val="16"/>
                <w:szCs w:val="16"/>
                <w:b w:val="1"/>
                <w:bCs w:val="1"/>
                <w:color w:val="auto"/>
              </w:rPr>
              <w:t>1 Basis Point-50</w:t>
            </w:r>
          </w:p>
        </w:tc>
        <w:tc>
          <w:tcPr>
            <w:tcW w:w="1480" w:type="dxa"/>
            <w:vAlign w:val="bottom"/>
            <w:gridSpan w:val="6"/>
            <w:vMerge w:val="restart"/>
          </w:tcPr>
          <w:p>
            <w:pPr>
              <w:ind w:left="60"/>
              <w:spacing w:after="0"/>
              <w:rPr>
                <w:sz w:val="20"/>
                <w:szCs w:val="20"/>
                <w:color w:val="auto"/>
              </w:rPr>
            </w:pPr>
            <w:r>
              <w:rPr>
                <w:rFonts w:ascii="Arial" w:cs="Arial" w:eastAsia="Arial" w:hAnsi="Arial"/>
                <w:sz w:val="16"/>
                <w:szCs w:val="16"/>
                <w:b w:val="1"/>
                <w:bCs w:val="1"/>
                <w:color w:val="auto"/>
                <w:w w:val="93"/>
              </w:rPr>
              <w:t>51 Basis Points-150</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60" w:type="dxa"/>
            <w:vAlign w:val="bottom"/>
            <w:gridSpan w:val="3"/>
          </w:tcPr>
          <w:p>
            <w:pPr>
              <w:jc w:val="center"/>
              <w:ind w:right="140"/>
              <w:spacing w:after="0" w:line="170" w:lineRule="exact"/>
              <w:rPr>
                <w:sz w:val="20"/>
                <w:szCs w:val="20"/>
                <w:color w:val="auto"/>
              </w:rPr>
            </w:pPr>
            <w:r>
              <w:rPr>
                <w:rFonts w:ascii="Arial" w:cs="Arial" w:eastAsia="Arial" w:hAnsi="Arial"/>
                <w:sz w:val="16"/>
                <w:szCs w:val="16"/>
                <w:b w:val="1"/>
                <w:bCs w:val="1"/>
                <w:color w:val="auto"/>
                <w:w w:val="92"/>
              </w:rPr>
              <w:t>Greater Than</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3320" w:type="dxa"/>
            <w:vAlign w:val="bottom"/>
            <w:vMerge w:val="restart"/>
          </w:tcPr>
          <w:p>
            <w:pPr>
              <w:ind w:left="140"/>
              <w:spacing w:after="0"/>
              <w:rPr>
                <w:sz w:val="20"/>
                <w:szCs w:val="20"/>
                <w:color w:val="auto"/>
              </w:rPr>
            </w:pPr>
            <w:r>
              <w:rPr>
                <w:rFonts w:ascii="Arial" w:cs="Arial" w:eastAsia="Arial" w:hAnsi="Arial"/>
                <w:sz w:val="16"/>
                <w:szCs w:val="16"/>
                <w:b w:val="1"/>
                <w:bCs w:val="1"/>
                <w:color w:val="auto"/>
                <w:w w:val="92"/>
              </w:rPr>
              <w:t>Range of guaranteed minimum crediting rate</w:t>
            </w:r>
          </w:p>
        </w:tc>
        <w:tc>
          <w:tcPr>
            <w:tcW w:w="120" w:type="dxa"/>
            <w:vAlign w:val="bottom"/>
          </w:tcPr>
          <w:p>
            <w:pPr>
              <w:spacing w:after="0"/>
              <w:rPr>
                <w:sz w:val="13"/>
                <w:szCs w:val="13"/>
                <w:color w:val="auto"/>
              </w:rPr>
            </w:pPr>
          </w:p>
        </w:tc>
        <w:tc>
          <w:tcPr>
            <w:tcW w:w="1000" w:type="dxa"/>
            <w:vAlign w:val="bottom"/>
            <w:gridSpan w:val="3"/>
          </w:tcPr>
          <w:p>
            <w:pPr>
              <w:jc w:val="right"/>
              <w:ind w:right="180"/>
              <w:spacing w:after="0" w:line="157" w:lineRule="exact"/>
              <w:rPr>
                <w:sz w:val="20"/>
                <w:szCs w:val="20"/>
                <w:color w:val="auto"/>
              </w:rPr>
            </w:pPr>
            <w:r>
              <w:rPr>
                <w:rFonts w:ascii="Arial" w:cs="Arial" w:eastAsia="Arial" w:hAnsi="Arial"/>
                <w:sz w:val="16"/>
                <w:szCs w:val="16"/>
                <w:b w:val="1"/>
                <w:bCs w:val="1"/>
                <w:color w:val="auto"/>
                <w:w w:val="89"/>
              </w:rPr>
              <w:t>Guaranteed</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gridSpan w:val="2"/>
          </w:tcPr>
          <w:p>
            <w:pPr>
              <w:jc w:val="right"/>
              <w:ind w:right="340"/>
              <w:spacing w:after="0" w:line="157" w:lineRule="exact"/>
              <w:rPr>
                <w:sz w:val="20"/>
                <w:szCs w:val="20"/>
                <w:color w:val="auto"/>
              </w:rPr>
            </w:pPr>
            <w:r>
              <w:rPr>
                <w:rFonts w:ascii="Arial" w:cs="Arial" w:eastAsia="Arial" w:hAnsi="Arial"/>
                <w:sz w:val="16"/>
                <w:szCs w:val="16"/>
                <w:b w:val="1"/>
                <w:bCs w:val="1"/>
                <w:color w:val="auto"/>
                <w:w w:val="83"/>
              </w:rPr>
              <w:t>Basis Points</w:t>
            </w:r>
          </w:p>
        </w:tc>
        <w:tc>
          <w:tcPr>
            <w:tcW w:w="1480" w:type="dxa"/>
            <w:vAlign w:val="bottom"/>
            <w:gridSpan w:val="6"/>
            <w:vMerge w:val="continue"/>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60" w:type="dxa"/>
            <w:vAlign w:val="bottom"/>
            <w:gridSpan w:val="3"/>
          </w:tcPr>
          <w:p>
            <w:pPr>
              <w:jc w:val="center"/>
              <w:ind w:right="180"/>
              <w:spacing w:after="0" w:line="157" w:lineRule="exact"/>
              <w:rPr>
                <w:sz w:val="20"/>
                <w:szCs w:val="20"/>
                <w:color w:val="auto"/>
              </w:rPr>
            </w:pPr>
            <w:r>
              <w:rPr>
                <w:rFonts w:ascii="Arial" w:cs="Arial" w:eastAsia="Arial" w:hAnsi="Arial"/>
                <w:sz w:val="16"/>
                <w:szCs w:val="16"/>
                <w:b w:val="1"/>
                <w:bCs w:val="1"/>
                <w:color w:val="auto"/>
                <w:w w:val="84"/>
              </w:rPr>
              <w:t>150 Basis Points</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60" w:type="dxa"/>
            <w:vAlign w:val="bottom"/>
            <w:vMerge w:val="restart"/>
          </w:tcPr>
          <w:p>
            <w:pPr>
              <w:jc w:val="right"/>
              <w:ind w:right="382"/>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198"/>
        </w:trPr>
        <w:tc>
          <w:tcPr>
            <w:tcW w:w="332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gridSpan w:val="2"/>
          </w:tcPr>
          <w:p>
            <w:pPr>
              <w:ind w:left="80"/>
              <w:spacing w:after="0"/>
              <w:rPr>
                <w:sz w:val="20"/>
                <w:szCs w:val="20"/>
                <w:color w:val="auto"/>
              </w:rPr>
            </w:pPr>
            <w:r>
              <w:rPr>
                <w:rFonts w:ascii="Arial" w:cs="Arial" w:eastAsia="Arial" w:hAnsi="Arial"/>
                <w:sz w:val="16"/>
                <w:szCs w:val="16"/>
                <w:b w:val="1"/>
                <w:bCs w:val="1"/>
                <w:color w:val="auto"/>
              </w:rPr>
              <w:t>Minimum</w:t>
            </w:r>
          </w:p>
        </w:tc>
        <w:tc>
          <w:tcPr>
            <w:tcW w:w="60" w:type="dxa"/>
            <w:vAlign w:val="bottom"/>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02"/>
              <w:spacing w:after="0"/>
              <w:rPr>
                <w:sz w:val="20"/>
                <w:szCs w:val="20"/>
                <w:color w:val="auto"/>
              </w:rPr>
            </w:pPr>
            <w:r>
              <w:rPr>
                <w:rFonts w:ascii="Arial" w:cs="Arial" w:eastAsia="Arial" w:hAnsi="Arial"/>
                <w:sz w:val="16"/>
                <w:szCs w:val="16"/>
                <w:b w:val="1"/>
                <w:bCs w:val="1"/>
                <w:color w:val="auto"/>
              </w:rPr>
              <w:t>Above</w:t>
            </w:r>
          </w:p>
        </w:tc>
        <w:tc>
          <w:tcPr>
            <w:tcW w:w="60" w:type="dxa"/>
            <w:vAlign w:val="bottom"/>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gridSpan w:val="3"/>
          </w:tcPr>
          <w:p>
            <w:pPr>
              <w:spacing w:after="0"/>
              <w:rPr>
                <w:sz w:val="20"/>
                <w:szCs w:val="20"/>
                <w:color w:val="auto"/>
              </w:rPr>
            </w:pPr>
            <w:r>
              <w:rPr>
                <w:rFonts w:ascii="Arial" w:cs="Arial" w:eastAsia="Arial" w:hAnsi="Arial"/>
                <w:sz w:val="16"/>
                <w:szCs w:val="16"/>
                <w:b w:val="1"/>
                <w:bCs w:val="1"/>
                <w:color w:val="auto"/>
                <w:w w:val="88"/>
              </w:rPr>
              <w:t>Basis Points Above</w:t>
            </w:r>
          </w:p>
        </w:tc>
        <w:tc>
          <w:tcPr>
            <w:tcW w:w="6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center"/>
              <w:ind w:right="182"/>
              <w:spacing w:after="0"/>
              <w:rPr>
                <w:sz w:val="20"/>
                <w:szCs w:val="20"/>
                <w:color w:val="auto"/>
              </w:rPr>
            </w:pPr>
            <w:r>
              <w:rPr>
                <w:rFonts w:ascii="Arial" w:cs="Arial" w:eastAsia="Arial" w:hAnsi="Arial"/>
                <w:sz w:val="16"/>
                <w:szCs w:val="16"/>
                <w:b w:val="1"/>
                <w:bCs w:val="1"/>
                <w:color w:val="auto"/>
                <w:w w:val="89"/>
              </w:rPr>
              <w:t>Above</w:t>
            </w:r>
          </w:p>
        </w:tc>
        <w:tc>
          <w:tcPr>
            <w:tcW w:w="40" w:type="dxa"/>
            <w:vAlign w:val="bottom"/>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320" w:type="dxa"/>
            <w:vAlign w:val="bottom"/>
          </w:tcPr>
          <w:p>
            <w:pPr>
              <w:ind w:left="40"/>
              <w:spacing w:after="0"/>
              <w:rPr>
                <w:sz w:val="20"/>
                <w:szCs w:val="20"/>
                <w:color w:val="auto"/>
              </w:rPr>
            </w:pPr>
            <w:r>
              <w:rPr>
                <w:rFonts w:ascii="Arial" w:cs="Arial" w:eastAsia="Arial" w:hAnsi="Arial"/>
                <w:sz w:val="16"/>
                <w:szCs w:val="16"/>
                <w:b w:val="1"/>
                <w:bCs w:val="1"/>
                <w:color w:val="auto"/>
              </w:rPr>
              <w:t>Indexed annuities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3"/>
          </w:tcPr>
          <w:p>
            <w:pPr>
              <w:jc w:val="center"/>
              <w:ind w:right="60"/>
              <w:spacing w:after="0"/>
              <w:rPr>
                <w:sz w:val="20"/>
                <w:szCs w:val="20"/>
                <w:color w:val="auto"/>
              </w:rPr>
            </w:pPr>
            <w:r>
              <w:rPr>
                <w:rFonts w:ascii="Arial" w:cs="Arial" w:eastAsia="Arial" w:hAnsi="Arial"/>
                <w:sz w:val="16"/>
                <w:szCs w:val="16"/>
                <w:b w:val="1"/>
                <w:bCs w:val="1"/>
                <w:color w:val="auto"/>
                <w:w w:val="91"/>
              </w:rPr>
              <w:t>(In millions)</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3320" w:type="dxa"/>
            <w:vAlign w:val="bottom"/>
          </w:tcPr>
          <w:p>
            <w:pPr>
              <w:ind w:left="40"/>
              <w:spacing w:after="0"/>
              <w:rPr>
                <w:sz w:val="20"/>
                <w:szCs w:val="20"/>
                <w:color w:val="auto"/>
              </w:rPr>
            </w:pPr>
            <w:r>
              <w:rPr>
                <w:rFonts w:ascii="Arial" w:cs="Arial" w:eastAsia="Arial" w:hAnsi="Arial"/>
                <w:sz w:val="16"/>
                <w:szCs w:val="16"/>
                <w:color w:val="auto"/>
              </w:rPr>
              <w:t>Up to 1.50%</w:t>
            </w:r>
          </w:p>
        </w:tc>
        <w:tc>
          <w:tcPr>
            <w:tcW w:w="280" w:type="dxa"/>
            <w:vAlign w:val="bottom"/>
            <w:gridSpan w:val="2"/>
          </w:tcPr>
          <w:p>
            <w:pPr>
              <w:jc w:val="right"/>
              <w:ind w:right="62"/>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2"/>
              <w:spacing w:after="0"/>
              <w:rPr>
                <w:sz w:val="20"/>
                <w:szCs w:val="20"/>
                <w:color w:val="auto"/>
              </w:rPr>
            </w:pPr>
            <w:r>
              <w:rPr>
                <w:rFonts w:ascii="Arial" w:cs="Arial" w:eastAsia="Arial" w:hAnsi="Arial"/>
                <w:sz w:val="16"/>
                <w:szCs w:val="16"/>
                <w:color w:val="auto"/>
              </w:rPr>
              <w:t>659</w:t>
            </w:r>
          </w:p>
        </w:tc>
        <w:tc>
          <w:tcPr>
            <w:tcW w:w="60" w:type="dxa"/>
            <w:vAlign w:val="bottom"/>
          </w:tcPr>
          <w:p>
            <w:pPr>
              <w:spacing w:after="0"/>
              <w:rPr>
                <w:sz w:val="20"/>
                <w:szCs w:val="20"/>
                <w:color w:val="auto"/>
              </w:rPr>
            </w:pPr>
          </w:p>
        </w:tc>
        <w:tc>
          <w:tcPr>
            <w:tcW w:w="140" w:type="dxa"/>
            <w:vAlign w:val="bottom"/>
            <w:gridSpan w:val="3"/>
          </w:tcPr>
          <w:p>
            <w:pPr>
              <w:jc w:val="right"/>
              <w:ind w:right="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464</w:t>
            </w:r>
          </w:p>
        </w:tc>
        <w:tc>
          <w:tcPr>
            <w:tcW w:w="60" w:type="dxa"/>
            <w:vAlign w:val="bottom"/>
          </w:tcPr>
          <w:p>
            <w:pPr>
              <w:spacing w:after="0"/>
              <w:rPr>
                <w:sz w:val="20"/>
                <w:szCs w:val="20"/>
                <w:color w:val="auto"/>
              </w:rPr>
            </w:pPr>
          </w:p>
        </w:tc>
        <w:tc>
          <w:tcPr>
            <w:tcW w:w="240" w:type="dxa"/>
            <w:vAlign w:val="bottom"/>
            <w:gridSpan w:val="3"/>
          </w:tcPr>
          <w:p>
            <w:pPr>
              <w:ind w:left="40"/>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2"/>
              <w:spacing w:after="0"/>
              <w:rPr>
                <w:sz w:val="20"/>
                <w:szCs w:val="20"/>
                <w:color w:val="auto"/>
              </w:rPr>
            </w:pPr>
            <w:r>
              <w:rPr>
                <w:rFonts w:ascii="Arial" w:cs="Arial" w:eastAsia="Arial" w:hAnsi="Arial"/>
                <w:sz w:val="16"/>
                <w:szCs w:val="16"/>
                <w:color w:val="auto"/>
              </w:rPr>
              <w:t>298</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gridSpan w:val="2"/>
          </w:tcPr>
          <w:p>
            <w:pPr>
              <w:jc w:val="right"/>
              <w:spacing w:after="0"/>
              <w:rPr>
                <w:sz w:val="20"/>
                <w:szCs w:val="20"/>
                <w:color w:val="auto"/>
              </w:rPr>
            </w:pPr>
            <w:r>
              <w:rPr>
                <w:rFonts w:ascii="Arial" w:cs="Arial" w:eastAsia="Arial" w:hAnsi="Arial"/>
                <w:sz w:val="16"/>
                <w:szCs w:val="16"/>
                <w:color w:val="auto"/>
                <w:w w:val="89"/>
              </w:rPr>
              <w:t>$</w:t>
            </w:r>
          </w:p>
        </w:tc>
        <w:tc>
          <w:tcPr>
            <w:tcW w:w="120" w:type="dxa"/>
            <w:vAlign w:val="bottom"/>
          </w:tcPr>
          <w:p>
            <w:pPr>
              <w:spacing w:after="0"/>
              <w:rPr>
                <w:sz w:val="20"/>
                <w:szCs w:val="20"/>
                <w:color w:val="auto"/>
              </w:rPr>
            </w:pPr>
          </w:p>
        </w:tc>
        <w:tc>
          <w:tcPr>
            <w:tcW w:w="1100" w:type="dxa"/>
            <w:vAlign w:val="bottom"/>
          </w:tcPr>
          <w:p>
            <w:pPr>
              <w:jc w:val="right"/>
              <w:ind w:right="2"/>
              <w:spacing w:after="0"/>
              <w:rPr>
                <w:sz w:val="20"/>
                <w:szCs w:val="20"/>
                <w:color w:val="auto"/>
              </w:rPr>
            </w:pPr>
            <w:r>
              <w:rPr>
                <w:rFonts w:ascii="Arial" w:cs="Arial" w:eastAsia="Arial" w:hAnsi="Arial"/>
                <w:sz w:val="16"/>
                <w:szCs w:val="16"/>
                <w:color w:val="auto"/>
              </w:rPr>
              <w:t>812</w:t>
            </w:r>
          </w:p>
        </w:tc>
        <w:tc>
          <w:tcPr>
            <w:tcW w:w="40" w:type="dxa"/>
            <w:vAlign w:val="bottom"/>
          </w:tcPr>
          <w:p>
            <w:pPr>
              <w:spacing w:after="0"/>
              <w:rPr>
                <w:sz w:val="20"/>
                <w:szCs w:val="20"/>
                <w:color w:val="auto"/>
              </w:rPr>
            </w:pPr>
          </w:p>
        </w:tc>
        <w:tc>
          <w:tcPr>
            <w:tcW w:w="380" w:type="dxa"/>
            <w:vAlign w:val="bottom"/>
            <w:gridSpan w:val="3"/>
          </w:tcPr>
          <w:p>
            <w:pPr>
              <w:jc w:val="right"/>
              <w:ind w:right="240"/>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2,233</w:t>
            </w:r>
          </w:p>
        </w:tc>
        <w:tc>
          <w:tcPr>
            <w:tcW w:w="0" w:type="dxa"/>
            <w:vAlign w:val="bottom"/>
          </w:tcPr>
          <w:p>
            <w:pPr>
              <w:spacing w:after="0"/>
              <w:rPr>
                <w:sz w:val="1"/>
                <w:szCs w:val="1"/>
                <w:color w:val="auto"/>
              </w:rPr>
            </w:pPr>
          </w:p>
        </w:tc>
      </w:tr>
      <w:tr>
        <w:trPr>
          <w:trHeight w:val="235"/>
        </w:trPr>
        <w:tc>
          <w:tcPr>
            <w:tcW w:w="3320" w:type="dxa"/>
            <w:vAlign w:val="bottom"/>
          </w:tcPr>
          <w:p>
            <w:pPr>
              <w:ind w:left="40"/>
              <w:spacing w:after="0"/>
              <w:rPr>
                <w:sz w:val="20"/>
                <w:szCs w:val="20"/>
                <w:color w:val="auto"/>
              </w:rPr>
            </w:pPr>
            <w:r>
              <w:rPr>
                <w:rFonts w:ascii="Arial" w:cs="Arial" w:eastAsia="Arial" w:hAnsi="Arial"/>
                <w:sz w:val="16"/>
                <w:szCs w:val="16"/>
                <w:color w:val="auto"/>
              </w:rPr>
              <w:t>1.51%-2.50%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jc w:val="right"/>
              <w:ind w:right="2"/>
              <w:spacing w:after="0"/>
              <w:rPr>
                <w:sz w:val="20"/>
                <w:szCs w:val="20"/>
                <w:color w:val="auto"/>
              </w:rPr>
            </w:pPr>
            <w:r>
              <w:rPr>
                <w:rFonts w:ascii="Arial" w:cs="Arial" w:eastAsia="Arial" w:hAnsi="Arial"/>
                <w:sz w:val="16"/>
                <w:szCs w:val="16"/>
                <w:color w:val="auto"/>
              </w:rPr>
              <w:t>548</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17</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jc w:val="right"/>
              <w:ind w:right="2"/>
              <w:spacing w:after="0"/>
              <w:rPr>
                <w:sz w:val="20"/>
                <w:szCs w:val="20"/>
                <w:color w:val="auto"/>
              </w:rPr>
            </w:pPr>
            <w:r>
              <w:rPr>
                <w:rFonts w:ascii="Arial" w:cs="Arial" w:eastAsia="Arial" w:hAnsi="Arial"/>
                <w:sz w:val="16"/>
                <w:szCs w:val="16"/>
                <w:color w:val="auto"/>
              </w:rPr>
              <w:t>633</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jc w:val="right"/>
              <w:ind w:right="2"/>
              <w:spacing w:after="0"/>
              <w:rPr>
                <w:sz w:val="20"/>
                <w:szCs w:val="20"/>
                <w:color w:val="auto"/>
              </w:rPr>
            </w:pPr>
            <w:r>
              <w:rPr>
                <w:rFonts w:ascii="Arial" w:cs="Arial" w:eastAsia="Arial" w:hAnsi="Arial"/>
                <w:sz w:val="16"/>
                <w:szCs w:val="16"/>
                <w:color w:val="auto"/>
              </w:rPr>
              <w:t>630</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1,828</w:t>
            </w:r>
          </w:p>
        </w:tc>
        <w:tc>
          <w:tcPr>
            <w:tcW w:w="0" w:type="dxa"/>
            <w:vAlign w:val="bottom"/>
          </w:tcPr>
          <w:p>
            <w:pPr>
              <w:spacing w:after="0"/>
              <w:rPr>
                <w:sz w:val="1"/>
                <w:szCs w:val="1"/>
                <w:color w:val="auto"/>
              </w:rPr>
            </w:pPr>
          </w:p>
        </w:tc>
      </w:tr>
      <w:tr>
        <w:trPr>
          <w:trHeight w:val="232"/>
        </w:trPr>
        <w:tc>
          <w:tcPr>
            <w:tcW w:w="3320" w:type="dxa"/>
            <w:vAlign w:val="bottom"/>
          </w:tcPr>
          <w:p>
            <w:pPr>
              <w:ind w:left="40"/>
              <w:spacing w:after="0"/>
              <w:rPr>
                <w:sz w:val="20"/>
                <w:szCs w:val="20"/>
                <w:color w:val="auto"/>
              </w:rPr>
            </w:pPr>
            <w:r>
              <w:rPr>
                <w:rFonts w:ascii="Arial" w:cs="Arial" w:eastAsia="Arial" w:hAnsi="Arial"/>
                <w:sz w:val="16"/>
                <w:szCs w:val="16"/>
                <w:color w:val="auto"/>
              </w:rPr>
              <w:t>Greater than 2.50%</w:t>
            </w:r>
          </w:p>
        </w:tc>
        <w:tc>
          <w:tcPr>
            <w:tcW w:w="1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212</w:t>
            </w:r>
          </w:p>
        </w:tc>
        <w:tc>
          <w:tcPr>
            <w:tcW w:w="6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6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6"/>
                <w:szCs w:val="16"/>
                <w:color w:val="auto"/>
              </w:rPr>
              <w:t>—</w:t>
            </w:r>
          </w:p>
        </w:tc>
        <w:tc>
          <w:tcPr>
            <w:tcW w:w="4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w:t>
            </w:r>
          </w:p>
        </w:tc>
        <w:tc>
          <w:tcPr>
            <w:tcW w:w="40" w:type="dxa"/>
            <w:vAlign w:val="bottom"/>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214</w:t>
            </w:r>
          </w:p>
        </w:tc>
        <w:tc>
          <w:tcPr>
            <w:tcW w:w="0" w:type="dxa"/>
            <w:vAlign w:val="bottom"/>
          </w:tcPr>
          <w:p>
            <w:pPr>
              <w:spacing w:after="0"/>
              <w:rPr>
                <w:sz w:val="1"/>
                <w:szCs w:val="1"/>
                <w:color w:val="auto"/>
              </w:rPr>
            </w:pPr>
          </w:p>
        </w:tc>
      </w:tr>
      <w:tr>
        <w:trPr>
          <w:trHeight w:val="196"/>
        </w:trPr>
        <w:tc>
          <w:tcPr>
            <w:tcW w:w="3320" w:type="dxa"/>
            <w:vAlign w:val="bottom"/>
          </w:tcPr>
          <w:p>
            <w:pPr>
              <w:ind w:left="40"/>
              <w:spacing w:after="0"/>
              <w:rPr>
                <w:sz w:val="20"/>
                <w:szCs w:val="20"/>
                <w:color w:val="auto"/>
              </w:rPr>
            </w:pPr>
            <w:r>
              <w:rPr>
                <w:rFonts w:ascii="Arial" w:cs="Arial" w:eastAsia="Arial" w:hAnsi="Arial"/>
                <w:sz w:val="16"/>
                <w:szCs w:val="16"/>
                <w:b w:val="1"/>
                <w:bCs w:val="1"/>
                <w:color w:val="auto"/>
              </w:rPr>
              <w:t>Subtotal</w:t>
            </w:r>
          </w:p>
        </w:tc>
        <w:tc>
          <w:tcPr>
            <w:tcW w:w="1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1,419</w:t>
            </w:r>
          </w:p>
        </w:tc>
        <w:tc>
          <w:tcPr>
            <w:tcW w:w="6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482</w:t>
            </w:r>
          </w:p>
        </w:tc>
        <w:tc>
          <w:tcPr>
            <w:tcW w:w="6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931</w:t>
            </w:r>
          </w:p>
        </w:tc>
        <w:tc>
          <w:tcPr>
            <w:tcW w:w="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1,443</w:t>
            </w:r>
          </w:p>
        </w:tc>
        <w:tc>
          <w:tcPr>
            <w:tcW w:w="40" w:type="dxa"/>
            <w:vAlign w:val="bottom"/>
          </w:tcPr>
          <w:p>
            <w:pPr>
              <w:spacing w:after="0"/>
              <w:rPr>
                <w:sz w:val="17"/>
                <w:szCs w:val="17"/>
                <w:color w:val="auto"/>
              </w:rPr>
            </w:pPr>
          </w:p>
        </w:tc>
        <w:tc>
          <w:tcPr>
            <w:tcW w:w="380" w:type="dxa"/>
            <w:vAlign w:val="bottom"/>
            <w:gridSpan w:val="3"/>
          </w:tcPr>
          <w:p>
            <w:pPr>
              <w:jc w:val="right"/>
              <w:ind w:right="240"/>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4,275</w:t>
            </w:r>
          </w:p>
        </w:tc>
        <w:tc>
          <w:tcPr>
            <w:tcW w:w="0" w:type="dxa"/>
            <w:vAlign w:val="bottom"/>
          </w:tcPr>
          <w:p>
            <w:pPr>
              <w:spacing w:after="0"/>
              <w:rPr>
                <w:sz w:val="1"/>
                <w:szCs w:val="1"/>
                <w:color w:val="auto"/>
              </w:rPr>
            </w:pPr>
          </w:p>
        </w:tc>
      </w:tr>
      <w:tr>
        <w:trPr>
          <w:trHeight w:val="20"/>
        </w:trPr>
        <w:tc>
          <w:tcPr>
            <w:tcW w:w="3320" w:type="dxa"/>
            <w:vAlign w:val="bottom"/>
            <w:vMerge w:val="restart"/>
          </w:tcPr>
          <w:p>
            <w:pPr>
              <w:ind w:left="40"/>
              <w:spacing w:after="0"/>
              <w:rPr>
                <w:sz w:val="20"/>
                <w:szCs w:val="20"/>
                <w:color w:val="auto"/>
              </w:rPr>
            </w:pPr>
            <w:r>
              <w:rPr>
                <w:rFonts w:ascii="Arial" w:cs="Arial" w:eastAsia="Arial" w:hAnsi="Arial"/>
                <w:sz w:val="16"/>
                <w:szCs w:val="16"/>
                <w:color w:val="auto"/>
              </w:rPr>
              <w:t>No guaranteed minimum crediting rate</w:t>
            </w: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vMerge w:val="restart"/>
          </w:tcPr>
          <w:p>
            <w:pPr>
              <w:jc w:val="right"/>
              <w:spacing w:after="0"/>
              <w:rPr>
                <w:sz w:val="20"/>
                <w:szCs w:val="20"/>
                <w:color w:val="auto"/>
              </w:rPr>
            </w:pPr>
            <w:r>
              <w:rPr>
                <w:rFonts w:ascii="Arial" w:cs="Arial" w:eastAsia="Arial" w:hAnsi="Arial"/>
                <w:sz w:val="16"/>
                <w:szCs w:val="16"/>
                <w:color w:val="auto"/>
              </w:rPr>
              <w:t>28,951</w:t>
            </w:r>
          </w:p>
        </w:tc>
        <w:tc>
          <w:tcPr>
            <w:tcW w:w="0" w:type="dxa"/>
            <w:vAlign w:val="bottom"/>
          </w:tcPr>
          <w:p>
            <w:pPr>
              <w:spacing w:after="0" w:line="20" w:lineRule="exact"/>
              <w:rPr>
                <w:sz w:val="1"/>
                <w:szCs w:val="1"/>
                <w:color w:val="auto"/>
              </w:rPr>
            </w:pPr>
          </w:p>
        </w:tc>
      </w:tr>
      <w:tr>
        <w:trPr>
          <w:trHeight w:val="210"/>
        </w:trPr>
        <w:tc>
          <w:tcPr>
            <w:tcW w:w="33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320" w:type="dxa"/>
            <w:vAlign w:val="bottom"/>
          </w:tcPr>
          <w:p>
            <w:pPr>
              <w:ind w:left="40"/>
              <w:spacing w:after="0"/>
              <w:rPr>
                <w:sz w:val="20"/>
                <w:szCs w:val="20"/>
                <w:color w:val="auto"/>
              </w:rPr>
            </w:pPr>
            <w:r>
              <w:rPr>
                <w:rFonts w:ascii="Arial" w:cs="Arial" w:eastAsia="Arial" w:hAnsi="Arial"/>
                <w:sz w:val="16"/>
                <w:szCs w:val="16"/>
                <w:b w:val="1"/>
                <w:bCs w:val="1"/>
                <w:color w:val="auto"/>
              </w:rPr>
              <w:t>Total</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tcBorders>
              <w:bottom w:val="single" w:sz="8" w:color="auto"/>
            </w:tcBorders>
            <w:gridSpan w:val="3"/>
          </w:tcPr>
          <w:p>
            <w:pPr>
              <w:jc w:val="right"/>
              <w:ind w:right="240"/>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33,226</w:t>
            </w:r>
          </w:p>
        </w:tc>
        <w:tc>
          <w:tcPr>
            <w:tcW w:w="0" w:type="dxa"/>
            <w:vAlign w:val="bottom"/>
          </w:tcPr>
          <w:p>
            <w:pPr>
              <w:spacing w:after="0"/>
              <w:rPr>
                <w:sz w:val="1"/>
                <w:szCs w:val="1"/>
                <w:color w:val="auto"/>
              </w:rPr>
            </w:pPr>
          </w:p>
        </w:tc>
      </w:tr>
      <w:tr>
        <w:trPr>
          <w:trHeight w:val="20"/>
        </w:trPr>
        <w:tc>
          <w:tcPr>
            <w:tcW w:w="332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Fixed rate annuities</w:t>
            </w: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332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3320" w:type="dxa"/>
            <w:vAlign w:val="bottom"/>
          </w:tcPr>
          <w:p>
            <w:pPr>
              <w:ind w:left="40"/>
              <w:spacing w:after="0"/>
              <w:rPr>
                <w:sz w:val="20"/>
                <w:szCs w:val="20"/>
                <w:color w:val="auto"/>
              </w:rPr>
            </w:pPr>
            <w:r>
              <w:rPr>
                <w:rFonts w:ascii="Arial" w:cs="Arial" w:eastAsia="Arial" w:hAnsi="Arial"/>
                <w:sz w:val="16"/>
                <w:szCs w:val="16"/>
                <w:color w:val="auto"/>
              </w:rPr>
              <w:t>Up to 1.50%</w:t>
            </w:r>
          </w:p>
        </w:tc>
        <w:tc>
          <w:tcPr>
            <w:tcW w:w="280" w:type="dxa"/>
            <w:vAlign w:val="bottom"/>
            <w:gridSpan w:val="2"/>
          </w:tcPr>
          <w:p>
            <w:pPr>
              <w:jc w:val="right"/>
              <w:ind w:right="62"/>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2"/>
              <w:spacing w:after="0"/>
              <w:rPr>
                <w:sz w:val="20"/>
                <w:szCs w:val="20"/>
                <w:color w:val="auto"/>
              </w:rPr>
            </w:pPr>
            <w:r>
              <w:rPr>
                <w:rFonts w:ascii="Arial" w:cs="Arial" w:eastAsia="Arial" w:hAnsi="Arial"/>
                <w:sz w:val="16"/>
                <w:szCs w:val="16"/>
                <w:color w:val="auto"/>
              </w:rPr>
              <w:t>94</w:t>
            </w:r>
          </w:p>
        </w:tc>
        <w:tc>
          <w:tcPr>
            <w:tcW w:w="60" w:type="dxa"/>
            <w:vAlign w:val="bottom"/>
          </w:tcPr>
          <w:p>
            <w:pPr>
              <w:spacing w:after="0"/>
              <w:rPr>
                <w:sz w:val="20"/>
                <w:szCs w:val="20"/>
                <w:color w:val="auto"/>
              </w:rPr>
            </w:pPr>
          </w:p>
        </w:tc>
        <w:tc>
          <w:tcPr>
            <w:tcW w:w="140" w:type="dxa"/>
            <w:vAlign w:val="bottom"/>
            <w:gridSpan w:val="3"/>
          </w:tcPr>
          <w:p>
            <w:pPr>
              <w:jc w:val="right"/>
              <w:ind w:right="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75</w:t>
            </w:r>
          </w:p>
        </w:tc>
        <w:tc>
          <w:tcPr>
            <w:tcW w:w="60" w:type="dxa"/>
            <w:vAlign w:val="bottom"/>
          </w:tcPr>
          <w:p>
            <w:pPr>
              <w:spacing w:after="0"/>
              <w:rPr>
                <w:sz w:val="20"/>
                <w:szCs w:val="20"/>
                <w:color w:val="auto"/>
              </w:rPr>
            </w:pPr>
          </w:p>
        </w:tc>
        <w:tc>
          <w:tcPr>
            <w:tcW w:w="240" w:type="dxa"/>
            <w:vAlign w:val="bottom"/>
            <w:gridSpan w:val="3"/>
          </w:tcPr>
          <w:p>
            <w:pPr>
              <w:ind w:left="40"/>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2"/>
              <w:spacing w:after="0"/>
              <w:rPr>
                <w:sz w:val="20"/>
                <w:szCs w:val="20"/>
                <w:color w:val="auto"/>
              </w:rPr>
            </w:pPr>
            <w:r>
              <w:rPr>
                <w:rFonts w:ascii="Arial" w:cs="Arial" w:eastAsia="Arial" w:hAnsi="Arial"/>
                <w:sz w:val="16"/>
                <w:szCs w:val="16"/>
                <w:color w:val="auto"/>
              </w:rPr>
              <w:t>792</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gridSpan w:val="2"/>
          </w:tcPr>
          <w:p>
            <w:pPr>
              <w:jc w:val="right"/>
              <w:spacing w:after="0"/>
              <w:rPr>
                <w:sz w:val="20"/>
                <w:szCs w:val="20"/>
                <w:color w:val="auto"/>
              </w:rPr>
            </w:pPr>
            <w:r>
              <w:rPr>
                <w:rFonts w:ascii="Arial" w:cs="Arial" w:eastAsia="Arial" w:hAnsi="Arial"/>
                <w:sz w:val="16"/>
                <w:szCs w:val="16"/>
                <w:color w:val="auto"/>
                <w:w w:val="89"/>
              </w:rPr>
              <w:t>$</w:t>
            </w:r>
          </w:p>
        </w:tc>
        <w:tc>
          <w:tcPr>
            <w:tcW w:w="120" w:type="dxa"/>
            <w:vAlign w:val="bottom"/>
          </w:tcPr>
          <w:p>
            <w:pPr>
              <w:spacing w:after="0"/>
              <w:rPr>
                <w:sz w:val="20"/>
                <w:szCs w:val="20"/>
                <w:color w:val="auto"/>
              </w:rPr>
            </w:pPr>
          </w:p>
        </w:tc>
        <w:tc>
          <w:tcPr>
            <w:tcW w:w="1100" w:type="dxa"/>
            <w:vAlign w:val="bottom"/>
          </w:tcPr>
          <w:p>
            <w:pPr>
              <w:jc w:val="right"/>
              <w:ind w:right="2"/>
              <w:spacing w:after="0"/>
              <w:rPr>
                <w:sz w:val="20"/>
                <w:szCs w:val="20"/>
                <w:color w:val="auto"/>
              </w:rPr>
            </w:pPr>
            <w:r>
              <w:rPr>
                <w:rFonts w:ascii="Arial" w:cs="Arial" w:eastAsia="Arial" w:hAnsi="Arial"/>
                <w:sz w:val="16"/>
                <w:szCs w:val="16"/>
                <w:color w:val="auto"/>
              </w:rPr>
              <w:t>15,548</w:t>
            </w:r>
          </w:p>
        </w:tc>
        <w:tc>
          <w:tcPr>
            <w:tcW w:w="40" w:type="dxa"/>
            <w:vAlign w:val="bottom"/>
          </w:tcPr>
          <w:p>
            <w:pPr>
              <w:spacing w:after="0"/>
              <w:rPr>
                <w:sz w:val="20"/>
                <w:szCs w:val="20"/>
                <w:color w:val="auto"/>
              </w:rPr>
            </w:pPr>
          </w:p>
        </w:tc>
        <w:tc>
          <w:tcPr>
            <w:tcW w:w="380" w:type="dxa"/>
            <w:vAlign w:val="bottom"/>
            <w:gridSpan w:val="3"/>
          </w:tcPr>
          <w:p>
            <w:pPr>
              <w:jc w:val="right"/>
              <w:ind w:right="240"/>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16,509</w:t>
            </w:r>
          </w:p>
        </w:tc>
        <w:tc>
          <w:tcPr>
            <w:tcW w:w="0" w:type="dxa"/>
            <w:vAlign w:val="bottom"/>
          </w:tcPr>
          <w:p>
            <w:pPr>
              <w:spacing w:after="0"/>
              <w:rPr>
                <w:sz w:val="1"/>
                <w:szCs w:val="1"/>
                <w:color w:val="auto"/>
              </w:rPr>
            </w:pPr>
          </w:p>
        </w:tc>
      </w:tr>
      <w:tr>
        <w:trPr>
          <w:trHeight w:val="235"/>
        </w:trPr>
        <w:tc>
          <w:tcPr>
            <w:tcW w:w="3320" w:type="dxa"/>
            <w:vAlign w:val="bottom"/>
          </w:tcPr>
          <w:p>
            <w:pPr>
              <w:ind w:left="40"/>
              <w:spacing w:after="0"/>
              <w:rPr>
                <w:sz w:val="20"/>
                <w:szCs w:val="20"/>
                <w:color w:val="auto"/>
              </w:rPr>
            </w:pPr>
            <w:r>
              <w:rPr>
                <w:rFonts w:ascii="Arial" w:cs="Arial" w:eastAsia="Arial" w:hAnsi="Arial"/>
                <w:sz w:val="16"/>
                <w:szCs w:val="16"/>
                <w:color w:val="auto"/>
              </w:rPr>
              <w:t>1.51%-2.50%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jc w:val="right"/>
              <w:ind w:right="2"/>
              <w:spacing w:after="0"/>
              <w:rPr>
                <w:sz w:val="20"/>
                <w:szCs w:val="20"/>
                <w:color w:val="auto"/>
              </w:rPr>
            </w:pPr>
            <w:r>
              <w:rPr>
                <w:rFonts w:ascii="Arial" w:cs="Arial" w:eastAsia="Arial" w:hAnsi="Arial"/>
                <w:sz w:val="16"/>
                <w:szCs w:val="16"/>
                <w:color w:val="auto"/>
              </w:rPr>
              <w:t>4</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6</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jc w:val="right"/>
              <w:ind w:right="2"/>
              <w:spacing w:after="0"/>
              <w:rPr>
                <w:sz w:val="20"/>
                <w:szCs w:val="20"/>
                <w:color w:val="auto"/>
              </w:rPr>
            </w:pPr>
            <w:r>
              <w:rPr>
                <w:rFonts w:ascii="Arial" w:cs="Arial" w:eastAsia="Arial" w:hAnsi="Arial"/>
                <w:sz w:val="16"/>
                <w:szCs w:val="16"/>
                <w:color w:val="auto"/>
              </w:rPr>
              <w:t>16</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jc w:val="right"/>
              <w:ind w:right="2"/>
              <w:spacing w:after="0"/>
              <w:rPr>
                <w:sz w:val="20"/>
                <w:szCs w:val="20"/>
                <w:color w:val="auto"/>
              </w:rPr>
            </w:pPr>
            <w:r>
              <w:rPr>
                <w:rFonts w:ascii="Arial" w:cs="Arial" w:eastAsia="Arial" w:hAnsi="Arial"/>
                <w:sz w:val="16"/>
                <w:szCs w:val="16"/>
                <w:color w:val="auto"/>
              </w:rPr>
              <w:t>466</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492</w:t>
            </w:r>
          </w:p>
        </w:tc>
        <w:tc>
          <w:tcPr>
            <w:tcW w:w="0" w:type="dxa"/>
            <w:vAlign w:val="bottom"/>
          </w:tcPr>
          <w:p>
            <w:pPr>
              <w:spacing w:after="0"/>
              <w:rPr>
                <w:sz w:val="1"/>
                <w:szCs w:val="1"/>
                <w:color w:val="auto"/>
              </w:rPr>
            </w:pPr>
          </w:p>
        </w:tc>
      </w:tr>
      <w:tr>
        <w:trPr>
          <w:trHeight w:val="232"/>
        </w:trPr>
        <w:tc>
          <w:tcPr>
            <w:tcW w:w="3320" w:type="dxa"/>
            <w:vAlign w:val="bottom"/>
          </w:tcPr>
          <w:p>
            <w:pPr>
              <w:ind w:left="40"/>
              <w:spacing w:after="0"/>
              <w:rPr>
                <w:sz w:val="20"/>
                <w:szCs w:val="20"/>
                <w:color w:val="auto"/>
              </w:rPr>
            </w:pPr>
            <w:r>
              <w:rPr>
                <w:rFonts w:ascii="Arial" w:cs="Arial" w:eastAsia="Arial" w:hAnsi="Arial"/>
                <w:sz w:val="16"/>
                <w:szCs w:val="16"/>
                <w:color w:val="auto"/>
              </w:rPr>
              <w:t>Greater than 2.50%</w:t>
            </w:r>
          </w:p>
        </w:tc>
        <w:tc>
          <w:tcPr>
            <w:tcW w:w="1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727</w:t>
            </w:r>
          </w:p>
        </w:tc>
        <w:tc>
          <w:tcPr>
            <w:tcW w:w="60" w:type="dxa"/>
            <w:vAlign w:val="bottom"/>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60" w:type="dxa"/>
            <w:vAlign w:val="bottom"/>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5</w:t>
            </w:r>
          </w:p>
        </w:tc>
        <w:tc>
          <w:tcPr>
            <w:tcW w:w="6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1,530</w:t>
            </w:r>
          </w:p>
        </w:tc>
        <w:tc>
          <w:tcPr>
            <w:tcW w:w="40" w:type="dxa"/>
            <w:vAlign w:val="bottom"/>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2,264</w:t>
            </w:r>
          </w:p>
        </w:tc>
        <w:tc>
          <w:tcPr>
            <w:tcW w:w="0" w:type="dxa"/>
            <w:vAlign w:val="bottom"/>
          </w:tcPr>
          <w:p>
            <w:pPr>
              <w:spacing w:after="0"/>
              <w:rPr>
                <w:sz w:val="1"/>
                <w:szCs w:val="1"/>
                <w:color w:val="auto"/>
              </w:rPr>
            </w:pPr>
          </w:p>
        </w:tc>
      </w:tr>
      <w:tr>
        <w:trPr>
          <w:trHeight w:val="196"/>
        </w:trPr>
        <w:tc>
          <w:tcPr>
            <w:tcW w:w="3320" w:type="dxa"/>
            <w:vAlign w:val="bottom"/>
          </w:tcPr>
          <w:p>
            <w:pPr>
              <w:ind w:left="40"/>
              <w:spacing w:after="0"/>
              <w:rPr>
                <w:sz w:val="20"/>
                <w:szCs w:val="20"/>
                <w:color w:val="auto"/>
              </w:rPr>
            </w:pPr>
            <w:r>
              <w:rPr>
                <w:rFonts w:ascii="Arial" w:cs="Arial" w:eastAsia="Arial" w:hAnsi="Arial"/>
                <w:sz w:val="16"/>
                <w:szCs w:val="16"/>
                <w:b w:val="1"/>
                <w:bCs w:val="1"/>
                <w:color w:val="auto"/>
              </w:rPr>
              <w:t>Total</w:t>
            </w:r>
          </w:p>
        </w:tc>
        <w:tc>
          <w:tcPr>
            <w:tcW w:w="280" w:type="dxa"/>
            <w:vAlign w:val="bottom"/>
            <w:tcBorders>
              <w:bottom w:val="single" w:sz="8" w:color="auto"/>
            </w:tcBorders>
            <w:gridSpan w:val="2"/>
          </w:tcPr>
          <w:p>
            <w:pPr>
              <w:jc w:val="right"/>
              <w:ind w:right="62"/>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825</w:t>
            </w:r>
          </w:p>
        </w:tc>
        <w:tc>
          <w:tcPr>
            <w:tcW w:w="60" w:type="dxa"/>
            <w:vAlign w:val="bottom"/>
          </w:tcPr>
          <w:p>
            <w:pPr>
              <w:spacing w:after="0"/>
              <w:rPr>
                <w:sz w:val="17"/>
                <w:szCs w:val="17"/>
                <w:color w:val="auto"/>
              </w:rPr>
            </w:pPr>
          </w:p>
        </w:tc>
        <w:tc>
          <w:tcPr>
            <w:tcW w:w="14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w:t>
            </w:r>
          </w:p>
        </w:tc>
        <w:tc>
          <w:tcPr>
            <w:tcW w:w="60" w:type="dxa"/>
            <w:vAlign w:val="bottom"/>
          </w:tcPr>
          <w:p>
            <w:pPr>
              <w:spacing w:after="0"/>
              <w:rPr>
                <w:sz w:val="17"/>
                <w:szCs w:val="17"/>
                <w:color w:val="auto"/>
              </w:rPr>
            </w:pPr>
          </w:p>
        </w:tc>
        <w:tc>
          <w:tcPr>
            <w:tcW w:w="240" w:type="dxa"/>
            <w:vAlign w:val="bottom"/>
            <w:tcBorders>
              <w:bottom w:val="single" w:sz="8" w:color="auto"/>
            </w:tcBorders>
            <w:gridSpan w:val="3"/>
          </w:tcPr>
          <w:p>
            <w:pPr>
              <w:ind w:left="40"/>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813</w:t>
            </w:r>
          </w:p>
        </w:tc>
        <w:tc>
          <w:tcPr>
            <w:tcW w:w="6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w w:val="89"/>
              </w:rPr>
              <w:t>$</w:t>
            </w:r>
          </w:p>
        </w:tc>
        <w:tc>
          <w:tcPr>
            <w:tcW w:w="1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17,544</w:t>
            </w:r>
          </w:p>
        </w:tc>
        <w:tc>
          <w:tcPr>
            <w:tcW w:w="40" w:type="dxa"/>
            <w:vAlign w:val="bottom"/>
          </w:tcPr>
          <w:p>
            <w:pPr>
              <w:spacing w:after="0"/>
              <w:rPr>
                <w:sz w:val="17"/>
                <w:szCs w:val="17"/>
                <w:color w:val="auto"/>
              </w:rPr>
            </w:pPr>
          </w:p>
        </w:tc>
        <w:tc>
          <w:tcPr>
            <w:tcW w:w="380" w:type="dxa"/>
            <w:vAlign w:val="bottom"/>
            <w:tcBorders>
              <w:bottom w:val="single" w:sz="8" w:color="auto"/>
            </w:tcBorders>
            <w:gridSpan w:val="3"/>
          </w:tcPr>
          <w:p>
            <w:pPr>
              <w:jc w:val="right"/>
              <w:ind w:right="240"/>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19,265</w:t>
            </w:r>
          </w:p>
        </w:tc>
        <w:tc>
          <w:tcPr>
            <w:tcW w:w="0" w:type="dxa"/>
            <w:vAlign w:val="bottom"/>
          </w:tcPr>
          <w:p>
            <w:pPr>
              <w:spacing w:after="0"/>
              <w:rPr>
                <w:sz w:val="1"/>
                <w:szCs w:val="1"/>
                <w:color w:val="auto"/>
              </w:rPr>
            </w:pPr>
          </w:p>
        </w:tc>
      </w:tr>
      <w:tr>
        <w:trPr>
          <w:trHeight w:val="20"/>
        </w:trPr>
        <w:tc>
          <w:tcPr>
            <w:tcW w:w="332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Universal Life</w:t>
            </w: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332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3320" w:type="dxa"/>
            <w:vAlign w:val="bottom"/>
          </w:tcPr>
          <w:p>
            <w:pPr>
              <w:ind w:left="40"/>
              <w:spacing w:after="0"/>
              <w:rPr>
                <w:sz w:val="20"/>
                <w:szCs w:val="20"/>
                <w:color w:val="auto"/>
              </w:rPr>
            </w:pPr>
            <w:r>
              <w:rPr>
                <w:rFonts w:ascii="Arial" w:cs="Arial" w:eastAsia="Arial" w:hAnsi="Arial"/>
                <w:sz w:val="16"/>
                <w:szCs w:val="16"/>
                <w:color w:val="auto"/>
              </w:rPr>
              <w:t>Up to 1.50%</w:t>
            </w:r>
          </w:p>
        </w:tc>
        <w:tc>
          <w:tcPr>
            <w:tcW w:w="280" w:type="dxa"/>
            <w:vAlign w:val="bottom"/>
            <w:gridSpan w:val="2"/>
          </w:tcPr>
          <w:p>
            <w:pPr>
              <w:jc w:val="right"/>
              <w:ind w:right="62"/>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2"/>
              <w:spacing w:after="0"/>
              <w:rPr>
                <w:sz w:val="20"/>
                <w:szCs w:val="20"/>
                <w:color w:val="auto"/>
              </w:rPr>
            </w:pPr>
            <w:r>
              <w:rPr>
                <w:rFonts w:ascii="Arial" w:cs="Arial" w:eastAsia="Arial" w:hAnsi="Arial"/>
                <w:sz w:val="16"/>
                <w:szCs w:val="16"/>
                <w:color w:val="auto"/>
              </w:rPr>
              <w:t>2,898</w:t>
            </w:r>
          </w:p>
        </w:tc>
        <w:tc>
          <w:tcPr>
            <w:tcW w:w="60" w:type="dxa"/>
            <w:vAlign w:val="bottom"/>
          </w:tcPr>
          <w:p>
            <w:pPr>
              <w:spacing w:after="0"/>
              <w:rPr>
                <w:sz w:val="20"/>
                <w:szCs w:val="20"/>
                <w:color w:val="auto"/>
              </w:rPr>
            </w:pPr>
          </w:p>
        </w:tc>
        <w:tc>
          <w:tcPr>
            <w:tcW w:w="140" w:type="dxa"/>
            <w:vAlign w:val="bottom"/>
            <w:gridSpan w:val="3"/>
          </w:tcPr>
          <w:p>
            <w:pPr>
              <w:jc w:val="right"/>
              <w:ind w:right="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9</w:t>
            </w:r>
          </w:p>
        </w:tc>
        <w:tc>
          <w:tcPr>
            <w:tcW w:w="60" w:type="dxa"/>
            <w:vAlign w:val="bottom"/>
          </w:tcPr>
          <w:p>
            <w:pPr>
              <w:spacing w:after="0"/>
              <w:rPr>
                <w:sz w:val="20"/>
                <w:szCs w:val="20"/>
                <w:color w:val="auto"/>
              </w:rPr>
            </w:pPr>
          </w:p>
        </w:tc>
        <w:tc>
          <w:tcPr>
            <w:tcW w:w="240" w:type="dxa"/>
            <w:vAlign w:val="bottom"/>
            <w:gridSpan w:val="3"/>
          </w:tcPr>
          <w:p>
            <w:pPr>
              <w:ind w:left="40"/>
              <w:spacing w:after="0"/>
              <w:rPr>
                <w:sz w:val="20"/>
                <w:szCs w:val="20"/>
                <w:color w:val="auto"/>
              </w:rPr>
            </w:pPr>
            <w:r>
              <w:rPr>
                <w:rFonts w:ascii="Arial" w:cs="Arial" w:eastAsia="Arial" w:hAnsi="Arial"/>
                <w:sz w:val="16"/>
                <w:szCs w:val="16"/>
                <w:color w:val="auto"/>
              </w:rPr>
              <w:t>$</w:t>
            </w:r>
          </w:p>
        </w:tc>
        <w:tc>
          <w:tcPr>
            <w:tcW w:w="1240" w:type="dxa"/>
            <w:vAlign w:val="bottom"/>
            <w:gridSpan w:val="3"/>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gridSpan w:val="2"/>
          </w:tcPr>
          <w:p>
            <w:pPr>
              <w:jc w:val="right"/>
              <w:spacing w:after="0"/>
              <w:rPr>
                <w:sz w:val="20"/>
                <w:szCs w:val="20"/>
                <w:color w:val="auto"/>
              </w:rPr>
            </w:pPr>
            <w:r>
              <w:rPr>
                <w:rFonts w:ascii="Arial" w:cs="Arial" w:eastAsia="Arial" w:hAnsi="Arial"/>
                <w:sz w:val="16"/>
                <w:szCs w:val="16"/>
                <w:color w:val="auto"/>
                <w:w w:val="89"/>
              </w:rPr>
              <w:t>$</w:t>
            </w:r>
          </w:p>
        </w:tc>
        <w:tc>
          <w:tcPr>
            <w:tcW w:w="120" w:type="dxa"/>
            <w:vAlign w:val="bottom"/>
          </w:tcPr>
          <w:p>
            <w:pPr>
              <w:spacing w:after="0"/>
              <w:rPr>
                <w:sz w:val="20"/>
                <w:szCs w:val="20"/>
                <w:color w:val="auto"/>
              </w:rPr>
            </w:pPr>
          </w:p>
        </w:tc>
        <w:tc>
          <w:tcPr>
            <w:tcW w:w="1100" w:type="dxa"/>
            <w:vAlign w:val="bottom"/>
          </w:tcPr>
          <w:p>
            <w:pPr>
              <w:jc w:val="right"/>
              <w:ind w:right="2"/>
              <w:spacing w:after="0"/>
              <w:rPr>
                <w:sz w:val="20"/>
                <w:szCs w:val="20"/>
                <w:color w:val="auto"/>
              </w:rPr>
            </w:pPr>
            <w:r>
              <w:rPr>
                <w:rFonts w:ascii="Arial" w:cs="Arial" w:eastAsia="Arial" w:hAnsi="Arial"/>
                <w:sz w:val="16"/>
                <w:szCs w:val="16"/>
                <w:color w:val="auto"/>
              </w:rPr>
              <w:t>31</w:t>
            </w:r>
          </w:p>
        </w:tc>
        <w:tc>
          <w:tcPr>
            <w:tcW w:w="40" w:type="dxa"/>
            <w:vAlign w:val="bottom"/>
          </w:tcPr>
          <w:p>
            <w:pPr>
              <w:spacing w:after="0"/>
              <w:rPr>
                <w:sz w:val="20"/>
                <w:szCs w:val="20"/>
                <w:color w:val="auto"/>
              </w:rPr>
            </w:pPr>
          </w:p>
        </w:tc>
        <w:tc>
          <w:tcPr>
            <w:tcW w:w="380" w:type="dxa"/>
            <w:vAlign w:val="bottom"/>
            <w:gridSpan w:val="3"/>
          </w:tcPr>
          <w:p>
            <w:pPr>
              <w:jc w:val="right"/>
              <w:ind w:right="240"/>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2,938</w:t>
            </w:r>
          </w:p>
        </w:tc>
        <w:tc>
          <w:tcPr>
            <w:tcW w:w="0" w:type="dxa"/>
            <w:vAlign w:val="bottom"/>
          </w:tcPr>
          <w:p>
            <w:pPr>
              <w:spacing w:after="0"/>
              <w:rPr>
                <w:sz w:val="1"/>
                <w:szCs w:val="1"/>
                <w:color w:val="auto"/>
              </w:rPr>
            </w:pPr>
          </w:p>
        </w:tc>
      </w:tr>
      <w:tr>
        <w:trPr>
          <w:trHeight w:val="235"/>
        </w:trPr>
        <w:tc>
          <w:tcPr>
            <w:tcW w:w="3320" w:type="dxa"/>
            <w:vAlign w:val="bottom"/>
          </w:tcPr>
          <w:p>
            <w:pPr>
              <w:ind w:left="40"/>
              <w:spacing w:after="0"/>
              <w:rPr>
                <w:sz w:val="20"/>
                <w:szCs w:val="20"/>
                <w:color w:val="auto"/>
              </w:rPr>
            </w:pPr>
            <w:r>
              <w:rPr>
                <w:rFonts w:ascii="Arial" w:cs="Arial" w:eastAsia="Arial" w:hAnsi="Arial"/>
                <w:sz w:val="16"/>
                <w:szCs w:val="16"/>
                <w:color w:val="auto"/>
              </w:rPr>
              <w:t>1.51%-2.50%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3"/>
          </w:tcPr>
          <w:p>
            <w:pPr>
              <w:jc w:val="right"/>
              <w:ind w:right="16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2"/>
        </w:trPr>
        <w:tc>
          <w:tcPr>
            <w:tcW w:w="3320" w:type="dxa"/>
            <w:vAlign w:val="bottom"/>
          </w:tcPr>
          <w:p>
            <w:pPr>
              <w:ind w:left="40"/>
              <w:spacing w:after="0"/>
              <w:rPr>
                <w:sz w:val="20"/>
                <w:szCs w:val="20"/>
                <w:color w:val="auto"/>
              </w:rPr>
            </w:pPr>
            <w:r>
              <w:rPr>
                <w:rFonts w:ascii="Arial" w:cs="Arial" w:eastAsia="Arial" w:hAnsi="Arial"/>
                <w:sz w:val="16"/>
                <w:szCs w:val="16"/>
                <w:color w:val="auto"/>
              </w:rPr>
              <w:t>Greater than 2.50%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jc w:val="right"/>
              <w:ind w:right="2"/>
              <w:spacing w:after="0"/>
              <w:rPr>
                <w:sz w:val="20"/>
                <w:szCs w:val="20"/>
                <w:color w:val="auto"/>
              </w:rPr>
            </w:pPr>
            <w:r>
              <w:rPr>
                <w:rFonts w:ascii="Arial" w:cs="Arial" w:eastAsia="Arial" w:hAnsi="Arial"/>
                <w:sz w:val="16"/>
                <w:szCs w:val="16"/>
                <w:color w:val="auto"/>
              </w:rPr>
              <w:t>353</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jc w:val="right"/>
              <w:ind w:right="2"/>
              <w:spacing w:after="0"/>
              <w:rPr>
                <w:sz w:val="20"/>
                <w:szCs w:val="20"/>
                <w:color w:val="auto"/>
              </w:rPr>
            </w:pPr>
            <w:r>
              <w:rPr>
                <w:rFonts w:ascii="Arial" w:cs="Arial" w:eastAsia="Arial" w:hAnsi="Arial"/>
                <w:sz w:val="16"/>
                <w:szCs w:val="16"/>
                <w:color w:val="auto"/>
              </w:rPr>
              <w:t>1</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354</w:t>
            </w:r>
          </w:p>
        </w:tc>
        <w:tc>
          <w:tcPr>
            <w:tcW w:w="0" w:type="dxa"/>
            <w:vAlign w:val="bottom"/>
          </w:tcPr>
          <w:p>
            <w:pPr>
              <w:spacing w:after="0"/>
              <w:rPr>
                <w:sz w:val="1"/>
                <w:szCs w:val="1"/>
                <w:color w:val="auto"/>
              </w:rPr>
            </w:pPr>
          </w:p>
        </w:tc>
      </w:tr>
      <w:tr>
        <w:trPr>
          <w:trHeight w:val="196"/>
        </w:trPr>
        <w:tc>
          <w:tcPr>
            <w:tcW w:w="3320" w:type="dxa"/>
            <w:vAlign w:val="bottom"/>
          </w:tcPr>
          <w:p>
            <w:pPr>
              <w:ind w:left="40"/>
              <w:spacing w:after="0"/>
              <w:rPr>
                <w:sz w:val="20"/>
                <w:szCs w:val="20"/>
                <w:color w:val="auto"/>
              </w:rPr>
            </w:pPr>
            <w:r>
              <w:rPr>
                <w:rFonts w:ascii="Arial" w:cs="Arial" w:eastAsia="Arial" w:hAnsi="Arial"/>
                <w:sz w:val="16"/>
                <w:szCs w:val="16"/>
                <w:b w:val="1"/>
                <w:bCs w:val="1"/>
                <w:color w:val="auto"/>
              </w:rPr>
              <w:t>Total</w:t>
            </w:r>
          </w:p>
        </w:tc>
        <w:tc>
          <w:tcPr>
            <w:tcW w:w="280" w:type="dxa"/>
            <w:vAlign w:val="bottom"/>
            <w:tcBorders>
              <w:top w:val="single" w:sz="8" w:color="auto"/>
              <w:bottom w:val="single" w:sz="8" w:color="auto"/>
            </w:tcBorders>
            <w:gridSpan w:val="2"/>
          </w:tcPr>
          <w:p>
            <w:pPr>
              <w:jc w:val="right"/>
              <w:ind w:right="62"/>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6"/>
                <w:szCs w:val="16"/>
                <w:color w:val="auto"/>
              </w:rPr>
              <w:t>3,251</w:t>
            </w:r>
          </w:p>
        </w:tc>
        <w:tc>
          <w:tcPr>
            <w:tcW w:w="60" w:type="dxa"/>
            <w:vAlign w:val="bottom"/>
          </w:tcPr>
          <w:p>
            <w:pPr>
              <w:spacing w:after="0"/>
              <w:rPr>
                <w:sz w:val="17"/>
                <w:szCs w:val="17"/>
                <w:color w:val="auto"/>
              </w:rPr>
            </w:pPr>
          </w:p>
        </w:tc>
        <w:tc>
          <w:tcPr>
            <w:tcW w:w="140" w:type="dxa"/>
            <w:vAlign w:val="bottom"/>
            <w:tcBorders>
              <w:top w:val="single" w:sz="8" w:color="auto"/>
              <w:bottom w:val="single" w:sz="8" w:color="auto"/>
            </w:tcBorders>
            <w:gridSpan w:val="3"/>
          </w:tcPr>
          <w:p>
            <w:pPr>
              <w:jc w:val="right"/>
              <w:ind w:right="20"/>
              <w:spacing w:after="0"/>
              <w:rPr>
                <w:sz w:val="20"/>
                <w:szCs w:val="20"/>
                <w:color w:val="auto"/>
              </w:rPr>
            </w:pPr>
            <w:r>
              <w:rPr>
                <w:rFonts w:ascii="Arial" w:cs="Arial" w:eastAsia="Arial" w:hAnsi="Arial"/>
                <w:sz w:val="16"/>
                <w:szCs w:val="16"/>
                <w:color w:val="auto"/>
              </w:rPr>
              <w:t>$</w:t>
            </w:r>
          </w:p>
        </w:tc>
        <w:tc>
          <w:tcPr>
            <w:tcW w:w="12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w:t>
            </w:r>
          </w:p>
        </w:tc>
        <w:tc>
          <w:tcPr>
            <w:tcW w:w="60" w:type="dxa"/>
            <w:vAlign w:val="bottom"/>
          </w:tcPr>
          <w:p>
            <w:pPr>
              <w:spacing w:after="0"/>
              <w:rPr>
                <w:sz w:val="17"/>
                <w:szCs w:val="17"/>
                <w:color w:val="auto"/>
              </w:rPr>
            </w:pPr>
          </w:p>
        </w:tc>
        <w:tc>
          <w:tcPr>
            <w:tcW w:w="240" w:type="dxa"/>
            <w:vAlign w:val="bottom"/>
            <w:tcBorders>
              <w:top w:val="single" w:sz="8" w:color="auto"/>
              <w:bottom w:val="single" w:sz="8" w:color="auto"/>
            </w:tcBorders>
            <w:gridSpan w:val="3"/>
          </w:tcPr>
          <w:p>
            <w:pPr>
              <w:ind w:left="40"/>
              <w:spacing w:after="0"/>
              <w:rPr>
                <w:sz w:val="20"/>
                <w:szCs w:val="20"/>
                <w:color w:val="auto"/>
              </w:rPr>
            </w:pPr>
            <w:r>
              <w:rPr>
                <w:rFonts w:ascii="Arial" w:cs="Arial" w:eastAsia="Arial" w:hAnsi="Arial"/>
                <w:sz w:val="16"/>
                <w:szCs w:val="16"/>
                <w:color w:val="auto"/>
              </w:rPr>
              <w:t>$</w:t>
            </w:r>
          </w:p>
        </w:tc>
        <w:tc>
          <w:tcPr>
            <w:tcW w:w="116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6"/>
                <w:szCs w:val="16"/>
                <w:color w:val="auto"/>
              </w:rPr>
              <w:t>1</w:t>
            </w:r>
          </w:p>
        </w:tc>
        <w:tc>
          <w:tcPr>
            <w:tcW w:w="60" w:type="dxa"/>
            <w:vAlign w:val="bottom"/>
          </w:tcPr>
          <w:p>
            <w:pPr>
              <w:spacing w:after="0"/>
              <w:rPr>
                <w:sz w:val="17"/>
                <w:szCs w:val="17"/>
                <w:color w:val="auto"/>
              </w:rPr>
            </w:pPr>
          </w:p>
        </w:tc>
        <w:tc>
          <w:tcPr>
            <w:tcW w:w="2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6"/>
                <w:szCs w:val="16"/>
                <w:color w:val="auto"/>
                <w:w w:val="89"/>
              </w:rPr>
              <w:t>$</w:t>
            </w:r>
          </w:p>
        </w:tc>
        <w:tc>
          <w:tcPr>
            <w:tcW w:w="12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6"/>
                <w:szCs w:val="16"/>
                <w:color w:val="auto"/>
              </w:rPr>
              <w:t>31</w:t>
            </w:r>
          </w:p>
        </w:tc>
        <w:tc>
          <w:tcPr>
            <w:tcW w:w="40" w:type="dxa"/>
            <w:vAlign w:val="bottom"/>
          </w:tcPr>
          <w:p>
            <w:pPr>
              <w:spacing w:after="0"/>
              <w:rPr>
                <w:sz w:val="17"/>
                <w:szCs w:val="17"/>
                <w:color w:val="auto"/>
              </w:rPr>
            </w:pPr>
          </w:p>
        </w:tc>
        <w:tc>
          <w:tcPr>
            <w:tcW w:w="380" w:type="dxa"/>
            <w:vAlign w:val="bottom"/>
            <w:tcBorders>
              <w:top w:val="single" w:sz="8" w:color="auto"/>
              <w:bottom w:val="single" w:sz="8" w:color="auto"/>
            </w:tcBorders>
            <w:gridSpan w:val="3"/>
          </w:tcPr>
          <w:p>
            <w:pPr>
              <w:jc w:val="right"/>
              <w:ind w:right="240"/>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3,292</w:t>
            </w:r>
          </w:p>
        </w:tc>
        <w:tc>
          <w:tcPr>
            <w:tcW w:w="0" w:type="dxa"/>
            <w:vAlign w:val="bottom"/>
          </w:tcPr>
          <w:p>
            <w:pPr>
              <w:spacing w:after="0"/>
              <w:rPr>
                <w:sz w:val="1"/>
                <w:szCs w:val="1"/>
                <w:color w:val="auto"/>
              </w:rPr>
            </w:pPr>
          </w:p>
        </w:tc>
      </w:tr>
      <w:tr>
        <w:trPr>
          <w:trHeight w:val="20"/>
        </w:trPr>
        <w:tc>
          <w:tcPr>
            <w:tcW w:w="3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bottom w:val="single" w:sz="8" w:color="auto"/>
            </w:tcBorders>
            <w:gridSpan w:val="2"/>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3"/>
        </w:trPr>
        <w:tc>
          <w:tcPr>
            <w:tcW w:w="3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5"/>
          </w:tcPr>
          <w:p>
            <w:pPr>
              <w:jc w:val="center"/>
              <w:ind w:right="40"/>
              <w:spacing w:after="0"/>
              <w:rPr>
                <w:sz w:val="20"/>
                <w:szCs w:val="20"/>
                <w:color w:val="auto"/>
              </w:rPr>
            </w:pPr>
            <w:r>
              <w:rPr>
                <w:rFonts w:ascii="Arial" w:cs="Arial" w:eastAsia="Arial" w:hAnsi="Arial"/>
                <w:sz w:val="16"/>
                <w:szCs w:val="16"/>
                <w:b w:val="1"/>
                <w:bCs w:val="1"/>
                <w:color w:val="auto"/>
                <w:w w:val="87"/>
              </w:rPr>
              <w:t>December 31, 2024</w:t>
            </w:r>
          </w:p>
        </w:tc>
        <w:tc>
          <w:tcPr>
            <w:tcW w:w="1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0"/>
        </w:trPr>
        <w:tc>
          <w:tcPr>
            <w:tcW w:w="3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2"/>
          </w:tcPr>
          <w:p>
            <w:pPr>
              <w:jc w:val="center"/>
              <w:ind w:right="100"/>
              <w:spacing w:after="0" w:line="170" w:lineRule="exact"/>
              <w:rPr>
                <w:sz w:val="20"/>
                <w:szCs w:val="20"/>
                <w:color w:val="auto"/>
              </w:rPr>
            </w:pPr>
            <w:r>
              <w:rPr>
                <w:rFonts w:ascii="Arial" w:cs="Arial" w:eastAsia="Arial" w:hAnsi="Arial"/>
                <w:sz w:val="16"/>
                <w:szCs w:val="16"/>
                <w:b w:val="1"/>
                <w:bCs w:val="1"/>
                <w:color w:val="auto"/>
              </w:rPr>
              <w:t>At</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tcPr>
          <w:p>
            <w:pPr>
              <w:jc w:val="center"/>
              <w:ind w:right="60"/>
              <w:spacing w:after="0" w:line="170" w:lineRule="exact"/>
              <w:rPr>
                <w:sz w:val="20"/>
                <w:szCs w:val="20"/>
                <w:color w:val="auto"/>
              </w:rPr>
            </w:pPr>
            <w:r>
              <w:rPr>
                <w:rFonts w:ascii="Arial" w:cs="Arial" w:eastAsia="Arial" w:hAnsi="Arial"/>
                <w:sz w:val="16"/>
                <w:szCs w:val="16"/>
                <w:b w:val="1"/>
                <w:bCs w:val="1"/>
                <w:color w:val="auto"/>
                <w:w w:val="85"/>
              </w:rPr>
              <w:t>1 Basis Point-50</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360" w:type="dxa"/>
            <w:vAlign w:val="bottom"/>
            <w:gridSpan w:val="4"/>
            <w:vMerge w:val="restart"/>
          </w:tcPr>
          <w:p>
            <w:pPr>
              <w:ind w:left="40"/>
              <w:spacing w:after="0"/>
              <w:rPr>
                <w:sz w:val="20"/>
                <w:szCs w:val="20"/>
                <w:color w:val="auto"/>
              </w:rPr>
            </w:pPr>
            <w:r>
              <w:rPr>
                <w:rFonts w:ascii="Arial" w:cs="Arial" w:eastAsia="Arial" w:hAnsi="Arial"/>
                <w:sz w:val="16"/>
                <w:szCs w:val="16"/>
                <w:b w:val="1"/>
                <w:bCs w:val="1"/>
                <w:color w:val="auto"/>
                <w:w w:val="86"/>
              </w:rPr>
              <w:t>51 Basis Points-150</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center"/>
              <w:ind w:right="20"/>
              <w:spacing w:after="0" w:line="170" w:lineRule="exact"/>
              <w:rPr>
                <w:sz w:val="20"/>
                <w:szCs w:val="20"/>
                <w:color w:val="auto"/>
              </w:rPr>
            </w:pPr>
            <w:r>
              <w:rPr>
                <w:rFonts w:ascii="Arial" w:cs="Arial" w:eastAsia="Arial" w:hAnsi="Arial"/>
                <w:sz w:val="16"/>
                <w:szCs w:val="16"/>
                <w:b w:val="1"/>
                <w:bCs w:val="1"/>
                <w:color w:val="auto"/>
                <w:w w:val="92"/>
              </w:rPr>
              <w:t>Greater Than</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3320" w:type="dxa"/>
            <w:vAlign w:val="bottom"/>
            <w:vMerge w:val="restart"/>
          </w:tcPr>
          <w:p>
            <w:pPr>
              <w:ind w:left="200"/>
              <w:spacing w:after="0"/>
              <w:rPr>
                <w:sz w:val="20"/>
                <w:szCs w:val="20"/>
                <w:color w:val="auto"/>
              </w:rPr>
            </w:pPr>
            <w:r>
              <w:rPr>
                <w:rFonts w:ascii="Arial" w:cs="Arial" w:eastAsia="Arial" w:hAnsi="Arial"/>
                <w:sz w:val="16"/>
                <w:szCs w:val="16"/>
                <w:b w:val="1"/>
                <w:bCs w:val="1"/>
                <w:color w:val="auto"/>
                <w:w w:val="91"/>
              </w:rPr>
              <w:t>Range of guaranteed minimum crediting rate</w:t>
            </w:r>
          </w:p>
        </w:tc>
        <w:tc>
          <w:tcPr>
            <w:tcW w:w="120" w:type="dxa"/>
            <w:vAlign w:val="bottom"/>
          </w:tcPr>
          <w:p>
            <w:pPr>
              <w:spacing w:after="0"/>
              <w:rPr>
                <w:sz w:val="13"/>
                <w:szCs w:val="13"/>
                <w:color w:val="auto"/>
              </w:rPr>
            </w:pPr>
          </w:p>
        </w:tc>
        <w:tc>
          <w:tcPr>
            <w:tcW w:w="1000" w:type="dxa"/>
            <w:vAlign w:val="bottom"/>
            <w:gridSpan w:val="3"/>
          </w:tcPr>
          <w:p>
            <w:pPr>
              <w:jc w:val="center"/>
              <w:spacing w:after="0" w:line="157" w:lineRule="exact"/>
              <w:rPr>
                <w:sz w:val="20"/>
                <w:szCs w:val="20"/>
                <w:color w:val="auto"/>
              </w:rPr>
            </w:pPr>
            <w:r>
              <w:rPr>
                <w:rFonts w:ascii="Arial" w:cs="Arial" w:eastAsia="Arial" w:hAnsi="Arial"/>
                <w:sz w:val="16"/>
                <w:szCs w:val="16"/>
                <w:b w:val="1"/>
                <w:bCs w:val="1"/>
                <w:color w:val="auto"/>
                <w:w w:val="89"/>
              </w:rPr>
              <w:t>Guaranteed</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gridSpan w:val="2"/>
          </w:tcPr>
          <w:p>
            <w:pPr>
              <w:jc w:val="center"/>
              <w:ind w:right="80"/>
              <w:spacing w:after="0" w:line="157" w:lineRule="exact"/>
              <w:rPr>
                <w:sz w:val="20"/>
                <w:szCs w:val="20"/>
                <w:color w:val="auto"/>
              </w:rPr>
            </w:pPr>
            <w:r>
              <w:rPr>
                <w:rFonts w:ascii="Arial" w:cs="Arial" w:eastAsia="Arial" w:hAnsi="Arial"/>
                <w:sz w:val="16"/>
                <w:szCs w:val="16"/>
                <w:b w:val="1"/>
                <w:bCs w:val="1"/>
                <w:color w:val="auto"/>
                <w:w w:val="83"/>
              </w:rPr>
              <w:t>Basis Points</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360" w:type="dxa"/>
            <w:vAlign w:val="bottom"/>
            <w:gridSpan w:val="4"/>
            <w:vMerge w:val="continue"/>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gridSpan w:val="2"/>
          </w:tcPr>
          <w:p>
            <w:pPr>
              <w:jc w:val="center"/>
              <w:ind w:right="60"/>
              <w:spacing w:after="0" w:line="157" w:lineRule="exact"/>
              <w:rPr>
                <w:sz w:val="20"/>
                <w:szCs w:val="20"/>
                <w:color w:val="auto"/>
              </w:rPr>
            </w:pPr>
            <w:r>
              <w:rPr>
                <w:rFonts w:ascii="Arial" w:cs="Arial" w:eastAsia="Arial" w:hAnsi="Arial"/>
                <w:sz w:val="16"/>
                <w:szCs w:val="16"/>
                <w:b w:val="1"/>
                <w:bCs w:val="1"/>
                <w:color w:val="auto"/>
                <w:w w:val="84"/>
              </w:rPr>
              <w:t>150 Basis Points</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60" w:type="dxa"/>
            <w:vAlign w:val="bottom"/>
            <w:vMerge w:val="restart"/>
          </w:tcPr>
          <w:p>
            <w:pPr>
              <w:jc w:val="right"/>
              <w:ind w:right="322"/>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198"/>
        </w:trPr>
        <w:tc>
          <w:tcPr>
            <w:tcW w:w="332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6"/>
                <w:szCs w:val="16"/>
                <w:b w:val="1"/>
                <w:bCs w:val="1"/>
                <w:color w:val="auto"/>
                <w:w w:val="93"/>
              </w:rPr>
              <w:t>Minimum</w:t>
            </w:r>
          </w:p>
        </w:tc>
        <w:tc>
          <w:tcPr>
            <w:tcW w:w="60" w:type="dxa"/>
            <w:vAlign w:val="bottom"/>
            <w:tcBorders>
              <w:bottom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6"/>
                <w:szCs w:val="16"/>
                <w:b w:val="1"/>
                <w:bCs w:val="1"/>
                <w:color w:val="auto"/>
                <w:w w:val="85"/>
              </w:rPr>
              <w:t>Above</w:t>
            </w:r>
          </w:p>
        </w:tc>
        <w:tc>
          <w:tcPr>
            <w:tcW w:w="60" w:type="dxa"/>
            <w:vAlign w:val="bottom"/>
            <w:tcBorders>
              <w:bottom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360" w:type="dxa"/>
            <w:vAlign w:val="bottom"/>
            <w:tcBorders>
              <w:bottom w:val="single" w:sz="8" w:color="auto"/>
            </w:tcBorders>
            <w:gridSpan w:val="4"/>
          </w:tcPr>
          <w:p>
            <w:pPr>
              <w:ind w:left="60"/>
              <w:spacing w:after="0"/>
              <w:rPr>
                <w:sz w:val="20"/>
                <w:szCs w:val="20"/>
                <w:color w:val="auto"/>
              </w:rPr>
            </w:pPr>
            <w:r>
              <w:rPr>
                <w:rFonts w:ascii="Arial" w:cs="Arial" w:eastAsia="Arial" w:hAnsi="Arial"/>
                <w:sz w:val="16"/>
                <w:szCs w:val="16"/>
                <w:b w:val="1"/>
                <w:bCs w:val="1"/>
                <w:color w:val="auto"/>
                <w:w w:val="85"/>
              </w:rPr>
              <w:t>Basis Points Above</w:t>
            </w:r>
          </w:p>
        </w:tc>
        <w:tc>
          <w:tcPr>
            <w:tcW w:w="40" w:type="dxa"/>
            <w:vAlign w:val="bottom"/>
            <w:tcBorders>
              <w:bottom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gridSpan w:val="2"/>
          </w:tcPr>
          <w:p>
            <w:pPr>
              <w:jc w:val="center"/>
              <w:ind w:right="60"/>
              <w:spacing w:after="0"/>
              <w:rPr>
                <w:sz w:val="20"/>
                <w:szCs w:val="20"/>
                <w:color w:val="auto"/>
              </w:rPr>
            </w:pPr>
            <w:r>
              <w:rPr>
                <w:rFonts w:ascii="Arial" w:cs="Arial" w:eastAsia="Arial" w:hAnsi="Arial"/>
                <w:sz w:val="16"/>
                <w:szCs w:val="16"/>
                <w:b w:val="1"/>
                <w:bCs w:val="1"/>
                <w:color w:val="auto"/>
                <w:w w:val="89"/>
              </w:rPr>
              <w:t>Above</w:t>
            </w:r>
          </w:p>
        </w:tc>
        <w:tc>
          <w:tcPr>
            <w:tcW w:w="60" w:type="dxa"/>
            <w:vAlign w:val="bottom"/>
            <w:tcBorders>
              <w:bottom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320" w:type="dxa"/>
            <w:vAlign w:val="bottom"/>
          </w:tcPr>
          <w:p>
            <w:pPr>
              <w:ind w:left="40"/>
              <w:spacing w:after="0"/>
              <w:rPr>
                <w:sz w:val="20"/>
                <w:szCs w:val="20"/>
                <w:color w:val="auto"/>
              </w:rPr>
            </w:pPr>
            <w:r>
              <w:rPr>
                <w:rFonts w:ascii="Arial" w:cs="Arial" w:eastAsia="Arial" w:hAnsi="Arial"/>
                <w:sz w:val="16"/>
                <w:szCs w:val="16"/>
                <w:b w:val="1"/>
                <w:bCs w:val="1"/>
                <w:color w:val="auto"/>
              </w:rPr>
              <w:t>Indexed annuities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3"/>
          </w:tcPr>
          <w:p>
            <w:pPr>
              <w:jc w:val="center"/>
              <w:spacing w:after="0"/>
              <w:rPr>
                <w:sz w:val="20"/>
                <w:szCs w:val="20"/>
                <w:color w:val="auto"/>
              </w:rPr>
            </w:pPr>
            <w:r>
              <w:rPr>
                <w:rFonts w:ascii="Arial" w:cs="Arial" w:eastAsia="Arial" w:hAnsi="Arial"/>
                <w:sz w:val="16"/>
                <w:szCs w:val="16"/>
                <w:b w:val="1"/>
                <w:bCs w:val="1"/>
                <w:color w:val="auto"/>
                <w:w w:val="91"/>
              </w:rPr>
              <w:t>(In millions)</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3320" w:type="dxa"/>
            <w:vAlign w:val="bottom"/>
          </w:tcPr>
          <w:p>
            <w:pPr>
              <w:ind w:left="40"/>
              <w:spacing w:after="0"/>
              <w:rPr>
                <w:sz w:val="20"/>
                <w:szCs w:val="20"/>
                <w:color w:val="auto"/>
              </w:rPr>
            </w:pPr>
            <w:r>
              <w:rPr>
                <w:rFonts w:ascii="Arial" w:cs="Arial" w:eastAsia="Arial" w:hAnsi="Arial"/>
                <w:sz w:val="16"/>
                <w:szCs w:val="16"/>
                <w:color w:val="auto"/>
              </w:rPr>
              <w:t>Up to 1.50%</w:t>
            </w:r>
          </w:p>
        </w:tc>
        <w:tc>
          <w:tcPr>
            <w:tcW w:w="280" w:type="dxa"/>
            <w:vAlign w:val="bottom"/>
            <w:gridSpan w:val="2"/>
          </w:tcPr>
          <w:p>
            <w:pPr>
              <w:ind w:left="180"/>
              <w:spacing w:after="0"/>
              <w:rPr>
                <w:sz w:val="20"/>
                <w:szCs w:val="20"/>
                <w:color w:val="auto"/>
              </w:rPr>
            </w:pPr>
            <w:r>
              <w:rPr>
                <w:rFonts w:ascii="Arial" w:cs="Arial" w:eastAsia="Arial" w:hAnsi="Arial"/>
                <w:sz w:val="16"/>
                <w:szCs w:val="16"/>
                <w:color w:val="auto"/>
                <w:w w:val="89"/>
              </w:rPr>
              <w:t>$</w:t>
            </w:r>
          </w:p>
        </w:tc>
        <w:tc>
          <w:tcPr>
            <w:tcW w:w="840" w:type="dxa"/>
            <w:vAlign w:val="bottom"/>
            <w:gridSpan w:val="2"/>
          </w:tcPr>
          <w:p>
            <w:pPr>
              <w:jc w:val="right"/>
              <w:ind w:right="20"/>
              <w:spacing w:after="0"/>
              <w:rPr>
                <w:sz w:val="20"/>
                <w:szCs w:val="20"/>
                <w:color w:val="auto"/>
              </w:rPr>
            </w:pPr>
            <w:r>
              <w:rPr>
                <w:rFonts w:ascii="Arial" w:cs="Arial" w:eastAsia="Arial" w:hAnsi="Arial"/>
                <w:sz w:val="16"/>
                <w:szCs w:val="16"/>
                <w:color w:val="auto"/>
              </w:rPr>
              <w:t>721</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ind w:left="20"/>
              <w:spacing w:after="0"/>
              <w:rPr>
                <w:sz w:val="20"/>
                <w:szCs w:val="20"/>
                <w:color w:val="auto"/>
              </w:rPr>
            </w:pPr>
            <w:r>
              <w:rPr>
                <w:rFonts w:ascii="Arial" w:cs="Arial" w:eastAsia="Arial" w:hAnsi="Arial"/>
                <w:sz w:val="16"/>
                <w:szCs w:val="16"/>
                <w:color w:val="auto"/>
                <w:w w:val="89"/>
              </w:rPr>
              <w:t>$</w:t>
            </w:r>
          </w:p>
        </w:tc>
        <w:tc>
          <w:tcPr>
            <w:tcW w:w="1160" w:type="dxa"/>
            <w:vAlign w:val="bottom"/>
            <w:gridSpan w:val="2"/>
          </w:tcPr>
          <w:p>
            <w:pPr>
              <w:jc w:val="right"/>
              <w:ind w:right="20"/>
              <w:spacing w:after="0"/>
              <w:rPr>
                <w:sz w:val="20"/>
                <w:szCs w:val="20"/>
                <w:color w:val="auto"/>
              </w:rPr>
            </w:pPr>
            <w:r>
              <w:rPr>
                <w:rFonts w:ascii="Arial" w:cs="Arial" w:eastAsia="Arial" w:hAnsi="Arial"/>
                <w:sz w:val="16"/>
                <w:szCs w:val="16"/>
                <w:color w:val="auto"/>
              </w:rPr>
              <w:t>596</w:t>
            </w:r>
          </w:p>
        </w:tc>
        <w:tc>
          <w:tcPr>
            <w:tcW w:w="240" w:type="dxa"/>
            <w:vAlign w:val="bottom"/>
            <w:gridSpan w:val="3"/>
          </w:tcPr>
          <w:p>
            <w:pPr>
              <w:ind w:left="160"/>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20"/>
              <w:spacing w:after="0"/>
              <w:rPr>
                <w:sz w:val="20"/>
                <w:szCs w:val="20"/>
                <w:color w:val="auto"/>
              </w:rPr>
            </w:pPr>
            <w:r>
              <w:rPr>
                <w:rFonts w:ascii="Arial" w:cs="Arial" w:eastAsia="Arial" w:hAnsi="Arial"/>
                <w:sz w:val="16"/>
                <w:szCs w:val="16"/>
                <w:color w:val="auto"/>
              </w:rPr>
              <w:t>309</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gridSpan w:val="2"/>
          </w:tcPr>
          <w:p>
            <w:pPr>
              <w:jc w:val="right"/>
              <w:spacing w:after="0"/>
              <w:rPr>
                <w:sz w:val="20"/>
                <w:szCs w:val="20"/>
                <w:color w:val="auto"/>
              </w:rPr>
            </w:pPr>
            <w:r>
              <w:rPr>
                <w:rFonts w:ascii="Arial" w:cs="Arial" w:eastAsia="Arial" w:hAnsi="Arial"/>
                <w:sz w:val="16"/>
                <w:szCs w:val="16"/>
                <w:color w:val="auto"/>
              </w:rPr>
              <w:t>880</w:t>
            </w:r>
          </w:p>
        </w:tc>
        <w:tc>
          <w:tcPr>
            <w:tcW w:w="380" w:type="dxa"/>
            <w:vAlign w:val="bottom"/>
            <w:gridSpan w:val="3"/>
          </w:tcPr>
          <w:p>
            <w:pPr>
              <w:jc w:val="right"/>
              <w:ind w:right="120"/>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2,506</w:t>
            </w:r>
          </w:p>
        </w:tc>
        <w:tc>
          <w:tcPr>
            <w:tcW w:w="0" w:type="dxa"/>
            <w:vAlign w:val="bottom"/>
          </w:tcPr>
          <w:p>
            <w:pPr>
              <w:spacing w:after="0"/>
              <w:rPr>
                <w:sz w:val="1"/>
                <w:szCs w:val="1"/>
                <w:color w:val="auto"/>
              </w:rPr>
            </w:pPr>
          </w:p>
        </w:tc>
      </w:tr>
      <w:tr>
        <w:trPr>
          <w:trHeight w:val="235"/>
        </w:trPr>
        <w:tc>
          <w:tcPr>
            <w:tcW w:w="3320" w:type="dxa"/>
            <w:vAlign w:val="bottom"/>
          </w:tcPr>
          <w:p>
            <w:pPr>
              <w:ind w:left="40"/>
              <w:spacing w:after="0"/>
              <w:rPr>
                <w:sz w:val="20"/>
                <w:szCs w:val="20"/>
                <w:color w:val="auto"/>
              </w:rPr>
            </w:pPr>
            <w:r>
              <w:rPr>
                <w:rFonts w:ascii="Arial" w:cs="Arial" w:eastAsia="Arial" w:hAnsi="Arial"/>
                <w:sz w:val="16"/>
                <w:szCs w:val="16"/>
                <w:color w:val="auto"/>
              </w:rPr>
              <w:t>1.51%-2.50%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6"/>
                <w:szCs w:val="16"/>
                <w:color w:val="auto"/>
              </w:rPr>
              <w:t>432</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6"/>
                <w:szCs w:val="16"/>
                <w:color w:val="auto"/>
              </w:rPr>
              <w:t>1</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6"/>
                <w:szCs w:val="16"/>
                <w:color w:val="auto"/>
              </w:rPr>
              <w:t>313</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gridSpan w:val="2"/>
          </w:tcPr>
          <w:p>
            <w:pPr>
              <w:jc w:val="right"/>
              <w:spacing w:after="0"/>
              <w:rPr>
                <w:sz w:val="20"/>
                <w:szCs w:val="20"/>
                <w:color w:val="auto"/>
              </w:rPr>
            </w:pPr>
            <w:r>
              <w:rPr>
                <w:rFonts w:ascii="Arial" w:cs="Arial" w:eastAsia="Arial" w:hAnsi="Arial"/>
                <w:sz w:val="16"/>
                <w:szCs w:val="16"/>
                <w:color w:val="auto"/>
              </w:rPr>
              <w:t>485</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1,231</w:t>
            </w:r>
          </w:p>
        </w:tc>
        <w:tc>
          <w:tcPr>
            <w:tcW w:w="0" w:type="dxa"/>
            <w:vAlign w:val="bottom"/>
          </w:tcPr>
          <w:p>
            <w:pPr>
              <w:spacing w:after="0"/>
              <w:rPr>
                <w:sz w:val="1"/>
                <w:szCs w:val="1"/>
                <w:color w:val="auto"/>
              </w:rPr>
            </w:pPr>
          </w:p>
        </w:tc>
      </w:tr>
      <w:tr>
        <w:trPr>
          <w:trHeight w:val="232"/>
        </w:trPr>
        <w:tc>
          <w:tcPr>
            <w:tcW w:w="3320" w:type="dxa"/>
            <w:vAlign w:val="bottom"/>
          </w:tcPr>
          <w:p>
            <w:pPr>
              <w:ind w:left="40"/>
              <w:spacing w:after="0"/>
              <w:rPr>
                <w:sz w:val="20"/>
                <w:szCs w:val="20"/>
                <w:color w:val="auto"/>
              </w:rPr>
            </w:pPr>
            <w:r>
              <w:rPr>
                <w:rFonts w:ascii="Arial" w:cs="Arial" w:eastAsia="Arial" w:hAnsi="Arial"/>
                <w:sz w:val="16"/>
                <w:szCs w:val="16"/>
                <w:color w:val="auto"/>
              </w:rPr>
              <w:t>Greater than 2.50%</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6"/>
                <w:szCs w:val="16"/>
                <w:color w:val="auto"/>
              </w:rPr>
              <w:t>253</w:t>
            </w:r>
          </w:p>
        </w:tc>
        <w:tc>
          <w:tcPr>
            <w:tcW w:w="60" w:type="dxa"/>
            <w:vAlign w:val="bottom"/>
            <w:tcBorders>
              <w:bottom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6"/>
                <w:szCs w:val="16"/>
                <w:color w:val="auto"/>
              </w:rPr>
              <w:t>—</w:t>
            </w:r>
          </w:p>
        </w:tc>
        <w:tc>
          <w:tcPr>
            <w:tcW w:w="4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14</w:t>
            </w:r>
          </w:p>
        </w:tc>
        <w:tc>
          <w:tcPr>
            <w:tcW w:w="6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267</w:t>
            </w:r>
          </w:p>
        </w:tc>
        <w:tc>
          <w:tcPr>
            <w:tcW w:w="0" w:type="dxa"/>
            <w:vAlign w:val="bottom"/>
          </w:tcPr>
          <w:p>
            <w:pPr>
              <w:spacing w:after="0"/>
              <w:rPr>
                <w:sz w:val="1"/>
                <w:szCs w:val="1"/>
                <w:color w:val="auto"/>
              </w:rPr>
            </w:pPr>
          </w:p>
        </w:tc>
      </w:tr>
      <w:tr>
        <w:trPr>
          <w:trHeight w:val="196"/>
        </w:trPr>
        <w:tc>
          <w:tcPr>
            <w:tcW w:w="3320" w:type="dxa"/>
            <w:vAlign w:val="bottom"/>
          </w:tcPr>
          <w:p>
            <w:pPr>
              <w:ind w:left="40"/>
              <w:spacing w:after="0"/>
              <w:rPr>
                <w:sz w:val="20"/>
                <w:szCs w:val="20"/>
                <w:color w:val="auto"/>
              </w:rPr>
            </w:pPr>
            <w:r>
              <w:rPr>
                <w:rFonts w:ascii="Arial" w:cs="Arial" w:eastAsia="Arial" w:hAnsi="Arial"/>
                <w:sz w:val="16"/>
                <w:szCs w:val="16"/>
                <w:b w:val="1"/>
                <w:bCs w:val="1"/>
                <w:color w:val="auto"/>
              </w:rPr>
              <w:t>Subtotal</w:t>
            </w:r>
          </w:p>
        </w:tc>
        <w:tc>
          <w:tcPr>
            <w:tcW w:w="280" w:type="dxa"/>
            <w:vAlign w:val="bottom"/>
            <w:gridSpan w:val="2"/>
          </w:tcPr>
          <w:p>
            <w:pPr>
              <w:ind w:left="180"/>
              <w:spacing w:after="0"/>
              <w:rPr>
                <w:sz w:val="20"/>
                <w:szCs w:val="20"/>
                <w:color w:val="auto"/>
              </w:rPr>
            </w:pPr>
            <w:r>
              <w:rPr>
                <w:rFonts w:ascii="Arial" w:cs="Arial" w:eastAsia="Arial" w:hAnsi="Arial"/>
                <w:sz w:val="16"/>
                <w:szCs w:val="16"/>
                <w:color w:val="auto"/>
                <w:w w:val="89"/>
              </w:rPr>
              <w:t>$</w:t>
            </w:r>
          </w:p>
        </w:tc>
        <w:tc>
          <w:tcPr>
            <w:tcW w:w="840" w:type="dxa"/>
            <w:vAlign w:val="bottom"/>
            <w:gridSpan w:val="2"/>
          </w:tcPr>
          <w:p>
            <w:pPr>
              <w:jc w:val="right"/>
              <w:ind w:right="20"/>
              <w:spacing w:after="0"/>
              <w:rPr>
                <w:sz w:val="20"/>
                <w:szCs w:val="20"/>
                <w:color w:val="auto"/>
              </w:rPr>
            </w:pPr>
            <w:r>
              <w:rPr>
                <w:rFonts w:ascii="Arial" w:cs="Arial" w:eastAsia="Arial" w:hAnsi="Arial"/>
                <w:sz w:val="16"/>
                <w:szCs w:val="16"/>
                <w:color w:val="auto"/>
              </w:rPr>
              <w:t>1,406</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ind w:left="20"/>
              <w:spacing w:after="0"/>
              <w:rPr>
                <w:sz w:val="20"/>
                <w:szCs w:val="20"/>
                <w:color w:val="auto"/>
              </w:rPr>
            </w:pPr>
            <w:r>
              <w:rPr>
                <w:rFonts w:ascii="Arial" w:cs="Arial" w:eastAsia="Arial" w:hAnsi="Arial"/>
                <w:sz w:val="16"/>
                <w:szCs w:val="16"/>
                <w:color w:val="auto"/>
                <w:w w:val="89"/>
              </w:rPr>
              <w:t>$</w:t>
            </w:r>
          </w:p>
        </w:tc>
        <w:tc>
          <w:tcPr>
            <w:tcW w:w="1160" w:type="dxa"/>
            <w:vAlign w:val="bottom"/>
            <w:gridSpan w:val="2"/>
          </w:tcPr>
          <w:p>
            <w:pPr>
              <w:jc w:val="right"/>
              <w:ind w:right="20"/>
              <w:spacing w:after="0"/>
              <w:rPr>
                <w:sz w:val="20"/>
                <w:szCs w:val="20"/>
                <w:color w:val="auto"/>
              </w:rPr>
            </w:pPr>
            <w:r>
              <w:rPr>
                <w:rFonts w:ascii="Arial" w:cs="Arial" w:eastAsia="Arial" w:hAnsi="Arial"/>
                <w:sz w:val="16"/>
                <w:szCs w:val="16"/>
                <w:color w:val="auto"/>
              </w:rPr>
              <w:t>597</w:t>
            </w:r>
          </w:p>
        </w:tc>
        <w:tc>
          <w:tcPr>
            <w:tcW w:w="240" w:type="dxa"/>
            <w:vAlign w:val="bottom"/>
            <w:gridSpan w:val="3"/>
          </w:tcPr>
          <w:p>
            <w:pPr>
              <w:ind w:left="160"/>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20"/>
              <w:spacing w:after="0"/>
              <w:rPr>
                <w:sz w:val="20"/>
                <w:szCs w:val="20"/>
                <w:color w:val="auto"/>
              </w:rPr>
            </w:pPr>
            <w:r>
              <w:rPr>
                <w:rFonts w:ascii="Arial" w:cs="Arial" w:eastAsia="Arial" w:hAnsi="Arial"/>
                <w:sz w:val="16"/>
                <w:szCs w:val="16"/>
                <w:color w:val="auto"/>
              </w:rPr>
              <w:t>622</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gridSpan w:val="2"/>
          </w:tcPr>
          <w:p>
            <w:pPr>
              <w:jc w:val="right"/>
              <w:spacing w:after="0"/>
              <w:rPr>
                <w:sz w:val="20"/>
                <w:szCs w:val="20"/>
                <w:color w:val="auto"/>
              </w:rPr>
            </w:pPr>
            <w:r>
              <w:rPr>
                <w:rFonts w:ascii="Arial" w:cs="Arial" w:eastAsia="Arial" w:hAnsi="Arial"/>
                <w:sz w:val="16"/>
                <w:szCs w:val="16"/>
                <w:color w:val="auto"/>
              </w:rPr>
              <w:t>1,379</w:t>
            </w:r>
          </w:p>
        </w:tc>
        <w:tc>
          <w:tcPr>
            <w:tcW w:w="380" w:type="dxa"/>
            <w:vAlign w:val="bottom"/>
            <w:gridSpan w:val="3"/>
          </w:tcPr>
          <w:p>
            <w:pPr>
              <w:jc w:val="right"/>
              <w:ind w:right="120"/>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4,004</w:t>
            </w:r>
          </w:p>
        </w:tc>
        <w:tc>
          <w:tcPr>
            <w:tcW w:w="0" w:type="dxa"/>
            <w:vAlign w:val="bottom"/>
          </w:tcPr>
          <w:p>
            <w:pPr>
              <w:spacing w:after="0"/>
              <w:rPr>
                <w:sz w:val="1"/>
                <w:szCs w:val="1"/>
                <w:color w:val="auto"/>
              </w:rPr>
            </w:pPr>
          </w:p>
        </w:tc>
      </w:tr>
      <w:tr>
        <w:trPr>
          <w:trHeight w:val="20"/>
        </w:trPr>
        <w:tc>
          <w:tcPr>
            <w:tcW w:w="3320" w:type="dxa"/>
            <w:vAlign w:val="bottom"/>
            <w:vMerge w:val="restart"/>
          </w:tcPr>
          <w:p>
            <w:pPr>
              <w:ind w:left="40"/>
              <w:spacing w:after="0"/>
              <w:rPr>
                <w:sz w:val="20"/>
                <w:szCs w:val="20"/>
                <w:color w:val="auto"/>
              </w:rPr>
            </w:pPr>
            <w:r>
              <w:rPr>
                <w:rFonts w:ascii="Arial" w:cs="Arial" w:eastAsia="Arial" w:hAnsi="Arial"/>
                <w:sz w:val="16"/>
                <w:szCs w:val="16"/>
                <w:color w:val="auto"/>
              </w:rPr>
              <w:t>No guaranteed minimum crediting rate</w:t>
            </w: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vMerge w:val="restart"/>
          </w:tcPr>
          <w:p>
            <w:pPr>
              <w:jc w:val="right"/>
              <w:spacing w:after="0"/>
              <w:rPr>
                <w:sz w:val="20"/>
                <w:szCs w:val="20"/>
                <w:color w:val="auto"/>
              </w:rPr>
            </w:pPr>
            <w:r>
              <w:rPr>
                <w:rFonts w:ascii="Arial" w:cs="Arial" w:eastAsia="Arial" w:hAnsi="Arial"/>
                <w:sz w:val="16"/>
                <w:szCs w:val="16"/>
                <w:color w:val="auto"/>
              </w:rPr>
              <w:t>26,231</w:t>
            </w:r>
          </w:p>
        </w:tc>
        <w:tc>
          <w:tcPr>
            <w:tcW w:w="0" w:type="dxa"/>
            <w:vAlign w:val="bottom"/>
          </w:tcPr>
          <w:p>
            <w:pPr>
              <w:spacing w:after="0" w:line="20" w:lineRule="exact"/>
              <w:rPr>
                <w:sz w:val="1"/>
                <w:szCs w:val="1"/>
                <w:color w:val="auto"/>
              </w:rPr>
            </w:pPr>
          </w:p>
        </w:tc>
      </w:tr>
      <w:tr>
        <w:trPr>
          <w:trHeight w:val="195"/>
        </w:trPr>
        <w:tc>
          <w:tcPr>
            <w:tcW w:w="33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320" w:type="dxa"/>
            <w:vAlign w:val="bottom"/>
          </w:tcPr>
          <w:p>
            <w:pPr>
              <w:ind w:left="40"/>
              <w:spacing w:after="0"/>
              <w:rPr>
                <w:sz w:val="20"/>
                <w:szCs w:val="20"/>
                <w:color w:val="auto"/>
              </w:rPr>
            </w:pPr>
            <w:r>
              <w:rPr>
                <w:rFonts w:ascii="Arial" w:cs="Arial" w:eastAsia="Arial" w:hAnsi="Arial"/>
                <w:sz w:val="16"/>
                <w:szCs w:val="16"/>
                <w:b w:val="1"/>
                <w:bCs w:val="1"/>
                <w:color w:val="auto"/>
              </w:rPr>
              <w:t>Total</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80" w:type="dxa"/>
            <w:vAlign w:val="bottom"/>
            <w:gridSpan w:val="3"/>
          </w:tcPr>
          <w:p>
            <w:pPr>
              <w:jc w:val="right"/>
              <w:ind w:right="120"/>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30,235</w:t>
            </w:r>
          </w:p>
        </w:tc>
        <w:tc>
          <w:tcPr>
            <w:tcW w:w="0" w:type="dxa"/>
            <w:vAlign w:val="bottom"/>
          </w:tcPr>
          <w:p>
            <w:pPr>
              <w:spacing w:after="0"/>
              <w:rPr>
                <w:sz w:val="1"/>
                <w:szCs w:val="1"/>
                <w:color w:val="auto"/>
              </w:rPr>
            </w:pPr>
          </w:p>
        </w:tc>
      </w:tr>
      <w:tr>
        <w:trPr>
          <w:trHeight w:val="20"/>
        </w:trPr>
        <w:tc>
          <w:tcPr>
            <w:tcW w:w="332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Fixed rate annuities</w:t>
            </w: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332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3320" w:type="dxa"/>
            <w:vAlign w:val="bottom"/>
          </w:tcPr>
          <w:p>
            <w:pPr>
              <w:ind w:left="40"/>
              <w:spacing w:after="0"/>
              <w:rPr>
                <w:sz w:val="20"/>
                <w:szCs w:val="20"/>
                <w:color w:val="auto"/>
              </w:rPr>
            </w:pPr>
            <w:r>
              <w:rPr>
                <w:rFonts w:ascii="Arial" w:cs="Arial" w:eastAsia="Arial" w:hAnsi="Arial"/>
                <w:sz w:val="16"/>
                <w:szCs w:val="16"/>
                <w:color w:val="auto"/>
              </w:rPr>
              <w:t>Up to 1.50%</w:t>
            </w:r>
          </w:p>
        </w:tc>
        <w:tc>
          <w:tcPr>
            <w:tcW w:w="280" w:type="dxa"/>
            <w:vAlign w:val="bottom"/>
            <w:gridSpan w:val="2"/>
          </w:tcPr>
          <w:p>
            <w:pPr>
              <w:ind w:left="180"/>
              <w:spacing w:after="0"/>
              <w:rPr>
                <w:sz w:val="20"/>
                <w:szCs w:val="20"/>
                <w:color w:val="auto"/>
              </w:rPr>
            </w:pPr>
            <w:r>
              <w:rPr>
                <w:rFonts w:ascii="Arial" w:cs="Arial" w:eastAsia="Arial" w:hAnsi="Arial"/>
                <w:sz w:val="16"/>
                <w:szCs w:val="16"/>
                <w:color w:val="auto"/>
                <w:w w:val="89"/>
              </w:rPr>
              <w:t>$</w:t>
            </w:r>
          </w:p>
        </w:tc>
        <w:tc>
          <w:tcPr>
            <w:tcW w:w="840" w:type="dxa"/>
            <w:vAlign w:val="bottom"/>
            <w:gridSpan w:val="2"/>
          </w:tcPr>
          <w:p>
            <w:pPr>
              <w:jc w:val="right"/>
              <w:ind w:right="20"/>
              <w:spacing w:after="0"/>
              <w:rPr>
                <w:sz w:val="20"/>
                <w:szCs w:val="20"/>
                <w:color w:val="auto"/>
              </w:rPr>
            </w:pPr>
            <w:r>
              <w:rPr>
                <w:rFonts w:ascii="Arial" w:cs="Arial" w:eastAsia="Arial" w:hAnsi="Arial"/>
                <w:sz w:val="16"/>
                <w:szCs w:val="16"/>
                <w:color w:val="auto"/>
              </w:rPr>
              <w:t>57</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ind w:left="20"/>
              <w:spacing w:after="0"/>
              <w:rPr>
                <w:sz w:val="20"/>
                <w:szCs w:val="20"/>
                <w:color w:val="auto"/>
              </w:rPr>
            </w:pPr>
            <w:r>
              <w:rPr>
                <w:rFonts w:ascii="Arial" w:cs="Arial" w:eastAsia="Arial" w:hAnsi="Arial"/>
                <w:sz w:val="16"/>
                <w:szCs w:val="16"/>
                <w:color w:val="auto"/>
                <w:w w:val="89"/>
              </w:rPr>
              <w:t>$</w:t>
            </w:r>
          </w:p>
        </w:tc>
        <w:tc>
          <w:tcPr>
            <w:tcW w:w="1160" w:type="dxa"/>
            <w:vAlign w:val="bottom"/>
            <w:gridSpan w:val="2"/>
          </w:tcPr>
          <w:p>
            <w:pPr>
              <w:jc w:val="right"/>
              <w:ind w:right="20"/>
              <w:spacing w:after="0"/>
              <w:rPr>
                <w:sz w:val="20"/>
                <w:szCs w:val="20"/>
                <w:color w:val="auto"/>
              </w:rPr>
            </w:pPr>
            <w:r>
              <w:rPr>
                <w:rFonts w:ascii="Arial" w:cs="Arial" w:eastAsia="Arial" w:hAnsi="Arial"/>
                <w:sz w:val="16"/>
                <w:szCs w:val="16"/>
                <w:color w:val="auto"/>
              </w:rPr>
              <w:t>20</w:t>
            </w:r>
          </w:p>
        </w:tc>
        <w:tc>
          <w:tcPr>
            <w:tcW w:w="240" w:type="dxa"/>
            <w:vAlign w:val="bottom"/>
            <w:gridSpan w:val="3"/>
          </w:tcPr>
          <w:p>
            <w:pPr>
              <w:ind w:left="160"/>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20"/>
              <w:spacing w:after="0"/>
              <w:rPr>
                <w:sz w:val="20"/>
                <w:szCs w:val="20"/>
                <w:color w:val="auto"/>
              </w:rPr>
            </w:pPr>
            <w:r>
              <w:rPr>
                <w:rFonts w:ascii="Arial" w:cs="Arial" w:eastAsia="Arial" w:hAnsi="Arial"/>
                <w:sz w:val="16"/>
                <w:szCs w:val="16"/>
                <w:color w:val="auto"/>
              </w:rPr>
              <w:t>773</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gridSpan w:val="2"/>
          </w:tcPr>
          <w:p>
            <w:pPr>
              <w:jc w:val="right"/>
              <w:spacing w:after="0"/>
              <w:rPr>
                <w:sz w:val="20"/>
                <w:szCs w:val="20"/>
                <w:color w:val="auto"/>
              </w:rPr>
            </w:pPr>
            <w:r>
              <w:rPr>
                <w:rFonts w:ascii="Arial" w:cs="Arial" w:eastAsia="Arial" w:hAnsi="Arial"/>
                <w:sz w:val="16"/>
                <w:szCs w:val="16"/>
                <w:color w:val="auto"/>
              </w:rPr>
              <w:t>14,407</w:t>
            </w:r>
          </w:p>
        </w:tc>
        <w:tc>
          <w:tcPr>
            <w:tcW w:w="380" w:type="dxa"/>
            <w:vAlign w:val="bottom"/>
            <w:gridSpan w:val="3"/>
          </w:tcPr>
          <w:p>
            <w:pPr>
              <w:jc w:val="right"/>
              <w:ind w:right="120"/>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15,257</w:t>
            </w:r>
          </w:p>
        </w:tc>
        <w:tc>
          <w:tcPr>
            <w:tcW w:w="0" w:type="dxa"/>
            <w:vAlign w:val="bottom"/>
          </w:tcPr>
          <w:p>
            <w:pPr>
              <w:spacing w:after="0"/>
              <w:rPr>
                <w:sz w:val="1"/>
                <w:szCs w:val="1"/>
                <w:color w:val="auto"/>
              </w:rPr>
            </w:pPr>
          </w:p>
        </w:tc>
      </w:tr>
      <w:tr>
        <w:trPr>
          <w:trHeight w:val="235"/>
        </w:trPr>
        <w:tc>
          <w:tcPr>
            <w:tcW w:w="3320" w:type="dxa"/>
            <w:vAlign w:val="bottom"/>
          </w:tcPr>
          <w:p>
            <w:pPr>
              <w:ind w:left="40"/>
              <w:spacing w:after="0"/>
              <w:rPr>
                <w:sz w:val="20"/>
                <w:szCs w:val="20"/>
                <w:color w:val="auto"/>
              </w:rPr>
            </w:pPr>
            <w:r>
              <w:rPr>
                <w:rFonts w:ascii="Arial" w:cs="Arial" w:eastAsia="Arial" w:hAnsi="Arial"/>
                <w:sz w:val="16"/>
                <w:szCs w:val="16"/>
                <w:color w:val="auto"/>
              </w:rPr>
              <w:t>1.51%-2.50%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6"/>
                <w:szCs w:val="16"/>
                <w:color w:val="auto"/>
              </w:rPr>
              <w:t>4</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6"/>
                <w:szCs w:val="16"/>
                <w:color w:val="auto"/>
              </w:rPr>
              <w:t>7</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6"/>
                <w:szCs w:val="16"/>
                <w:color w:val="auto"/>
              </w:rPr>
              <w:t>20</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gridSpan w:val="2"/>
          </w:tcPr>
          <w:p>
            <w:pPr>
              <w:jc w:val="right"/>
              <w:spacing w:after="0"/>
              <w:rPr>
                <w:sz w:val="20"/>
                <w:szCs w:val="20"/>
                <w:color w:val="auto"/>
              </w:rPr>
            </w:pPr>
            <w:r>
              <w:rPr>
                <w:rFonts w:ascii="Arial" w:cs="Arial" w:eastAsia="Arial" w:hAnsi="Arial"/>
                <w:sz w:val="16"/>
                <w:szCs w:val="16"/>
                <w:color w:val="auto"/>
              </w:rPr>
              <w:t>462</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493</w:t>
            </w:r>
          </w:p>
        </w:tc>
        <w:tc>
          <w:tcPr>
            <w:tcW w:w="0" w:type="dxa"/>
            <w:vAlign w:val="bottom"/>
          </w:tcPr>
          <w:p>
            <w:pPr>
              <w:spacing w:after="0"/>
              <w:rPr>
                <w:sz w:val="1"/>
                <w:szCs w:val="1"/>
                <w:color w:val="auto"/>
              </w:rPr>
            </w:pPr>
          </w:p>
        </w:tc>
      </w:tr>
      <w:tr>
        <w:trPr>
          <w:trHeight w:val="232"/>
        </w:trPr>
        <w:tc>
          <w:tcPr>
            <w:tcW w:w="3320" w:type="dxa"/>
            <w:vAlign w:val="bottom"/>
          </w:tcPr>
          <w:p>
            <w:pPr>
              <w:ind w:left="40"/>
              <w:spacing w:after="0"/>
              <w:rPr>
                <w:sz w:val="20"/>
                <w:szCs w:val="20"/>
                <w:color w:val="auto"/>
              </w:rPr>
            </w:pPr>
            <w:r>
              <w:rPr>
                <w:rFonts w:ascii="Arial" w:cs="Arial" w:eastAsia="Arial" w:hAnsi="Arial"/>
                <w:sz w:val="16"/>
                <w:szCs w:val="16"/>
                <w:color w:val="auto"/>
              </w:rPr>
              <w:t>Greater than 2.50%</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6"/>
                <w:szCs w:val="16"/>
                <w:color w:val="auto"/>
              </w:rPr>
              <w:t>804</w:t>
            </w:r>
          </w:p>
        </w:tc>
        <w:tc>
          <w:tcPr>
            <w:tcW w:w="60" w:type="dxa"/>
            <w:vAlign w:val="bottom"/>
            <w:tcBorders>
              <w:bottom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6"/>
                <w:szCs w:val="16"/>
                <w:color w:val="auto"/>
              </w:rPr>
              <w:t>2</w:t>
            </w:r>
          </w:p>
        </w:tc>
        <w:tc>
          <w:tcPr>
            <w:tcW w:w="6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6"/>
                <w:szCs w:val="16"/>
                <w:color w:val="auto"/>
              </w:rPr>
              <w:t>5</w:t>
            </w:r>
          </w:p>
        </w:tc>
        <w:tc>
          <w:tcPr>
            <w:tcW w:w="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881</w:t>
            </w:r>
          </w:p>
        </w:tc>
        <w:tc>
          <w:tcPr>
            <w:tcW w:w="6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1,692</w:t>
            </w:r>
          </w:p>
        </w:tc>
        <w:tc>
          <w:tcPr>
            <w:tcW w:w="0" w:type="dxa"/>
            <w:vAlign w:val="bottom"/>
          </w:tcPr>
          <w:p>
            <w:pPr>
              <w:spacing w:after="0"/>
              <w:rPr>
                <w:sz w:val="1"/>
                <w:szCs w:val="1"/>
                <w:color w:val="auto"/>
              </w:rPr>
            </w:pPr>
          </w:p>
        </w:tc>
      </w:tr>
      <w:tr>
        <w:trPr>
          <w:trHeight w:val="196"/>
        </w:trPr>
        <w:tc>
          <w:tcPr>
            <w:tcW w:w="3320" w:type="dxa"/>
            <w:vAlign w:val="bottom"/>
          </w:tcPr>
          <w:p>
            <w:pPr>
              <w:ind w:left="40"/>
              <w:spacing w:after="0"/>
              <w:rPr>
                <w:sz w:val="20"/>
                <w:szCs w:val="20"/>
                <w:color w:val="auto"/>
              </w:rPr>
            </w:pPr>
            <w:r>
              <w:rPr>
                <w:rFonts w:ascii="Arial" w:cs="Arial" w:eastAsia="Arial" w:hAnsi="Arial"/>
                <w:sz w:val="16"/>
                <w:szCs w:val="16"/>
                <w:b w:val="1"/>
                <w:bCs w:val="1"/>
                <w:color w:val="auto"/>
              </w:rPr>
              <w:t>Total</w:t>
            </w:r>
          </w:p>
        </w:tc>
        <w:tc>
          <w:tcPr>
            <w:tcW w:w="280" w:type="dxa"/>
            <w:vAlign w:val="bottom"/>
            <w:gridSpan w:val="2"/>
          </w:tcPr>
          <w:p>
            <w:pPr>
              <w:ind w:left="180"/>
              <w:spacing w:after="0"/>
              <w:rPr>
                <w:sz w:val="20"/>
                <w:szCs w:val="20"/>
                <w:color w:val="auto"/>
              </w:rPr>
            </w:pPr>
            <w:r>
              <w:rPr>
                <w:rFonts w:ascii="Arial" w:cs="Arial" w:eastAsia="Arial" w:hAnsi="Arial"/>
                <w:sz w:val="16"/>
                <w:szCs w:val="16"/>
                <w:color w:val="auto"/>
                <w:w w:val="89"/>
              </w:rPr>
              <w:t>$</w:t>
            </w:r>
          </w:p>
        </w:tc>
        <w:tc>
          <w:tcPr>
            <w:tcW w:w="840" w:type="dxa"/>
            <w:vAlign w:val="bottom"/>
            <w:gridSpan w:val="2"/>
          </w:tcPr>
          <w:p>
            <w:pPr>
              <w:jc w:val="right"/>
              <w:ind w:right="20"/>
              <w:spacing w:after="0"/>
              <w:rPr>
                <w:sz w:val="20"/>
                <w:szCs w:val="20"/>
                <w:color w:val="auto"/>
              </w:rPr>
            </w:pPr>
            <w:r>
              <w:rPr>
                <w:rFonts w:ascii="Arial" w:cs="Arial" w:eastAsia="Arial" w:hAnsi="Arial"/>
                <w:sz w:val="16"/>
                <w:szCs w:val="16"/>
                <w:color w:val="auto"/>
              </w:rPr>
              <w:t>865</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ind w:left="20"/>
              <w:spacing w:after="0"/>
              <w:rPr>
                <w:sz w:val="20"/>
                <w:szCs w:val="20"/>
                <w:color w:val="auto"/>
              </w:rPr>
            </w:pPr>
            <w:r>
              <w:rPr>
                <w:rFonts w:ascii="Arial" w:cs="Arial" w:eastAsia="Arial" w:hAnsi="Arial"/>
                <w:sz w:val="16"/>
                <w:szCs w:val="16"/>
                <w:color w:val="auto"/>
                <w:w w:val="89"/>
              </w:rPr>
              <w:t>$</w:t>
            </w:r>
          </w:p>
        </w:tc>
        <w:tc>
          <w:tcPr>
            <w:tcW w:w="1160" w:type="dxa"/>
            <w:vAlign w:val="bottom"/>
            <w:gridSpan w:val="2"/>
          </w:tcPr>
          <w:p>
            <w:pPr>
              <w:jc w:val="right"/>
              <w:ind w:right="20"/>
              <w:spacing w:after="0"/>
              <w:rPr>
                <w:sz w:val="20"/>
                <w:szCs w:val="20"/>
                <w:color w:val="auto"/>
              </w:rPr>
            </w:pPr>
            <w:r>
              <w:rPr>
                <w:rFonts w:ascii="Arial" w:cs="Arial" w:eastAsia="Arial" w:hAnsi="Arial"/>
                <w:sz w:val="16"/>
                <w:szCs w:val="16"/>
                <w:color w:val="auto"/>
              </w:rPr>
              <w:t>29</w:t>
            </w:r>
          </w:p>
        </w:tc>
        <w:tc>
          <w:tcPr>
            <w:tcW w:w="240" w:type="dxa"/>
            <w:vAlign w:val="bottom"/>
            <w:gridSpan w:val="3"/>
          </w:tcPr>
          <w:p>
            <w:pPr>
              <w:ind w:left="160"/>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20"/>
              <w:spacing w:after="0"/>
              <w:rPr>
                <w:sz w:val="20"/>
                <w:szCs w:val="20"/>
                <w:color w:val="auto"/>
              </w:rPr>
            </w:pPr>
            <w:r>
              <w:rPr>
                <w:rFonts w:ascii="Arial" w:cs="Arial" w:eastAsia="Arial" w:hAnsi="Arial"/>
                <w:sz w:val="16"/>
                <w:szCs w:val="16"/>
                <w:color w:val="auto"/>
              </w:rPr>
              <w:t>798</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gridSpan w:val="2"/>
          </w:tcPr>
          <w:p>
            <w:pPr>
              <w:jc w:val="right"/>
              <w:spacing w:after="0"/>
              <w:rPr>
                <w:sz w:val="20"/>
                <w:szCs w:val="20"/>
                <w:color w:val="auto"/>
              </w:rPr>
            </w:pPr>
            <w:r>
              <w:rPr>
                <w:rFonts w:ascii="Arial" w:cs="Arial" w:eastAsia="Arial" w:hAnsi="Arial"/>
                <w:sz w:val="16"/>
                <w:szCs w:val="16"/>
                <w:color w:val="auto"/>
              </w:rPr>
              <w:t>15,750</w:t>
            </w:r>
          </w:p>
        </w:tc>
        <w:tc>
          <w:tcPr>
            <w:tcW w:w="380" w:type="dxa"/>
            <w:vAlign w:val="bottom"/>
            <w:gridSpan w:val="3"/>
          </w:tcPr>
          <w:p>
            <w:pPr>
              <w:jc w:val="right"/>
              <w:ind w:right="120"/>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17,442</w:t>
            </w:r>
          </w:p>
        </w:tc>
        <w:tc>
          <w:tcPr>
            <w:tcW w:w="0" w:type="dxa"/>
            <w:vAlign w:val="bottom"/>
          </w:tcPr>
          <w:p>
            <w:pPr>
              <w:spacing w:after="0"/>
              <w:rPr>
                <w:sz w:val="1"/>
                <w:szCs w:val="1"/>
                <w:color w:val="auto"/>
              </w:rPr>
            </w:pPr>
          </w:p>
        </w:tc>
      </w:tr>
      <w:tr>
        <w:trPr>
          <w:trHeight w:val="20"/>
        </w:trPr>
        <w:tc>
          <w:tcPr>
            <w:tcW w:w="332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Universal Life</w:t>
            </w: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332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3320" w:type="dxa"/>
            <w:vAlign w:val="bottom"/>
          </w:tcPr>
          <w:p>
            <w:pPr>
              <w:ind w:left="40"/>
              <w:spacing w:after="0"/>
              <w:rPr>
                <w:sz w:val="20"/>
                <w:szCs w:val="20"/>
                <w:color w:val="auto"/>
              </w:rPr>
            </w:pPr>
            <w:r>
              <w:rPr>
                <w:rFonts w:ascii="Arial" w:cs="Arial" w:eastAsia="Arial" w:hAnsi="Arial"/>
                <w:sz w:val="16"/>
                <w:szCs w:val="16"/>
                <w:color w:val="auto"/>
              </w:rPr>
              <w:t>Up to 1.50%</w:t>
            </w:r>
          </w:p>
        </w:tc>
        <w:tc>
          <w:tcPr>
            <w:tcW w:w="280" w:type="dxa"/>
            <w:vAlign w:val="bottom"/>
            <w:gridSpan w:val="2"/>
          </w:tcPr>
          <w:p>
            <w:pPr>
              <w:ind w:left="180"/>
              <w:spacing w:after="0"/>
              <w:rPr>
                <w:sz w:val="20"/>
                <w:szCs w:val="20"/>
                <w:color w:val="auto"/>
              </w:rPr>
            </w:pPr>
            <w:r>
              <w:rPr>
                <w:rFonts w:ascii="Arial" w:cs="Arial" w:eastAsia="Arial" w:hAnsi="Arial"/>
                <w:sz w:val="16"/>
                <w:szCs w:val="16"/>
                <w:color w:val="auto"/>
                <w:w w:val="89"/>
              </w:rPr>
              <w:t>$</w:t>
            </w:r>
          </w:p>
        </w:tc>
        <w:tc>
          <w:tcPr>
            <w:tcW w:w="840" w:type="dxa"/>
            <w:vAlign w:val="bottom"/>
            <w:gridSpan w:val="2"/>
          </w:tcPr>
          <w:p>
            <w:pPr>
              <w:jc w:val="right"/>
              <w:ind w:right="20"/>
              <w:spacing w:after="0"/>
              <w:rPr>
                <w:sz w:val="20"/>
                <w:szCs w:val="20"/>
                <w:color w:val="auto"/>
              </w:rPr>
            </w:pPr>
            <w:r>
              <w:rPr>
                <w:rFonts w:ascii="Arial" w:cs="Arial" w:eastAsia="Arial" w:hAnsi="Arial"/>
                <w:sz w:val="16"/>
                <w:szCs w:val="16"/>
                <w:color w:val="auto"/>
              </w:rPr>
              <w:t>2,421</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ind w:left="20"/>
              <w:spacing w:after="0"/>
              <w:rPr>
                <w:sz w:val="20"/>
                <w:szCs w:val="20"/>
                <w:color w:val="auto"/>
              </w:rPr>
            </w:pPr>
            <w:r>
              <w:rPr>
                <w:rFonts w:ascii="Arial" w:cs="Arial" w:eastAsia="Arial" w:hAnsi="Arial"/>
                <w:sz w:val="16"/>
                <w:szCs w:val="16"/>
                <w:color w:val="auto"/>
                <w:w w:val="89"/>
              </w:rPr>
              <w:t>$</w:t>
            </w:r>
          </w:p>
        </w:tc>
        <w:tc>
          <w:tcPr>
            <w:tcW w:w="1160" w:type="dxa"/>
            <w:vAlign w:val="bottom"/>
            <w:gridSpan w:val="2"/>
          </w:tcPr>
          <w:p>
            <w:pPr>
              <w:jc w:val="right"/>
              <w:ind w:right="20"/>
              <w:spacing w:after="0"/>
              <w:rPr>
                <w:sz w:val="20"/>
                <w:szCs w:val="20"/>
                <w:color w:val="auto"/>
              </w:rPr>
            </w:pPr>
            <w:r>
              <w:rPr>
                <w:rFonts w:ascii="Arial" w:cs="Arial" w:eastAsia="Arial" w:hAnsi="Arial"/>
                <w:sz w:val="16"/>
                <w:szCs w:val="16"/>
                <w:color w:val="auto"/>
              </w:rPr>
              <w:t>7</w:t>
            </w:r>
          </w:p>
        </w:tc>
        <w:tc>
          <w:tcPr>
            <w:tcW w:w="240" w:type="dxa"/>
            <w:vAlign w:val="bottom"/>
            <w:gridSpan w:val="3"/>
          </w:tcPr>
          <w:p>
            <w:pPr>
              <w:ind w:left="160"/>
              <w:spacing w:after="0"/>
              <w:rPr>
                <w:sz w:val="20"/>
                <w:szCs w:val="20"/>
                <w:color w:val="auto"/>
              </w:rPr>
            </w:pPr>
            <w:r>
              <w:rPr>
                <w:rFonts w:ascii="Arial" w:cs="Arial" w:eastAsia="Arial" w:hAnsi="Arial"/>
                <w:sz w:val="15"/>
                <w:szCs w:val="15"/>
                <w:color w:val="auto"/>
                <w:w w:val="71"/>
              </w:rPr>
              <w:t>$</w:t>
            </w:r>
          </w:p>
        </w:tc>
        <w:tc>
          <w:tcPr>
            <w:tcW w:w="1240" w:type="dxa"/>
            <w:vAlign w:val="bottom"/>
            <w:gridSpan w:val="3"/>
          </w:tcPr>
          <w:p>
            <w:pPr>
              <w:jc w:val="right"/>
              <w:ind w:right="4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gridSpan w:val="2"/>
          </w:tcPr>
          <w:p>
            <w:pPr>
              <w:jc w:val="right"/>
              <w:spacing w:after="0"/>
              <w:rPr>
                <w:sz w:val="20"/>
                <w:szCs w:val="20"/>
                <w:color w:val="auto"/>
              </w:rPr>
            </w:pPr>
            <w:r>
              <w:rPr>
                <w:rFonts w:ascii="Arial" w:cs="Arial" w:eastAsia="Arial" w:hAnsi="Arial"/>
                <w:sz w:val="16"/>
                <w:szCs w:val="16"/>
                <w:color w:val="auto"/>
              </w:rPr>
              <w:t>24</w:t>
            </w:r>
          </w:p>
        </w:tc>
        <w:tc>
          <w:tcPr>
            <w:tcW w:w="380" w:type="dxa"/>
            <w:vAlign w:val="bottom"/>
            <w:gridSpan w:val="3"/>
          </w:tcPr>
          <w:p>
            <w:pPr>
              <w:jc w:val="right"/>
              <w:ind w:right="120"/>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2,452</w:t>
            </w:r>
          </w:p>
        </w:tc>
        <w:tc>
          <w:tcPr>
            <w:tcW w:w="0" w:type="dxa"/>
            <w:vAlign w:val="bottom"/>
          </w:tcPr>
          <w:p>
            <w:pPr>
              <w:spacing w:after="0"/>
              <w:rPr>
                <w:sz w:val="1"/>
                <w:szCs w:val="1"/>
                <w:color w:val="auto"/>
              </w:rPr>
            </w:pPr>
          </w:p>
        </w:tc>
      </w:tr>
      <w:tr>
        <w:trPr>
          <w:trHeight w:val="235"/>
        </w:trPr>
        <w:tc>
          <w:tcPr>
            <w:tcW w:w="3320" w:type="dxa"/>
            <w:vAlign w:val="bottom"/>
          </w:tcPr>
          <w:p>
            <w:pPr>
              <w:ind w:left="40"/>
              <w:spacing w:after="0"/>
              <w:rPr>
                <w:sz w:val="20"/>
                <w:szCs w:val="20"/>
                <w:color w:val="auto"/>
              </w:rPr>
            </w:pPr>
            <w:r>
              <w:rPr>
                <w:rFonts w:ascii="Arial" w:cs="Arial" w:eastAsia="Arial" w:hAnsi="Arial"/>
                <w:sz w:val="16"/>
                <w:szCs w:val="16"/>
                <w:color w:val="auto"/>
              </w:rPr>
              <w:t>1.51%-2.50%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3"/>
          </w:tcPr>
          <w:p>
            <w:pPr>
              <w:jc w:val="right"/>
              <w:ind w:right="4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2"/>
        </w:trPr>
        <w:tc>
          <w:tcPr>
            <w:tcW w:w="3320" w:type="dxa"/>
            <w:vAlign w:val="bottom"/>
          </w:tcPr>
          <w:p>
            <w:pPr>
              <w:ind w:left="40"/>
              <w:spacing w:after="0"/>
              <w:rPr>
                <w:sz w:val="20"/>
                <w:szCs w:val="20"/>
                <w:color w:val="auto"/>
              </w:rPr>
            </w:pPr>
            <w:r>
              <w:rPr>
                <w:rFonts w:ascii="Arial" w:cs="Arial" w:eastAsia="Arial" w:hAnsi="Arial"/>
                <w:sz w:val="16"/>
                <w:szCs w:val="16"/>
                <w:color w:val="auto"/>
              </w:rPr>
              <w:t>Greater than 2.50%</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6"/>
                <w:szCs w:val="16"/>
                <w:color w:val="auto"/>
              </w:rPr>
              <w:t>364</w:t>
            </w:r>
          </w:p>
        </w:tc>
        <w:tc>
          <w:tcPr>
            <w:tcW w:w="60" w:type="dxa"/>
            <w:vAlign w:val="bottom"/>
            <w:tcBorders>
              <w:bottom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6"/>
                <w:szCs w:val="16"/>
                <w:color w:val="auto"/>
              </w:rPr>
              <w:t>1</w:t>
            </w:r>
          </w:p>
        </w:tc>
        <w:tc>
          <w:tcPr>
            <w:tcW w:w="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365</w:t>
            </w:r>
          </w:p>
        </w:tc>
        <w:tc>
          <w:tcPr>
            <w:tcW w:w="0" w:type="dxa"/>
            <w:vAlign w:val="bottom"/>
          </w:tcPr>
          <w:p>
            <w:pPr>
              <w:spacing w:after="0"/>
              <w:rPr>
                <w:sz w:val="1"/>
                <w:szCs w:val="1"/>
                <w:color w:val="auto"/>
              </w:rPr>
            </w:pPr>
          </w:p>
        </w:tc>
      </w:tr>
      <w:tr>
        <w:trPr>
          <w:trHeight w:val="196"/>
        </w:trPr>
        <w:tc>
          <w:tcPr>
            <w:tcW w:w="3320" w:type="dxa"/>
            <w:vAlign w:val="bottom"/>
          </w:tcPr>
          <w:p>
            <w:pPr>
              <w:ind w:left="40"/>
              <w:spacing w:after="0"/>
              <w:rPr>
                <w:sz w:val="20"/>
                <w:szCs w:val="20"/>
                <w:color w:val="auto"/>
              </w:rPr>
            </w:pPr>
            <w:r>
              <w:rPr>
                <w:rFonts w:ascii="Arial" w:cs="Arial" w:eastAsia="Arial" w:hAnsi="Arial"/>
                <w:sz w:val="16"/>
                <w:szCs w:val="16"/>
                <w:b w:val="1"/>
                <w:bCs w:val="1"/>
                <w:color w:val="auto"/>
              </w:rPr>
              <w:t>Total</w:t>
            </w:r>
          </w:p>
        </w:tc>
        <w:tc>
          <w:tcPr>
            <w:tcW w:w="280" w:type="dxa"/>
            <w:vAlign w:val="bottom"/>
            <w:gridSpan w:val="2"/>
          </w:tcPr>
          <w:p>
            <w:pPr>
              <w:ind w:left="180"/>
              <w:spacing w:after="0"/>
              <w:rPr>
                <w:sz w:val="20"/>
                <w:szCs w:val="20"/>
                <w:color w:val="auto"/>
              </w:rPr>
            </w:pPr>
            <w:r>
              <w:rPr>
                <w:rFonts w:ascii="Arial" w:cs="Arial" w:eastAsia="Arial" w:hAnsi="Arial"/>
                <w:sz w:val="16"/>
                <w:szCs w:val="16"/>
                <w:color w:val="auto"/>
                <w:w w:val="89"/>
              </w:rPr>
              <w:t>$</w:t>
            </w:r>
          </w:p>
        </w:tc>
        <w:tc>
          <w:tcPr>
            <w:tcW w:w="840" w:type="dxa"/>
            <w:vAlign w:val="bottom"/>
            <w:gridSpan w:val="2"/>
          </w:tcPr>
          <w:p>
            <w:pPr>
              <w:jc w:val="right"/>
              <w:ind w:right="20"/>
              <w:spacing w:after="0"/>
              <w:rPr>
                <w:sz w:val="20"/>
                <w:szCs w:val="20"/>
                <w:color w:val="auto"/>
              </w:rPr>
            </w:pPr>
            <w:r>
              <w:rPr>
                <w:rFonts w:ascii="Arial" w:cs="Arial" w:eastAsia="Arial" w:hAnsi="Arial"/>
                <w:sz w:val="16"/>
                <w:szCs w:val="16"/>
                <w:color w:val="auto"/>
              </w:rPr>
              <w:t>2,785</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ind w:left="20"/>
              <w:spacing w:after="0"/>
              <w:rPr>
                <w:sz w:val="20"/>
                <w:szCs w:val="20"/>
                <w:color w:val="auto"/>
              </w:rPr>
            </w:pPr>
            <w:r>
              <w:rPr>
                <w:rFonts w:ascii="Arial" w:cs="Arial" w:eastAsia="Arial" w:hAnsi="Arial"/>
                <w:sz w:val="16"/>
                <w:szCs w:val="16"/>
                <w:color w:val="auto"/>
                <w:w w:val="89"/>
              </w:rPr>
              <w:t>$</w:t>
            </w:r>
          </w:p>
        </w:tc>
        <w:tc>
          <w:tcPr>
            <w:tcW w:w="1160" w:type="dxa"/>
            <w:vAlign w:val="bottom"/>
            <w:gridSpan w:val="2"/>
          </w:tcPr>
          <w:p>
            <w:pPr>
              <w:jc w:val="right"/>
              <w:ind w:right="20"/>
              <w:spacing w:after="0"/>
              <w:rPr>
                <w:sz w:val="20"/>
                <w:szCs w:val="20"/>
                <w:color w:val="auto"/>
              </w:rPr>
            </w:pPr>
            <w:r>
              <w:rPr>
                <w:rFonts w:ascii="Arial" w:cs="Arial" w:eastAsia="Arial" w:hAnsi="Arial"/>
                <w:sz w:val="16"/>
                <w:szCs w:val="16"/>
                <w:color w:val="auto"/>
              </w:rPr>
              <w:t>7</w:t>
            </w:r>
          </w:p>
        </w:tc>
        <w:tc>
          <w:tcPr>
            <w:tcW w:w="240" w:type="dxa"/>
            <w:vAlign w:val="bottom"/>
            <w:gridSpan w:val="3"/>
          </w:tcPr>
          <w:p>
            <w:pPr>
              <w:ind w:left="160"/>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20"/>
              <w:spacing w:after="0"/>
              <w:rPr>
                <w:sz w:val="20"/>
                <w:szCs w:val="20"/>
                <w:color w:val="auto"/>
              </w:rPr>
            </w:pPr>
            <w:r>
              <w:rPr>
                <w:rFonts w:ascii="Arial" w:cs="Arial" w:eastAsia="Arial" w:hAnsi="Arial"/>
                <w:sz w:val="16"/>
                <w:szCs w:val="16"/>
                <w:color w:val="auto"/>
              </w:rPr>
              <w:t>1</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gridSpan w:val="2"/>
          </w:tcPr>
          <w:p>
            <w:pPr>
              <w:jc w:val="right"/>
              <w:spacing w:after="0"/>
              <w:rPr>
                <w:sz w:val="20"/>
                <w:szCs w:val="20"/>
                <w:color w:val="auto"/>
              </w:rPr>
            </w:pPr>
            <w:r>
              <w:rPr>
                <w:rFonts w:ascii="Arial" w:cs="Arial" w:eastAsia="Arial" w:hAnsi="Arial"/>
                <w:sz w:val="16"/>
                <w:szCs w:val="16"/>
                <w:color w:val="auto"/>
              </w:rPr>
              <w:t>24</w:t>
            </w:r>
          </w:p>
        </w:tc>
        <w:tc>
          <w:tcPr>
            <w:tcW w:w="380" w:type="dxa"/>
            <w:vAlign w:val="bottom"/>
            <w:gridSpan w:val="3"/>
          </w:tcPr>
          <w:p>
            <w:pPr>
              <w:jc w:val="right"/>
              <w:ind w:right="120"/>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2,817</w:t>
            </w:r>
          </w:p>
        </w:tc>
        <w:tc>
          <w:tcPr>
            <w:tcW w:w="0" w:type="dxa"/>
            <w:vAlign w:val="bottom"/>
          </w:tcPr>
          <w:p>
            <w:pPr>
              <w:spacing w:after="0"/>
              <w:rPr>
                <w:sz w:val="1"/>
                <w:szCs w:val="1"/>
                <w:color w:val="auto"/>
              </w:rPr>
            </w:pPr>
          </w:p>
        </w:tc>
      </w:tr>
      <w:tr>
        <w:trPr>
          <w:trHeight w:val="20"/>
        </w:trPr>
        <w:tc>
          <w:tcPr>
            <w:tcW w:w="3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-6010910</wp:posOffset>
            </wp:positionV>
            <wp:extent cx="6410325" cy="78168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165">
                      <a:extLst>
                        <a:ext uri="{28A0092B-C50C-407E-A947-70E740481C1C}"/>
                      </a:extLst>
                    </a:blip>
                    <a:srcRect/>
                    <a:stretch>
                      <a:fillRect/>
                    </a:stretch>
                  </pic:blipFill>
                  <pic:spPr bwMode="auto">
                    <a:xfrm>
                      <a:off x="0" y="0"/>
                      <a:ext cx="6410325" cy="781685"/>
                    </a:xfrm>
                    <a:prstGeom prst="rect">
                      <a:avLst/>
                    </a:prstGeom>
                    <a:noFill/>
                  </pic:spPr>
                </pic:pic>
              </a:graphicData>
            </a:graphic>
          </wp:anchor>
        </w:drawing>
        <w:drawing>
          <wp:anchor simplePos="0" relativeHeight="251657728" behindDoc="1" locked="0" layoutInCell="0" allowOverlap="1">
            <wp:simplePos x="0" y="0"/>
            <wp:positionH relativeFrom="column">
              <wp:posOffset>5518150</wp:posOffset>
            </wp:positionH>
            <wp:positionV relativeFrom="paragraph">
              <wp:posOffset>-5108575</wp:posOffset>
            </wp:positionV>
            <wp:extent cx="875030" cy="5016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166">
                      <a:extLst>
                        <a:ext uri="{28A0092B-C50C-407E-A947-70E740481C1C}"/>
                      </a:extLst>
                    </a:blip>
                    <a:srcRect/>
                    <a:stretch>
                      <a:fillRect/>
                    </a:stretch>
                  </pic:blipFill>
                  <pic:spPr bwMode="auto">
                    <a:xfrm>
                      <a:off x="0" y="0"/>
                      <a:ext cx="875030" cy="50165"/>
                    </a:xfrm>
                    <a:prstGeom prst="rect">
                      <a:avLst/>
                    </a:prstGeom>
                    <a:noFill/>
                  </pic:spPr>
                </pic:pic>
              </a:graphicData>
            </a:graphic>
          </wp:anchor>
        </w:drawing>
        <w:drawing>
          <wp:anchor simplePos="0" relativeHeight="251657728" behindDoc="1" locked="0" layoutInCell="0" allowOverlap="1">
            <wp:simplePos x="0" y="0"/>
            <wp:positionH relativeFrom="column">
              <wp:posOffset>-16510</wp:posOffset>
            </wp:positionH>
            <wp:positionV relativeFrom="paragraph">
              <wp:posOffset>-4825365</wp:posOffset>
            </wp:positionV>
            <wp:extent cx="6410325" cy="63500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167">
                      <a:extLst>
                        <a:ext uri="{28A0092B-C50C-407E-A947-70E740481C1C}"/>
                      </a:extLst>
                    </a:blip>
                    <a:srcRect/>
                    <a:stretch>
                      <a:fillRect/>
                    </a:stretch>
                  </pic:blipFill>
                  <pic:spPr bwMode="auto">
                    <a:xfrm>
                      <a:off x="0" y="0"/>
                      <a:ext cx="6410325" cy="635000"/>
                    </a:xfrm>
                    <a:prstGeom prst="rect">
                      <a:avLst/>
                    </a:prstGeom>
                    <a:noFill/>
                  </pic:spPr>
                </pic:pic>
              </a:graphicData>
            </a:graphic>
          </wp:anchor>
        </w:drawing>
        <w:drawing>
          <wp:anchor simplePos="0" relativeHeight="251657728" behindDoc="1" locked="0" layoutInCell="0" allowOverlap="1">
            <wp:simplePos x="0" y="0"/>
            <wp:positionH relativeFrom="column">
              <wp:posOffset>-16510</wp:posOffset>
            </wp:positionH>
            <wp:positionV relativeFrom="paragraph">
              <wp:posOffset>-3957320</wp:posOffset>
            </wp:positionV>
            <wp:extent cx="6410325" cy="63500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168">
                      <a:extLst>
                        <a:ext uri="{28A0092B-C50C-407E-A947-70E740481C1C}"/>
                      </a:extLst>
                    </a:blip>
                    <a:srcRect/>
                    <a:stretch>
                      <a:fillRect/>
                    </a:stretch>
                  </pic:blipFill>
                  <pic:spPr bwMode="auto">
                    <a:xfrm>
                      <a:off x="0" y="0"/>
                      <a:ext cx="6410325" cy="635000"/>
                    </a:xfrm>
                    <a:prstGeom prst="rect">
                      <a:avLst/>
                    </a:prstGeom>
                    <a:noFill/>
                  </pic:spPr>
                </pic:pic>
              </a:graphicData>
            </a:graphic>
          </wp:anchor>
        </w:drawing>
        <w:drawing>
          <wp:anchor simplePos="0" relativeHeight="251657728" behindDoc="1" locked="0" layoutInCell="0" allowOverlap="1">
            <wp:simplePos x="0" y="0"/>
            <wp:positionH relativeFrom="column">
              <wp:posOffset>-16510</wp:posOffset>
            </wp:positionH>
            <wp:positionV relativeFrom="paragraph">
              <wp:posOffset>-2653665</wp:posOffset>
            </wp:positionV>
            <wp:extent cx="6410325" cy="93408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169">
                      <a:extLst>
                        <a:ext uri="{28A0092B-C50C-407E-A947-70E740481C1C}"/>
                      </a:extLst>
                    </a:blip>
                    <a:srcRect/>
                    <a:stretch>
                      <a:fillRect/>
                    </a:stretch>
                  </pic:blipFill>
                  <pic:spPr bwMode="auto">
                    <a:xfrm>
                      <a:off x="0" y="0"/>
                      <a:ext cx="6410325" cy="934085"/>
                    </a:xfrm>
                    <a:prstGeom prst="rect">
                      <a:avLst/>
                    </a:prstGeom>
                    <a:noFill/>
                  </pic:spPr>
                </pic:pic>
              </a:graphicData>
            </a:graphic>
          </wp:anchor>
        </w:drawing>
        <w:drawing>
          <wp:anchor simplePos="0" relativeHeight="251657728" behindDoc="1" locked="0" layoutInCell="0" allowOverlap="1">
            <wp:simplePos x="0" y="0"/>
            <wp:positionH relativeFrom="column">
              <wp:posOffset>-16510</wp:posOffset>
            </wp:positionH>
            <wp:positionV relativeFrom="paragraph">
              <wp:posOffset>-1487170</wp:posOffset>
            </wp:positionV>
            <wp:extent cx="6410325" cy="63500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170">
                      <a:extLst>
                        <a:ext uri="{28A0092B-C50C-407E-A947-70E740481C1C}"/>
                      </a:extLst>
                    </a:blip>
                    <a:srcRect/>
                    <a:stretch>
                      <a:fillRect/>
                    </a:stretch>
                  </pic:blipFill>
                  <pic:spPr bwMode="auto">
                    <a:xfrm>
                      <a:off x="0" y="0"/>
                      <a:ext cx="6410325" cy="635000"/>
                    </a:xfrm>
                    <a:prstGeom prst="rect">
                      <a:avLst/>
                    </a:prstGeom>
                    <a:noFill/>
                  </pic:spPr>
                </pic:pic>
              </a:graphicData>
            </a:graphic>
          </wp:anchor>
        </w:drawing>
        <w:drawing>
          <wp:anchor simplePos="0" relativeHeight="251657728" behindDoc="1" locked="0" layoutInCell="0" allowOverlap="1">
            <wp:simplePos x="0" y="0"/>
            <wp:positionH relativeFrom="column">
              <wp:posOffset>-16510</wp:posOffset>
            </wp:positionH>
            <wp:positionV relativeFrom="paragraph">
              <wp:posOffset>-628015</wp:posOffset>
            </wp:positionV>
            <wp:extent cx="6410325" cy="63500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171">
                      <a:extLst>
                        <a:ext uri="{28A0092B-C50C-407E-A947-70E740481C1C}"/>
                      </a:extLst>
                    </a:blip>
                    <a:srcRect/>
                    <a:stretch>
                      <a:fillRect/>
                    </a:stretch>
                  </pic:blipFill>
                  <pic:spPr bwMode="auto">
                    <a:xfrm>
                      <a:off x="0" y="0"/>
                      <a:ext cx="6410325" cy="635000"/>
                    </a:xfrm>
                    <a:prstGeom prst="rect">
                      <a:avLst/>
                    </a:prstGeom>
                    <a:noFill/>
                  </pic:spPr>
                </pic:pic>
              </a:graphicData>
            </a:graphic>
          </wp:anchor>
        </w:drawing>
      </w:r>
    </w:p>
    <w:p>
      <w:pPr>
        <w:sectPr>
          <w:pgSz w:w="11880" w:h="15480" w:orient="portrait"/>
          <w:cols w:equalWidth="0" w:num="1">
            <w:col w:w="10040"/>
          </w:cols>
          <w:pgMar w:left="920" w:top="772"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185</w:t>
      </w:r>
    </w:p>
    <w:p>
      <w:pPr>
        <w:sectPr>
          <w:pgSz w:w="11880" w:h="15480" w:orient="portrait"/>
          <w:cols w:equalWidth="0" w:num="1">
            <w:col w:w="10040"/>
          </w:cols>
          <w:pgMar w:left="920" w:top="772" w:right="920" w:bottom="0" w:gutter="0" w:footer="0" w:header="0"/>
          <w:type w:val="continuous"/>
        </w:sectPr>
      </w:pPr>
    </w:p>
    <w:bookmarkStart w:id="197" w:name="page198"/>
    <w:bookmarkEnd w:id="197"/>
    <w:p>
      <w:pPr>
        <w:spacing w:after="0"/>
        <w:rPr>
          <w:sz w:val="20"/>
          <w:szCs w:val="20"/>
          <w:color w:val="auto"/>
        </w:rPr>
      </w:pPr>
      <w:r>
        <w:rPr>
          <w:rFonts w:ascii="Arial" w:cs="Arial" w:eastAsia="Arial" w:hAnsi="Arial"/>
          <w:sz w:val="20"/>
          <w:szCs w:val="20"/>
          <w:b w:val="1"/>
          <w:bCs w:val="1"/>
          <w:color w:val="auto"/>
        </w:rPr>
        <w:t>Note Y — Future Policy Benefits</w:t>
      </w:r>
    </w:p>
    <w:p>
      <w:pPr>
        <w:spacing w:after="0" w:line="130" w:lineRule="exact"/>
        <w:rPr>
          <w:sz w:val="20"/>
          <w:szCs w:val="20"/>
          <w:color w:val="auto"/>
        </w:rPr>
      </w:pPr>
    </w:p>
    <w:p>
      <w:pPr>
        <w:ind w:firstLine="353"/>
        <w:spacing w:after="0" w:line="260" w:lineRule="auto"/>
        <w:rPr>
          <w:sz w:val="20"/>
          <w:szCs w:val="20"/>
          <w:color w:val="auto"/>
        </w:rPr>
      </w:pPr>
      <w:r>
        <w:rPr>
          <w:rFonts w:ascii="Arial" w:cs="Arial" w:eastAsia="Arial" w:hAnsi="Arial"/>
          <w:sz w:val="20"/>
          <w:szCs w:val="20"/>
          <w:color w:val="auto"/>
        </w:rPr>
        <w:t>The following table summarizes balances and changes in the present value of expected net premiums and the present value of the expected FPB for nonparticipating traditional contracts:</w:t>
      </w:r>
    </w:p>
    <w:p>
      <w:pPr>
        <w:spacing w:after="0" w:line="217" w:lineRule="exact"/>
        <w:rPr>
          <w:sz w:val="20"/>
          <w:szCs w:val="20"/>
          <w:color w:val="auto"/>
        </w:rPr>
      </w:pPr>
    </w:p>
    <w:tbl>
      <w:tblPr>
        <w:tblLayout w:type="fixed"/>
        <w:tblInd w:w="40" w:type="dxa"/>
        <w:tblCellMar>
          <w:top w:w="0" w:type="dxa"/>
          <w:left w:w="0" w:type="dxa"/>
          <w:bottom w:w="0" w:type="dxa"/>
          <w:right w:w="0" w:type="dxa"/>
        </w:tblCellMar>
      </w:tblPr>
      <w:tr>
        <w:trPr>
          <w:trHeight w:val="213"/>
        </w:trPr>
        <w:tc>
          <w:tcPr>
            <w:tcW w:w="64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3380" w:type="dxa"/>
            <w:vAlign w:val="bottom"/>
            <w:tcBorders>
              <w:bottom w:val="single" w:sz="8" w:color="auto"/>
            </w:tcBorders>
            <w:gridSpan w:val="4"/>
          </w:tcPr>
          <w:p>
            <w:pPr>
              <w:jc w:val="right"/>
              <w:ind w:right="1202"/>
              <w:spacing w:after="0"/>
              <w:rPr>
                <w:sz w:val="20"/>
                <w:szCs w:val="20"/>
                <w:color w:val="auto"/>
              </w:rPr>
            </w:pPr>
            <w:r>
              <w:rPr>
                <w:rFonts w:ascii="Arial" w:cs="Arial" w:eastAsia="Arial" w:hAnsi="Arial"/>
                <w:sz w:val="16"/>
                <w:szCs w:val="16"/>
                <w:b w:val="1"/>
                <w:bCs w:val="1"/>
                <w:color w:val="auto"/>
              </w:rPr>
              <w:t>Traditional life</w:t>
            </w:r>
          </w:p>
        </w:tc>
        <w:tc>
          <w:tcPr>
            <w:tcW w:w="0" w:type="dxa"/>
            <w:vAlign w:val="bottom"/>
          </w:tcPr>
          <w:p>
            <w:pPr>
              <w:spacing w:after="0"/>
              <w:rPr>
                <w:sz w:val="1"/>
                <w:szCs w:val="1"/>
                <w:color w:val="auto"/>
              </w:rPr>
            </w:pPr>
          </w:p>
        </w:tc>
      </w:tr>
      <w:tr>
        <w:trPr>
          <w:trHeight w:val="230"/>
        </w:trPr>
        <w:tc>
          <w:tcPr>
            <w:tcW w:w="64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ind w:right="162"/>
              <w:spacing w:after="0"/>
              <w:rPr>
                <w:sz w:val="20"/>
                <w:szCs w:val="20"/>
                <w:color w:val="auto"/>
              </w:rPr>
            </w:pPr>
            <w:r>
              <w:rPr>
                <w:rFonts w:ascii="Arial" w:cs="Arial" w:eastAsia="Arial" w:hAnsi="Arial"/>
                <w:sz w:val="16"/>
                <w:szCs w:val="16"/>
                <w:b w:val="1"/>
                <w:bCs w:val="1"/>
                <w:color w:val="auto"/>
                <w:w w:val="90"/>
              </w:rPr>
              <w:t>December 31, 2025</w:t>
            </w:r>
          </w:p>
        </w:tc>
        <w:tc>
          <w:tcPr>
            <w:tcW w:w="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ind w:right="162"/>
              <w:spacing w:after="0"/>
              <w:rPr>
                <w:sz w:val="20"/>
                <w:szCs w:val="20"/>
                <w:color w:val="auto"/>
              </w:rPr>
            </w:pPr>
            <w:r>
              <w:rPr>
                <w:rFonts w:ascii="Arial" w:cs="Arial" w:eastAsia="Arial" w:hAnsi="Arial"/>
                <w:sz w:val="16"/>
                <w:szCs w:val="16"/>
                <w:b w:val="1"/>
                <w:bCs w:val="1"/>
                <w:color w:val="auto"/>
                <w:w w:val="90"/>
              </w:rPr>
              <w:t>December 31, 2024</w:t>
            </w:r>
          </w:p>
        </w:tc>
        <w:tc>
          <w:tcPr>
            <w:tcW w:w="0" w:type="dxa"/>
            <w:vAlign w:val="bottom"/>
          </w:tcPr>
          <w:p>
            <w:pPr>
              <w:spacing w:after="0"/>
              <w:rPr>
                <w:sz w:val="1"/>
                <w:szCs w:val="1"/>
                <w:color w:val="auto"/>
              </w:rPr>
            </w:pPr>
          </w:p>
        </w:tc>
      </w:tr>
      <w:tr>
        <w:trPr>
          <w:trHeight w:val="230"/>
        </w:trPr>
        <w:tc>
          <w:tcPr>
            <w:tcW w:w="6420" w:type="dxa"/>
            <w:vAlign w:val="bottom"/>
          </w:tcPr>
          <w:p>
            <w:pPr>
              <w:spacing w:after="0"/>
              <w:rPr>
                <w:sz w:val="20"/>
                <w:szCs w:val="20"/>
                <w:color w:val="auto"/>
              </w:rPr>
            </w:pPr>
            <w:r>
              <w:rPr>
                <w:rFonts w:ascii="Arial" w:cs="Arial" w:eastAsia="Arial" w:hAnsi="Arial"/>
                <w:sz w:val="16"/>
                <w:szCs w:val="16"/>
                <w:b w:val="1"/>
                <w:bCs w:val="1"/>
                <w:color w:val="auto"/>
              </w:rPr>
              <w:t>Expected net premiums</w:t>
            </w:r>
          </w:p>
        </w:tc>
        <w:tc>
          <w:tcPr>
            <w:tcW w:w="200" w:type="dxa"/>
            <w:vAlign w:val="bottom"/>
            <w:tcBorders>
              <w:bottom w:val="single" w:sz="8" w:color="auto"/>
            </w:tcBorders>
          </w:tcPr>
          <w:p>
            <w:pPr>
              <w:spacing w:after="0"/>
              <w:rPr>
                <w:sz w:val="19"/>
                <w:szCs w:val="19"/>
                <w:color w:val="auto"/>
              </w:rPr>
            </w:pPr>
          </w:p>
        </w:tc>
        <w:tc>
          <w:tcPr>
            <w:tcW w:w="3380" w:type="dxa"/>
            <w:vAlign w:val="bottom"/>
            <w:tcBorders>
              <w:bottom w:val="single" w:sz="8" w:color="auto"/>
            </w:tcBorders>
            <w:gridSpan w:val="4"/>
          </w:tcPr>
          <w:p>
            <w:pPr>
              <w:jc w:val="right"/>
              <w:ind w:right="1282"/>
              <w:spacing w:after="0"/>
              <w:rPr>
                <w:sz w:val="20"/>
                <w:szCs w:val="20"/>
                <w:color w:val="auto"/>
              </w:rPr>
            </w:pPr>
            <w:r>
              <w:rPr>
                <w:rFonts w:ascii="Arial" w:cs="Arial" w:eastAsia="Arial" w:hAnsi="Arial"/>
                <w:sz w:val="16"/>
                <w:szCs w:val="16"/>
                <w:b w:val="1"/>
                <w:bCs w:val="1"/>
                <w:color w:val="auto"/>
              </w:rPr>
              <w:t>(In millions)</w:t>
            </w:r>
          </w:p>
        </w:tc>
        <w:tc>
          <w:tcPr>
            <w:tcW w:w="0" w:type="dxa"/>
            <w:vAlign w:val="bottom"/>
          </w:tcPr>
          <w:p>
            <w:pPr>
              <w:spacing w:after="0"/>
              <w:rPr>
                <w:sz w:val="1"/>
                <w:szCs w:val="1"/>
                <w:color w:val="auto"/>
              </w:rPr>
            </w:pPr>
          </w:p>
        </w:tc>
      </w:tr>
      <w:tr>
        <w:trPr>
          <w:trHeight w:val="223"/>
        </w:trPr>
        <w:tc>
          <w:tcPr>
            <w:tcW w:w="6420" w:type="dxa"/>
            <w:vAlign w:val="bottom"/>
          </w:tcPr>
          <w:p>
            <w:pPr>
              <w:spacing w:after="0"/>
              <w:rPr>
                <w:sz w:val="20"/>
                <w:szCs w:val="20"/>
                <w:color w:val="auto"/>
              </w:rPr>
            </w:pPr>
            <w:r>
              <w:rPr>
                <w:rFonts w:ascii="Arial" w:cs="Arial" w:eastAsia="Arial" w:hAnsi="Arial"/>
                <w:sz w:val="16"/>
                <w:szCs w:val="16"/>
                <w:b w:val="1"/>
                <w:bCs w:val="1"/>
                <w:color w:val="auto"/>
              </w:rPr>
              <w:t>Balance, beginning of year</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560" w:type="dxa"/>
            <w:vAlign w:val="bottom"/>
          </w:tcPr>
          <w:p>
            <w:pPr>
              <w:jc w:val="right"/>
              <w:spacing w:after="0"/>
              <w:rPr>
                <w:sz w:val="20"/>
                <w:szCs w:val="20"/>
                <w:color w:val="auto"/>
              </w:rPr>
            </w:pPr>
            <w:r>
              <w:rPr>
                <w:rFonts w:ascii="Arial" w:cs="Arial" w:eastAsia="Arial" w:hAnsi="Arial"/>
                <w:sz w:val="16"/>
                <w:szCs w:val="16"/>
                <w:color w:val="auto"/>
              </w:rPr>
              <w:t>631</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560" w:type="dxa"/>
            <w:vAlign w:val="bottom"/>
          </w:tcPr>
          <w:p>
            <w:pPr>
              <w:jc w:val="right"/>
              <w:spacing w:after="0"/>
              <w:rPr>
                <w:sz w:val="20"/>
                <w:szCs w:val="20"/>
                <w:color w:val="auto"/>
              </w:rPr>
            </w:pPr>
            <w:r>
              <w:rPr>
                <w:rFonts w:ascii="Arial" w:cs="Arial" w:eastAsia="Arial" w:hAnsi="Arial"/>
                <w:sz w:val="16"/>
                <w:szCs w:val="16"/>
                <w:color w:val="auto"/>
              </w:rPr>
              <w:t>722</w:t>
            </w:r>
          </w:p>
        </w:tc>
        <w:tc>
          <w:tcPr>
            <w:tcW w:w="0" w:type="dxa"/>
            <w:vAlign w:val="bottom"/>
          </w:tcPr>
          <w:p>
            <w:pPr>
              <w:spacing w:after="0"/>
              <w:rPr>
                <w:sz w:val="1"/>
                <w:szCs w:val="1"/>
                <w:color w:val="auto"/>
              </w:rPr>
            </w:pPr>
          </w:p>
        </w:tc>
      </w:tr>
      <w:tr>
        <w:trPr>
          <w:trHeight w:val="250"/>
        </w:trPr>
        <w:tc>
          <w:tcPr>
            <w:tcW w:w="6420" w:type="dxa"/>
            <w:vAlign w:val="bottom"/>
          </w:tcPr>
          <w:p>
            <w:pPr>
              <w:spacing w:after="0"/>
              <w:rPr>
                <w:sz w:val="20"/>
                <w:szCs w:val="20"/>
                <w:color w:val="auto"/>
              </w:rPr>
            </w:pPr>
            <w:r>
              <w:rPr>
                <w:rFonts w:ascii="Arial" w:cs="Arial" w:eastAsia="Arial" w:hAnsi="Arial"/>
                <w:sz w:val="16"/>
                <w:szCs w:val="16"/>
                <w:color w:val="auto"/>
              </w:rPr>
              <w:t>Beginning balance at original discount rate</w:t>
            </w:r>
          </w:p>
        </w:tc>
        <w:tc>
          <w:tcPr>
            <w:tcW w:w="2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780</w:t>
            </w: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874</w:t>
            </w:r>
          </w:p>
        </w:tc>
        <w:tc>
          <w:tcPr>
            <w:tcW w:w="0" w:type="dxa"/>
            <w:vAlign w:val="bottom"/>
          </w:tcPr>
          <w:p>
            <w:pPr>
              <w:spacing w:after="0"/>
              <w:rPr>
                <w:sz w:val="1"/>
                <w:szCs w:val="1"/>
                <w:color w:val="auto"/>
              </w:rPr>
            </w:pPr>
          </w:p>
        </w:tc>
      </w:tr>
      <w:tr>
        <w:trPr>
          <w:trHeight w:val="257"/>
        </w:trPr>
        <w:tc>
          <w:tcPr>
            <w:tcW w:w="6420" w:type="dxa"/>
            <w:vAlign w:val="bottom"/>
          </w:tcPr>
          <w:p>
            <w:pPr>
              <w:ind w:left="200"/>
              <w:spacing w:after="0"/>
              <w:rPr>
                <w:sz w:val="20"/>
                <w:szCs w:val="20"/>
                <w:color w:val="auto"/>
              </w:rPr>
            </w:pPr>
            <w:r>
              <w:rPr>
                <w:rFonts w:ascii="Arial" w:cs="Arial" w:eastAsia="Arial" w:hAnsi="Arial"/>
                <w:sz w:val="16"/>
                <w:szCs w:val="16"/>
                <w:color w:val="auto"/>
              </w:rPr>
              <w:t>Effect of actual variances from expected experience</w:t>
            </w:r>
          </w:p>
        </w:tc>
        <w:tc>
          <w:tcPr>
            <w:tcW w:w="20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6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23"/>
        </w:trPr>
        <w:tc>
          <w:tcPr>
            <w:tcW w:w="6420" w:type="dxa"/>
            <w:vAlign w:val="bottom"/>
          </w:tcPr>
          <w:p>
            <w:pPr>
              <w:spacing w:after="0"/>
              <w:rPr>
                <w:sz w:val="20"/>
                <w:szCs w:val="20"/>
                <w:color w:val="auto"/>
              </w:rPr>
            </w:pPr>
            <w:r>
              <w:rPr>
                <w:rFonts w:ascii="Arial" w:cs="Arial" w:eastAsia="Arial" w:hAnsi="Arial"/>
                <w:sz w:val="16"/>
                <w:szCs w:val="16"/>
                <w:color w:val="auto"/>
              </w:rPr>
              <w:t>Balance adjusted for variances from expectation</w:t>
            </w: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781</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870</w:t>
            </w:r>
          </w:p>
        </w:tc>
        <w:tc>
          <w:tcPr>
            <w:tcW w:w="0" w:type="dxa"/>
            <w:vAlign w:val="bottom"/>
          </w:tcPr>
          <w:p>
            <w:pPr>
              <w:spacing w:after="0"/>
              <w:rPr>
                <w:sz w:val="1"/>
                <w:szCs w:val="1"/>
                <w:color w:val="auto"/>
              </w:rPr>
            </w:pPr>
          </w:p>
        </w:tc>
      </w:tr>
      <w:tr>
        <w:trPr>
          <w:trHeight w:val="250"/>
        </w:trPr>
        <w:tc>
          <w:tcPr>
            <w:tcW w:w="6420" w:type="dxa"/>
            <w:vAlign w:val="bottom"/>
          </w:tcPr>
          <w:p>
            <w:pPr>
              <w:ind w:left="200"/>
              <w:spacing w:after="0"/>
              <w:rPr>
                <w:sz w:val="20"/>
                <w:szCs w:val="20"/>
                <w:color w:val="auto"/>
              </w:rPr>
            </w:pPr>
            <w:r>
              <w:rPr>
                <w:rFonts w:ascii="Arial" w:cs="Arial" w:eastAsia="Arial" w:hAnsi="Arial"/>
                <w:sz w:val="16"/>
                <w:szCs w:val="16"/>
                <w:color w:val="auto"/>
              </w:rPr>
              <w:t>Interest accrual</w:t>
            </w:r>
          </w:p>
        </w:tc>
        <w:tc>
          <w:tcPr>
            <w:tcW w:w="2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15</w:t>
            </w: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257"/>
        </w:trPr>
        <w:tc>
          <w:tcPr>
            <w:tcW w:w="6420" w:type="dxa"/>
            <w:vAlign w:val="bottom"/>
          </w:tcPr>
          <w:p>
            <w:pPr>
              <w:ind w:left="200"/>
              <w:spacing w:after="0"/>
              <w:rPr>
                <w:sz w:val="20"/>
                <w:szCs w:val="20"/>
                <w:color w:val="auto"/>
              </w:rPr>
            </w:pPr>
            <w:r>
              <w:rPr>
                <w:rFonts w:ascii="Arial" w:cs="Arial" w:eastAsia="Arial" w:hAnsi="Arial"/>
                <w:sz w:val="16"/>
                <w:szCs w:val="16"/>
                <w:color w:val="auto"/>
              </w:rPr>
              <w:t>Net premiums collected</w:t>
            </w:r>
          </w:p>
        </w:tc>
        <w:tc>
          <w:tcPr>
            <w:tcW w:w="20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(96)</w:t>
            </w:r>
          </w:p>
        </w:tc>
        <w:tc>
          <w:tcPr>
            <w:tcW w:w="6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(107)</w:t>
            </w:r>
          </w:p>
        </w:tc>
        <w:tc>
          <w:tcPr>
            <w:tcW w:w="0" w:type="dxa"/>
            <w:vAlign w:val="bottom"/>
          </w:tcPr>
          <w:p>
            <w:pPr>
              <w:spacing w:after="0"/>
              <w:rPr>
                <w:sz w:val="1"/>
                <w:szCs w:val="1"/>
                <w:color w:val="auto"/>
              </w:rPr>
            </w:pPr>
          </w:p>
        </w:tc>
      </w:tr>
      <w:tr>
        <w:trPr>
          <w:trHeight w:val="223"/>
        </w:trPr>
        <w:tc>
          <w:tcPr>
            <w:tcW w:w="6420" w:type="dxa"/>
            <w:vAlign w:val="bottom"/>
          </w:tcPr>
          <w:p>
            <w:pPr>
              <w:spacing w:after="0"/>
              <w:rPr>
                <w:sz w:val="20"/>
                <w:szCs w:val="20"/>
                <w:color w:val="auto"/>
              </w:rPr>
            </w:pPr>
            <w:r>
              <w:rPr>
                <w:rFonts w:ascii="Arial" w:cs="Arial" w:eastAsia="Arial" w:hAnsi="Arial"/>
                <w:sz w:val="16"/>
                <w:szCs w:val="16"/>
                <w:color w:val="auto"/>
              </w:rPr>
              <w:t>Ending balance at original discount rate</w:t>
            </w: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700</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780</w:t>
            </w:r>
          </w:p>
        </w:tc>
        <w:tc>
          <w:tcPr>
            <w:tcW w:w="0" w:type="dxa"/>
            <w:vAlign w:val="bottom"/>
          </w:tcPr>
          <w:p>
            <w:pPr>
              <w:spacing w:after="0"/>
              <w:rPr>
                <w:sz w:val="1"/>
                <w:szCs w:val="1"/>
                <w:color w:val="auto"/>
              </w:rPr>
            </w:pPr>
          </w:p>
        </w:tc>
      </w:tr>
      <w:tr>
        <w:trPr>
          <w:trHeight w:val="257"/>
        </w:trPr>
        <w:tc>
          <w:tcPr>
            <w:tcW w:w="6420" w:type="dxa"/>
            <w:vAlign w:val="bottom"/>
          </w:tcPr>
          <w:p>
            <w:pPr>
              <w:ind w:left="200"/>
              <w:spacing w:after="0"/>
              <w:rPr>
                <w:sz w:val="20"/>
                <w:szCs w:val="20"/>
                <w:color w:val="auto"/>
              </w:rPr>
            </w:pPr>
            <w:r>
              <w:rPr>
                <w:rFonts w:ascii="Arial" w:cs="Arial" w:eastAsia="Arial" w:hAnsi="Arial"/>
                <w:sz w:val="16"/>
                <w:szCs w:val="16"/>
                <w:color w:val="auto"/>
              </w:rPr>
              <w:t>Effect of changes in discount rate assumptions</w:t>
            </w:r>
          </w:p>
        </w:tc>
        <w:tc>
          <w:tcPr>
            <w:tcW w:w="20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(115)</w:t>
            </w:r>
          </w:p>
        </w:tc>
        <w:tc>
          <w:tcPr>
            <w:tcW w:w="6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(149)</w:t>
            </w:r>
          </w:p>
        </w:tc>
        <w:tc>
          <w:tcPr>
            <w:tcW w:w="0" w:type="dxa"/>
            <w:vAlign w:val="bottom"/>
          </w:tcPr>
          <w:p>
            <w:pPr>
              <w:spacing w:after="0"/>
              <w:rPr>
                <w:sz w:val="1"/>
                <w:szCs w:val="1"/>
                <w:color w:val="auto"/>
              </w:rPr>
            </w:pPr>
          </w:p>
        </w:tc>
      </w:tr>
      <w:tr>
        <w:trPr>
          <w:trHeight w:val="210"/>
        </w:trPr>
        <w:tc>
          <w:tcPr>
            <w:tcW w:w="6420" w:type="dxa"/>
            <w:vAlign w:val="bottom"/>
          </w:tcPr>
          <w:p>
            <w:pPr>
              <w:spacing w:after="0"/>
              <w:rPr>
                <w:sz w:val="20"/>
                <w:szCs w:val="20"/>
                <w:color w:val="auto"/>
              </w:rPr>
            </w:pPr>
            <w:r>
              <w:rPr>
                <w:rFonts w:ascii="Arial" w:cs="Arial" w:eastAsia="Arial" w:hAnsi="Arial"/>
                <w:sz w:val="16"/>
                <w:szCs w:val="16"/>
                <w:b w:val="1"/>
                <w:bCs w:val="1"/>
                <w:color w:val="auto"/>
              </w:rPr>
              <w:t>Balance, end of year</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560" w:type="dxa"/>
            <w:vAlign w:val="bottom"/>
          </w:tcPr>
          <w:p>
            <w:pPr>
              <w:jc w:val="right"/>
              <w:spacing w:after="0"/>
              <w:rPr>
                <w:sz w:val="20"/>
                <w:szCs w:val="20"/>
                <w:color w:val="auto"/>
              </w:rPr>
            </w:pPr>
            <w:r>
              <w:rPr>
                <w:rFonts w:ascii="Arial" w:cs="Arial" w:eastAsia="Arial" w:hAnsi="Arial"/>
                <w:sz w:val="16"/>
                <w:szCs w:val="16"/>
                <w:color w:val="auto"/>
              </w:rPr>
              <w:t>585</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560" w:type="dxa"/>
            <w:vAlign w:val="bottom"/>
          </w:tcPr>
          <w:p>
            <w:pPr>
              <w:jc w:val="right"/>
              <w:spacing w:after="0"/>
              <w:rPr>
                <w:sz w:val="20"/>
                <w:szCs w:val="20"/>
                <w:color w:val="auto"/>
              </w:rPr>
            </w:pPr>
            <w:r>
              <w:rPr>
                <w:rFonts w:ascii="Arial" w:cs="Arial" w:eastAsia="Arial" w:hAnsi="Arial"/>
                <w:sz w:val="16"/>
                <w:szCs w:val="16"/>
                <w:color w:val="auto"/>
              </w:rPr>
              <w:t>631</w:t>
            </w:r>
          </w:p>
        </w:tc>
        <w:tc>
          <w:tcPr>
            <w:tcW w:w="0" w:type="dxa"/>
            <w:vAlign w:val="bottom"/>
          </w:tcPr>
          <w:p>
            <w:pPr>
              <w:spacing w:after="0"/>
              <w:rPr>
                <w:sz w:val="1"/>
                <w:szCs w:val="1"/>
                <w:color w:val="auto"/>
              </w:rPr>
            </w:pPr>
          </w:p>
        </w:tc>
      </w:tr>
      <w:tr>
        <w:trPr>
          <w:trHeight w:val="20"/>
        </w:trPr>
        <w:tc>
          <w:tcPr>
            <w:tcW w:w="6420" w:type="dxa"/>
            <w:vAlign w:val="bottom"/>
            <w:vMerge w:val="restart"/>
          </w:tcPr>
          <w:p>
            <w:pPr>
              <w:spacing w:after="0"/>
              <w:rPr>
                <w:sz w:val="20"/>
                <w:szCs w:val="20"/>
                <w:color w:val="auto"/>
              </w:rPr>
            </w:pPr>
            <w:r>
              <w:rPr>
                <w:rFonts w:ascii="Arial" w:cs="Arial" w:eastAsia="Arial" w:hAnsi="Arial"/>
                <w:sz w:val="16"/>
                <w:szCs w:val="16"/>
                <w:b w:val="1"/>
                <w:bCs w:val="1"/>
                <w:color w:val="auto"/>
              </w:rPr>
              <w:t>Expected FPB</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4"/>
        </w:trPr>
        <w:tc>
          <w:tcPr>
            <w:tcW w:w="642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420" w:type="dxa"/>
            <w:vAlign w:val="bottom"/>
          </w:tcPr>
          <w:p>
            <w:pPr>
              <w:spacing w:after="0"/>
              <w:rPr>
                <w:sz w:val="20"/>
                <w:szCs w:val="20"/>
                <w:color w:val="auto"/>
              </w:rPr>
            </w:pPr>
            <w:r>
              <w:rPr>
                <w:rFonts w:ascii="Arial" w:cs="Arial" w:eastAsia="Arial" w:hAnsi="Arial"/>
                <w:sz w:val="16"/>
                <w:szCs w:val="16"/>
                <w:b w:val="1"/>
                <w:bCs w:val="1"/>
                <w:color w:val="auto"/>
              </w:rPr>
              <w:t>Balance, beginning of year</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560" w:type="dxa"/>
            <w:vAlign w:val="bottom"/>
          </w:tcPr>
          <w:p>
            <w:pPr>
              <w:jc w:val="right"/>
              <w:spacing w:after="0"/>
              <w:rPr>
                <w:sz w:val="20"/>
                <w:szCs w:val="20"/>
                <w:color w:val="auto"/>
              </w:rPr>
            </w:pPr>
            <w:r>
              <w:rPr>
                <w:rFonts w:ascii="Arial" w:cs="Arial" w:eastAsia="Arial" w:hAnsi="Arial"/>
                <w:sz w:val="16"/>
                <w:szCs w:val="16"/>
                <w:color w:val="auto"/>
              </w:rPr>
              <w:t>1,933</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560" w:type="dxa"/>
            <w:vAlign w:val="bottom"/>
          </w:tcPr>
          <w:p>
            <w:pPr>
              <w:jc w:val="right"/>
              <w:spacing w:after="0"/>
              <w:rPr>
                <w:sz w:val="20"/>
                <w:szCs w:val="20"/>
                <w:color w:val="auto"/>
              </w:rPr>
            </w:pPr>
            <w:r>
              <w:rPr>
                <w:rFonts w:ascii="Arial" w:cs="Arial" w:eastAsia="Arial" w:hAnsi="Arial"/>
                <w:sz w:val="16"/>
                <w:szCs w:val="16"/>
                <w:color w:val="auto"/>
              </w:rPr>
              <w:t>2,071</w:t>
            </w:r>
          </w:p>
        </w:tc>
        <w:tc>
          <w:tcPr>
            <w:tcW w:w="0" w:type="dxa"/>
            <w:vAlign w:val="bottom"/>
          </w:tcPr>
          <w:p>
            <w:pPr>
              <w:spacing w:after="0"/>
              <w:rPr>
                <w:sz w:val="1"/>
                <w:szCs w:val="1"/>
                <w:color w:val="auto"/>
              </w:rPr>
            </w:pPr>
          </w:p>
        </w:tc>
      </w:tr>
      <w:tr>
        <w:trPr>
          <w:trHeight w:val="250"/>
        </w:trPr>
        <w:tc>
          <w:tcPr>
            <w:tcW w:w="6420" w:type="dxa"/>
            <w:vAlign w:val="bottom"/>
          </w:tcPr>
          <w:p>
            <w:pPr>
              <w:spacing w:after="0"/>
              <w:rPr>
                <w:sz w:val="20"/>
                <w:szCs w:val="20"/>
                <w:color w:val="auto"/>
              </w:rPr>
            </w:pPr>
            <w:r>
              <w:rPr>
                <w:rFonts w:ascii="Arial" w:cs="Arial" w:eastAsia="Arial" w:hAnsi="Arial"/>
                <w:sz w:val="16"/>
                <w:szCs w:val="16"/>
                <w:color w:val="auto"/>
              </w:rPr>
              <w:t>Beginning balance at original discount rate</w:t>
            </w:r>
          </w:p>
        </w:tc>
        <w:tc>
          <w:tcPr>
            <w:tcW w:w="2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2,368</w:t>
            </w: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2,492</w:t>
            </w:r>
          </w:p>
        </w:tc>
        <w:tc>
          <w:tcPr>
            <w:tcW w:w="0" w:type="dxa"/>
            <w:vAlign w:val="bottom"/>
          </w:tcPr>
          <w:p>
            <w:pPr>
              <w:spacing w:after="0"/>
              <w:rPr>
                <w:sz w:val="1"/>
                <w:szCs w:val="1"/>
                <w:color w:val="auto"/>
              </w:rPr>
            </w:pPr>
          </w:p>
        </w:tc>
      </w:tr>
      <w:tr>
        <w:trPr>
          <w:trHeight w:val="257"/>
        </w:trPr>
        <w:tc>
          <w:tcPr>
            <w:tcW w:w="6420" w:type="dxa"/>
            <w:vAlign w:val="bottom"/>
          </w:tcPr>
          <w:p>
            <w:pPr>
              <w:ind w:left="200"/>
              <w:spacing w:after="0"/>
              <w:rPr>
                <w:sz w:val="20"/>
                <w:szCs w:val="20"/>
                <w:color w:val="auto"/>
              </w:rPr>
            </w:pPr>
            <w:r>
              <w:rPr>
                <w:rFonts w:ascii="Arial" w:cs="Arial" w:eastAsia="Arial" w:hAnsi="Arial"/>
                <w:sz w:val="16"/>
                <w:szCs w:val="16"/>
                <w:color w:val="auto"/>
              </w:rPr>
              <w:t>Effect of actual variances from expected experience</w:t>
            </w:r>
          </w:p>
        </w:tc>
        <w:tc>
          <w:tcPr>
            <w:tcW w:w="20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w:t>
            </w:r>
          </w:p>
        </w:tc>
        <w:tc>
          <w:tcPr>
            <w:tcW w:w="6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w:t>
            </w:r>
          </w:p>
        </w:tc>
        <w:tc>
          <w:tcPr>
            <w:tcW w:w="0" w:type="dxa"/>
            <w:vAlign w:val="bottom"/>
          </w:tcPr>
          <w:p>
            <w:pPr>
              <w:spacing w:after="0"/>
              <w:rPr>
                <w:sz w:val="1"/>
                <w:szCs w:val="1"/>
                <w:color w:val="auto"/>
              </w:rPr>
            </w:pPr>
          </w:p>
        </w:tc>
      </w:tr>
      <w:tr>
        <w:trPr>
          <w:trHeight w:val="223"/>
        </w:trPr>
        <w:tc>
          <w:tcPr>
            <w:tcW w:w="6420" w:type="dxa"/>
            <w:vAlign w:val="bottom"/>
          </w:tcPr>
          <w:p>
            <w:pPr>
              <w:spacing w:after="0"/>
              <w:rPr>
                <w:sz w:val="20"/>
                <w:szCs w:val="20"/>
                <w:color w:val="auto"/>
              </w:rPr>
            </w:pPr>
            <w:r>
              <w:rPr>
                <w:rFonts w:ascii="Arial" w:cs="Arial" w:eastAsia="Arial" w:hAnsi="Arial"/>
                <w:sz w:val="16"/>
                <w:szCs w:val="16"/>
                <w:color w:val="auto"/>
              </w:rPr>
              <w:t>Balance adjusted for variances from expectation</w:t>
            </w: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2,347</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2,536</w:t>
            </w:r>
          </w:p>
        </w:tc>
        <w:tc>
          <w:tcPr>
            <w:tcW w:w="0" w:type="dxa"/>
            <w:vAlign w:val="bottom"/>
          </w:tcPr>
          <w:p>
            <w:pPr>
              <w:spacing w:after="0"/>
              <w:rPr>
                <w:sz w:val="1"/>
                <w:szCs w:val="1"/>
                <w:color w:val="auto"/>
              </w:rPr>
            </w:pPr>
          </w:p>
        </w:tc>
      </w:tr>
      <w:tr>
        <w:trPr>
          <w:trHeight w:val="250"/>
        </w:trPr>
        <w:tc>
          <w:tcPr>
            <w:tcW w:w="6420" w:type="dxa"/>
            <w:vAlign w:val="bottom"/>
          </w:tcPr>
          <w:p>
            <w:pPr>
              <w:ind w:left="200"/>
              <w:spacing w:after="0"/>
              <w:rPr>
                <w:sz w:val="20"/>
                <w:szCs w:val="20"/>
                <w:color w:val="auto"/>
              </w:rPr>
            </w:pPr>
            <w:r>
              <w:rPr>
                <w:rFonts w:ascii="Arial" w:cs="Arial" w:eastAsia="Arial" w:hAnsi="Arial"/>
                <w:sz w:val="16"/>
                <w:szCs w:val="16"/>
                <w:color w:val="auto"/>
              </w:rPr>
              <w:t>Interest accrual</w:t>
            </w:r>
          </w:p>
        </w:tc>
        <w:tc>
          <w:tcPr>
            <w:tcW w:w="2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50</w:t>
            </w: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54</w:t>
            </w:r>
          </w:p>
        </w:tc>
        <w:tc>
          <w:tcPr>
            <w:tcW w:w="0" w:type="dxa"/>
            <w:vAlign w:val="bottom"/>
          </w:tcPr>
          <w:p>
            <w:pPr>
              <w:spacing w:after="0"/>
              <w:rPr>
                <w:sz w:val="1"/>
                <w:szCs w:val="1"/>
                <w:color w:val="auto"/>
              </w:rPr>
            </w:pPr>
          </w:p>
        </w:tc>
      </w:tr>
      <w:tr>
        <w:trPr>
          <w:trHeight w:val="257"/>
        </w:trPr>
        <w:tc>
          <w:tcPr>
            <w:tcW w:w="6420" w:type="dxa"/>
            <w:vAlign w:val="bottom"/>
          </w:tcPr>
          <w:p>
            <w:pPr>
              <w:ind w:left="200"/>
              <w:spacing w:after="0"/>
              <w:rPr>
                <w:sz w:val="20"/>
                <w:szCs w:val="20"/>
                <w:color w:val="auto"/>
              </w:rPr>
            </w:pPr>
            <w:r>
              <w:rPr>
                <w:rFonts w:ascii="Arial" w:cs="Arial" w:eastAsia="Arial" w:hAnsi="Arial"/>
                <w:sz w:val="16"/>
                <w:szCs w:val="16"/>
                <w:color w:val="auto"/>
              </w:rPr>
              <w:t>Benefits payments</w:t>
            </w:r>
          </w:p>
        </w:tc>
        <w:tc>
          <w:tcPr>
            <w:tcW w:w="20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(230)</w:t>
            </w:r>
          </w:p>
        </w:tc>
        <w:tc>
          <w:tcPr>
            <w:tcW w:w="6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(222)</w:t>
            </w:r>
          </w:p>
        </w:tc>
        <w:tc>
          <w:tcPr>
            <w:tcW w:w="0" w:type="dxa"/>
            <w:vAlign w:val="bottom"/>
          </w:tcPr>
          <w:p>
            <w:pPr>
              <w:spacing w:after="0"/>
              <w:rPr>
                <w:sz w:val="1"/>
                <w:szCs w:val="1"/>
                <w:color w:val="auto"/>
              </w:rPr>
            </w:pPr>
          </w:p>
        </w:tc>
      </w:tr>
      <w:tr>
        <w:trPr>
          <w:trHeight w:val="223"/>
        </w:trPr>
        <w:tc>
          <w:tcPr>
            <w:tcW w:w="6420" w:type="dxa"/>
            <w:vAlign w:val="bottom"/>
          </w:tcPr>
          <w:p>
            <w:pPr>
              <w:spacing w:after="0"/>
              <w:rPr>
                <w:sz w:val="20"/>
                <w:szCs w:val="20"/>
                <w:color w:val="auto"/>
              </w:rPr>
            </w:pPr>
            <w:r>
              <w:rPr>
                <w:rFonts w:ascii="Arial" w:cs="Arial" w:eastAsia="Arial" w:hAnsi="Arial"/>
                <w:sz w:val="16"/>
                <w:szCs w:val="16"/>
                <w:color w:val="auto"/>
              </w:rPr>
              <w:t>Ending balance at original discount rate</w:t>
            </w: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2,167</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2,368</w:t>
            </w:r>
          </w:p>
        </w:tc>
        <w:tc>
          <w:tcPr>
            <w:tcW w:w="0" w:type="dxa"/>
            <w:vAlign w:val="bottom"/>
          </w:tcPr>
          <w:p>
            <w:pPr>
              <w:spacing w:after="0"/>
              <w:rPr>
                <w:sz w:val="1"/>
                <w:szCs w:val="1"/>
                <w:color w:val="auto"/>
              </w:rPr>
            </w:pPr>
          </w:p>
        </w:tc>
      </w:tr>
      <w:tr>
        <w:trPr>
          <w:trHeight w:val="257"/>
        </w:trPr>
        <w:tc>
          <w:tcPr>
            <w:tcW w:w="6420" w:type="dxa"/>
            <w:vAlign w:val="bottom"/>
          </w:tcPr>
          <w:p>
            <w:pPr>
              <w:ind w:left="200"/>
              <w:spacing w:after="0"/>
              <w:rPr>
                <w:sz w:val="20"/>
                <w:szCs w:val="20"/>
                <w:color w:val="auto"/>
              </w:rPr>
            </w:pPr>
            <w:r>
              <w:rPr>
                <w:rFonts w:ascii="Arial" w:cs="Arial" w:eastAsia="Arial" w:hAnsi="Arial"/>
                <w:sz w:val="16"/>
                <w:szCs w:val="16"/>
                <w:color w:val="auto"/>
              </w:rPr>
              <w:t>Effect of changes in discount rate assumptions</w:t>
            </w:r>
          </w:p>
        </w:tc>
        <w:tc>
          <w:tcPr>
            <w:tcW w:w="20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(312)</w:t>
            </w:r>
          </w:p>
        </w:tc>
        <w:tc>
          <w:tcPr>
            <w:tcW w:w="6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(435)</w:t>
            </w:r>
          </w:p>
        </w:tc>
        <w:tc>
          <w:tcPr>
            <w:tcW w:w="0" w:type="dxa"/>
            <w:vAlign w:val="bottom"/>
          </w:tcPr>
          <w:p>
            <w:pPr>
              <w:spacing w:after="0"/>
              <w:rPr>
                <w:sz w:val="1"/>
                <w:szCs w:val="1"/>
                <w:color w:val="auto"/>
              </w:rPr>
            </w:pPr>
          </w:p>
        </w:tc>
      </w:tr>
      <w:tr>
        <w:trPr>
          <w:trHeight w:val="210"/>
        </w:trPr>
        <w:tc>
          <w:tcPr>
            <w:tcW w:w="6420" w:type="dxa"/>
            <w:vAlign w:val="bottom"/>
          </w:tcPr>
          <w:p>
            <w:pPr>
              <w:spacing w:after="0"/>
              <w:rPr>
                <w:sz w:val="20"/>
                <w:szCs w:val="20"/>
                <w:color w:val="auto"/>
              </w:rPr>
            </w:pPr>
            <w:r>
              <w:rPr>
                <w:rFonts w:ascii="Arial" w:cs="Arial" w:eastAsia="Arial" w:hAnsi="Arial"/>
                <w:sz w:val="16"/>
                <w:szCs w:val="16"/>
                <w:b w:val="1"/>
                <w:bCs w:val="1"/>
                <w:color w:val="auto"/>
              </w:rPr>
              <w:t>Balance, end of year</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1,855</w:t>
            </w:r>
          </w:p>
        </w:tc>
        <w:tc>
          <w:tcPr>
            <w:tcW w:w="60" w:type="dxa"/>
            <w:vAlign w:val="bottom"/>
          </w:tcPr>
          <w:p>
            <w:pPr>
              <w:spacing w:after="0"/>
              <w:rPr>
                <w:sz w:val="18"/>
                <w:szCs w:val="18"/>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1,933</w:t>
            </w:r>
          </w:p>
        </w:tc>
        <w:tc>
          <w:tcPr>
            <w:tcW w:w="0" w:type="dxa"/>
            <w:vAlign w:val="bottom"/>
          </w:tcPr>
          <w:p>
            <w:pPr>
              <w:spacing w:after="0"/>
              <w:rPr>
                <w:sz w:val="1"/>
                <w:szCs w:val="1"/>
                <w:color w:val="auto"/>
              </w:rPr>
            </w:pPr>
          </w:p>
        </w:tc>
      </w:tr>
      <w:tr>
        <w:trPr>
          <w:trHeight w:val="20"/>
        </w:trPr>
        <w:tc>
          <w:tcPr>
            <w:tcW w:w="64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3"/>
        </w:trPr>
        <w:tc>
          <w:tcPr>
            <w:tcW w:w="6420" w:type="dxa"/>
            <w:vAlign w:val="bottom"/>
          </w:tcPr>
          <w:p>
            <w:pPr>
              <w:spacing w:after="0"/>
              <w:rPr>
                <w:sz w:val="20"/>
                <w:szCs w:val="20"/>
                <w:color w:val="auto"/>
              </w:rPr>
            </w:pPr>
            <w:r>
              <w:rPr>
                <w:rFonts w:ascii="Arial" w:cs="Arial" w:eastAsia="Arial" w:hAnsi="Arial"/>
                <w:sz w:val="16"/>
                <w:szCs w:val="16"/>
                <w:color w:val="auto"/>
              </w:rPr>
              <w:t>Net liability for future policy benefits</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560" w:type="dxa"/>
            <w:vAlign w:val="bottom"/>
          </w:tcPr>
          <w:p>
            <w:pPr>
              <w:jc w:val="right"/>
              <w:spacing w:after="0"/>
              <w:rPr>
                <w:sz w:val="20"/>
                <w:szCs w:val="20"/>
                <w:color w:val="auto"/>
              </w:rPr>
            </w:pPr>
            <w:r>
              <w:rPr>
                <w:rFonts w:ascii="Arial" w:cs="Arial" w:eastAsia="Arial" w:hAnsi="Arial"/>
                <w:sz w:val="16"/>
                <w:szCs w:val="16"/>
                <w:color w:val="auto"/>
              </w:rPr>
              <w:t>1,270</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560" w:type="dxa"/>
            <w:vAlign w:val="bottom"/>
          </w:tcPr>
          <w:p>
            <w:pPr>
              <w:jc w:val="right"/>
              <w:spacing w:after="0"/>
              <w:rPr>
                <w:sz w:val="20"/>
                <w:szCs w:val="20"/>
                <w:color w:val="auto"/>
              </w:rPr>
            </w:pPr>
            <w:r>
              <w:rPr>
                <w:rFonts w:ascii="Arial" w:cs="Arial" w:eastAsia="Arial" w:hAnsi="Arial"/>
                <w:sz w:val="16"/>
                <w:szCs w:val="16"/>
                <w:color w:val="auto"/>
              </w:rPr>
              <w:t>1,302</w:t>
            </w:r>
          </w:p>
        </w:tc>
        <w:tc>
          <w:tcPr>
            <w:tcW w:w="0" w:type="dxa"/>
            <w:vAlign w:val="bottom"/>
          </w:tcPr>
          <w:p>
            <w:pPr>
              <w:spacing w:after="0"/>
              <w:rPr>
                <w:sz w:val="1"/>
                <w:szCs w:val="1"/>
                <w:color w:val="auto"/>
              </w:rPr>
            </w:pPr>
          </w:p>
        </w:tc>
      </w:tr>
      <w:tr>
        <w:trPr>
          <w:trHeight w:val="257"/>
        </w:trPr>
        <w:tc>
          <w:tcPr>
            <w:tcW w:w="6420" w:type="dxa"/>
            <w:vAlign w:val="bottom"/>
          </w:tcPr>
          <w:p>
            <w:pPr>
              <w:spacing w:after="0"/>
              <w:rPr>
                <w:sz w:val="20"/>
                <w:szCs w:val="20"/>
                <w:color w:val="auto"/>
              </w:rPr>
            </w:pPr>
            <w:r>
              <w:rPr>
                <w:rFonts w:ascii="Arial" w:cs="Arial" w:eastAsia="Arial" w:hAnsi="Arial"/>
                <w:sz w:val="16"/>
                <w:szCs w:val="16"/>
                <w:color w:val="auto"/>
              </w:rPr>
              <w:t>Less: Reinsurance recoverable</w:t>
            </w:r>
          </w:p>
        </w:tc>
        <w:tc>
          <w:tcPr>
            <w:tcW w:w="20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489</w:t>
            </w:r>
          </w:p>
        </w:tc>
        <w:tc>
          <w:tcPr>
            <w:tcW w:w="6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513</w:t>
            </w:r>
          </w:p>
        </w:tc>
        <w:tc>
          <w:tcPr>
            <w:tcW w:w="0" w:type="dxa"/>
            <w:vAlign w:val="bottom"/>
          </w:tcPr>
          <w:p>
            <w:pPr>
              <w:spacing w:after="0"/>
              <w:rPr>
                <w:sz w:val="1"/>
                <w:szCs w:val="1"/>
                <w:color w:val="auto"/>
              </w:rPr>
            </w:pPr>
          </w:p>
        </w:tc>
      </w:tr>
      <w:tr>
        <w:trPr>
          <w:trHeight w:val="210"/>
        </w:trPr>
        <w:tc>
          <w:tcPr>
            <w:tcW w:w="6420" w:type="dxa"/>
            <w:vAlign w:val="bottom"/>
          </w:tcPr>
          <w:p>
            <w:pPr>
              <w:spacing w:after="0"/>
              <w:rPr>
                <w:sz w:val="20"/>
                <w:szCs w:val="20"/>
                <w:color w:val="auto"/>
              </w:rPr>
            </w:pPr>
            <w:r>
              <w:rPr>
                <w:rFonts w:ascii="Arial" w:cs="Arial" w:eastAsia="Arial" w:hAnsi="Arial"/>
                <w:sz w:val="16"/>
                <w:szCs w:val="16"/>
                <w:b w:val="1"/>
                <w:bCs w:val="1"/>
                <w:color w:val="auto"/>
              </w:rPr>
              <w:t>Net liability for future policy benefits, after reinsurance recoverable</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560" w:type="dxa"/>
            <w:vAlign w:val="bottom"/>
          </w:tcPr>
          <w:p>
            <w:pPr>
              <w:jc w:val="right"/>
              <w:spacing w:after="0"/>
              <w:rPr>
                <w:sz w:val="20"/>
                <w:szCs w:val="20"/>
                <w:color w:val="auto"/>
              </w:rPr>
            </w:pPr>
            <w:r>
              <w:rPr>
                <w:rFonts w:ascii="Arial" w:cs="Arial" w:eastAsia="Arial" w:hAnsi="Arial"/>
                <w:sz w:val="16"/>
                <w:szCs w:val="16"/>
                <w:color w:val="auto"/>
              </w:rPr>
              <w:t>781</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560" w:type="dxa"/>
            <w:vAlign w:val="bottom"/>
          </w:tcPr>
          <w:p>
            <w:pPr>
              <w:jc w:val="right"/>
              <w:spacing w:after="0"/>
              <w:rPr>
                <w:sz w:val="20"/>
                <w:szCs w:val="20"/>
                <w:color w:val="auto"/>
              </w:rPr>
            </w:pPr>
            <w:r>
              <w:rPr>
                <w:rFonts w:ascii="Arial" w:cs="Arial" w:eastAsia="Arial" w:hAnsi="Arial"/>
                <w:sz w:val="16"/>
                <w:szCs w:val="16"/>
                <w:color w:val="auto"/>
              </w:rPr>
              <w:t>789</w:t>
            </w:r>
          </w:p>
        </w:tc>
        <w:tc>
          <w:tcPr>
            <w:tcW w:w="0" w:type="dxa"/>
            <w:vAlign w:val="bottom"/>
          </w:tcPr>
          <w:p>
            <w:pPr>
              <w:spacing w:after="0"/>
              <w:rPr>
                <w:sz w:val="1"/>
                <w:szCs w:val="1"/>
                <w:color w:val="auto"/>
              </w:rPr>
            </w:pPr>
          </w:p>
        </w:tc>
      </w:tr>
      <w:tr>
        <w:trPr>
          <w:trHeight w:val="20"/>
        </w:trPr>
        <w:tc>
          <w:tcPr>
            <w:tcW w:w="64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4"/>
        </w:trPr>
        <w:tc>
          <w:tcPr>
            <w:tcW w:w="6420" w:type="dxa"/>
            <w:vAlign w:val="bottom"/>
          </w:tcPr>
          <w:p>
            <w:pPr>
              <w:spacing w:after="0"/>
              <w:rPr>
                <w:sz w:val="20"/>
                <w:szCs w:val="20"/>
                <w:color w:val="auto"/>
              </w:rPr>
            </w:pPr>
            <w:r>
              <w:rPr>
                <w:rFonts w:ascii="Arial" w:cs="Arial" w:eastAsia="Arial" w:hAnsi="Arial"/>
                <w:sz w:val="16"/>
                <w:szCs w:val="16"/>
                <w:color w:val="auto"/>
              </w:rPr>
              <w:t>Weighted-average duration of liability for future policyholder benefits (years)</w:t>
            </w:r>
          </w:p>
        </w:tc>
        <w:tc>
          <w:tcPr>
            <w:tcW w:w="200" w:type="dxa"/>
            <w:vAlign w:val="bottom"/>
          </w:tcPr>
          <w:p>
            <w:pPr>
              <w:spacing w:after="0"/>
              <w:rPr>
                <w:sz w:val="24"/>
                <w:szCs w:val="24"/>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6.84</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6.28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-3977640</wp:posOffset>
            </wp:positionV>
            <wp:extent cx="6410325" cy="400177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172">
                      <a:extLst>
                        <a:ext uri="{28A0092B-C50C-407E-A947-70E740481C1C}"/>
                      </a:extLst>
                    </a:blip>
                    <a:srcRect/>
                    <a:stretch>
                      <a:fillRect/>
                    </a:stretch>
                  </pic:blipFill>
                  <pic:spPr bwMode="auto">
                    <a:xfrm>
                      <a:off x="0" y="0"/>
                      <a:ext cx="6410325" cy="4001770"/>
                    </a:xfrm>
                    <a:prstGeom prst="rect">
                      <a:avLst/>
                    </a:prstGeom>
                    <a:noFill/>
                  </pic:spPr>
                </pic:pic>
              </a:graphicData>
            </a:graphic>
          </wp:anchor>
        </w:drawing>
      </w:r>
    </w:p>
    <w:p>
      <w:pPr>
        <w:sectPr>
          <w:pgSz w:w="11880" w:h="15480" w:orient="portrait"/>
          <w:cols w:equalWidth="0" w:num="1">
            <w:col w:w="10040"/>
          </w:cols>
          <w:pgMar w:left="920" w:top="765"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186</w:t>
      </w:r>
    </w:p>
    <w:p>
      <w:pPr>
        <w:sectPr>
          <w:pgSz w:w="11880" w:h="15480" w:orient="portrait"/>
          <w:cols w:equalWidth="0" w:num="1">
            <w:col w:w="10040"/>
          </w:cols>
          <w:pgMar w:left="920" w:top="765" w:right="920" w:bottom="0" w:gutter="0" w:footer="0" w:header="0"/>
          <w:type w:val="continuous"/>
        </w:sectPr>
      </w:pPr>
    </w:p>
    <w:bookmarkStart w:id="198" w:name="page199"/>
    <w:bookmarkEnd w:id="198"/>
    <w:p>
      <w:pPr>
        <w:ind w:firstLine="353"/>
        <w:spacing w:after="0" w:line="260" w:lineRule="auto"/>
        <w:rPr>
          <w:sz w:val="20"/>
          <w:szCs w:val="20"/>
          <w:color w:val="auto"/>
        </w:rPr>
      </w:pPr>
      <w:r>
        <w:rPr>
          <w:rFonts w:ascii="Arial" w:cs="Arial" w:eastAsia="Arial" w:hAnsi="Arial"/>
          <w:sz w:val="20"/>
          <w:szCs w:val="20"/>
          <w:color w:val="auto"/>
        </w:rPr>
        <w:t>The following tables summarize balances and changes in the present value of the expected FPB for limited-payment contracts:</w:t>
      </w:r>
    </w:p>
    <w:p>
      <w:pPr>
        <w:spacing w:after="0" w:line="40" w:lineRule="exact"/>
        <w:rPr>
          <w:sz w:val="20"/>
          <w:szCs w:val="20"/>
          <w:color w:val="auto"/>
        </w:rPr>
      </w:pPr>
    </w:p>
    <w:tbl>
      <w:tblPr>
        <w:tblLayout w:type="fixed"/>
        <w:tblInd w:w="40" w:type="dxa"/>
        <w:tblCellMar>
          <w:top w:w="0" w:type="dxa"/>
          <w:left w:w="0" w:type="dxa"/>
          <w:bottom w:w="0" w:type="dxa"/>
          <w:right w:w="0" w:type="dxa"/>
        </w:tblCellMar>
      </w:tblPr>
      <w:tr>
        <w:trPr>
          <w:trHeight w:val="213"/>
        </w:trPr>
        <w:tc>
          <w:tcPr>
            <w:tcW w:w="64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PRT</w:t>
            </w:r>
          </w:p>
        </w:tc>
        <w:tc>
          <w:tcPr>
            <w:tcW w:w="15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4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ind w:right="162"/>
              <w:spacing w:after="0"/>
              <w:rPr>
                <w:sz w:val="20"/>
                <w:szCs w:val="20"/>
                <w:color w:val="auto"/>
              </w:rPr>
            </w:pPr>
            <w:r>
              <w:rPr>
                <w:rFonts w:ascii="Arial" w:cs="Arial" w:eastAsia="Arial" w:hAnsi="Arial"/>
                <w:sz w:val="16"/>
                <w:szCs w:val="16"/>
                <w:b w:val="1"/>
                <w:bCs w:val="1"/>
                <w:color w:val="auto"/>
                <w:w w:val="90"/>
              </w:rPr>
              <w:t>December 31, 2025</w:t>
            </w:r>
          </w:p>
        </w:tc>
        <w:tc>
          <w:tcPr>
            <w:tcW w:w="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ind w:right="162"/>
              <w:spacing w:after="0"/>
              <w:rPr>
                <w:sz w:val="20"/>
                <w:szCs w:val="20"/>
                <w:color w:val="auto"/>
              </w:rPr>
            </w:pPr>
            <w:r>
              <w:rPr>
                <w:rFonts w:ascii="Arial" w:cs="Arial" w:eastAsia="Arial" w:hAnsi="Arial"/>
                <w:sz w:val="16"/>
                <w:szCs w:val="16"/>
                <w:b w:val="1"/>
                <w:bCs w:val="1"/>
                <w:color w:val="auto"/>
                <w:w w:val="90"/>
              </w:rPr>
              <w:t>December 31, 2024</w:t>
            </w:r>
          </w:p>
        </w:tc>
        <w:tc>
          <w:tcPr>
            <w:tcW w:w="0" w:type="dxa"/>
            <w:vAlign w:val="bottom"/>
          </w:tcPr>
          <w:p>
            <w:pPr>
              <w:spacing w:after="0"/>
              <w:rPr>
                <w:sz w:val="1"/>
                <w:szCs w:val="1"/>
                <w:color w:val="auto"/>
              </w:rPr>
            </w:pPr>
          </w:p>
        </w:tc>
      </w:tr>
      <w:tr>
        <w:trPr>
          <w:trHeight w:val="230"/>
        </w:trPr>
        <w:tc>
          <w:tcPr>
            <w:tcW w:w="64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3380" w:type="dxa"/>
            <w:vAlign w:val="bottom"/>
            <w:tcBorders>
              <w:bottom w:val="single" w:sz="8" w:color="auto"/>
            </w:tcBorders>
            <w:gridSpan w:val="4"/>
          </w:tcPr>
          <w:p>
            <w:pPr>
              <w:jc w:val="right"/>
              <w:ind w:right="1282"/>
              <w:spacing w:after="0"/>
              <w:rPr>
                <w:sz w:val="20"/>
                <w:szCs w:val="20"/>
                <w:color w:val="auto"/>
              </w:rPr>
            </w:pPr>
            <w:r>
              <w:rPr>
                <w:rFonts w:ascii="Arial" w:cs="Arial" w:eastAsia="Arial" w:hAnsi="Arial"/>
                <w:sz w:val="16"/>
                <w:szCs w:val="16"/>
                <w:b w:val="1"/>
                <w:bCs w:val="1"/>
                <w:color w:val="auto"/>
              </w:rPr>
              <w:t>(In millions)</w:t>
            </w:r>
          </w:p>
        </w:tc>
        <w:tc>
          <w:tcPr>
            <w:tcW w:w="0" w:type="dxa"/>
            <w:vAlign w:val="bottom"/>
          </w:tcPr>
          <w:p>
            <w:pPr>
              <w:spacing w:after="0"/>
              <w:rPr>
                <w:sz w:val="1"/>
                <w:szCs w:val="1"/>
                <w:color w:val="auto"/>
              </w:rPr>
            </w:pPr>
          </w:p>
        </w:tc>
      </w:tr>
      <w:tr>
        <w:trPr>
          <w:trHeight w:val="223"/>
        </w:trPr>
        <w:tc>
          <w:tcPr>
            <w:tcW w:w="6420" w:type="dxa"/>
            <w:vAlign w:val="bottom"/>
          </w:tcPr>
          <w:p>
            <w:pPr>
              <w:spacing w:after="0"/>
              <w:rPr>
                <w:sz w:val="20"/>
                <w:szCs w:val="20"/>
                <w:color w:val="auto"/>
              </w:rPr>
            </w:pPr>
            <w:r>
              <w:rPr>
                <w:rFonts w:ascii="Arial" w:cs="Arial" w:eastAsia="Arial" w:hAnsi="Arial"/>
                <w:sz w:val="16"/>
                <w:szCs w:val="16"/>
                <w:b w:val="1"/>
                <w:bCs w:val="1"/>
                <w:color w:val="auto"/>
              </w:rPr>
              <w:t>Balance, beginning of year</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560" w:type="dxa"/>
            <w:vAlign w:val="bottom"/>
          </w:tcPr>
          <w:p>
            <w:pPr>
              <w:jc w:val="right"/>
              <w:spacing w:after="0"/>
              <w:rPr>
                <w:sz w:val="20"/>
                <w:szCs w:val="20"/>
                <w:color w:val="auto"/>
              </w:rPr>
            </w:pPr>
            <w:r>
              <w:rPr>
                <w:rFonts w:ascii="Arial" w:cs="Arial" w:eastAsia="Arial" w:hAnsi="Arial"/>
                <w:sz w:val="16"/>
                <w:szCs w:val="16"/>
                <w:color w:val="auto"/>
              </w:rPr>
              <w:t>6,054</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560" w:type="dxa"/>
            <w:vAlign w:val="bottom"/>
          </w:tcPr>
          <w:p>
            <w:pPr>
              <w:jc w:val="right"/>
              <w:spacing w:after="0"/>
              <w:rPr>
                <w:sz w:val="20"/>
                <w:szCs w:val="20"/>
                <w:color w:val="auto"/>
              </w:rPr>
            </w:pPr>
            <w:r>
              <w:rPr>
                <w:rFonts w:ascii="Arial" w:cs="Arial" w:eastAsia="Arial" w:hAnsi="Arial"/>
                <w:sz w:val="16"/>
                <w:szCs w:val="16"/>
                <w:color w:val="auto"/>
              </w:rPr>
              <w:t>4,189</w:t>
            </w:r>
          </w:p>
        </w:tc>
        <w:tc>
          <w:tcPr>
            <w:tcW w:w="0" w:type="dxa"/>
            <w:vAlign w:val="bottom"/>
          </w:tcPr>
          <w:p>
            <w:pPr>
              <w:spacing w:after="0"/>
              <w:rPr>
                <w:sz w:val="1"/>
                <w:szCs w:val="1"/>
                <w:color w:val="auto"/>
              </w:rPr>
            </w:pPr>
          </w:p>
        </w:tc>
      </w:tr>
      <w:tr>
        <w:trPr>
          <w:trHeight w:val="250"/>
        </w:trPr>
        <w:tc>
          <w:tcPr>
            <w:tcW w:w="6420" w:type="dxa"/>
            <w:vAlign w:val="bottom"/>
          </w:tcPr>
          <w:p>
            <w:pPr>
              <w:spacing w:after="0"/>
              <w:rPr>
                <w:sz w:val="20"/>
                <w:szCs w:val="20"/>
                <w:color w:val="auto"/>
              </w:rPr>
            </w:pPr>
            <w:r>
              <w:rPr>
                <w:rFonts w:ascii="Arial" w:cs="Arial" w:eastAsia="Arial" w:hAnsi="Arial"/>
                <w:sz w:val="16"/>
                <w:szCs w:val="16"/>
                <w:color w:val="auto"/>
              </w:rPr>
              <w:t>Beginning balance at original discount rate</w:t>
            </w:r>
          </w:p>
        </w:tc>
        <w:tc>
          <w:tcPr>
            <w:tcW w:w="2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6,417</w:t>
            </w: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4,351</w:t>
            </w:r>
          </w:p>
        </w:tc>
        <w:tc>
          <w:tcPr>
            <w:tcW w:w="0" w:type="dxa"/>
            <w:vAlign w:val="bottom"/>
          </w:tcPr>
          <w:p>
            <w:pPr>
              <w:spacing w:after="0"/>
              <w:rPr>
                <w:sz w:val="1"/>
                <w:szCs w:val="1"/>
                <w:color w:val="auto"/>
              </w:rPr>
            </w:pPr>
          </w:p>
        </w:tc>
      </w:tr>
      <w:tr>
        <w:trPr>
          <w:trHeight w:val="250"/>
        </w:trPr>
        <w:tc>
          <w:tcPr>
            <w:tcW w:w="6420" w:type="dxa"/>
            <w:vAlign w:val="bottom"/>
          </w:tcPr>
          <w:p>
            <w:pPr>
              <w:ind w:left="200"/>
              <w:spacing w:after="0"/>
              <w:rPr>
                <w:sz w:val="20"/>
                <w:szCs w:val="20"/>
                <w:color w:val="auto"/>
              </w:rPr>
            </w:pPr>
            <w:r>
              <w:rPr>
                <w:rFonts w:ascii="Arial" w:cs="Arial" w:eastAsia="Arial" w:hAnsi="Arial"/>
                <w:sz w:val="16"/>
                <w:szCs w:val="16"/>
                <w:color w:val="auto"/>
              </w:rPr>
              <w:t>Effect of changes in cash flow assumptions</w:t>
            </w:r>
          </w:p>
        </w:tc>
        <w:tc>
          <w:tcPr>
            <w:tcW w:w="2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(36)</w:t>
            </w: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57"/>
        </w:trPr>
        <w:tc>
          <w:tcPr>
            <w:tcW w:w="6420" w:type="dxa"/>
            <w:vAlign w:val="bottom"/>
          </w:tcPr>
          <w:p>
            <w:pPr>
              <w:ind w:left="200"/>
              <w:spacing w:after="0"/>
              <w:rPr>
                <w:sz w:val="20"/>
                <w:szCs w:val="20"/>
                <w:color w:val="auto"/>
              </w:rPr>
            </w:pPr>
            <w:r>
              <w:rPr>
                <w:rFonts w:ascii="Arial" w:cs="Arial" w:eastAsia="Arial" w:hAnsi="Arial"/>
                <w:sz w:val="16"/>
                <w:szCs w:val="16"/>
                <w:color w:val="auto"/>
              </w:rPr>
              <w:t>Effect of actual variances from expected experience</w:t>
            </w:r>
          </w:p>
        </w:tc>
        <w:tc>
          <w:tcPr>
            <w:tcW w:w="20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w:t>
            </w:r>
          </w:p>
        </w:tc>
        <w:tc>
          <w:tcPr>
            <w:tcW w:w="6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23"/>
        </w:trPr>
        <w:tc>
          <w:tcPr>
            <w:tcW w:w="6420" w:type="dxa"/>
            <w:vAlign w:val="bottom"/>
          </w:tcPr>
          <w:p>
            <w:pPr>
              <w:spacing w:after="0"/>
              <w:rPr>
                <w:sz w:val="20"/>
                <w:szCs w:val="20"/>
                <w:color w:val="auto"/>
              </w:rPr>
            </w:pPr>
            <w:r>
              <w:rPr>
                <w:rFonts w:ascii="Arial" w:cs="Arial" w:eastAsia="Arial" w:hAnsi="Arial"/>
                <w:sz w:val="16"/>
                <w:szCs w:val="16"/>
                <w:color w:val="auto"/>
              </w:rPr>
              <w:t>Balance adjusted for variances from expectation</w:t>
            </w: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6,394</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4,337</w:t>
            </w:r>
          </w:p>
        </w:tc>
        <w:tc>
          <w:tcPr>
            <w:tcW w:w="0" w:type="dxa"/>
            <w:vAlign w:val="bottom"/>
          </w:tcPr>
          <w:p>
            <w:pPr>
              <w:spacing w:after="0"/>
              <w:rPr>
                <w:sz w:val="1"/>
                <w:szCs w:val="1"/>
                <w:color w:val="auto"/>
              </w:rPr>
            </w:pPr>
          </w:p>
        </w:tc>
      </w:tr>
      <w:tr>
        <w:trPr>
          <w:trHeight w:val="250"/>
        </w:trPr>
        <w:tc>
          <w:tcPr>
            <w:tcW w:w="6420" w:type="dxa"/>
            <w:vAlign w:val="bottom"/>
          </w:tcPr>
          <w:p>
            <w:pPr>
              <w:ind w:left="200"/>
              <w:spacing w:after="0"/>
              <w:rPr>
                <w:sz w:val="20"/>
                <w:szCs w:val="20"/>
                <w:color w:val="auto"/>
              </w:rPr>
            </w:pPr>
            <w:r>
              <w:rPr>
                <w:rFonts w:ascii="Arial" w:cs="Arial" w:eastAsia="Arial" w:hAnsi="Arial"/>
                <w:sz w:val="16"/>
                <w:szCs w:val="16"/>
                <w:color w:val="auto"/>
              </w:rPr>
              <w:t>Issuances</w:t>
            </w:r>
          </w:p>
        </w:tc>
        <w:tc>
          <w:tcPr>
            <w:tcW w:w="2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2,206</w:t>
            </w: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2,324</w:t>
            </w:r>
          </w:p>
        </w:tc>
        <w:tc>
          <w:tcPr>
            <w:tcW w:w="0" w:type="dxa"/>
            <w:vAlign w:val="bottom"/>
          </w:tcPr>
          <w:p>
            <w:pPr>
              <w:spacing w:after="0"/>
              <w:rPr>
                <w:sz w:val="1"/>
                <w:szCs w:val="1"/>
                <w:color w:val="auto"/>
              </w:rPr>
            </w:pPr>
          </w:p>
        </w:tc>
      </w:tr>
      <w:tr>
        <w:trPr>
          <w:trHeight w:val="250"/>
        </w:trPr>
        <w:tc>
          <w:tcPr>
            <w:tcW w:w="6420" w:type="dxa"/>
            <w:vAlign w:val="bottom"/>
          </w:tcPr>
          <w:p>
            <w:pPr>
              <w:ind w:left="200"/>
              <w:spacing w:after="0"/>
              <w:rPr>
                <w:sz w:val="20"/>
                <w:szCs w:val="20"/>
                <w:color w:val="auto"/>
              </w:rPr>
            </w:pPr>
            <w:r>
              <w:rPr>
                <w:rFonts w:ascii="Arial" w:cs="Arial" w:eastAsia="Arial" w:hAnsi="Arial"/>
                <w:sz w:val="16"/>
                <w:szCs w:val="16"/>
                <w:color w:val="auto"/>
              </w:rPr>
              <w:t>Interest accrual</w:t>
            </w:r>
          </w:p>
        </w:tc>
        <w:tc>
          <w:tcPr>
            <w:tcW w:w="2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331</w:t>
            </w: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240</w:t>
            </w:r>
          </w:p>
        </w:tc>
        <w:tc>
          <w:tcPr>
            <w:tcW w:w="0" w:type="dxa"/>
            <w:vAlign w:val="bottom"/>
          </w:tcPr>
          <w:p>
            <w:pPr>
              <w:spacing w:after="0"/>
              <w:rPr>
                <w:sz w:val="1"/>
                <w:szCs w:val="1"/>
                <w:color w:val="auto"/>
              </w:rPr>
            </w:pPr>
          </w:p>
        </w:tc>
      </w:tr>
      <w:tr>
        <w:trPr>
          <w:trHeight w:val="250"/>
        </w:trPr>
        <w:tc>
          <w:tcPr>
            <w:tcW w:w="6420" w:type="dxa"/>
            <w:vAlign w:val="bottom"/>
          </w:tcPr>
          <w:p>
            <w:pPr>
              <w:ind w:left="200"/>
              <w:spacing w:after="0"/>
              <w:rPr>
                <w:sz w:val="20"/>
                <w:szCs w:val="20"/>
                <w:color w:val="auto"/>
              </w:rPr>
            </w:pPr>
            <w:r>
              <w:rPr>
                <w:rFonts w:ascii="Arial" w:cs="Arial" w:eastAsia="Arial" w:hAnsi="Arial"/>
                <w:sz w:val="16"/>
                <w:szCs w:val="16"/>
                <w:color w:val="auto"/>
              </w:rPr>
              <w:t>Benefits payments</w:t>
            </w:r>
          </w:p>
        </w:tc>
        <w:tc>
          <w:tcPr>
            <w:tcW w:w="2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(663)</w:t>
            </w: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(484)</w:t>
            </w:r>
          </w:p>
        </w:tc>
        <w:tc>
          <w:tcPr>
            <w:tcW w:w="0" w:type="dxa"/>
            <w:vAlign w:val="bottom"/>
          </w:tcPr>
          <w:p>
            <w:pPr>
              <w:spacing w:after="0"/>
              <w:rPr>
                <w:sz w:val="1"/>
                <w:szCs w:val="1"/>
                <w:color w:val="auto"/>
              </w:rPr>
            </w:pPr>
          </w:p>
        </w:tc>
      </w:tr>
      <w:tr>
        <w:trPr>
          <w:trHeight w:val="250"/>
        </w:trPr>
        <w:tc>
          <w:tcPr>
            <w:tcW w:w="6420" w:type="dxa"/>
            <w:vAlign w:val="bottom"/>
          </w:tcPr>
          <w:p>
            <w:pPr>
              <w:spacing w:after="0"/>
              <w:rPr>
                <w:sz w:val="20"/>
                <w:szCs w:val="20"/>
                <w:color w:val="auto"/>
              </w:rPr>
            </w:pPr>
            <w:r>
              <w:rPr>
                <w:rFonts w:ascii="Arial" w:cs="Arial" w:eastAsia="Arial" w:hAnsi="Arial"/>
                <w:sz w:val="16"/>
                <w:szCs w:val="16"/>
                <w:color w:val="auto"/>
              </w:rPr>
              <w:t>Ending balance at original discount rate</w:t>
            </w:r>
          </w:p>
        </w:tc>
        <w:tc>
          <w:tcPr>
            <w:tcW w:w="2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8,268</w:t>
            </w: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6,417</w:t>
            </w:r>
          </w:p>
        </w:tc>
        <w:tc>
          <w:tcPr>
            <w:tcW w:w="0" w:type="dxa"/>
            <w:vAlign w:val="bottom"/>
          </w:tcPr>
          <w:p>
            <w:pPr>
              <w:spacing w:after="0"/>
              <w:rPr>
                <w:sz w:val="1"/>
                <w:szCs w:val="1"/>
                <w:color w:val="auto"/>
              </w:rPr>
            </w:pPr>
          </w:p>
        </w:tc>
      </w:tr>
      <w:tr>
        <w:trPr>
          <w:trHeight w:val="257"/>
        </w:trPr>
        <w:tc>
          <w:tcPr>
            <w:tcW w:w="6420" w:type="dxa"/>
            <w:vAlign w:val="bottom"/>
          </w:tcPr>
          <w:p>
            <w:pPr>
              <w:ind w:left="200"/>
              <w:spacing w:after="0"/>
              <w:rPr>
                <w:sz w:val="20"/>
                <w:szCs w:val="20"/>
                <w:color w:val="auto"/>
              </w:rPr>
            </w:pPr>
            <w:r>
              <w:rPr>
                <w:rFonts w:ascii="Arial" w:cs="Arial" w:eastAsia="Arial" w:hAnsi="Arial"/>
                <w:sz w:val="16"/>
                <w:szCs w:val="16"/>
                <w:color w:val="auto"/>
              </w:rPr>
              <w:t>Effect of changes in discount rate assumptions</w:t>
            </w:r>
          </w:p>
        </w:tc>
        <w:tc>
          <w:tcPr>
            <w:tcW w:w="20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(156)</w:t>
            </w:r>
          </w:p>
        </w:tc>
        <w:tc>
          <w:tcPr>
            <w:tcW w:w="6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(363)</w:t>
            </w:r>
          </w:p>
        </w:tc>
        <w:tc>
          <w:tcPr>
            <w:tcW w:w="0" w:type="dxa"/>
            <w:vAlign w:val="bottom"/>
          </w:tcPr>
          <w:p>
            <w:pPr>
              <w:spacing w:after="0"/>
              <w:rPr>
                <w:sz w:val="1"/>
                <w:szCs w:val="1"/>
                <w:color w:val="auto"/>
              </w:rPr>
            </w:pPr>
          </w:p>
        </w:tc>
      </w:tr>
      <w:tr>
        <w:trPr>
          <w:trHeight w:val="210"/>
        </w:trPr>
        <w:tc>
          <w:tcPr>
            <w:tcW w:w="6420" w:type="dxa"/>
            <w:vAlign w:val="bottom"/>
          </w:tcPr>
          <w:p>
            <w:pPr>
              <w:spacing w:after="0"/>
              <w:rPr>
                <w:sz w:val="20"/>
                <w:szCs w:val="20"/>
                <w:color w:val="auto"/>
              </w:rPr>
            </w:pPr>
            <w:r>
              <w:rPr>
                <w:rFonts w:ascii="Arial" w:cs="Arial" w:eastAsia="Arial" w:hAnsi="Arial"/>
                <w:sz w:val="16"/>
                <w:szCs w:val="16"/>
                <w:b w:val="1"/>
                <w:bCs w:val="1"/>
                <w:color w:val="auto"/>
              </w:rPr>
              <w:t>Balance, end of year</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8,112</w:t>
            </w:r>
          </w:p>
        </w:tc>
        <w:tc>
          <w:tcPr>
            <w:tcW w:w="60" w:type="dxa"/>
            <w:vAlign w:val="bottom"/>
          </w:tcPr>
          <w:p>
            <w:pPr>
              <w:spacing w:after="0"/>
              <w:rPr>
                <w:sz w:val="18"/>
                <w:szCs w:val="18"/>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6,054</w:t>
            </w:r>
          </w:p>
        </w:tc>
        <w:tc>
          <w:tcPr>
            <w:tcW w:w="0" w:type="dxa"/>
            <w:vAlign w:val="bottom"/>
          </w:tcPr>
          <w:p>
            <w:pPr>
              <w:spacing w:after="0"/>
              <w:rPr>
                <w:sz w:val="1"/>
                <w:szCs w:val="1"/>
                <w:color w:val="auto"/>
              </w:rPr>
            </w:pPr>
          </w:p>
        </w:tc>
      </w:tr>
      <w:tr>
        <w:trPr>
          <w:trHeight w:val="20"/>
        </w:trPr>
        <w:tc>
          <w:tcPr>
            <w:tcW w:w="6420" w:type="dxa"/>
            <w:vAlign w:val="bottom"/>
            <w:vMerge w:val="restart"/>
          </w:tcPr>
          <w:p>
            <w:pPr>
              <w:spacing w:after="0"/>
              <w:rPr>
                <w:sz w:val="20"/>
                <w:szCs w:val="20"/>
                <w:color w:val="auto"/>
              </w:rPr>
            </w:pPr>
            <w:r>
              <w:rPr>
                <w:rFonts w:ascii="Arial" w:cs="Arial" w:eastAsia="Arial" w:hAnsi="Arial"/>
                <w:sz w:val="16"/>
                <w:szCs w:val="16"/>
                <w:b w:val="1"/>
                <w:bCs w:val="1"/>
                <w:color w:val="auto"/>
              </w:rPr>
              <w:t>Net liability for future policy benefits, after reinsurance recoverable</w:t>
            </w:r>
          </w:p>
        </w:tc>
        <w:tc>
          <w:tcPr>
            <w:tcW w:w="2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6420" w:type="dxa"/>
            <w:vAlign w:val="bottom"/>
            <w:vMerge w:val="continue"/>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56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56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6420" w:type="dxa"/>
            <w:vAlign w:val="bottom"/>
            <w:vMerge w:val="continue"/>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560" w:type="dxa"/>
            <w:vAlign w:val="bottom"/>
          </w:tcPr>
          <w:p>
            <w:pPr>
              <w:jc w:val="right"/>
              <w:spacing w:after="0"/>
              <w:rPr>
                <w:sz w:val="20"/>
                <w:szCs w:val="20"/>
                <w:color w:val="auto"/>
              </w:rPr>
            </w:pPr>
            <w:r>
              <w:rPr>
                <w:rFonts w:ascii="Arial" w:cs="Arial" w:eastAsia="Arial" w:hAnsi="Arial"/>
                <w:sz w:val="16"/>
                <w:szCs w:val="16"/>
                <w:color w:val="auto"/>
              </w:rPr>
              <w:t>8,112</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560" w:type="dxa"/>
            <w:vAlign w:val="bottom"/>
          </w:tcPr>
          <w:p>
            <w:pPr>
              <w:jc w:val="right"/>
              <w:spacing w:after="0"/>
              <w:rPr>
                <w:sz w:val="20"/>
                <w:szCs w:val="20"/>
                <w:color w:val="auto"/>
              </w:rPr>
            </w:pPr>
            <w:r>
              <w:rPr>
                <w:rFonts w:ascii="Arial" w:cs="Arial" w:eastAsia="Arial" w:hAnsi="Arial"/>
                <w:sz w:val="16"/>
                <w:szCs w:val="16"/>
                <w:color w:val="auto"/>
              </w:rPr>
              <w:t>6,054</w:t>
            </w:r>
          </w:p>
        </w:tc>
        <w:tc>
          <w:tcPr>
            <w:tcW w:w="0" w:type="dxa"/>
            <w:vAlign w:val="bottom"/>
          </w:tcPr>
          <w:p>
            <w:pPr>
              <w:spacing w:after="0"/>
              <w:rPr>
                <w:sz w:val="1"/>
                <w:szCs w:val="1"/>
                <w:color w:val="auto"/>
              </w:rPr>
            </w:pPr>
          </w:p>
        </w:tc>
      </w:tr>
      <w:tr>
        <w:trPr>
          <w:trHeight w:val="20"/>
        </w:trPr>
        <w:tc>
          <w:tcPr>
            <w:tcW w:w="64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3"/>
        </w:trPr>
        <w:tc>
          <w:tcPr>
            <w:tcW w:w="6420" w:type="dxa"/>
            <w:vAlign w:val="bottom"/>
          </w:tcPr>
          <w:p>
            <w:pPr>
              <w:spacing w:after="0"/>
              <w:rPr>
                <w:sz w:val="20"/>
                <w:szCs w:val="20"/>
                <w:color w:val="auto"/>
              </w:rPr>
            </w:pPr>
            <w:r>
              <w:rPr>
                <w:rFonts w:ascii="Arial" w:cs="Arial" w:eastAsia="Arial" w:hAnsi="Arial"/>
                <w:sz w:val="16"/>
                <w:szCs w:val="16"/>
                <w:color w:val="auto"/>
              </w:rPr>
              <w:t>Weighted-average duration of liability for future policyholder benefits (years)</w:t>
            </w:r>
          </w:p>
        </w:tc>
        <w:tc>
          <w:tcPr>
            <w:tcW w:w="200" w:type="dxa"/>
            <w:vAlign w:val="bottom"/>
          </w:tcPr>
          <w:p>
            <w:pPr>
              <w:spacing w:after="0"/>
              <w:rPr>
                <w:sz w:val="24"/>
                <w:szCs w:val="24"/>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7.80</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7.78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-2297430</wp:posOffset>
            </wp:positionV>
            <wp:extent cx="6410325" cy="232156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173">
                      <a:extLst>
                        <a:ext uri="{28A0092B-C50C-407E-A947-70E740481C1C}"/>
                      </a:extLst>
                    </a:blip>
                    <a:srcRect/>
                    <a:stretch>
                      <a:fillRect/>
                    </a:stretch>
                  </pic:blipFill>
                  <pic:spPr bwMode="auto">
                    <a:xfrm>
                      <a:off x="0" y="0"/>
                      <a:ext cx="6410325" cy="2321560"/>
                    </a:xfrm>
                    <a:prstGeom prst="rect">
                      <a:avLst/>
                    </a:prstGeom>
                    <a:noFill/>
                  </pic:spPr>
                </pic:pic>
              </a:graphicData>
            </a:graphic>
          </wp:anchor>
        </w:drawing>
      </w:r>
    </w:p>
    <w:p>
      <w:pPr>
        <w:spacing w:after="0" w:line="357" w:lineRule="exact"/>
        <w:rPr>
          <w:sz w:val="20"/>
          <w:szCs w:val="20"/>
          <w:color w:val="auto"/>
        </w:rPr>
      </w:pPr>
    </w:p>
    <w:tbl>
      <w:tblPr>
        <w:tblLayout w:type="fixed"/>
        <w:tblInd w:w="40" w:type="dxa"/>
        <w:tblCellMar>
          <w:top w:w="0" w:type="dxa"/>
          <w:left w:w="0" w:type="dxa"/>
          <w:bottom w:w="0" w:type="dxa"/>
          <w:right w:w="0" w:type="dxa"/>
        </w:tblCellMar>
      </w:tblPr>
      <w:tr>
        <w:trPr>
          <w:trHeight w:val="213"/>
        </w:trPr>
        <w:tc>
          <w:tcPr>
            <w:tcW w:w="64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3380" w:type="dxa"/>
            <w:vAlign w:val="bottom"/>
            <w:tcBorders>
              <w:bottom w:val="single" w:sz="8" w:color="auto"/>
            </w:tcBorders>
            <w:gridSpan w:val="4"/>
          </w:tcPr>
          <w:p>
            <w:pPr>
              <w:jc w:val="right"/>
              <w:ind w:right="1022"/>
              <w:spacing w:after="0"/>
              <w:rPr>
                <w:sz w:val="20"/>
                <w:szCs w:val="20"/>
                <w:color w:val="auto"/>
              </w:rPr>
            </w:pPr>
            <w:r>
              <w:rPr>
                <w:rFonts w:ascii="Arial" w:cs="Arial" w:eastAsia="Arial" w:hAnsi="Arial"/>
                <w:sz w:val="16"/>
                <w:szCs w:val="16"/>
                <w:b w:val="1"/>
                <w:bCs w:val="1"/>
                <w:color w:val="auto"/>
              </w:rPr>
              <w:t>Immediate annuities</w:t>
            </w:r>
          </w:p>
        </w:tc>
      </w:tr>
      <w:tr>
        <w:trPr>
          <w:trHeight w:val="230"/>
        </w:trPr>
        <w:tc>
          <w:tcPr>
            <w:tcW w:w="64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ind w:right="162"/>
              <w:spacing w:after="0"/>
              <w:rPr>
                <w:sz w:val="20"/>
                <w:szCs w:val="20"/>
                <w:color w:val="auto"/>
              </w:rPr>
            </w:pPr>
            <w:r>
              <w:rPr>
                <w:rFonts w:ascii="Arial" w:cs="Arial" w:eastAsia="Arial" w:hAnsi="Arial"/>
                <w:sz w:val="16"/>
                <w:szCs w:val="16"/>
                <w:b w:val="1"/>
                <w:bCs w:val="1"/>
                <w:color w:val="auto"/>
                <w:w w:val="90"/>
              </w:rPr>
              <w:t>December 31, 2025</w:t>
            </w:r>
          </w:p>
        </w:tc>
        <w:tc>
          <w:tcPr>
            <w:tcW w:w="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ind w:right="162"/>
              <w:spacing w:after="0"/>
              <w:rPr>
                <w:sz w:val="20"/>
                <w:szCs w:val="20"/>
                <w:color w:val="auto"/>
              </w:rPr>
            </w:pPr>
            <w:r>
              <w:rPr>
                <w:rFonts w:ascii="Arial" w:cs="Arial" w:eastAsia="Arial" w:hAnsi="Arial"/>
                <w:sz w:val="16"/>
                <w:szCs w:val="16"/>
                <w:b w:val="1"/>
                <w:bCs w:val="1"/>
                <w:color w:val="auto"/>
                <w:w w:val="90"/>
              </w:rPr>
              <w:t>December 31, 2024</w:t>
            </w:r>
          </w:p>
        </w:tc>
      </w:tr>
      <w:tr>
        <w:trPr>
          <w:trHeight w:val="230"/>
        </w:trPr>
        <w:tc>
          <w:tcPr>
            <w:tcW w:w="64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3380" w:type="dxa"/>
            <w:vAlign w:val="bottom"/>
            <w:tcBorders>
              <w:bottom w:val="single" w:sz="8" w:color="auto"/>
            </w:tcBorders>
            <w:gridSpan w:val="4"/>
          </w:tcPr>
          <w:p>
            <w:pPr>
              <w:jc w:val="right"/>
              <w:ind w:right="1282"/>
              <w:spacing w:after="0"/>
              <w:rPr>
                <w:sz w:val="20"/>
                <w:szCs w:val="20"/>
                <w:color w:val="auto"/>
              </w:rPr>
            </w:pPr>
            <w:r>
              <w:rPr>
                <w:rFonts w:ascii="Arial" w:cs="Arial" w:eastAsia="Arial" w:hAnsi="Arial"/>
                <w:sz w:val="16"/>
                <w:szCs w:val="16"/>
                <w:b w:val="1"/>
                <w:bCs w:val="1"/>
                <w:color w:val="auto"/>
              </w:rPr>
              <w:t>(In millions)</w:t>
            </w:r>
          </w:p>
        </w:tc>
      </w:tr>
      <w:tr>
        <w:trPr>
          <w:trHeight w:val="223"/>
        </w:trPr>
        <w:tc>
          <w:tcPr>
            <w:tcW w:w="6420" w:type="dxa"/>
            <w:vAlign w:val="bottom"/>
          </w:tcPr>
          <w:p>
            <w:pPr>
              <w:spacing w:after="0"/>
              <w:rPr>
                <w:sz w:val="20"/>
                <w:szCs w:val="20"/>
                <w:color w:val="auto"/>
              </w:rPr>
            </w:pPr>
            <w:r>
              <w:rPr>
                <w:rFonts w:ascii="Arial" w:cs="Arial" w:eastAsia="Arial" w:hAnsi="Arial"/>
                <w:sz w:val="16"/>
                <w:szCs w:val="16"/>
                <w:b w:val="1"/>
                <w:bCs w:val="1"/>
                <w:color w:val="auto"/>
              </w:rPr>
              <w:t>Balance, beginning of year</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560" w:type="dxa"/>
            <w:vAlign w:val="bottom"/>
          </w:tcPr>
          <w:p>
            <w:pPr>
              <w:jc w:val="right"/>
              <w:spacing w:after="0"/>
              <w:rPr>
                <w:sz w:val="20"/>
                <w:szCs w:val="20"/>
                <w:color w:val="auto"/>
              </w:rPr>
            </w:pPr>
            <w:r>
              <w:rPr>
                <w:rFonts w:ascii="Arial" w:cs="Arial" w:eastAsia="Arial" w:hAnsi="Arial"/>
                <w:sz w:val="16"/>
                <w:szCs w:val="16"/>
                <w:color w:val="auto"/>
              </w:rPr>
              <w:t>1,297</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560" w:type="dxa"/>
            <w:vAlign w:val="bottom"/>
          </w:tcPr>
          <w:p>
            <w:pPr>
              <w:jc w:val="right"/>
              <w:spacing w:after="0"/>
              <w:rPr>
                <w:sz w:val="20"/>
                <w:szCs w:val="20"/>
                <w:color w:val="auto"/>
              </w:rPr>
            </w:pPr>
            <w:r>
              <w:rPr>
                <w:rFonts w:ascii="Arial" w:cs="Arial" w:eastAsia="Arial" w:hAnsi="Arial"/>
                <w:sz w:val="16"/>
                <w:szCs w:val="16"/>
                <w:color w:val="auto"/>
              </w:rPr>
              <w:t>1,415</w:t>
            </w:r>
          </w:p>
        </w:tc>
      </w:tr>
      <w:tr>
        <w:trPr>
          <w:trHeight w:val="250"/>
        </w:trPr>
        <w:tc>
          <w:tcPr>
            <w:tcW w:w="6420" w:type="dxa"/>
            <w:vAlign w:val="bottom"/>
          </w:tcPr>
          <w:p>
            <w:pPr>
              <w:spacing w:after="0"/>
              <w:rPr>
                <w:sz w:val="20"/>
                <w:szCs w:val="20"/>
                <w:color w:val="auto"/>
              </w:rPr>
            </w:pPr>
            <w:r>
              <w:rPr>
                <w:rFonts w:ascii="Arial" w:cs="Arial" w:eastAsia="Arial" w:hAnsi="Arial"/>
                <w:sz w:val="16"/>
                <w:szCs w:val="16"/>
                <w:color w:val="auto"/>
              </w:rPr>
              <w:t>Beginning balance at original discount rate</w:t>
            </w:r>
          </w:p>
        </w:tc>
        <w:tc>
          <w:tcPr>
            <w:tcW w:w="2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1,732</w:t>
            </w: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1,788</w:t>
            </w:r>
          </w:p>
        </w:tc>
      </w:tr>
      <w:tr>
        <w:trPr>
          <w:trHeight w:val="257"/>
        </w:trPr>
        <w:tc>
          <w:tcPr>
            <w:tcW w:w="6420" w:type="dxa"/>
            <w:vAlign w:val="bottom"/>
          </w:tcPr>
          <w:p>
            <w:pPr>
              <w:ind w:left="200"/>
              <w:spacing w:after="0"/>
              <w:rPr>
                <w:sz w:val="20"/>
                <w:szCs w:val="20"/>
                <w:color w:val="auto"/>
              </w:rPr>
            </w:pPr>
            <w:r>
              <w:rPr>
                <w:rFonts w:ascii="Arial" w:cs="Arial" w:eastAsia="Arial" w:hAnsi="Arial"/>
                <w:sz w:val="16"/>
                <w:szCs w:val="16"/>
                <w:color w:val="auto"/>
              </w:rPr>
              <w:t>Effect of actual variances from expected experience</w:t>
            </w:r>
          </w:p>
        </w:tc>
        <w:tc>
          <w:tcPr>
            <w:tcW w:w="20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w:t>
            </w:r>
          </w:p>
        </w:tc>
        <w:tc>
          <w:tcPr>
            <w:tcW w:w="6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w:t>
            </w:r>
          </w:p>
        </w:tc>
      </w:tr>
      <w:tr>
        <w:trPr>
          <w:trHeight w:val="223"/>
        </w:trPr>
        <w:tc>
          <w:tcPr>
            <w:tcW w:w="6420" w:type="dxa"/>
            <w:vAlign w:val="bottom"/>
          </w:tcPr>
          <w:p>
            <w:pPr>
              <w:spacing w:after="0"/>
              <w:rPr>
                <w:sz w:val="20"/>
                <w:szCs w:val="20"/>
                <w:color w:val="auto"/>
              </w:rPr>
            </w:pPr>
            <w:r>
              <w:rPr>
                <w:rFonts w:ascii="Arial" w:cs="Arial" w:eastAsia="Arial" w:hAnsi="Arial"/>
                <w:sz w:val="16"/>
                <w:szCs w:val="16"/>
                <w:color w:val="auto"/>
              </w:rPr>
              <w:t>Balance adjusted for variances from expectation</w:t>
            </w: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1,721</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1,761</w:t>
            </w:r>
          </w:p>
        </w:tc>
      </w:tr>
      <w:tr>
        <w:trPr>
          <w:trHeight w:val="250"/>
        </w:trPr>
        <w:tc>
          <w:tcPr>
            <w:tcW w:w="6420" w:type="dxa"/>
            <w:vAlign w:val="bottom"/>
          </w:tcPr>
          <w:p>
            <w:pPr>
              <w:ind w:left="200"/>
              <w:spacing w:after="0"/>
              <w:rPr>
                <w:sz w:val="20"/>
                <w:szCs w:val="20"/>
                <w:color w:val="auto"/>
              </w:rPr>
            </w:pPr>
            <w:r>
              <w:rPr>
                <w:rFonts w:ascii="Arial" w:cs="Arial" w:eastAsia="Arial" w:hAnsi="Arial"/>
                <w:sz w:val="16"/>
                <w:szCs w:val="16"/>
                <w:color w:val="auto"/>
              </w:rPr>
              <w:t>Issuances</w:t>
            </w:r>
          </w:p>
        </w:tc>
        <w:tc>
          <w:tcPr>
            <w:tcW w:w="2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17</w:t>
            </w: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30</w:t>
            </w:r>
          </w:p>
        </w:tc>
      </w:tr>
      <w:tr>
        <w:trPr>
          <w:trHeight w:val="250"/>
        </w:trPr>
        <w:tc>
          <w:tcPr>
            <w:tcW w:w="6420" w:type="dxa"/>
            <w:vAlign w:val="bottom"/>
          </w:tcPr>
          <w:p>
            <w:pPr>
              <w:ind w:left="200"/>
              <w:spacing w:after="0"/>
              <w:rPr>
                <w:sz w:val="20"/>
                <w:szCs w:val="20"/>
                <w:color w:val="auto"/>
              </w:rPr>
            </w:pPr>
            <w:r>
              <w:rPr>
                <w:rFonts w:ascii="Arial" w:cs="Arial" w:eastAsia="Arial" w:hAnsi="Arial"/>
                <w:sz w:val="16"/>
                <w:szCs w:val="16"/>
                <w:color w:val="auto"/>
              </w:rPr>
              <w:t>Interest accrual</w:t>
            </w:r>
          </w:p>
        </w:tc>
        <w:tc>
          <w:tcPr>
            <w:tcW w:w="2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54</w:t>
            </w: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59</w:t>
            </w:r>
          </w:p>
        </w:tc>
      </w:tr>
      <w:tr>
        <w:trPr>
          <w:trHeight w:val="257"/>
        </w:trPr>
        <w:tc>
          <w:tcPr>
            <w:tcW w:w="6420" w:type="dxa"/>
            <w:vAlign w:val="bottom"/>
          </w:tcPr>
          <w:p>
            <w:pPr>
              <w:ind w:left="200"/>
              <w:spacing w:after="0"/>
              <w:rPr>
                <w:sz w:val="20"/>
                <w:szCs w:val="20"/>
                <w:color w:val="auto"/>
              </w:rPr>
            </w:pPr>
            <w:r>
              <w:rPr>
                <w:rFonts w:ascii="Arial" w:cs="Arial" w:eastAsia="Arial" w:hAnsi="Arial"/>
                <w:sz w:val="16"/>
                <w:szCs w:val="16"/>
                <w:color w:val="auto"/>
              </w:rPr>
              <w:t>Benefits payments</w:t>
            </w:r>
          </w:p>
        </w:tc>
        <w:tc>
          <w:tcPr>
            <w:tcW w:w="20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(113)</w:t>
            </w:r>
          </w:p>
        </w:tc>
        <w:tc>
          <w:tcPr>
            <w:tcW w:w="6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(118)</w:t>
            </w:r>
          </w:p>
        </w:tc>
      </w:tr>
      <w:tr>
        <w:trPr>
          <w:trHeight w:val="223"/>
        </w:trPr>
        <w:tc>
          <w:tcPr>
            <w:tcW w:w="6420" w:type="dxa"/>
            <w:vAlign w:val="bottom"/>
          </w:tcPr>
          <w:p>
            <w:pPr>
              <w:spacing w:after="0"/>
              <w:rPr>
                <w:sz w:val="20"/>
                <w:szCs w:val="20"/>
                <w:color w:val="auto"/>
              </w:rPr>
            </w:pPr>
            <w:r>
              <w:rPr>
                <w:rFonts w:ascii="Arial" w:cs="Arial" w:eastAsia="Arial" w:hAnsi="Arial"/>
                <w:sz w:val="16"/>
                <w:szCs w:val="16"/>
                <w:color w:val="auto"/>
              </w:rPr>
              <w:t>Ending balance at original discount rate</w:t>
            </w: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1,679</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1,732</w:t>
            </w:r>
          </w:p>
        </w:tc>
      </w:tr>
      <w:tr>
        <w:trPr>
          <w:trHeight w:val="257"/>
        </w:trPr>
        <w:tc>
          <w:tcPr>
            <w:tcW w:w="6420" w:type="dxa"/>
            <w:vAlign w:val="bottom"/>
          </w:tcPr>
          <w:p>
            <w:pPr>
              <w:ind w:left="200"/>
              <w:spacing w:after="0"/>
              <w:rPr>
                <w:sz w:val="20"/>
                <w:szCs w:val="20"/>
                <w:color w:val="auto"/>
              </w:rPr>
            </w:pPr>
            <w:r>
              <w:rPr>
                <w:rFonts w:ascii="Arial" w:cs="Arial" w:eastAsia="Arial" w:hAnsi="Arial"/>
                <w:sz w:val="16"/>
                <w:szCs w:val="16"/>
                <w:color w:val="auto"/>
              </w:rPr>
              <w:t>Effect of changes in discount rate assumptions</w:t>
            </w:r>
          </w:p>
        </w:tc>
        <w:tc>
          <w:tcPr>
            <w:tcW w:w="20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(403)</w:t>
            </w:r>
          </w:p>
        </w:tc>
        <w:tc>
          <w:tcPr>
            <w:tcW w:w="6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(435)</w:t>
            </w:r>
          </w:p>
        </w:tc>
      </w:tr>
      <w:tr>
        <w:trPr>
          <w:trHeight w:val="210"/>
        </w:trPr>
        <w:tc>
          <w:tcPr>
            <w:tcW w:w="6420" w:type="dxa"/>
            <w:vAlign w:val="bottom"/>
          </w:tcPr>
          <w:p>
            <w:pPr>
              <w:spacing w:after="0"/>
              <w:rPr>
                <w:sz w:val="20"/>
                <w:szCs w:val="20"/>
                <w:color w:val="auto"/>
              </w:rPr>
            </w:pPr>
            <w:r>
              <w:rPr>
                <w:rFonts w:ascii="Arial" w:cs="Arial" w:eastAsia="Arial" w:hAnsi="Arial"/>
                <w:sz w:val="16"/>
                <w:szCs w:val="16"/>
                <w:b w:val="1"/>
                <w:bCs w:val="1"/>
                <w:color w:val="auto"/>
              </w:rPr>
              <w:t>Balance, end of year</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1,276</w:t>
            </w:r>
          </w:p>
        </w:tc>
        <w:tc>
          <w:tcPr>
            <w:tcW w:w="60" w:type="dxa"/>
            <w:vAlign w:val="bottom"/>
          </w:tcPr>
          <w:p>
            <w:pPr>
              <w:spacing w:after="0"/>
              <w:rPr>
                <w:sz w:val="18"/>
                <w:szCs w:val="18"/>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1,297</w:t>
            </w:r>
          </w:p>
        </w:tc>
      </w:tr>
      <w:tr>
        <w:trPr>
          <w:trHeight w:val="20"/>
        </w:trPr>
        <w:tc>
          <w:tcPr>
            <w:tcW w:w="64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r>
        <w:trPr>
          <w:trHeight w:val="364"/>
        </w:trPr>
        <w:tc>
          <w:tcPr>
            <w:tcW w:w="6420" w:type="dxa"/>
            <w:vAlign w:val="bottom"/>
          </w:tcPr>
          <w:p>
            <w:pPr>
              <w:spacing w:after="0"/>
              <w:rPr>
                <w:sz w:val="20"/>
                <w:szCs w:val="20"/>
                <w:color w:val="auto"/>
              </w:rPr>
            </w:pPr>
            <w:r>
              <w:rPr>
                <w:rFonts w:ascii="Arial" w:cs="Arial" w:eastAsia="Arial" w:hAnsi="Arial"/>
                <w:sz w:val="16"/>
                <w:szCs w:val="16"/>
                <w:color w:val="auto"/>
              </w:rPr>
              <w:t>Net liability for future policy benefits</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560" w:type="dxa"/>
            <w:vAlign w:val="bottom"/>
          </w:tcPr>
          <w:p>
            <w:pPr>
              <w:jc w:val="right"/>
              <w:spacing w:after="0"/>
              <w:rPr>
                <w:sz w:val="20"/>
                <w:szCs w:val="20"/>
                <w:color w:val="auto"/>
              </w:rPr>
            </w:pPr>
            <w:r>
              <w:rPr>
                <w:rFonts w:ascii="Arial" w:cs="Arial" w:eastAsia="Arial" w:hAnsi="Arial"/>
                <w:sz w:val="16"/>
                <w:szCs w:val="16"/>
                <w:color w:val="auto"/>
              </w:rPr>
              <w:t>1,276</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560" w:type="dxa"/>
            <w:vAlign w:val="bottom"/>
          </w:tcPr>
          <w:p>
            <w:pPr>
              <w:jc w:val="right"/>
              <w:spacing w:after="0"/>
              <w:rPr>
                <w:sz w:val="20"/>
                <w:szCs w:val="20"/>
                <w:color w:val="auto"/>
              </w:rPr>
            </w:pPr>
            <w:r>
              <w:rPr>
                <w:rFonts w:ascii="Arial" w:cs="Arial" w:eastAsia="Arial" w:hAnsi="Arial"/>
                <w:sz w:val="16"/>
                <w:szCs w:val="16"/>
                <w:color w:val="auto"/>
              </w:rPr>
              <w:t>1,297</w:t>
            </w:r>
          </w:p>
        </w:tc>
      </w:tr>
      <w:tr>
        <w:trPr>
          <w:trHeight w:val="257"/>
        </w:trPr>
        <w:tc>
          <w:tcPr>
            <w:tcW w:w="6420" w:type="dxa"/>
            <w:vAlign w:val="bottom"/>
          </w:tcPr>
          <w:p>
            <w:pPr>
              <w:spacing w:after="0"/>
              <w:rPr>
                <w:sz w:val="20"/>
                <w:szCs w:val="20"/>
                <w:color w:val="auto"/>
              </w:rPr>
            </w:pPr>
            <w:r>
              <w:rPr>
                <w:rFonts w:ascii="Arial" w:cs="Arial" w:eastAsia="Arial" w:hAnsi="Arial"/>
                <w:sz w:val="16"/>
                <w:szCs w:val="16"/>
                <w:color w:val="auto"/>
              </w:rPr>
              <w:t>Less: Reinsurance recoverable</w:t>
            </w:r>
          </w:p>
        </w:tc>
        <w:tc>
          <w:tcPr>
            <w:tcW w:w="20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106</w:t>
            </w:r>
          </w:p>
        </w:tc>
        <w:tc>
          <w:tcPr>
            <w:tcW w:w="6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109</w:t>
            </w:r>
          </w:p>
        </w:tc>
      </w:tr>
      <w:tr>
        <w:trPr>
          <w:trHeight w:val="210"/>
        </w:trPr>
        <w:tc>
          <w:tcPr>
            <w:tcW w:w="6420" w:type="dxa"/>
            <w:vAlign w:val="bottom"/>
          </w:tcPr>
          <w:p>
            <w:pPr>
              <w:spacing w:after="0"/>
              <w:rPr>
                <w:sz w:val="20"/>
                <w:szCs w:val="20"/>
                <w:color w:val="auto"/>
              </w:rPr>
            </w:pPr>
            <w:r>
              <w:rPr>
                <w:rFonts w:ascii="Arial" w:cs="Arial" w:eastAsia="Arial" w:hAnsi="Arial"/>
                <w:sz w:val="16"/>
                <w:szCs w:val="16"/>
                <w:b w:val="1"/>
                <w:bCs w:val="1"/>
                <w:color w:val="auto"/>
              </w:rPr>
              <w:t>Net liability for future policy benefits, after reinsurance recoverable</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560" w:type="dxa"/>
            <w:vAlign w:val="bottom"/>
          </w:tcPr>
          <w:p>
            <w:pPr>
              <w:jc w:val="right"/>
              <w:spacing w:after="0"/>
              <w:rPr>
                <w:sz w:val="20"/>
                <w:szCs w:val="20"/>
                <w:color w:val="auto"/>
              </w:rPr>
            </w:pPr>
            <w:r>
              <w:rPr>
                <w:rFonts w:ascii="Arial" w:cs="Arial" w:eastAsia="Arial" w:hAnsi="Arial"/>
                <w:sz w:val="16"/>
                <w:szCs w:val="16"/>
                <w:color w:val="auto"/>
              </w:rPr>
              <w:t>1,170</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560" w:type="dxa"/>
            <w:vAlign w:val="bottom"/>
          </w:tcPr>
          <w:p>
            <w:pPr>
              <w:jc w:val="right"/>
              <w:spacing w:after="0"/>
              <w:rPr>
                <w:sz w:val="20"/>
                <w:szCs w:val="20"/>
                <w:color w:val="auto"/>
              </w:rPr>
            </w:pPr>
            <w:r>
              <w:rPr>
                <w:rFonts w:ascii="Arial" w:cs="Arial" w:eastAsia="Arial" w:hAnsi="Arial"/>
                <w:sz w:val="16"/>
                <w:szCs w:val="16"/>
                <w:color w:val="auto"/>
              </w:rPr>
              <w:t>1,188</w:t>
            </w:r>
          </w:p>
        </w:tc>
      </w:tr>
      <w:tr>
        <w:trPr>
          <w:trHeight w:val="20"/>
        </w:trPr>
        <w:tc>
          <w:tcPr>
            <w:tcW w:w="64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r>
      <w:tr>
        <w:trPr>
          <w:trHeight w:val="379"/>
        </w:trPr>
        <w:tc>
          <w:tcPr>
            <w:tcW w:w="6420" w:type="dxa"/>
            <w:vAlign w:val="bottom"/>
          </w:tcPr>
          <w:p>
            <w:pPr>
              <w:spacing w:after="0"/>
              <w:rPr>
                <w:sz w:val="20"/>
                <w:szCs w:val="20"/>
                <w:color w:val="auto"/>
              </w:rPr>
            </w:pPr>
            <w:r>
              <w:rPr>
                <w:rFonts w:ascii="Arial" w:cs="Arial" w:eastAsia="Arial" w:hAnsi="Arial"/>
                <w:sz w:val="16"/>
                <w:szCs w:val="16"/>
                <w:color w:val="auto"/>
              </w:rPr>
              <w:t>Weighted-average duration of liability for future policyholder benefits (years)</w:t>
            </w:r>
          </w:p>
        </w:tc>
        <w:tc>
          <w:tcPr>
            <w:tcW w:w="200" w:type="dxa"/>
            <w:vAlign w:val="bottom"/>
          </w:tcPr>
          <w:p>
            <w:pPr>
              <w:spacing w:after="0"/>
              <w:rPr>
                <w:sz w:val="24"/>
                <w:szCs w:val="24"/>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12.32</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12.63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-2437765</wp:posOffset>
            </wp:positionV>
            <wp:extent cx="6410325" cy="246189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174">
                      <a:extLst>
                        <a:ext uri="{28A0092B-C50C-407E-A947-70E740481C1C}"/>
                      </a:extLst>
                    </a:blip>
                    <a:srcRect/>
                    <a:stretch>
                      <a:fillRect/>
                    </a:stretch>
                  </pic:blipFill>
                  <pic:spPr bwMode="auto">
                    <a:xfrm>
                      <a:off x="0" y="0"/>
                      <a:ext cx="6410325" cy="2461895"/>
                    </a:xfrm>
                    <a:prstGeom prst="rect">
                      <a:avLst/>
                    </a:prstGeom>
                    <a:noFill/>
                  </pic:spPr>
                </pic:pic>
              </a:graphicData>
            </a:graphic>
          </wp:anchor>
        </w:drawing>
      </w:r>
    </w:p>
    <w:p>
      <w:pPr>
        <w:sectPr>
          <w:pgSz w:w="11880" w:h="15480" w:orient="portrait"/>
          <w:cols w:equalWidth="0" w:num="1">
            <w:col w:w="10040"/>
          </w:cols>
          <w:pgMar w:left="920" w:top="772"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187</w:t>
      </w:r>
    </w:p>
    <w:p>
      <w:pPr>
        <w:sectPr>
          <w:pgSz w:w="11880" w:h="15480" w:orient="portrait"/>
          <w:cols w:equalWidth="0" w:num="1">
            <w:col w:w="10040"/>
          </w:cols>
          <w:pgMar w:left="920" w:top="772" w:right="920" w:bottom="0" w:gutter="0" w:footer="0" w:header="0"/>
          <w:type w:val="continuous"/>
        </w:sectPr>
      </w:pPr>
    </w:p>
    <w:bookmarkStart w:id="199" w:name="page200"/>
    <w:bookmarkEnd w:id="199"/>
    <w:p>
      <w:pPr>
        <w:ind w:left="347"/>
        <w:spacing w:after="0"/>
        <w:rPr>
          <w:sz w:val="20"/>
          <w:szCs w:val="20"/>
          <w:color w:val="auto"/>
        </w:rPr>
      </w:pPr>
      <w:r>
        <w:rPr>
          <w:rFonts w:ascii="Arial" w:cs="Arial" w:eastAsia="Arial" w:hAnsi="Arial"/>
          <w:sz w:val="20"/>
          <w:szCs w:val="20"/>
          <w:color w:val="auto"/>
        </w:rPr>
        <w:t>The following tables summarize balances and changes in the liability for DPL for limited-payment contracts:</w:t>
      </w:r>
    </w:p>
    <w:p>
      <w:pPr>
        <w:spacing w:after="0" w:line="201" w:lineRule="exact"/>
        <w:rPr>
          <w:sz w:val="20"/>
          <w:szCs w:val="20"/>
          <w:color w:val="auto"/>
        </w:rPr>
      </w:pPr>
    </w:p>
    <w:tbl>
      <w:tblPr>
        <w:tblLayout w:type="fixed"/>
        <w:tblInd w:w="47" w:type="dxa"/>
        <w:tblCellMar>
          <w:top w:w="0" w:type="dxa"/>
          <w:left w:w="0" w:type="dxa"/>
          <w:bottom w:w="0" w:type="dxa"/>
          <w:right w:w="0" w:type="dxa"/>
        </w:tblCellMar>
      </w:tblPr>
      <w:tr>
        <w:trPr>
          <w:trHeight w:val="213"/>
        </w:trPr>
        <w:tc>
          <w:tcPr>
            <w:tcW w:w="59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gridSpan w:val="3"/>
          </w:tcPr>
          <w:p>
            <w:pPr>
              <w:jc w:val="right"/>
              <w:ind w:right="22"/>
              <w:spacing w:after="0"/>
              <w:rPr>
                <w:sz w:val="20"/>
                <w:szCs w:val="20"/>
                <w:color w:val="auto"/>
              </w:rPr>
            </w:pPr>
            <w:r>
              <w:rPr>
                <w:rFonts w:ascii="Arial" w:cs="Arial" w:eastAsia="Arial" w:hAnsi="Arial"/>
                <w:sz w:val="16"/>
                <w:szCs w:val="16"/>
                <w:b w:val="1"/>
                <w:bCs w:val="1"/>
                <w:color w:val="auto"/>
              </w:rPr>
              <w:t>December 31, 2025</w:t>
            </w:r>
          </w:p>
        </w:tc>
        <w:tc>
          <w:tcPr>
            <w:tcW w:w="28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900" w:type="dxa"/>
            <w:vAlign w:val="bottom"/>
            <w:tcBorders>
              <w:bottom w:val="single" w:sz="8" w:color="auto"/>
            </w:tcBorders>
            <w:gridSpan w:val="4"/>
          </w:tcPr>
          <w:p>
            <w:pPr>
              <w:jc w:val="right"/>
              <w:ind w:right="302"/>
              <w:spacing w:after="0"/>
              <w:rPr>
                <w:sz w:val="20"/>
                <w:szCs w:val="20"/>
                <w:color w:val="auto"/>
              </w:rPr>
            </w:pPr>
            <w:r>
              <w:rPr>
                <w:rFonts w:ascii="Arial" w:cs="Arial" w:eastAsia="Arial" w:hAnsi="Arial"/>
                <w:sz w:val="16"/>
                <w:szCs w:val="16"/>
                <w:b w:val="1"/>
                <w:bCs w:val="1"/>
                <w:color w:val="auto"/>
              </w:rPr>
              <w:t>December 31, 2024</w:t>
            </w:r>
          </w:p>
        </w:tc>
        <w:tc>
          <w:tcPr>
            <w:tcW w:w="0" w:type="dxa"/>
            <w:vAlign w:val="bottom"/>
          </w:tcPr>
          <w:p>
            <w:pPr>
              <w:spacing w:after="0"/>
              <w:rPr>
                <w:sz w:val="1"/>
                <w:szCs w:val="1"/>
                <w:color w:val="auto"/>
              </w:rPr>
            </w:pPr>
          </w:p>
        </w:tc>
      </w:tr>
      <w:tr>
        <w:trPr>
          <w:trHeight w:val="182"/>
        </w:trPr>
        <w:tc>
          <w:tcPr>
            <w:tcW w:w="5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jc w:val="right"/>
              <w:ind w:right="62"/>
              <w:spacing w:after="0" w:line="182" w:lineRule="exact"/>
              <w:rPr>
                <w:sz w:val="20"/>
                <w:szCs w:val="20"/>
                <w:color w:val="auto"/>
              </w:rPr>
            </w:pPr>
            <w:r>
              <w:rPr>
                <w:rFonts w:ascii="Arial" w:cs="Arial" w:eastAsia="Arial" w:hAnsi="Arial"/>
                <w:sz w:val="16"/>
                <w:szCs w:val="16"/>
                <w:b w:val="1"/>
                <w:bCs w:val="1"/>
                <w:color w:val="auto"/>
                <w:w w:val="88"/>
              </w:rPr>
              <w:t>Immediate</w:t>
            </w:r>
          </w:p>
        </w:tc>
        <w:tc>
          <w:tcPr>
            <w:tcW w:w="60" w:type="dxa"/>
            <w:vAlign w:val="bottom"/>
          </w:tcPr>
          <w:p>
            <w:pPr>
              <w:spacing w:after="0"/>
              <w:rPr>
                <w:sz w:val="15"/>
                <w:szCs w:val="15"/>
                <w:color w:val="auto"/>
              </w:rPr>
            </w:pPr>
          </w:p>
        </w:tc>
        <w:tc>
          <w:tcPr>
            <w:tcW w:w="70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PRT</w:t>
            </w: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jc w:val="right"/>
              <w:ind w:right="42"/>
              <w:spacing w:after="0" w:line="182" w:lineRule="exact"/>
              <w:rPr>
                <w:sz w:val="20"/>
                <w:szCs w:val="20"/>
                <w:color w:val="auto"/>
              </w:rPr>
            </w:pPr>
            <w:r>
              <w:rPr>
                <w:rFonts w:ascii="Arial" w:cs="Arial" w:eastAsia="Arial" w:hAnsi="Arial"/>
                <w:sz w:val="16"/>
                <w:szCs w:val="16"/>
                <w:b w:val="1"/>
                <w:bCs w:val="1"/>
                <w:color w:val="auto"/>
                <w:w w:val="90"/>
              </w:rPr>
              <w:t>Immediate</w:t>
            </w: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vMerge w:val="restart"/>
          </w:tcPr>
          <w:p>
            <w:pPr>
              <w:jc w:val="right"/>
              <w:ind w:right="222"/>
              <w:spacing w:after="0"/>
              <w:rPr>
                <w:sz w:val="20"/>
                <w:szCs w:val="20"/>
                <w:color w:val="auto"/>
              </w:rPr>
            </w:pPr>
            <w:r>
              <w:rPr>
                <w:rFonts w:ascii="Arial" w:cs="Arial" w:eastAsia="Arial" w:hAnsi="Arial"/>
                <w:sz w:val="16"/>
                <w:szCs w:val="16"/>
                <w:b w:val="1"/>
                <w:bCs w:val="1"/>
                <w:color w:val="auto"/>
              </w:rPr>
              <w:t>PRT</w:t>
            </w:r>
          </w:p>
        </w:tc>
        <w:tc>
          <w:tcPr>
            <w:tcW w:w="0" w:type="dxa"/>
            <w:vAlign w:val="bottom"/>
          </w:tcPr>
          <w:p>
            <w:pPr>
              <w:spacing w:after="0"/>
              <w:rPr>
                <w:sz w:val="1"/>
                <w:szCs w:val="1"/>
                <w:color w:val="auto"/>
              </w:rPr>
            </w:pPr>
          </w:p>
        </w:tc>
      </w:tr>
      <w:tr>
        <w:trPr>
          <w:trHeight w:val="210"/>
        </w:trPr>
        <w:tc>
          <w:tcPr>
            <w:tcW w:w="59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22"/>
              <w:spacing w:after="0"/>
              <w:rPr>
                <w:sz w:val="20"/>
                <w:szCs w:val="20"/>
                <w:color w:val="auto"/>
              </w:rPr>
            </w:pPr>
            <w:r>
              <w:rPr>
                <w:rFonts w:ascii="Arial" w:cs="Arial" w:eastAsia="Arial" w:hAnsi="Arial"/>
                <w:sz w:val="16"/>
                <w:szCs w:val="16"/>
                <w:b w:val="1"/>
                <w:bCs w:val="1"/>
                <w:color w:val="auto"/>
                <w:w w:val="91"/>
              </w:rPr>
              <w:t>annuities</w:t>
            </w:r>
          </w:p>
        </w:tc>
        <w:tc>
          <w:tcPr>
            <w:tcW w:w="60" w:type="dxa"/>
            <w:vAlign w:val="bottom"/>
          </w:tcPr>
          <w:p>
            <w:pPr>
              <w:spacing w:after="0"/>
              <w:rPr>
                <w:sz w:val="18"/>
                <w:szCs w:val="18"/>
                <w:color w:val="auto"/>
              </w:rPr>
            </w:pPr>
          </w:p>
        </w:tc>
        <w:tc>
          <w:tcPr>
            <w:tcW w:w="700" w:type="dxa"/>
            <w:vAlign w:val="bottom"/>
            <w:tcBorders>
              <w:bottom w:val="single" w:sz="8" w:color="auto"/>
            </w:tcBorders>
            <w:vMerge w:val="continue"/>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02"/>
              <w:spacing w:after="0"/>
              <w:rPr>
                <w:sz w:val="20"/>
                <w:szCs w:val="20"/>
                <w:color w:val="auto"/>
              </w:rPr>
            </w:pPr>
            <w:r>
              <w:rPr>
                <w:rFonts w:ascii="Arial" w:cs="Arial" w:eastAsia="Arial" w:hAnsi="Arial"/>
                <w:sz w:val="16"/>
                <w:szCs w:val="16"/>
                <w:b w:val="1"/>
                <w:bCs w:val="1"/>
                <w:color w:val="auto"/>
                <w:w w:val="93"/>
              </w:rPr>
              <w:t>annuities</w:t>
            </w:r>
          </w:p>
        </w:tc>
        <w:tc>
          <w:tcPr>
            <w:tcW w:w="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20" w:type="dxa"/>
            <w:vAlign w:val="bottom"/>
            <w:gridSpan w:val="5"/>
          </w:tcPr>
          <w:p>
            <w:pPr>
              <w:jc w:val="right"/>
              <w:ind w:right="502"/>
              <w:spacing w:after="0"/>
              <w:rPr>
                <w:sz w:val="20"/>
                <w:szCs w:val="20"/>
                <w:color w:val="auto"/>
              </w:rPr>
            </w:pPr>
            <w:r>
              <w:rPr>
                <w:rFonts w:ascii="Arial" w:cs="Arial" w:eastAsia="Arial" w:hAnsi="Arial"/>
                <w:sz w:val="16"/>
                <w:szCs w:val="16"/>
                <w:b w:val="1"/>
                <w:bCs w:val="1"/>
                <w:color w:val="auto"/>
              </w:rPr>
              <w:t>(In millions)</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5900" w:type="dxa"/>
            <w:vAlign w:val="bottom"/>
          </w:tcPr>
          <w:p>
            <w:pPr>
              <w:spacing w:after="0"/>
              <w:rPr>
                <w:sz w:val="20"/>
                <w:szCs w:val="20"/>
                <w:color w:val="auto"/>
              </w:rPr>
            </w:pPr>
            <w:r>
              <w:rPr>
                <w:rFonts w:ascii="Arial" w:cs="Arial" w:eastAsia="Arial" w:hAnsi="Arial"/>
                <w:sz w:val="16"/>
                <w:szCs w:val="16"/>
                <w:b w:val="1"/>
                <w:bCs w:val="1"/>
                <w:color w:val="auto"/>
              </w:rPr>
              <w:t>Balance, beginning of year</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2"/>
              <w:spacing w:after="0"/>
              <w:rPr>
                <w:sz w:val="20"/>
                <w:szCs w:val="20"/>
                <w:color w:val="auto"/>
              </w:rPr>
            </w:pPr>
            <w:r>
              <w:rPr>
                <w:rFonts w:ascii="Arial" w:cs="Arial" w:eastAsia="Arial" w:hAnsi="Arial"/>
                <w:sz w:val="16"/>
                <w:szCs w:val="16"/>
                <w:color w:val="auto"/>
              </w:rPr>
              <w:t>90</w:t>
            </w:r>
          </w:p>
        </w:tc>
        <w:tc>
          <w:tcPr>
            <w:tcW w:w="760" w:type="dxa"/>
            <w:vAlign w:val="bottom"/>
            <w:gridSpan w:val="2"/>
          </w:tcPr>
          <w:p>
            <w:pPr>
              <w:jc w:val="right"/>
              <w:ind w:right="502"/>
              <w:spacing w:after="0"/>
              <w:rPr>
                <w:sz w:val="20"/>
                <w:szCs w:val="20"/>
                <w:color w:val="auto"/>
              </w:rPr>
            </w:pPr>
            <w:r>
              <w:rPr>
                <w:rFonts w:ascii="Arial" w:cs="Arial" w:eastAsia="Arial" w:hAnsi="Arial"/>
                <w:sz w:val="16"/>
                <w:szCs w:val="16"/>
                <w:color w:val="auto"/>
              </w:rPr>
              <w:t>$</w:t>
            </w:r>
          </w:p>
        </w:tc>
        <w:tc>
          <w:tcPr>
            <w:tcW w:w="280" w:type="dxa"/>
            <w:vAlign w:val="bottom"/>
          </w:tcPr>
          <w:p>
            <w:pPr>
              <w:jc w:val="right"/>
              <w:spacing w:after="0"/>
              <w:rPr>
                <w:sz w:val="20"/>
                <w:szCs w:val="20"/>
                <w:color w:val="auto"/>
              </w:rPr>
            </w:pPr>
            <w:r>
              <w:rPr>
                <w:rFonts w:ascii="Arial" w:cs="Arial" w:eastAsia="Arial" w:hAnsi="Arial"/>
                <w:sz w:val="16"/>
                <w:szCs w:val="16"/>
                <w:color w:val="auto"/>
              </w:rPr>
              <w:t>6</w:t>
            </w:r>
          </w:p>
        </w:tc>
        <w:tc>
          <w:tcPr>
            <w:tcW w:w="1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87</w:t>
            </w:r>
          </w:p>
        </w:tc>
        <w:tc>
          <w:tcPr>
            <w:tcW w:w="3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50"/>
        </w:trPr>
        <w:tc>
          <w:tcPr>
            <w:tcW w:w="5900" w:type="dxa"/>
            <w:vAlign w:val="bottom"/>
          </w:tcPr>
          <w:p>
            <w:pPr>
              <w:ind w:left="180"/>
              <w:spacing w:after="0"/>
              <w:rPr>
                <w:sz w:val="20"/>
                <w:szCs w:val="20"/>
                <w:color w:val="auto"/>
              </w:rPr>
            </w:pPr>
            <w:r>
              <w:rPr>
                <w:rFonts w:ascii="Arial" w:cs="Arial" w:eastAsia="Arial" w:hAnsi="Arial"/>
                <w:sz w:val="16"/>
                <w:szCs w:val="16"/>
                <w:color w:val="auto"/>
              </w:rPr>
              <w:t>Effect of changes in cash flow assumptions</w:t>
            </w:r>
          </w:p>
        </w:tc>
        <w:tc>
          <w:tcPr>
            <w:tcW w:w="120" w:type="dxa"/>
            <w:vAlign w:val="bottom"/>
          </w:tcPr>
          <w:p>
            <w:pPr>
              <w:spacing w:after="0"/>
              <w:rPr>
                <w:sz w:val="21"/>
                <w:szCs w:val="21"/>
                <w:color w:val="auto"/>
              </w:rPr>
            </w:pPr>
          </w:p>
        </w:tc>
        <w:tc>
          <w:tcPr>
            <w:tcW w:w="86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57"/>
        </w:trPr>
        <w:tc>
          <w:tcPr>
            <w:tcW w:w="5900" w:type="dxa"/>
            <w:vAlign w:val="bottom"/>
          </w:tcPr>
          <w:p>
            <w:pPr>
              <w:ind w:left="180"/>
              <w:spacing w:after="0"/>
              <w:rPr>
                <w:sz w:val="20"/>
                <w:szCs w:val="20"/>
                <w:color w:val="auto"/>
              </w:rPr>
            </w:pPr>
            <w:r>
              <w:rPr>
                <w:rFonts w:ascii="Arial" w:cs="Arial" w:eastAsia="Arial" w:hAnsi="Arial"/>
                <w:sz w:val="16"/>
                <w:szCs w:val="16"/>
                <w:color w:val="auto"/>
              </w:rPr>
              <w:t>Effect of actual variances from expected experience</w:t>
            </w:r>
          </w:p>
        </w:tc>
        <w:tc>
          <w:tcPr>
            <w:tcW w:w="12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2</w:t>
            </w:r>
          </w:p>
        </w:tc>
        <w:tc>
          <w:tcPr>
            <w:tcW w:w="60" w:type="dxa"/>
            <w:vAlign w:val="bottom"/>
          </w:tcPr>
          <w:p>
            <w:pPr>
              <w:spacing w:after="0"/>
              <w:rPr>
                <w:sz w:val="22"/>
                <w:szCs w:val="22"/>
                <w:color w:val="auto"/>
              </w:rPr>
            </w:pPr>
          </w:p>
        </w:tc>
        <w:tc>
          <w:tcPr>
            <w:tcW w:w="70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6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w:t>
            </w:r>
          </w:p>
        </w:tc>
        <w:tc>
          <w:tcPr>
            <w:tcW w:w="6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3"/>
        </w:trPr>
        <w:tc>
          <w:tcPr>
            <w:tcW w:w="5900" w:type="dxa"/>
            <w:vAlign w:val="bottom"/>
          </w:tcPr>
          <w:p>
            <w:pPr>
              <w:spacing w:after="0"/>
              <w:rPr>
                <w:sz w:val="20"/>
                <w:szCs w:val="20"/>
                <w:color w:val="auto"/>
              </w:rPr>
            </w:pPr>
            <w:r>
              <w:rPr>
                <w:rFonts w:ascii="Arial" w:cs="Arial" w:eastAsia="Arial" w:hAnsi="Arial"/>
                <w:sz w:val="16"/>
                <w:szCs w:val="16"/>
                <w:b w:val="1"/>
                <w:bCs w:val="1"/>
                <w:color w:val="auto"/>
              </w:rPr>
              <w:t>Balance adjusted for variances from expectation</w:t>
            </w:r>
          </w:p>
        </w:tc>
        <w:tc>
          <w:tcPr>
            <w:tcW w:w="120" w:type="dxa"/>
            <w:vAlign w:val="bottom"/>
          </w:tcPr>
          <w:p>
            <w:pPr>
              <w:spacing w:after="0"/>
              <w:rPr>
                <w:sz w:val="19"/>
                <w:szCs w:val="19"/>
                <w:color w:val="auto"/>
              </w:rPr>
            </w:pPr>
          </w:p>
        </w:tc>
        <w:tc>
          <w:tcPr>
            <w:tcW w:w="860" w:type="dxa"/>
            <w:vAlign w:val="bottom"/>
          </w:tcPr>
          <w:p>
            <w:pPr>
              <w:jc w:val="right"/>
              <w:ind w:right="2"/>
              <w:spacing w:after="0"/>
              <w:rPr>
                <w:sz w:val="20"/>
                <w:szCs w:val="20"/>
                <w:color w:val="auto"/>
              </w:rPr>
            </w:pPr>
            <w:r>
              <w:rPr>
                <w:rFonts w:ascii="Arial" w:cs="Arial" w:eastAsia="Arial" w:hAnsi="Arial"/>
                <w:sz w:val="16"/>
                <w:szCs w:val="16"/>
                <w:color w:val="auto"/>
              </w:rPr>
              <w:t>92</w:t>
            </w:r>
          </w:p>
        </w:tc>
        <w:tc>
          <w:tcPr>
            <w:tcW w:w="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6"/>
                <w:szCs w:val="16"/>
                <w:color w:val="auto"/>
              </w:rPr>
              <w:t>7</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95</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50"/>
        </w:trPr>
        <w:tc>
          <w:tcPr>
            <w:tcW w:w="5900" w:type="dxa"/>
            <w:vAlign w:val="bottom"/>
          </w:tcPr>
          <w:p>
            <w:pPr>
              <w:ind w:left="200"/>
              <w:spacing w:after="0"/>
              <w:rPr>
                <w:sz w:val="20"/>
                <w:szCs w:val="20"/>
                <w:color w:val="auto"/>
              </w:rPr>
            </w:pPr>
            <w:r>
              <w:rPr>
                <w:rFonts w:ascii="Arial" w:cs="Arial" w:eastAsia="Arial" w:hAnsi="Arial"/>
                <w:sz w:val="16"/>
                <w:szCs w:val="16"/>
                <w:color w:val="auto"/>
              </w:rPr>
              <w:t>Issuances</w:t>
            </w:r>
          </w:p>
        </w:tc>
        <w:tc>
          <w:tcPr>
            <w:tcW w:w="120" w:type="dxa"/>
            <w:vAlign w:val="bottom"/>
          </w:tcPr>
          <w:p>
            <w:pPr>
              <w:spacing w:after="0"/>
              <w:rPr>
                <w:sz w:val="21"/>
                <w:szCs w:val="21"/>
                <w:color w:val="auto"/>
              </w:rPr>
            </w:pPr>
          </w:p>
        </w:tc>
        <w:tc>
          <w:tcPr>
            <w:tcW w:w="860" w:type="dxa"/>
            <w:vAlign w:val="bottom"/>
          </w:tcPr>
          <w:p>
            <w:pPr>
              <w:jc w:val="right"/>
              <w:ind w:right="2"/>
              <w:spacing w:after="0"/>
              <w:rPr>
                <w:sz w:val="20"/>
                <w:szCs w:val="20"/>
                <w:color w:val="auto"/>
              </w:rPr>
            </w:pPr>
            <w:r>
              <w:rPr>
                <w:rFonts w:ascii="Arial" w:cs="Arial" w:eastAsia="Arial" w:hAnsi="Arial"/>
                <w:sz w:val="16"/>
                <w:szCs w:val="16"/>
                <w:color w:val="auto"/>
              </w:rPr>
              <w:t>6</w:t>
            </w:r>
          </w:p>
        </w:tc>
        <w:tc>
          <w:tcPr>
            <w:tcW w:w="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80" w:type="dxa"/>
            <w:vAlign w:val="bottom"/>
          </w:tcPr>
          <w:p>
            <w:pPr>
              <w:jc w:val="right"/>
              <w:spacing w:after="0"/>
              <w:rPr>
                <w:sz w:val="20"/>
                <w:szCs w:val="20"/>
                <w:color w:val="auto"/>
              </w:rPr>
            </w:pPr>
            <w:r>
              <w:rPr>
                <w:rFonts w:ascii="Arial" w:cs="Arial" w:eastAsia="Arial" w:hAnsi="Arial"/>
                <w:sz w:val="16"/>
                <w:szCs w:val="16"/>
                <w:color w:val="auto"/>
              </w:rPr>
              <w:t>1</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w:t>
            </w: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50"/>
        </w:trPr>
        <w:tc>
          <w:tcPr>
            <w:tcW w:w="5900" w:type="dxa"/>
            <w:vAlign w:val="bottom"/>
          </w:tcPr>
          <w:p>
            <w:pPr>
              <w:ind w:left="200"/>
              <w:spacing w:after="0"/>
              <w:rPr>
                <w:sz w:val="20"/>
                <w:szCs w:val="20"/>
                <w:color w:val="auto"/>
              </w:rPr>
            </w:pPr>
            <w:r>
              <w:rPr>
                <w:rFonts w:ascii="Arial" w:cs="Arial" w:eastAsia="Arial" w:hAnsi="Arial"/>
                <w:sz w:val="16"/>
                <w:szCs w:val="16"/>
                <w:color w:val="auto"/>
              </w:rPr>
              <w:t>Interest accrual</w:t>
            </w:r>
          </w:p>
        </w:tc>
        <w:tc>
          <w:tcPr>
            <w:tcW w:w="120" w:type="dxa"/>
            <w:vAlign w:val="bottom"/>
          </w:tcPr>
          <w:p>
            <w:pPr>
              <w:spacing w:after="0"/>
              <w:rPr>
                <w:sz w:val="21"/>
                <w:szCs w:val="21"/>
                <w:color w:val="auto"/>
              </w:rPr>
            </w:pPr>
          </w:p>
        </w:tc>
        <w:tc>
          <w:tcPr>
            <w:tcW w:w="860" w:type="dxa"/>
            <w:vAlign w:val="bottom"/>
          </w:tcPr>
          <w:p>
            <w:pPr>
              <w:jc w:val="right"/>
              <w:ind w:right="2"/>
              <w:spacing w:after="0"/>
              <w:rPr>
                <w:sz w:val="20"/>
                <w:szCs w:val="20"/>
                <w:color w:val="auto"/>
              </w:rPr>
            </w:pPr>
            <w:r>
              <w:rPr>
                <w:rFonts w:ascii="Arial" w:cs="Arial" w:eastAsia="Arial" w:hAnsi="Arial"/>
                <w:sz w:val="16"/>
                <w:szCs w:val="16"/>
                <w:color w:val="auto"/>
              </w:rPr>
              <w:t>1</w:t>
            </w:r>
          </w:p>
        </w:tc>
        <w:tc>
          <w:tcPr>
            <w:tcW w:w="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w:t>
            </w: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57"/>
        </w:trPr>
        <w:tc>
          <w:tcPr>
            <w:tcW w:w="5900" w:type="dxa"/>
            <w:vAlign w:val="bottom"/>
          </w:tcPr>
          <w:p>
            <w:pPr>
              <w:ind w:left="200"/>
              <w:spacing w:after="0"/>
              <w:rPr>
                <w:sz w:val="20"/>
                <w:szCs w:val="20"/>
                <w:color w:val="auto"/>
              </w:rPr>
            </w:pPr>
            <w:r>
              <w:rPr>
                <w:rFonts w:ascii="Arial" w:cs="Arial" w:eastAsia="Arial" w:hAnsi="Arial"/>
                <w:sz w:val="16"/>
                <w:szCs w:val="16"/>
                <w:color w:val="auto"/>
              </w:rPr>
              <w:t>Amortization</w:t>
            </w:r>
          </w:p>
        </w:tc>
        <w:tc>
          <w:tcPr>
            <w:tcW w:w="12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w:t>
            </w:r>
          </w:p>
        </w:tc>
        <w:tc>
          <w:tcPr>
            <w:tcW w:w="60" w:type="dxa"/>
            <w:vAlign w:val="bottom"/>
          </w:tcPr>
          <w:p>
            <w:pPr>
              <w:spacing w:after="0"/>
              <w:rPr>
                <w:sz w:val="22"/>
                <w:szCs w:val="22"/>
                <w:color w:val="auto"/>
              </w:rPr>
            </w:pPr>
          </w:p>
        </w:tc>
        <w:tc>
          <w:tcPr>
            <w:tcW w:w="70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6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w:t>
            </w:r>
          </w:p>
        </w:tc>
        <w:tc>
          <w:tcPr>
            <w:tcW w:w="6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0"/>
        </w:trPr>
        <w:tc>
          <w:tcPr>
            <w:tcW w:w="5900" w:type="dxa"/>
            <w:vAlign w:val="bottom"/>
          </w:tcPr>
          <w:p>
            <w:pPr>
              <w:spacing w:after="0"/>
              <w:rPr>
                <w:sz w:val="20"/>
                <w:szCs w:val="20"/>
                <w:color w:val="auto"/>
              </w:rPr>
            </w:pPr>
            <w:r>
              <w:rPr>
                <w:rFonts w:ascii="Arial" w:cs="Arial" w:eastAsia="Arial" w:hAnsi="Arial"/>
                <w:sz w:val="16"/>
                <w:szCs w:val="16"/>
                <w:b w:val="1"/>
                <w:bCs w:val="1"/>
                <w:color w:val="auto"/>
              </w:rPr>
              <w:t>Balance, end of year</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2"/>
              <w:spacing w:after="0"/>
              <w:rPr>
                <w:sz w:val="20"/>
                <w:szCs w:val="20"/>
                <w:color w:val="auto"/>
              </w:rPr>
            </w:pPr>
            <w:r>
              <w:rPr>
                <w:rFonts w:ascii="Arial" w:cs="Arial" w:eastAsia="Arial" w:hAnsi="Arial"/>
                <w:sz w:val="16"/>
                <w:szCs w:val="16"/>
                <w:color w:val="auto"/>
              </w:rPr>
              <w:t>90</w:t>
            </w:r>
          </w:p>
        </w:tc>
        <w:tc>
          <w:tcPr>
            <w:tcW w:w="760" w:type="dxa"/>
            <w:vAlign w:val="bottom"/>
            <w:gridSpan w:val="2"/>
          </w:tcPr>
          <w:p>
            <w:pPr>
              <w:jc w:val="right"/>
              <w:ind w:right="502"/>
              <w:spacing w:after="0"/>
              <w:rPr>
                <w:sz w:val="20"/>
                <w:szCs w:val="20"/>
                <w:color w:val="auto"/>
              </w:rPr>
            </w:pPr>
            <w:r>
              <w:rPr>
                <w:rFonts w:ascii="Arial" w:cs="Arial" w:eastAsia="Arial" w:hAnsi="Arial"/>
                <w:sz w:val="16"/>
                <w:szCs w:val="16"/>
                <w:color w:val="auto"/>
              </w:rPr>
              <w:t>$</w:t>
            </w:r>
          </w:p>
        </w:tc>
        <w:tc>
          <w:tcPr>
            <w:tcW w:w="280" w:type="dxa"/>
            <w:vAlign w:val="bottom"/>
          </w:tcPr>
          <w:p>
            <w:pPr>
              <w:jc w:val="right"/>
              <w:spacing w:after="0"/>
              <w:rPr>
                <w:sz w:val="20"/>
                <w:szCs w:val="20"/>
                <w:color w:val="auto"/>
              </w:rPr>
            </w:pPr>
            <w:r>
              <w:rPr>
                <w:rFonts w:ascii="Arial" w:cs="Arial" w:eastAsia="Arial" w:hAnsi="Arial"/>
                <w:sz w:val="16"/>
                <w:szCs w:val="16"/>
                <w:color w:val="auto"/>
              </w:rPr>
              <w:t>7</w:t>
            </w:r>
          </w:p>
        </w:tc>
        <w:tc>
          <w:tcPr>
            <w:tcW w:w="1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90</w:t>
            </w:r>
          </w:p>
        </w:tc>
        <w:tc>
          <w:tcPr>
            <w:tcW w:w="3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0"/>
        </w:trPr>
        <w:tc>
          <w:tcPr>
            <w:tcW w:w="59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-1300480</wp:posOffset>
            </wp:positionV>
            <wp:extent cx="6410325" cy="130746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175">
                      <a:extLst>
                        <a:ext uri="{28A0092B-C50C-407E-A947-70E740481C1C}"/>
                      </a:extLst>
                    </a:blip>
                    <a:srcRect/>
                    <a:stretch>
                      <a:fillRect/>
                    </a:stretch>
                  </pic:blipFill>
                  <pic:spPr bwMode="auto">
                    <a:xfrm>
                      <a:off x="0" y="0"/>
                      <a:ext cx="6410325" cy="1307465"/>
                    </a:xfrm>
                    <a:prstGeom prst="rect">
                      <a:avLst/>
                    </a:prstGeom>
                    <a:noFill/>
                  </pic:spPr>
                </pic:pic>
              </a:graphicData>
            </a:graphic>
          </wp:anchor>
        </w:drawing>
      </w:r>
    </w:p>
    <w:p>
      <w:pPr>
        <w:spacing w:after="0" w:line="164" w:lineRule="exact"/>
        <w:rPr>
          <w:sz w:val="20"/>
          <w:szCs w:val="20"/>
          <w:color w:val="auto"/>
        </w:rPr>
      </w:pPr>
    </w:p>
    <w:p>
      <w:pPr>
        <w:jc w:val="both"/>
        <w:ind w:left="7" w:firstLine="353"/>
        <w:spacing w:after="0" w:line="258" w:lineRule="auto"/>
        <w:rPr>
          <w:sz w:val="20"/>
          <w:szCs w:val="20"/>
          <w:color w:val="auto"/>
        </w:rPr>
      </w:pPr>
      <w:r>
        <w:rPr>
          <w:rFonts w:ascii="Arial" w:cs="Arial" w:eastAsia="Arial" w:hAnsi="Arial"/>
          <w:sz w:val="20"/>
          <w:szCs w:val="20"/>
          <w:color w:val="auto"/>
        </w:rPr>
        <w:t>The following table reconciles the net FPB to the FPB in the Consolidated Balance Sheets. The DPL for Immediate Annuities and PRT is presented together with the FPB in the Consolidated Balance Sheets and has been included as a reconciling item in the table below:</w:t>
      </w:r>
    </w:p>
    <w:p>
      <w:pPr>
        <w:spacing w:after="0" w:line="169" w:lineRule="exact"/>
        <w:rPr>
          <w:sz w:val="20"/>
          <w:szCs w:val="20"/>
          <w:color w:val="auto"/>
        </w:rPr>
      </w:pPr>
    </w:p>
    <w:tbl>
      <w:tblPr>
        <w:tblLayout w:type="fixed"/>
        <w:tblInd w:w="47" w:type="dxa"/>
        <w:tblCellMar>
          <w:top w:w="0" w:type="dxa"/>
          <w:left w:w="0" w:type="dxa"/>
          <w:bottom w:w="0" w:type="dxa"/>
          <w:right w:w="0" w:type="dxa"/>
        </w:tblCellMar>
      </w:tblPr>
      <w:tr>
        <w:trPr>
          <w:trHeight w:val="213"/>
        </w:trPr>
        <w:tc>
          <w:tcPr>
            <w:tcW w:w="74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6"/>
                <w:szCs w:val="16"/>
                <w:b w:val="1"/>
                <w:bCs w:val="1"/>
                <w:color w:val="auto"/>
              </w:rPr>
              <w:t>December 31,</w:t>
            </w:r>
          </w:p>
        </w:tc>
        <w:tc>
          <w:tcPr>
            <w:tcW w:w="820" w:type="dxa"/>
            <w:vAlign w:val="bottom"/>
            <w:tcBorders>
              <w:bottom w:val="single" w:sz="8" w:color="auto"/>
            </w:tcBorders>
          </w:tcPr>
          <w:p>
            <w:pPr>
              <w:spacing w:after="0"/>
              <w:rPr>
                <w:sz w:val="18"/>
                <w:szCs w:val="18"/>
                <w:color w:val="auto"/>
              </w:rPr>
            </w:pPr>
          </w:p>
        </w:tc>
      </w:tr>
      <w:tr>
        <w:trPr>
          <w:trHeight w:val="230"/>
        </w:trPr>
        <w:tc>
          <w:tcPr>
            <w:tcW w:w="74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402"/>
              <w:spacing w:after="0"/>
              <w:rPr>
                <w:sz w:val="20"/>
                <w:szCs w:val="20"/>
                <w:color w:val="auto"/>
              </w:rPr>
            </w:pPr>
            <w:r>
              <w:rPr>
                <w:rFonts w:ascii="Arial" w:cs="Arial" w:eastAsia="Arial" w:hAnsi="Arial"/>
                <w:sz w:val="16"/>
                <w:szCs w:val="16"/>
                <w:b w:val="1"/>
                <w:bCs w:val="1"/>
                <w:color w:val="auto"/>
              </w:rPr>
              <w:t>2025</w:t>
            </w:r>
          </w:p>
        </w:tc>
        <w:tc>
          <w:tcPr>
            <w:tcW w:w="6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402"/>
              <w:spacing w:after="0"/>
              <w:rPr>
                <w:sz w:val="20"/>
                <w:szCs w:val="20"/>
                <w:color w:val="auto"/>
              </w:rPr>
            </w:pPr>
            <w:r>
              <w:rPr>
                <w:rFonts w:ascii="Arial" w:cs="Arial" w:eastAsia="Arial" w:hAnsi="Arial"/>
                <w:sz w:val="16"/>
                <w:szCs w:val="16"/>
                <w:b w:val="1"/>
                <w:bCs w:val="1"/>
                <w:color w:val="auto"/>
                <w:w w:val="89"/>
              </w:rPr>
              <w:t>2024</w:t>
            </w:r>
          </w:p>
        </w:tc>
      </w:tr>
      <w:tr>
        <w:trPr>
          <w:trHeight w:val="223"/>
        </w:trPr>
        <w:tc>
          <w:tcPr>
            <w:tcW w:w="74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80" w:type="dxa"/>
            <w:vAlign w:val="bottom"/>
            <w:gridSpan w:val="3"/>
          </w:tcPr>
          <w:p>
            <w:pPr>
              <w:jc w:val="right"/>
              <w:ind w:right="60"/>
              <w:spacing w:after="0"/>
              <w:rPr>
                <w:sz w:val="20"/>
                <w:szCs w:val="20"/>
                <w:color w:val="auto"/>
              </w:rPr>
            </w:pPr>
            <w:r>
              <w:rPr>
                <w:rFonts w:ascii="Arial" w:cs="Arial" w:eastAsia="Arial" w:hAnsi="Arial"/>
                <w:sz w:val="16"/>
                <w:szCs w:val="16"/>
                <w:b w:val="1"/>
                <w:bCs w:val="1"/>
                <w:color w:val="auto"/>
              </w:rPr>
              <w:t>(In millions)</w:t>
            </w:r>
          </w:p>
        </w:tc>
        <w:tc>
          <w:tcPr>
            <w:tcW w:w="820" w:type="dxa"/>
            <w:vAlign w:val="bottom"/>
          </w:tcPr>
          <w:p>
            <w:pPr>
              <w:spacing w:after="0"/>
              <w:rPr>
                <w:sz w:val="19"/>
                <w:szCs w:val="19"/>
                <w:color w:val="auto"/>
              </w:rPr>
            </w:pPr>
          </w:p>
        </w:tc>
      </w:tr>
      <w:tr>
        <w:trPr>
          <w:trHeight w:val="250"/>
        </w:trPr>
        <w:tc>
          <w:tcPr>
            <w:tcW w:w="7400" w:type="dxa"/>
            <w:vAlign w:val="bottom"/>
          </w:tcPr>
          <w:p>
            <w:pPr>
              <w:spacing w:after="0"/>
              <w:rPr>
                <w:sz w:val="20"/>
                <w:szCs w:val="20"/>
                <w:color w:val="auto"/>
              </w:rPr>
            </w:pPr>
            <w:r>
              <w:rPr>
                <w:rFonts w:ascii="Arial" w:cs="Arial" w:eastAsia="Arial" w:hAnsi="Arial"/>
                <w:sz w:val="16"/>
                <w:szCs w:val="16"/>
                <w:color w:val="auto"/>
              </w:rPr>
              <w:t>Traditional life</w:t>
            </w:r>
          </w:p>
        </w:tc>
        <w:tc>
          <w:tcPr>
            <w:tcW w:w="300" w:type="dxa"/>
            <w:vAlign w:val="bottom"/>
          </w:tcPr>
          <w:p>
            <w:pPr>
              <w:jc w:val="right"/>
              <w:ind w:right="102"/>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1,270</w:t>
            </w:r>
          </w:p>
        </w:tc>
        <w:tc>
          <w:tcPr>
            <w:tcW w:w="52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1,302</w:t>
            </w:r>
          </w:p>
        </w:tc>
      </w:tr>
      <w:tr>
        <w:trPr>
          <w:trHeight w:val="250"/>
        </w:trPr>
        <w:tc>
          <w:tcPr>
            <w:tcW w:w="7400" w:type="dxa"/>
            <w:vAlign w:val="bottom"/>
          </w:tcPr>
          <w:p>
            <w:pPr>
              <w:spacing w:after="0"/>
              <w:rPr>
                <w:sz w:val="20"/>
                <w:szCs w:val="20"/>
                <w:color w:val="auto"/>
              </w:rPr>
            </w:pPr>
            <w:r>
              <w:rPr>
                <w:rFonts w:ascii="Arial" w:cs="Arial" w:eastAsia="Arial" w:hAnsi="Arial"/>
                <w:sz w:val="16"/>
                <w:szCs w:val="16"/>
                <w:color w:val="auto"/>
              </w:rPr>
              <w:t>Immediate annuities</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1,276</w:t>
            </w:r>
          </w:p>
        </w:tc>
        <w:tc>
          <w:tcPr>
            <w:tcW w:w="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1,297</w:t>
            </w:r>
          </w:p>
        </w:tc>
      </w:tr>
      <w:tr>
        <w:trPr>
          <w:trHeight w:val="250"/>
        </w:trPr>
        <w:tc>
          <w:tcPr>
            <w:tcW w:w="7400" w:type="dxa"/>
            <w:vAlign w:val="bottom"/>
          </w:tcPr>
          <w:p>
            <w:pPr>
              <w:spacing w:after="0"/>
              <w:rPr>
                <w:sz w:val="20"/>
                <w:szCs w:val="20"/>
                <w:color w:val="auto"/>
              </w:rPr>
            </w:pPr>
            <w:r>
              <w:rPr>
                <w:rFonts w:ascii="Arial" w:cs="Arial" w:eastAsia="Arial" w:hAnsi="Arial"/>
                <w:sz w:val="16"/>
                <w:szCs w:val="16"/>
                <w:color w:val="auto"/>
              </w:rPr>
              <w:t>PRT</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8,112</w:t>
            </w:r>
          </w:p>
        </w:tc>
        <w:tc>
          <w:tcPr>
            <w:tcW w:w="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6,054</w:t>
            </w:r>
          </w:p>
        </w:tc>
      </w:tr>
      <w:tr>
        <w:trPr>
          <w:trHeight w:val="250"/>
        </w:trPr>
        <w:tc>
          <w:tcPr>
            <w:tcW w:w="7400" w:type="dxa"/>
            <w:vAlign w:val="bottom"/>
          </w:tcPr>
          <w:p>
            <w:pPr>
              <w:spacing w:after="0"/>
              <w:rPr>
                <w:sz w:val="20"/>
                <w:szCs w:val="20"/>
                <w:color w:val="auto"/>
              </w:rPr>
            </w:pPr>
            <w:r>
              <w:rPr>
                <w:rFonts w:ascii="Arial" w:cs="Arial" w:eastAsia="Arial" w:hAnsi="Arial"/>
                <w:sz w:val="16"/>
                <w:szCs w:val="16"/>
                <w:color w:val="auto"/>
              </w:rPr>
              <w:t>Immediate annuities DPL</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90</w:t>
            </w:r>
          </w:p>
        </w:tc>
        <w:tc>
          <w:tcPr>
            <w:tcW w:w="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90</w:t>
            </w:r>
          </w:p>
        </w:tc>
      </w:tr>
      <w:tr>
        <w:trPr>
          <w:trHeight w:val="257"/>
        </w:trPr>
        <w:tc>
          <w:tcPr>
            <w:tcW w:w="7400" w:type="dxa"/>
            <w:vAlign w:val="bottom"/>
          </w:tcPr>
          <w:p>
            <w:pPr>
              <w:spacing w:after="0"/>
              <w:rPr>
                <w:sz w:val="20"/>
                <w:szCs w:val="20"/>
                <w:color w:val="auto"/>
              </w:rPr>
            </w:pPr>
            <w:r>
              <w:rPr>
                <w:rFonts w:ascii="Arial" w:cs="Arial" w:eastAsia="Arial" w:hAnsi="Arial"/>
                <w:sz w:val="16"/>
                <w:szCs w:val="16"/>
                <w:color w:val="auto"/>
              </w:rPr>
              <w:t>PRT DPL</w:t>
            </w: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w:t>
            </w:r>
          </w:p>
        </w:tc>
        <w:tc>
          <w:tcPr>
            <w:tcW w:w="60" w:type="dxa"/>
            <w:vAlign w:val="bottom"/>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w:t>
            </w:r>
          </w:p>
        </w:tc>
      </w:tr>
      <w:tr>
        <w:trPr>
          <w:trHeight w:val="210"/>
        </w:trPr>
        <w:tc>
          <w:tcPr>
            <w:tcW w:w="7400" w:type="dxa"/>
            <w:vAlign w:val="bottom"/>
          </w:tcPr>
          <w:p>
            <w:pPr>
              <w:ind w:left="120"/>
              <w:spacing w:after="0"/>
              <w:rPr>
                <w:sz w:val="20"/>
                <w:szCs w:val="20"/>
                <w:color w:val="auto"/>
              </w:rPr>
            </w:pPr>
            <w:r>
              <w:rPr>
                <w:rFonts w:ascii="Arial" w:cs="Arial" w:eastAsia="Arial" w:hAnsi="Arial"/>
                <w:sz w:val="16"/>
                <w:szCs w:val="16"/>
                <w:b w:val="1"/>
                <w:bCs w:val="1"/>
                <w:color w:val="auto"/>
              </w:rPr>
              <w:t>Total</w:t>
            </w:r>
          </w:p>
        </w:tc>
        <w:tc>
          <w:tcPr>
            <w:tcW w:w="300" w:type="dxa"/>
            <w:vAlign w:val="bottom"/>
          </w:tcPr>
          <w:p>
            <w:pPr>
              <w:jc w:val="right"/>
              <w:ind w:right="102"/>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10,755</w:t>
            </w:r>
          </w:p>
        </w:tc>
        <w:tc>
          <w:tcPr>
            <w:tcW w:w="52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8,749</w:t>
            </w:r>
          </w:p>
        </w:tc>
      </w:tr>
      <w:tr>
        <w:trPr>
          <w:trHeight w:val="20"/>
        </w:trPr>
        <w:tc>
          <w:tcPr>
            <w:tcW w:w="74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-982980</wp:posOffset>
            </wp:positionV>
            <wp:extent cx="6410325" cy="98996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176">
                      <a:extLst>
                        <a:ext uri="{28A0092B-C50C-407E-A947-70E740481C1C}"/>
                      </a:extLst>
                    </a:blip>
                    <a:srcRect/>
                    <a:stretch>
                      <a:fillRect/>
                    </a:stretch>
                  </pic:blipFill>
                  <pic:spPr bwMode="auto">
                    <a:xfrm>
                      <a:off x="0" y="0"/>
                      <a:ext cx="6410325" cy="989965"/>
                    </a:xfrm>
                    <a:prstGeom prst="rect">
                      <a:avLst/>
                    </a:prstGeom>
                    <a:noFill/>
                  </pic:spPr>
                </pic:pic>
              </a:graphicData>
            </a:graphic>
          </wp:anchor>
        </w:drawing>
      </w:r>
    </w:p>
    <w:p>
      <w:pPr>
        <w:spacing w:after="0" w:line="105" w:lineRule="exact"/>
        <w:rPr>
          <w:sz w:val="20"/>
          <w:szCs w:val="20"/>
          <w:color w:val="auto"/>
        </w:rPr>
      </w:pPr>
    </w:p>
    <w:p>
      <w:pPr>
        <w:ind w:left="7" w:right="340" w:firstLine="353"/>
        <w:spacing w:after="0" w:line="271" w:lineRule="auto"/>
        <w:rPr>
          <w:sz w:val="20"/>
          <w:szCs w:val="20"/>
          <w:color w:val="auto"/>
        </w:rPr>
      </w:pPr>
      <w:r>
        <w:rPr>
          <w:rFonts w:ascii="Arial" w:cs="Arial" w:eastAsia="Arial" w:hAnsi="Arial"/>
          <w:sz w:val="20"/>
          <w:szCs w:val="20"/>
          <w:color w:val="auto"/>
        </w:rPr>
        <w:t>The following table provides the amount of undiscounted and discounted expected gross premiums and expected future benefits and expenses for nonparticipating traditional and limited-payment contracts:</w:t>
      </w:r>
    </w:p>
    <w:p>
      <w:pPr>
        <w:spacing w:after="0" w:line="157" w:lineRule="exact"/>
        <w:rPr>
          <w:sz w:val="20"/>
          <w:szCs w:val="20"/>
          <w:color w:val="auto"/>
        </w:rPr>
      </w:pPr>
    </w:p>
    <w:tbl>
      <w:tblPr>
        <w:tblLayout w:type="fixed"/>
        <w:tblInd w:w="47" w:type="dxa"/>
        <w:tblCellMar>
          <w:top w:w="0" w:type="dxa"/>
          <w:left w:w="0" w:type="dxa"/>
          <w:bottom w:w="0" w:type="dxa"/>
          <w:right w:w="0" w:type="dxa"/>
        </w:tblCellMar>
      </w:tblPr>
      <w:tr>
        <w:trPr>
          <w:trHeight w:val="213"/>
        </w:trPr>
        <w:tc>
          <w:tcPr>
            <w:tcW w:w="47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Undiscounted</w:t>
            </w:r>
          </w:p>
        </w:tc>
        <w:tc>
          <w:tcPr>
            <w:tcW w:w="82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460" w:type="dxa"/>
            <w:vAlign w:val="bottom"/>
            <w:tcBorders>
              <w:bottom w:val="single" w:sz="8" w:color="auto"/>
            </w:tcBorders>
            <w:gridSpan w:val="4"/>
          </w:tcPr>
          <w:p>
            <w:pPr>
              <w:jc w:val="right"/>
              <w:ind w:right="842"/>
              <w:spacing w:after="0"/>
              <w:rPr>
                <w:sz w:val="20"/>
                <w:szCs w:val="20"/>
                <w:color w:val="auto"/>
              </w:rPr>
            </w:pPr>
            <w:r>
              <w:rPr>
                <w:rFonts w:ascii="Arial" w:cs="Arial" w:eastAsia="Arial" w:hAnsi="Arial"/>
                <w:sz w:val="16"/>
                <w:szCs w:val="16"/>
                <w:b w:val="1"/>
                <w:bCs w:val="1"/>
                <w:color w:val="auto"/>
              </w:rPr>
              <w:t>Discounted</w:t>
            </w:r>
          </w:p>
        </w:tc>
      </w:tr>
      <w:tr>
        <w:trPr>
          <w:trHeight w:val="182"/>
        </w:trPr>
        <w:tc>
          <w:tcPr>
            <w:tcW w:w="4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tcPr>
          <w:p>
            <w:pPr>
              <w:jc w:val="right"/>
              <w:ind w:right="102"/>
              <w:spacing w:after="0" w:line="182" w:lineRule="exact"/>
              <w:rPr>
                <w:sz w:val="20"/>
                <w:szCs w:val="20"/>
                <w:color w:val="auto"/>
              </w:rPr>
            </w:pPr>
            <w:r>
              <w:rPr>
                <w:rFonts w:ascii="Arial" w:cs="Arial" w:eastAsia="Arial" w:hAnsi="Arial"/>
                <w:sz w:val="16"/>
                <w:szCs w:val="16"/>
                <w:b w:val="1"/>
                <w:bCs w:val="1"/>
                <w:color w:val="auto"/>
                <w:w w:val="88"/>
              </w:rPr>
              <w:t>December 31,</w:t>
            </w:r>
          </w:p>
        </w:tc>
        <w:tc>
          <w:tcPr>
            <w:tcW w:w="60" w:type="dxa"/>
            <w:vAlign w:val="bottom"/>
          </w:tcPr>
          <w:p>
            <w:pPr>
              <w:spacing w:after="0"/>
              <w:rPr>
                <w:sz w:val="15"/>
                <w:szCs w:val="15"/>
                <w:color w:val="auto"/>
              </w:rPr>
            </w:pPr>
          </w:p>
        </w:tc>
        <w:tc>
          <w:tcPr>
            <w:tcW w:w="1280" w:type="dxa"/>
            <w:vAlign w:val="bottom"/>
            <w:gridSpan w:val="2"/>
          </w:tcPr>
          <w:p>
            <w:pPr>
              <w:jc w:val="right"/>
              <w:ind w:right="122"/>
              <w:spacing w:after="0" w:line="182" w:lineRule="exact"/>
              <w:rPr>
                <w:sz w:val="20"/>
                <w:szCs w:val="20"/>
                <w:color w:val="auto"/>
              </w:rPr>
            </w:pPr>
            <w:r>
              <w:rPr>
                <w:rFonts w:ascii="Arial" w:cs="Arial" w:eastAsia="Arial" w:hAnsi="Arial"/>
                <w:sz w:val="16"/>
                <w:szCs w:val="16"/>
                <w:b w:val="1"/>
                <w:bCs w:val="1"/>
                <w:color w:val="auto"/>
              </w:rPr>
              <w:t>December 31,</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jc w:val="right"/>
              <w:ind w:right="102"/>
              <w:spacing w:after="0" w:line="182" w:lineRule="exact"/>
              <w:rPr>
                <w:sz w:val="20"/>
                <w:szCs w:val="20"/>
                <w:color w:val="auto"/>
              </w:rPr>
            </w:pPr>
            <w:r>
              <w:rPr>
                <w:rFonts w:ascii="Arial" w:cs="Arial" w:eastAsia="Arial" w:hAnsi="Arial"/>
                <w:sz w:val="16"/>
                <w:szCs w:val="16"/>
                <w:b w:val="1"/>
                <w:bCs w:val="1"/>
                <w:color w:val="auto"/>
                <w:w w:val="88"/>
              </w:rPr>
              <w:t>December 31,</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tcPr>
          <w:p>
            <w:pPr>
              <w:jc w:val="right"/>
              <w:ind w:right="102"/>
              <w:spacing w:after="0" w:line="182" w:lineRule="exact"/>
              <w:rPr>
                <w:sz w:val="20"/>
                <w:szCs w:val="20"/>
                <w:color w:val="auto"/>
              </w:rPr>
            </w:pPr>
            <w:r>
              <w:rPr>
                <w:rFonts w:ascii="Arial" w:cs="Arial" w:eastAsia="Arial" w:hAnsi="Arial"/>
                <w:sz w:val="16"/>
                <w:szCs w:val="16"/>
                <w:b w:val="1"/>
                <w:bCs w:val="1"/>
                <w:color w:val="auto"/>
                <w:w w:val="88"/>
              </w:rPr>
              <w:t>December 31,</w:t>
            </w:r>
          </w:p>
        </w:tc>
      </w:tr>
      <w:tr>
        <w:trPr>
          <w:trHeight w:val="210"/>
        </w:trPr>
        <w:tc>
          <w:tcPr>
            <w:tcW w:w="47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02"/>
              <w:spacing w:after="0"/>
              <w:rPr>
                <w:sz w:val="20"/>
                <w:szCs w:val="20"/>
                <w:color w:val="auto"/>
              </w:rPr>
            </w:pPr>
            <w:r>
              <w:rPr>
                <w:rFonts w:ascii="Arial" w:cs="Arial" w:eastAsia="Arial" w:hAnsi="Arial"/>
                <w:sz w:val="16"/>
                <w:szCs w:val="16"/>
                <w:b w:val="1"/>
                <w:bCs w:val="1"/>
                <w:color w:val="auto"/>
              </w:rPr>
              <w:t>2025</w:t>
            </w:r>
          </w:p>
        </w:tc>
        <w:tc>
          <w:tcPr>
            <w:tcW w:w="6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422"/>
              <w:spacing w:after="0"/>
              <w:rPr>
                <w:sz w:val="20"/>
                <w:szCs w:val="20"/>
                <w:color w:val="auto"/>
              </w:rPr>
            </w:pPr>
            <w:r>
              <w:rPr>
                <w:rFonts w:ascii="Arial" w:cs="Arial" w:eastAsia="Arial" w:hAnsi="Arial"/>
                <w:sz w:val="16"/>
                <w:szCs w:val="16"/>
                <w:b w:val="1"/>
                <w:bCs w:val="1"/>
                <w:color w:val="auto"/>
                <w:w w:val="84"/>
              </w:rPr>
              <w:t>2024</w:t>
            </w:r>
          </w:p>
        </w:tc>
        <w:tc>
          <w:tcPr>
            <w:tcW w:w="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02"/>
              <w:spacing w:after="0"/>
              <w:rPr>
                <w:sz w:val="20"/>
                <w:szCs w:val="20"/>
                <w:color w:val="auto"/>
              </w:rPr>
            </w:pPr>
            <w:r>
              <w:rPr>
                <w:rFonts w:ascii="Arial" w:cs="Arial" w:eastAsia="Arial" w:hAnsi="Arial"/>
                <w:sz w:val="16"/>
                <w:szCs w:val="16"/>
                <w:b w:val="1"/>
                <w:bCs w:val="1"/>
                <w:color w:val="auto"/>
              </w:rPr>
              <w:t>2025</w:t>
            </w:r>
          </w:p>
        </w:tc>
        <w:tc>
          <w:tcPr>
            <w:tcW w:w="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02"/>
              <w:spacing w:after="0"/>
              <w:rPr>
                <w:sz w:val="20"/>
                <w:szCs w:val="20"/>
                <w:color w:val="auto"/>
              </w:rPr>
            </w:pPr>
            <w:r>
              <w:rPr>
                <w:rFonts w:ascii="Arial" w:cs="Arial" w:eastAsia="Arial" w:hAnsi="Arial"/>
                <w:sz w:val="16"/>
                <w:szCs w:val="16"/>
                <w:b w:val="1"/>
                <w:bCs w:val="1"/>
                <w:color w:val="auto"/>
              </w:rPr>
              <w:t>2024</w:t>
            </w:r>
          </w:p>
        </w:tc>
      </w:tr>
      <w:tr>
        <w:trPr>
          <w:trHeight w:val="223"/>
        </w:trPr>
        <w:tc>
          <w:tcPr>
            <w:tcW w:w="4720" w:type="dxa"/>
            <w:vAlign w:val="bottom"/>
          </w:tcPr>
          <w:p>
            <w:pPr>
              <w:spacing w:after="0"/>
              <w:rPr>
                <w:sz w:val="20"/>
                <w:szCs w:val="20"/>
                <w:color w:val="auto"/>
              </w:rPr>
            </w:pPr>
            <w:r>
              <w:rPr>
                <w:rFonts w:ascii="Arial" w:cs="Arial" w:eastAsia="Arial" w:hAnsi="Arial"/>
                <w:sz w:val="16"/>
                <w:szCs w:val="16"/>
                <w:b w:val="1"/>
                <w:bCs w:val="1"/>
                <w:color w:val="auto"/>
              </w:rPr>
              <w:t>Traditional life</w:t>
            </w: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140" w:type="dxa"/>
            <w:vAlign w:val="bottom"/>
            <w:gridSpan w:val="4"/>
          </w:tcPr>
          <w:p>
            <w:pPr>
              <w:jc w:val="right"/>
              <w:ind w:right="782"/>
              <w:spacing w:after="0"/>
              <w:rPr>
                <w:sz w:val="20"/>
                <w:szCs w:val="20"/>
                <w:color w:val="auto"/>
              </w:rPr>
            </w:pPr>
            <w:r>
              <w:rPr>
                <w:rFonts w:ascii="Arial" w:cs="Arial" w:eastAsia="Arial" w:hAnsi="Arial"/>
                <w:sz w:val="16"/>
                <w:szCs w:val="16"/>
                <w:b w:val="1"/>
                <w:bCs w:val="1"/>
                <w:color w:val="auto"/>
              </w:rPr>
              <w:t>(In millions)</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50"/>
        </w:trPr>
        <w:tc>
          <w:tcPr>
            <w:tcW w:w="4720" w:type="dxa"/>
            <w:vAlign w:val="bottom"/>
          </w:tcPr>
          <w:p>
            <w:pPr>
              <w:ind w:left="120"/>
              <w:spacing w:after="0"/>
              <w:rPr>
                <w:sz w:val="20"/>
                <w:szCs w:val="20"/>
                <w:color w:val="auto"/>
              </w:rPr>
            </w:pPr>
            <w:r>
              <w:rPr>
                <w:rFonts w:ascii="Arial" w:cs="Arial" w:eastAsia="Arial" w:hAnsi="Arial"/>
                <w:sz w:val="16"/>
                <w:szCs w:val="16"/>
                <w:color w:val="auto"/>
              </w:rPr>
              <w:t>Expected future benefit payments</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2"/>
              <w:spacing w:after="0"/>
              <w:rPr>
                <w:sz w:val="20"/>
                <w:szCs w:val="20"/>
                <w:color w:val="auto"/>
              </w:rPr>
            </w:pPr>
            <w:r>
              <w:rPr>
                <w:rFonts w:ascii="Arial" w:cs="Arial" w:eastAsia="Arial" w:hAnsi="Arial"/>
                <w:sz w:val="16"/>
                <w:szCs w:val="16"/>
                <w:color w:val="auto"/>
              </w:rPr>
              <w:t>2,511</w:t>
            </w:r>
          </w:p>
        </w:tc>
        <w:tc>
          <w:tcPr>
            <w:tcW w:w="520" w:type="dxa"/>
            <w:vAlign w:val="bottom"/>
            <w:gridSpan w:val="2"/>
          </w:tcPr>
          <w:p>
            <w:pPr>
              <w:jc w:val="right"/>
              <w:ind w:right="262"/>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2"/>
              <w:spacing w:after="0"/>
              <w:rPr>
                <w:sz w:val="20"/>
                <w:szCs w:val="20"/>
                <w:color w:val="auto"/>
              </w:rPr>
            </w:pPr>
            <w:r>
              <w:rPr>
                <w:rFonts w:ascii="Arial" w:cs="Arial" w:eastAsia="Arial" w:hAnsi="Arial"/>
                <w:sz w:val="16"/>
                <w:szCs w:val="16"/>
                <w:color w:val="auto"/>
              </w:rPr>
              <w:t>2,705</w:t>
            </w:r>
          </w:p>
        </w:tc>
        <w:tc>
          <w:tcPr>
            <w:tcW w:w="20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1,857</w:t>
            </w:r>
          </w:p>
        </w:tc>
        <w:tc>
          <w:tcPr>
            <w:tcW w:w="22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1,948</w:t>
            </w:r>
          </w:p>
        </w:tc>
      </w:tr>
      <w:tr>
        <w:trPr>
          <w:trHeight w:val="250"/>
        </w:trPr>
        <w:tc>
          <w:tcPr>
            <w:tcW w:w="4720" w:type="dxa"/>
            <w:vAlign w:val="bottom"/>
          </w:tcPr>
          <w:p>
            <w:pPr>
              <w:ind w:left="120"/>
              <w:spacing w:after="0"/>
              <w:rPr>
                <w:sz w:val="20"/>
                <w:szCs w:val="20"/>
                <w:color w:val="auto"/>
              </w:rPr>
            </w:pPr>
            <w:r>
              <w:rPr>
                <w:rFonts w:ascii="Arial" w:cs="Arial" w:eastAsia="Arial" w:hAnsi="Arial"/>
                <w:sz w:val="16"/>
                <w:szCs w:val="16"/>
                <w:color w:val="auto"/>
              </w:rPr>
              <w:t>Expected future gross premiums</w:t>
            </w:r>
          </w:p>
        </w:tc>
        <w:tc>
          <w:tcPr>
            <w:tcW w:w="160" w:type="dxa"/>
            <w:vAlign w:val="bottom"/>
          </w:tcPr>
          <w:p>
            <w:pPr>
              <w:spacing w:after="0"/>
              <w:rPr>
                <w:sz w:val="21"/>
                <w:szCs w:val="21"/>
                <w:color w:val="auto"/>
              </w:rPr>
            </w:pPr>
          </w:p>
        </w:tc>
        <w:tc>
          <w:tcPr>
            <w:tcW w:w="1120" w:type="dxa"/>
            <w:vAlign w:val="bottom"/>
          </w:tcPr>
          <w:p>
            <w:pPr>
              <w:jc w:val="right"/>
              <w:ind w:right="2"/>
              <w:spacing w:after="0"/>
              <w:rPr>
                <w:sz w:val="20"/>
                <w:szCs w:val="20"/>
                <w:color w:val="auto"/>
              </w:rPr>
            </w:pPr>
            <w:r>
              <w:rPr>
                <w:rFonts w:ascii="Arial" w:cs="Arial" w:eastAsia="Arial" w:hAnsi="Arial"/>
                <w:sz w:val="16"/>
                <w:szCs w:val="16"/>
                <w:color w:val="auto"/>
              </w:rPr>
              <w:t>848</w:t>
            </w:r>
          </w:p>
        </w:tc>
        <w:tc>
          <w:tcPr>
            <w:tcW w:w="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20" w:type="dxa"/>
            <w:vAlign w:val="bottom"/>
          </w:tcPr>
          <w:p>
            <w:pPr>
              <w:jc w:val="right"/>
              <w:ind w:right="2"/>
              <w:spacing w:after="0"/>
              <w:rPr>
                <w:sz w:val="20"/>
                <w:szCs w:val="20"/>
                <w:color w:val="auto"/>
              </w:rPr>
            </w:pPr>
            <w:r>
              <w:rPr>
                <w:rFonts w:ascii="Arial" w:cs="Arial" w:eastAsia="Arial" w:hAnsi="Arial"/>
                <w:sz w:val="16"/>
                <w:szCs w:val="16"/>
                <w:color w:val="auto"/>
              </w:rPr>
              <w:t>914</w:t>
            </w: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630</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681</w:t>
            </w:r>
          </w:p>
        </w:tc>
      </w:tr>
      <w:tr>
        <w:trPr>
          <w:trHeight w:val="250"/>
        </w:trPr>
        <w:tc>
          <w:tcPr>
            <w:tcW w:w="4720" w:type="dxa"/>
            <w:vAlign w:val="bottom"/>
          </w:tcPr>
          <w:p>
            <w:pPr>
              <w:spacing w:after="0"/>
              <w:rPr>
                <w:sz w:val="20"/>
                <w:szCs w:val="20"/>
                <w:color w:val="auto"/>
              </w:rPr>
            </w:pPr>
            <w:r>
              <w:rPr>
                <w:rFonts w:ascii="Arial" w:cs="Arial" w:eastAsia="Arial" w:hAnsi="Arial"/>
                <w:sz w:val="16"/>
                <w:szCs w:val="16"/>
                <w:b w:val="1"/>
                <w:bCs w:val="1"/>
                <w:color w:val="auto"/>
              </w:rPr>
              <w:t>Immediate annuities</w:t>
            </w:r>
          </w:p>
        </w:tc>
        <w:tc>
          <w:tcPr>
            <w:tcW w:w="1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50"/>
        </w:trPr>
        <w:tc>
          <w:tcPr>
            <w:tcW w:w="4720" w:type="dxa"/>
            <w:vAlign w:val="bottom"/>
          </w:tcPr>
          <w:p>
            <w:pPr>
              <w:ind w:left="120"/>
              <w:spacing w:after="0"/>
              <w:rPr>
                <w:sz w:val="20"/>
                <w:szCs w:val="20"/>
                <w:color w:val="auto"/>
              </w:rPr>
            </w:pPr>
            <w:r>
              <w:rPr>
                <w:rFonts w:ascii="Arial" w:cs="Arial" w:eastAsia="Arial" w:hAnsi="Arial"/>
                <w:sz w:val="16"/>
                <w:szCs w:val="16"/>
                <w:color w:val="auto"/>
              </w:rPr>
              <w:t>Expected future benefit payments</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2"/>
              <w:spacing w:after="0"/>
              <w:rPr>
                <w:sz w:val="20"/>
                <w:szCs w:val="20"/>
                <w:color w:val="auto"/>
              </w:rPr>
            </w:pPr>
            <w:r>
              <w:rPr>
                <w:rFonts w:ascii="Arial" w:cs="Arial" w:eastAsia="Arial" w:hAnsi="Arial"/>
                <w:sz w:val="16"/>
                <w:szCs w:val="16"/>
                <w:color w:val="auto"/>
              </w:rPr>
              <w:t>3,095</w:t>
            </w:r>
          </w:p>
        </w:tc>
        <w:tc>
          <w:tcPr>
            <w:tcW w:w="520" w:type="dxa"/>
            <w:vAlign w:val="bottom"/>
            <w:gridSpan w:val="2"/>
          </w:tcPr>
          <w:p>
            <w:pPr>
              <w:jc w:val="right"/>
              <w:ind w:right="262"/>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2"/>
              <w:spacing w:after="0"/>
              <w:rPr>
                <w:sz w:val="20"/>
                <w:szCs w:val="20"/>
                <w:color w:val="auto"/>
              </w:rPr>
            </w:pPr>
            <w:r>
              <w:rPr>
                <w:rFonts w:ascii="Arial" w:cs="Arial" w:eastAsia="Arial" w:hAnsi="Arial"/>
                <w:sz w:val="16"/>
                <w:szCs w:val="16"/>
                <w:color w:val="auto"/>
              </w:rPr>
              <w:t>3,189</w:t>
            </w:r>
          </w:p>
        </w:tc>
        <w:tc>
          <w:tcPr>
            <w:tcW w:w="20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1,276</w:t>
            </w:r>
          </w:p>
        </w:tc>
        <w:tc>
          <w:tcPr>
            <w:tcW w:w="22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1,297</w:t>
            </w:r>
          </w:p>
        </w:tc>
      </w:tr>
      <w:tr>
        <w:trPr>
          <w:trHeight w:val="250"/>
        </w:trPr>
        <w:tc>
          <w:tcPr>
            <w:tcW w:w="4720" w:type="dxa"/>
            <w:vAlign w:val="bottom"/>
          </w:tcPr>
          <w:p>
            <w:pPr>
              <w:ind w:left="120"/>
              <w:spacing w:after="0"/>
              <w:rPr>
                <w:sz w:val="20"/>
                <w:szCs w:val="20"/>
                <w:color w:val="auto"/>
              </w:rPr>
            </w:pPr>
            <w:r>
              <w:rPr>
                <w:rFonts w:ascii="Arial" w:cs="Arial" w:eastAsia="Arial" w:hAnsi="Arial"/>
                <w:sz w:val="16"/>
                <w:szCs w:val="16"/>
                <w:color w:val="auto"/>
              </w:rPr>
              <w:t>Expected future gross premiums</w:t>
            </w:r>
          </w:p>
        </w:tc>
        <w:tc>
          <w:tcPr>
            <w:tcW w:w="160" w:type="dxa"/>
            <w:vAlign w:val="bottom"/>
          </w:tcPr>
          <w:p>
            <w:pPr>
              <w:spacing w:after="0"/>
              <w:rPr>
                <w:sz w:val="21"/>
                <w:szCs w:val="21"/>
                <w:color w:val="auto"/>
              </w:rPr>
            </w:pPr>
          </w:p>
        </w:tc>
        <w:tc>
          <w:tcPr>
            <w:tcW w:w="112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2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50"/>
        </w:trPr>
        <w:tc>
          <w:tcPr>
            <w:tcW w:w="4720" w:type="dxa"/>
            <w:vAlign w:val="bottom"/>
          </w:tcPr>
          <w:p>
            <w:pPr>
              <w:spacing w:after="0"/>
              <w:rPr>
                <w:sz w:val="20"/>
                <w:szCs w:val="20"/>
                <w:color w:val="auto"/>
              </w:rPr>
            </w:pPr>
            <w:r>
              <w:rPr>
                <w:rFonts w:ascii="Arial" w:cs="Arial" w:eastAsia="Arial" w:hAnsi="Arial"/>
                <w:sz w:val="16"/>
                <w:szCs w:val="16"/>
                <w:b w:val="1"/>
                <w:bCs w:val="1"/>
                <w:color w:val="auto"/>
              </w:rPr>
              <w:t>PRT</w:t>
            </w:r>
          </w:p>
        </w:tc>
        <w:tc>
          <w:tcPr>
            <w:tcW w:w="1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50"/>
        </w:trPr>
        <w:tc>
          <w:tcPr>
            <w:tcW w:w="4720" w:type="dxa"/>
            <w:vAlign w:val="bottom"/>
          </w:tcPr>
          <w:p>
            <w:pPr>
              <w:ind w:left="120"/>
              <w:spacing w:after="0"/>
              <w:rPr>
                <w:sz w:val="20"/>
                <w:szCs w:val="20"/>
                <w:color w:val="auto"/>
              </w:rPr>
            </w:pPr>
            <w:r>
              <w:rPr>
                <w:rFonts w:ascii="Arial" w:cs="Arial" w:eastAsia="Arial" w:hAnsi="Arial"/>
                <w:sz w:val="16"/>
                <w:szCs w:val="16"/>
                <w:color w:val="auto"/>
              </w:rPr>
              <w:t>Expected future benefit payments</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2"/>
              <w:spacing w:after="0"/>
              <w:rPr>
                <w:sz w:val="20"/>
                <w:szCs w:val="20"/>
                <w:color w:val="auto"/>
              </w:rPr>
            </w:pPr>
            <w:r>
              <w:rPr>
                <w:rFonts w:ascii="Arial" w:cs="Arial" w:eastAsia="Arial" w:hAnsi="Arial"/>
                <w:sz w:val="16"/>
                <w:szCs w:val="16"/>
                <w:color w:val="auto"/>
              </w:rPr>
              <w:t>13,074</w:t>
            </w:r>
          </w:p>
        </w:tc>
        <w:tc>
          <w:tcPr>
            <w:tcW w:w="520" w:type="dxa"/>
            <w:vAlign w:val="bottom"/>
            <w:gridSpan w:val="2"/>
          </w:tcPr>
          <w:p>
            <w:pPr>
              <w:jc w:val="right"/>
              <w:ind w:right="262"/>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2"/>
              <w:spacing w:after="0"/>
              <w:rPr>
                <w:sz w:val="20"/>
                <w:szCs w:val="20"/>
                <w:color w:val="auto"/>
              </w:rPr>
            </w:pPr>
            <w:r>
              <w:rPr>
                <w:rFonts w:ascii="Arial" w:cs="Arial" w:eastAsia="Arial" w:hAnsi="Arial"/>
                <w:sz w:val="16"/>
                <w:szCs w:val="16"/>
                <w:color w:val="auto"/>
              </w:rPr>
              <w:t>10,038</w:t>
            </w:r>
          </w:p>
        </w:tc>
        <w:tc>
          <w:tcPr>
            <w:tcW w:w="20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8,112</w:t>
            </w:r>
          </w:p>
        </w:tc>
        <w:tc>
          <w:tcPr>
            <w:tcW w:w="22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6,054</w:t>
            </w:r>
          </w:p>
        </w:tc>
      </w:tr>
      <w:tr>
        <w:trPr>
          <w:trHeight w:val="250"/>
        </w:trPr>
        <w:tc>
          <w:tcPr>
            <w:tcW w:w="4720" w:type="dxa"/>
            <w:vAlign w:val="bottom"/>
          </w:tcPr>
          <w:p>
            <w:pPr>
              <w:ind w:left="120"/>
              <w:spacing w:after="0"/>
              <w:rPr>
                <w:sz w:val="20"/>
                <w:szCs w:val="20"/>
                <w:color w:val="auto"/>
              </w:rPr>
            </w:pPr>
            <w:r>
              <w:rPr>
                <w:rFonts w:ascii="Arial" w:cs="Arial" w:eastAsia="Arial" w:hAnsi="Arial"/>
                <w:sz w:val="16"/>
                <w:szCs w:val="16"/>
                <w:color w:val="auto"/>
              </w:rPr>
              <w:t>Expected future gross premiums</w:t>
            </w:r>
          </w:p>
        </w:tc>
        <w:tc>
          <w:tcPr>
            <w:tcW w:w="160" w:type="dxa"/>
            <w:vAlign w:val="bottom"/>
          </w:tcPr>
          <w:p>
            <w:pPr>
              <w:spacing w:after="0"/>
              <w:rPr>
                <w:sz w:val="21"/>
                <w:szCs w:val="21"/>
                <w:color w:val="auto"/>
              </w:rPr>
            </w:pPr>
          </w:p>
        </w:tc>
        <w:tc>
          <w:tcPr>
            <w:tcW w:w="112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2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-1270635</wp:posOffset>
            </wp:positionV>
            <wp:extent cx="6410325" cy="129476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177">
                      <a:extLst>
                        <a:ext uri="{28A0092B-C50C-407E-A947-70E740481C1C}"/>
                      </a:extLst>
                    </a:blip>
                    <a:srcRect/>
                    <a:stretch>
                      <a:fillRect/>
                    </a:stretch>
                  </pic:blipFill>
                  <pic:spPr bwMode="auto">
                    <a:xfrm>
                      <a:off x="0" y="0"/>
                      <a:ext cx="6410325" cy="1294765"/>
                    </a:xfrm>
                    <a:prstGeom prst="rect">
                      <a:avLst/>
                    </a:prstGeom>
                    <a:noFill/>
                  </pic:spPr>
                </pic:pic>
              </a:graphicData>
            </a:graphic>
          </wp:anchor>
        </w:drawing>
      </w:r>
    </w:p>
    <w:p>
      <w:pPr>
        <w:spacing w:after="0" w:line="152" w:lineRule="exact"/>
        <w:rPr>
          <w:sz w:val="20"/>
          <w:szCs w:val="20"/>
          <w:color w:val="auto"/>
        </w:rPr>
      </w:pPr>
    </w:p>
    <w:p>
      <w:pPr>
        <w:ind w:left="7" w:right="440" w:firstLine="353"/>
        <w:spacing w:after="0" w:line="254" w:lineRule="auto"/>
        <w:rPr>
          <w:sz w:val="20"/>
          <w:szCs w:val="20"/>
          <w:color w:val="auto"/>
        </w:rPr>
      </w:pPr>
      <w:r>
        <w:rPr>
          <w:rFonts w:ascii="Arial" w:cs="Arial" w:eastAsia="Arial" w:hAnsi="Arial"/>
          <w:sz w:val="20"/>
          <w:szCs w:val="20"/>
          <w:color w:val="auto"/>
        </w:rPr>
        <w:t>The following table summarizes the amount of revenue and interest related to nonparticipating traditional and limited-payment contracts recognized in the Consolidated Statements of Earnings:</w:t>
      </w:r>
    </w:p>
    <w:p>
      <w:pPr>
        <w:spacing w:after="0" w:line="40" w:lineRule="exact"/>
        <w:rPr>
          <w:sz w:val="20"/>
          <w:szCs w:val="20"/>
          <w:color w:val="auto"/>
        </w:rPr>
      </w:pPr>
    </w:p>
    <w:tbl>
      <w:tblPr>
        <w:tblLayout w:type="fixed"/>
        <w:tblInd w:w="47" w:type="dxa"/>
        <w:tblCellMar>
          <w:top w:w="0" w:type="dxa"/>
          <w:left w:w="0" w:type="dxa"/>
          <w:bottom w:w="0" w:type="dxa"/>
          <w:right w:w="0" w:type="dxa"/>
        </w:tblCellMar>
      </w:tblPr>
      <w:tr>
        <w:trPr>
          <w:trHeight w:val="213"/>
        </w:trPr>
        <w:tc>
          <w:tcPr>
            <w:tcW w:w="2300" w:type="dxa"/>
            <w:vAlign w:val="bottom"/>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6"/>
                <w:szCs w:val="16"/>
                <w:b w:val="1"/>
                <w:bCs w:val="1"/>
                <w:color w:val="auto"/>
                <w:w w:val="88"/>
              </w:rPr>
              <w:t>Gross Premiums (a)</w:t>
            </w: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gridSpan w:val="4"/>
          </w:tcPr>
          <w:p>
            <w:pPr>
              <w:jc w:val="center"/>
              <w:spacing w:after="0"/>
              <w:rPr>
                <w:sz w:val="20"/>
                <w:szCs w:val="20"/>
                <w:color w:val="auto"/>
              </w:rPr>
            </w:pPr>
            <w:r>
              <w:rPr>
                <w:rFonts w:ascii="Arial" w:cs="Arial" w:eastAsia="Arial" w:hAnsi="Arial"/>
                <w:sz w:val="16"/>
                <w:szCs w:val="16"/>
                <w:b w:val="1"/>
                <w:bCs w:val="1"/>
                <w:color w:val="auto"/>
                <w:w w:val="88"/>
              </w:rPr>
              <w:t>Interest Expense (b)</w:t>
            </w: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r>
      <w:tr>
        <w:trPr>
          <w:trHeight w:val="230"/>
        </w:trPr>
        <w:tc>
          <w:tcPr>
            <w:tcW w:w="2300" w:type="dxa"/>
            <w:vAlign w:val="bottom"/>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center"/>
              <w:ind w:right="62"/>
              <w:spacing w:after="0"/>
              <w:rPr>
                <w:sz w:val="20"/>
                <w:szCs w:val="20"/>
                <w:color w:val="auto"/>
              </w:rPr>
            </w:pPr>
            <w:r>
              <w:rPr>
                <w:rFonts w:ascii="Arial" w:cs="Arial" w:eastAsia="Arial" w:hAnsi="Arial"/>
                <w:sz w:val="16"/>
                <w:szCs w:val="16"/>
                <w:b w:val="1"/>
                <w:bCs w:val="1"/>
                <w:color w:val="auto"/>
                <w:w w:val="88"/>
              </w:rPr>
              <w:t>December 31,</w:t>
            </w:r>
          </w:p>
        </w:tc>
        <w:tc>
          <w:tcPr>
            <w:tcW w:w="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center"/>
              <w:ind w:right="62"/>
              <w:spacing w:after="0"/>
              <w:rPr>
                <w:sz w:val="20"/>
                <w:szCs w:val="20"/>
                <w:color w:val="auto"/>
              </w:rPr>
            </w:pPr>
            <w:r>
              <w:rPr>
                <w:rFonts w:ascii="Arial" w:cs="Arial" w:eastAsia="Arial" w:hAnsi="Arial"/>
                <w:sz w:val="16"/>
                <w:szCs w:val="16"/>
                <w:b w:val="1"/>
                <w:bCs w:val="1"/>
                <w:color w:val="auto"/>
                <w:w w:val="88"/>
              </w:rPr>
              <w:t>December 31,</w:t>
            </w:r>
          </w:p>
        </w:tc>
        <w:tc>
          <w:tcPr>
            <w:tcW w:w="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r>
      <w:tr>
        <w:trPr>
          <w:trHeight w:val="230"/>
        </w:trPr>
        <w:tc>
          <w:tcPr>
            <w:tcW w:w="2300" w:type="dxa"/>
            <w:vAlign w:val="bottom"/>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2025</w:t>
            </w:r>
          </w:p>
        </w:tc>
        <w:tc>
          <w:tcPr>
            <w:tcW w:w="44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center"/>
              <w:ind w:right="62"/>
              <w:spacing w:after="0"/>
              <w:rPr>
                <w:sz w:val="20"/>
                <w:szCs w:val="20"/>
                <w:color w:val="auto"/>
              </w:rPr>
            </w:pPr>
            <w:r>
              <w:rPr>
                <w:rFonts w:ascii="Arial" w:cs="Arial" w:eastAsia="Arial" w:hAnsi="Arial"/>
                <w:sz w:val="16"/>
                <w:szCs w:val="16"/>
                <w:b w:val="1"/>
                <w:bCs w:val="1"/>
                <w:color w:val="auto"/>
                <w:w w:val="89"/>
              </w:rPr>
              <w:t>2024</w:t>
            </w:r>
          </w:p>
        </w:tc>
        <w:tc>
          <w:tcPr>
            <w:tcW w:w="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82"/>
              <w:spacing w:after="0"/>
              <w:rPr>
                <w:sz w:val="20"/>
                <w:szCs w:val="20"/>
                <w:color w:val="auto"/>
              </w:rPr>
            </w:pPr>
            <w:r>
              <w:rPr>
                <w:rFonts w:ascii="Arial" w:cs="Arial" w:eastAsia="Arial" w:hAnsi="Arial"/>
                <w:sz w:val="16"/>
                <w:szCs w:val="16"/>
                <w:b w:val="1"/>
                <w:bCs w:val="1"/>
                <w:color w:val="auto"/>
              </w:rPr>
              <w:t>2023</w:t>
            </w:r>
          </w:p>
        </w:tc>
        <w:tc>
          <w:tcPr>
            <w:tcW w:w="60" w:type="dxa"/>
            <w:vAlign w:val="bottom"/>
          </w:tcPr>
          <w:p>
            <w:pPr>
              <w:spacing w:after="0"/>
              <w:rPr>
                <w:sz w:val="19"/>
                <w:szCs w:val="19"/>
                <w:color w:val="auto"/>
              </w:rPr>
            </w:pPr>
          </w:p>
        </w:tc>
        <w:tc>
          <w:tcPr>
            <w:tcW w:w="8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2025</w:t>
            </w:r>
          </w:p>
        </w:tc>
        <w:tc>
          <w:tcPr>
            <w:tcW w:w="38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center"/>
              <w:ind w:right="62"/>
              <w:spacing w:after="0"/>
              <w:rPr>
                <w:sz w:val="20"/>
                <w:szCs w:val="20"/>
                <w:color w:val="auto"/>
              </w:rPr>
            </w:pPr>
            <w:r>
              <w:rPr>
                <w:rFonts w:ascii="Arial" w:cs="Arial" w:eastAsia="Arial" w:hAnsi="Arial"/>
                <w:sz w:val="16"/>
                <w:szCs w:val="16"/>
                <w:b w:val="1"/>
                <w:bCs w:val="1"/>
                <w:color w:val="auto"/>
                <w:w w:val="89"/>
              </w:rPr>
              <w:t>2024</w:t>
            </w:r>
          </w:p>
        </w:tc>
        <w:tc>
          <w:tcPr>
            <w:tcW w:w="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82"/>
              <w:spacing w:after="0"/>
              <w:rPr>
                <w:sz w:val="20"/>
                <w:szCs w:val="20"/>
                <w:color w:val="auto"/>
              </w:rPr>
            </w:pPr>
            <w:r>
              <w:rPr>
                <w:rFonts w:ascii="Arial" w:cs="Arial" w:eastAsia="Arial" w:hAnsi="Arial"/>
                <w:sz w:val="16"/>
                <w:szCs w:val="16"/>
                <w:b w:val="1"/>
                <w:bCs w:val="1"/>
                <w:color w:val="auto"/>
              </w:rPr>
              <w:t>2023</w:t>
            </w:r>
          </w:p>
        </w:tc>
      </w:tr>
      <w:tr>
        <w:trPr>
          <w:trHeight w:val="223"/>
        </w:trPr>
        <w:tc>
          <w:tcPr>
            <w:tcW w:w="23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60" w:type="dxa"/>
            <w:vAlign w:val="bottom"/>
            <w:gridSpan w:val="3"/>
          </w:tcPr>
          <w:p>
            <w:pPr>
              <w:jc w:val="right"/>
              <w:ind w:right="382"/>
              <w:spacing w:after="0"/>
              <w:rPr>
                <w:sz w:val="20"/>
                <w:szCs w:val="20"/>
                <w:color w:val="auto"/>
              </w:rPr>
            </w:pPr>
            <w:r>
              <w:rPr>
                <w:rFonts w:ascii="Arial" w:cs="Arial" w:eastAsia="Arial" w:hAnsi="Arial"/>
                <w:sz w:val="16"/>
                <w:szCs w:val="16"/>
                <w:b w:val="1"/>
                <w:bCs w:val="1"/>
                <w:color w:val="auto"/>
              </w:rPr>
              <w:t>(In millions)</w:t>
            </w:r>
          </w:p>
        </w:tc>
        <w:tc>
          <w:tcPr>
            <w:tcW w:w="3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50"/>
        </w:trPr>
        <w:tc>
          <w:tcPr>
            <w:tcW w:w="2300" w:type="dxa"/>
            <w:vAlign w:val="bottom"/>
          </w:tcPr>
          <w:p>
            <w:pPr>
              <w:spacing w:after="0"/>
              <w:rPr>
                <w:sz w:val="20"/>
                <w:szCs w:val="20"/>
                <w:color w:val="auto"/>
              </w:rPr>
            </w:pPr>
            <w:r>
              <w:rPr>
                <w:rFonts w:ascii="Arial" w:cs="Arial" w:eastAsia="Arial" w:hAnsi="Arial"/>
                <w:sz w:val="16"/>
                <w:szCs w:val="16"/>
                <w:color w:val="auto"/>
              </w:rPr>
              <w:t>Traditional life</w:t>
            </w:r>
          </w:p>
        </w:tc>
        <w:tc>
          <w:tcPr>
            <w:tcW w:w="800" w:type="dxa"/>
            <w:vAlign w:val="bottom"/>
          </w:tcPr>
          <w:p>
            <w:pPr>
              <w:jc w:val="right"/>
              <w:ind w:right="582"/>
              <w:spacing w:after="0"/>
              <w:rPr>
                <w:sz w:val="20"/>
                <w:szCs w:val="20"/>
                <w:color w:val="auto"/>
              </w:rPr>
            </w:pPr>
            <w:r>
              <w:rPr>
                <w:rFonts w:ascii="Arial" w:cs="Arial" w:eastAsia="Arial" w:hAnsi="Arial"/>
                <w:sz w:val="16"/>
                <w:szCs w:val="16"/>
                <w:color w:val="auto"/>
              </w:rPr>
              <w:t>$</w:t>
            </w:r>
          </w:p>
        </w:tc>
        <w:tc>
          <w:tcPr>
            <w:tcW w:w="440" w:type="dxa"/>
            <w:vAlign w:val="bottom"/>
          </w:tcPr>
          <w:p>
            <w:pPr>
              <w:jc w:val="right"/>
              <w:spacing w:after="0"/>
              <w:rPr>
                <w:sz w:val="20"/>
                <w:szCs w:val="20"/>
                <w:color w:val="auto"/>
              </w:rPr>
            </w:pPr>
            <w:r>
              <w:rPr>
                <w:rFonts w:ascii="Arial" w:cs="Arial" w:eastAsia="Arial" w:hAnsi="Arial"/>
                <w:sz w:val="16"/>
                <w:szCs w:val="16"/>
                <w:color w:val="auto"/>
              </w:rPr>
              <w:t>99</w:t>
            </w:r>
          </w:p>
        </w:tc>
        <w:tc>
          <w:tcPr>
            <w:tcW w:w="20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2"/>
              <w:spacing w:after="0"/>
              <w:rPr>
                <w:sz w:val="20"/>
                <w:szCs w:val="20"/>
                <w:color w:val="auto"/>
              </w:rPr>
            </w:pPr>
            <w:r>
              <w:rPr>
                <w:rFonts w:ascii="Arial" w:cs="Arial" w:eastAsia="Arial" w:hAnsi="Arial"/>
                <w:sz w:val="16"/>
                <w:szCs w:val="16"/>
                <w:color w:val="auto"/>
              </w:rPr>
              <w:t>111</w:t>
            </w:r>
          </w:p>
        </w:tc>
        <w:tc>
          <w:tcPr>
            <w:tcW w:w="60" w:type="dxa"/>
            <w:vAlign w:val="bottom"/>
          </w:tcPr>
          <w:p>
            <w:pPr>
              <w:spacing w:after="0"/>
              <w:rPr>
                <w:sz w:val="21"/>
                <w:szCs w:val="21"/>
                <w:color w:val="auto"/>
              </w:rPr>
            </w:pPr>
          </w:p>
        </w:tc>
        <w:tc>
          <w:tcPr>
            <w:tcW w:w="280" w:type="dxa"/>
            <w:vAlign w:val="bottom"/>
          </w:tcPr>
          <w:p>
            <w:pPr>
              <w:jc w:val="right"/>
              <w:ind w:right="82"/>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123</w:t>
            </w:r>
          </w:p>
        </w:tc>
        <w:tc>
          <w:tcPr>
            <w:tcW w:w="920" w:type="dxa"/>
            <w:vAlign w:val="bottom"/>
            <w:gridSpan w:val="2"/>
          </w:tcPr>
          <w:p>
            <w:pPr>
              <w:jc w:val="right"/>
              <w:ind w:right="642"/>
              <w:spacing w:after="0"/>
              <w:rPr>
                <w:sz w:val="20"/>
                <w:szCs w:val="20"/>
                <w:color w:val="auto"/>
              </w:rPr>
            </w:pPr>
            <w:r>
              <w:rPr>
                <w:rFonts w:ascii="Arial" w:cs="Arial" w:eastAsia="Arial" w:hAnsi="Arial"/>
                <w:sz w:val="16"/>
                <w:szCs w:val="16"/>
                <w:color w:val="auto"/>
              </w:rPr>
              <w:t>$</w:t>
            </w:r>
          </w:p>
        </w:tc>
        <w:tc>
          <w:tcPr>
            <w:tcW w:w="380" w:type="dxa"/>
            <w:vAlign w:val="bottom"/>
          </w:tcPr>
          <w:p>
            <w:pPr>
              <w:jc w:val="right"/>
              <w:spacing w:after="0"/>
              <w:rPr>
                <w:sz w:val="20"/>
                <w:szCs w:val="20"/>
                <w:color w:val="auto"/>
              </w:rPr>
            </w:pPr>
            <w:r>
              <w:rPr>
                <w:rFonts w:ascii="Arial" w:cs="Arial" w:eastAsia="Arial" w:hAnsi="Arial"/>
                <w:sz w:val="16"/>
                <w:szCs w:val="16"/>
                <w:color w:val="auto"/>
              </w:rPr>
              <w:t>35</w:t>
            </w:r>
          </w:p>
        </w:tc>
        <w:tc>
          <w:tcPr>
            <w:tcW w:w="20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2"/>
              <w:spacing w:after="0"/>
              <w:rPr>
                <w:sz w:val="20"/>
                <w:szCs w:val="20"/>
                <w:color w:val="auto"/>
              </w:rPr>
            </w:pPr>
            <w:r>
              <w:rPr>
                <w:rFonts w:ascii="Arial" w:cs="Arial" w:eastAsia="Arial" w:hAnsi="Arial"/>
                <w:sz w:val="16"/>
                <w:szCs w:val="16"/>
                <w:color w:val="auto"/>
              </w:rPr>
              <w:t>37</w:t>
            </w:r>
          </w:p>
        </w:tc>
        <w:tc>
          <w:tcPr>
            <w:tcW w:w="60" w:type="dxa"/>
            <w:vAlign w:val="bottom"/>
          </w:tcPr>
          <w:p>
            <w:pPr>
              <w:spacing w:after="0"/>
              <w:rPr>
                <w:sz w:val="21"/>
                <w:szCs w:val="21"/>
                <w:color w:val="auto"/>
              </w:rPr>
            </w:pPr>
          </w:p>
        </w:tc>
        <w:tc>
          <w:tcPr>
            <w:tcW w:w="280" w:type="dxa"/>
            <w:vAlign w:val="bottom"/>
          </w:tcPr>
          <w:p>
            <w:pPr>
              <w:jc w:val="right"/>
              <w:ind w:right="82"/>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37</w:t>
            </w:r>
          </w:p>
        </w:tc>
      </w:tr>
      <w:tr>
        <w:trPr>
          <w:trHeight w:val="250"/>
        </w:trPr>
        <w:tc>
          <w:tcPr>
            <w:tcW w:w="2300" w:type="dxa"/>
            <w:vAlign w:val="bottom"/>
          </w:tcPr>
          <w:p>
            <w:pPr>
              <w:spacing w:after="0"/>
              <w:rPr>
                <w:sz w:val="20"/>
                <w:szCs w:val="20"/>
                <w:color w:val="auto"/>
              </w:rPr>
            </w:pPr>
            <w:r>
              <w:rPr>
                <w:rFonts w:ascii="Arial" w:cs="Arial" w:eastAsia="Arial" w:hAnsi="Arial"/>
                <w:sz w:val="16"/>
                <w:szCs w:val="16"/>
                <w:color w:val="auto"/>
              </w:rPr>
              <w:t>Immediate annuities</w:t>
            </w:r>
          </w:p>
        </w:tc>
        <w:tc>
          <w:tcPr>
            <w:tcW w:w="80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17</w:t>
            </w: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ind w:right="2"/>
              <w:spacing w:after="0"/>
              <w:rPr>
                <w:sz w:val="20"/>
                <w:szCs w:val="20"/>
                <w:color w:val="auto"/>
              </w:rPr>
            </w:pPr>
            <w:r>
              <w:rPr>
                <w:rFonts w:ascii="Arial" w:cs="Arial" w:eastAsia="Arial" w:hAnsi="Arial"/>
                <w:sz w:val="16"/>
                <w:szCs w:val="16"/>
                <w:color w:val="auto"/>
              </w:rPr>
              <w:t>18</w:t>
            </w:r>
          </w:p>
        </w:tc>
        <w:tc>
          <w:tcPr>
            <w:tcW w:w="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24</w:t>
            </w:r>
          </w:p>
        </w:tc>
        <w:tc>
          <w:tcPr>
            <w:tcW w:w="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54</w:t>
            </w: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ind w:right="2"/>
              <w:spacing w:after="0"/>
              <w:rPr>
                <w:sz w:val="20"/>
                <w:szCs w:val="20"/>
                <w:color w:val="auto"/>
              </w:rPr>
            </w:pPr>
            <w:r>
              <w:rPr>
                <w:rFonts w:ascii="Arial" w:cs="Arial" w:eastAsia="Arial" w:hAnsi="Arial"/>
                <w:sz w:val="16"/>
                <w:szCs w:val="16"/>
                <w:color w:val="auto"/>
              </w:rPr>
              <w:t>59</w:t>
            </w:r>
          </w:p>
        </w:tc>
        <w:tc>
          <w:tcPr>
            <w:tcW w:w="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51</w:t>
            </w:r>
          </w:p>
        </w:tc>
      </w:tr>
      <w:tr>
        <w:trPr>
          <w:trHeight w:val="257"/>
        </w:trPr>
        <w:tc>
          <w:tcPr>
            <w:tcW w:w="2300" w:type="dxa"/>
            <w:vAlign w:val="bottom"/>
          </w:tcPr>
          <w:p>
            <w:pPr>
              <w:spacing w:after="0"/>
              <w:rPr>
                <w:sz w:val="20"/>
                <w:szCs w:val="20"/>
                <w:color w:val="auto"/>
              </w:rPr>
            </w:pPr>
            <w:r>
              <w:rPr>
                <w:rFonts w:ascii="Arial" w:cs="Arial" w:eastAsia="Arial" w:hAnsi="Arial"/>
                <w:sz w:val="16"/>
                <w:szCs w:val="16"/>
                <w:color w:val="auto"/>
              </w:rPr>
              <w:t>PRT</w:t>
            </w:r>
          </w:p>
        </w:tc>
        <w:tc>
          <w:tcPr>
            <w:tcW w:w="80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2,107</w:t>
            </w:r>
          </w:p>
        </w:tc>
        <w:tc>
          <w:tcPr>
            <w:tcW w:w="6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2,217</w:t>
            </w:r>
          </w:p>
        </w:tc>
        <w:tc>
          <w:tcPr>
            <w:tcW w:w="6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1,964</w:t>
            </w:r>
          </w:p>
        </w:tc>
        <w:tc>
          <w:tcPr>
            <w:tcW w:w="60" w:type="dxa"/>
            <w:vAlign w:val="bottom"/>
          </w:tcPr>
          <w:p>
            <w:pPr>
              <w:spacing w:after="0"/>
              <w:rPr>
                <w:sz w:val="22"/>
                <w:szCs w:val="22"/>
                <w:color w:val="auto"/>
              </w:rPr>
            </w:pPr>
          </w:p>
        </w:tc>
        <w:tc>
          <w:tcPr>
            <w:tcW w:w="86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331</w:t>
            </w:r>
          </w:p>
        </w:tc>
        <w:tc>
          <w:tcPr>
            <w:tcW w:w="6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240</w:t>
            </w:r>
          </w:p>
        </w:tc>
        <w:tc>
          <w:tcPr>
            <w:tcW w:w="6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109</w:t>
            </w:r>
          </w:p>
        </w:tc>
      </w:tr>
      <w:tr>
        <w:trPr>
          <w:trHeight w:val="210"/>
        </w:trPr>
        <w:tc>
          <w:tcPr>
            <w:tcW w:w="2300" w:type="dxa"/>
            <w:vAlign w:val="bottom"/>
          </w:tcPr>
          <w:p>
            <w:pPr>
              <w:ind w:left="120"/>
              <w:spacing w:after="0"/>
              <w:rPr>
                <w:sz w:val="20"/>
                <w:szCs w:val="20"/>
                <w:color w:val="auto"/>
              </w:rPr>
            </w:pPr>
            <w:r>
              <w:rPr>
                <w:rFonts w:ascii="Arial" w:cs="Arial" w:eastAsia="Arial" w:hAnsi="Arial"/>
                <w:sz w:val="16"/>
                <w:szCs w:val="16"/>
                <w:b w:val="1"/>
                <w:bCs w:val="1"/>
                <w:color w:val="auto"/>
              </w:rPr>
              <w:t>Total</w:t>
            </w:r>
          </w:p>
        </w:tc>
        <w:tc>
          <w:tcPr>
            <w:tcW w:w="800" w:type="dxa"/>
            <w:vAlign w:val="bottom"/>
          </w:tcPr>
          <w:p>
            <w:pPr>
              <w:jc w:val="right"/>
              <w:ind w:right="582"/>
              <w:spacing w:after="0"/>
              <w:rPr>
                <w:sz w:val="20"/>
                <w:szCs w:val="20"/>
                <w:color w:val="auto"/>
              </w:rPr>
            </w:pPr>
            <w:r>
              <w:rPr>
                <w:rFonts w:ascii="Arial" w:cs="Arial" w:eastAsia="Arial" w:hAnsi="Arial"/>
                <w:sz w:val="16"/>
                <w:szCs w:val="16"/>
                <w:color w:val="auto"/>
              </w:rPr>
              <w:t>$</w:t>
            </w:r>
          </w:p>
        </w:tc>
        <w:tc>
          <w:tcPr>
            <w:tcW w:w="440" w:type="dxa"/>
            <w:vAlign w:val="bottom"/>
          </w:tcPr>
          <w:p>
            <w:pPr>
              <w:jc w:val="right"/>
              <w:spacing w:after="0"/>
              <w:rPr>
                <w:sz w:val="20"/>
                <w:szCs w:val="20"/>
                <w:color w:val="auto"/>
              </w:rPr>
            </w:pPr>
            <w:r>
              <w:rPr>
                <w:rFonts w:ascii="Arial" w:cs="Arial" w:eastAsia="Arial" w:hAnsi="Arial"/>
                <w:sz w:val="16"/>
                <w:szCs w:val="16"/>
                <w:color w:val="auto"/>
                <w:w w:val="89"/>
              </w:rPr>
              <w:t>2,223</w:t>
            </w:r>
          </w:p>
        </w:tc>
        <w:tc>
          <w:tcPr>
            <w:tcW w:w="20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2"/>
              <w:spacing w:after="0"/>
              <w:rPr>
                <w:sz w:val="20"/>
                <w:szCs w:val="20"/>
                <w:color w:val="auto"/>
              </w:rPr>
            </w:pPr>
            <w:r>
              <w:rPr>
                <w:rFonts w:ascii="Arial" w:cs="Arial" w:eastAsia="Arial" w:hAnsi="Arial"/>
                <w:sz w:val="16"/>
                <w:szCs w:val="16"/>
                <w:color w:val="auto"/>
              </w:rPr>
              <w:t>2,346</w:t>
            </w:r>
          </w:p>
        </w:tc>
        <w:tc>
          <w:tcPr>
            <w:tcW w:w="60" w:type="dxa"/>
            <w:vAlign w:val="bottom"/>
          </w:tcPr>
          <w:p>
            <w:pPr>
              <w:spacing w:after="0"/>
              <w:rPr>
                <w:sz w:val="18"/>
                <w:szCs w:val="18"/>
                <w:color w:val="auto"/>
              </w:rPr>
            </w:pPr>
          </w:p>
        </w:tc>
        <w:tc>
          <w:tcPr>
            <w:tcW w:w="280" w:type="dxa"/>
            <w:vAlign w:val="bottom"/>
          </w:tcPr>
          <w:p>
            <w:pPr>
              <w:jc w:val="right"/>
              <w:ind w:right="82"/>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2,111</w:t>
            </w:r>
          </w:p>
        </w:tc>
        <w:tc>
          <w:tcPr>
            <w:tcW w:w="920" w:type="dxa"/>
            <w:vAlign w:val="bottom"/>
            <w:gridSpan w:val="2"/>
          </w:tcPr>
          <w:p>
            <w:pPr>
              <w:jc w:val="right"/>
              <w:ind w:right="642"/>
              <w:spacing w:after="0"/>
              <w:rPr>
                <w:sz w:val="20"/>
                <w:szCs w:val="20"/>
                <w:color w:val="auto"/>
              </w:rPr>
            </w:pPr>
            <w:r>
              <w:rPr>
                <w:rFonts w:ascii="Arial" w:cs="Arial" w:eastAsia="Arial" w:hAnsi="Arial"/>
                <w:sz w:val="16"/>
                <w:szCs w:val="16"/>
                <w:color w:val="auto"/>
              </w:rPr>
              <w:t>$</w:t>
            </w:r>
          </w:p>
        </w:tc>
        <w:tc>
          <w:tcPr>
            <w:tcW w:w="380" w:type="dxa"/>
            <w:vAlign w:val="bottom"/>
          </w:tcPr>
          <w:p>
            <w:pPr>
              <w:jc w:val="right"/>
              <w:spacing w:after="0"/>
              <w:rPr>
                <w:sz w:val="20"/>
                <w:szCs w:val="20"/>
                <w:color w:val="auto"/>
              </w:rPr>
            </w:pPr>
            <w:r>
              <w:rPr>
                <w:rFonts w:ascii="Arial" w:cs="Arial" w:eastAsia="Arial" w:hAnsi="Arial"/>
                <w:sz w:val="16"/>
                <w:szCs w:val="16"/>
                <w:color w:val="auto"/>
              </w:rPr>
              <w:t>420</w:t>
            </w:r>
          </w:p>
        </w:tc>
        <w:tc>
          <w:tcPr>
            <w:tcW w:w="20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2"/>
              <w:spacing w:after="0"/>
              <w:rPr>
                <w:sz w:val="20"/>
                <w:szCs w:val="20"/>
                <w:color w:val="auto"/>
              </w:rPr>
            </w:pPr>
            <w:r>
              <w:rPr>
                <w:rFonts w:ascii="Arial" w:cs="Arial" w:eastAsia="Arial" w:hAnsi="Arial"/>
                <w:sz w:val="16"/>
                <w:szCs w:val="16"/>
                <w:color w:val="auto"/>
              </w:rPr>
              <w:t>336</w:t>
            </w:r>
          </w:p>
        </w:tc>
        <w:tc>
          <w:tcPr>
            <w:tcW w:w="60" w:type="dxa"/>
            <w:vAlign w:val="bottom"/>
          </w:tcPr>
          <w:p>
            <w:pPr>
              <w:spacing w:after="0"/>
              <w:rPr>
                <w:sz w:val="18"/>
                <w:szCs w:val="18"/>
                <w:color w:val="auto"/>
              </w:rPr>
            </w:pPr>
          </w:p>
        </w:tc>
        <w:tc>
          <w:tcPr>
            <w:tcW w:w="280" w:type="dxa"/>
            <w:vAlign w:val="bottom"/>
          </w:tcPr>
          <w:p>
            <w:pPr>
              <w:jc w:val="right"/>
              <w:ind w:right="82"/>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197</w:t>
            </w:r>
          </w:p>
        </w:tc>
      </w:tr>
      <w:tr>
        <w:trPr>
          <w:trHeight w:val="20"/>
        </w:trPr>
        <w:tc>
          <w:tcPr>
            <w:tcW w:w="23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-665480</wp:posOffset>
            </wp:positionV>
            <wp:extent cx="6410325" cy="67246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178">
                      <a:extLst>
                        <a:ext uri="{28A0092B-C50C-407E-A947-70E740481C1C}"/>
                      </a:extLst>
                    </a:blip>
                    <a:srcRect/>
                    <a:stretch>
                      <a:fillRect/>
                    </a:stretch>
                  </pic:blipFill>
                  <pic:spPr bwMode="auto">
                    <a:xfrm>
                      <a:off x="0" y="0"/>
                      <a:ext cx="6410325" cy="672465"/>
                    </a:xfrm>
                    <a:prstGeom prst="rect">
                      <a:avLst/>
                    </a:prstGeom>
                    <a:noFill/>
                  </pic:spPr>
                </pic:pic>
              </a:graphicData>
            </a:graphic>
          </wp:anchor>
        </w:drawing>
      </w:r>
    </w:p>
    <w:p>
      <w:pPr>
        <w:ind w:left="207" w:hanging="207"/>
        <w:spacing w:after="0"/>
        <w:tabs>
          <w:tab w:leader="none" w:pos="207" w:val="left"/>
        </w:tabs>
        <w:numPr>
          <w:ilvl w:val="0"/>
          <w:numId w:val="65"/>
        </w:numPr>
        <w:rPr>
          <w:rFonts w:ascii="Arial" w:cs="Arial" w:eastAsia="Arial" w:hAnsi="Arial"/>
          <w:sz w:val="16"/>
          <w:szCs w:val="16"/>
          <w:color w:val="auto"/>
        </w:rPr>
      </w:pPr>
      <w:r>
        <w:rPr>
          <w:rFonts w:ascii="Arial" w:cs="Arial" w:eastAsia="Arial" w:hAnsi="Arial"/>
          <w:sz w:val="16"/>
          <w:szCs w:val="16"/>
          <w:color w:val="auto"/>
        </w:rPr>
        <w:t>Included in Life insurance premiums and other fees on the Consolidated Statements of Earnings.</w:t>
      </w:r>
    </w:p>
    <w:p>
      <w:pPr>
        <w:spacing w:after="0" w:line="19" w:lineRule="exact"/>
        <w:rPr>
          <w:rFonts w:ascii="Arial" w:cs="Arial" w:eastAsia="Arial" w:hAnsi="Arial"/>
          <w:sz w:val="16"/>
          <w:szCs w:val="16"/>
          <w:color w:val="auto"/>
        </w:rPr>
      </w:pPr>
    </w:p>
    <w:p>
      <w:pPr>
        <w:ind w:left="227" w:hanging="227"/>
        <w:spacing w:after="0"/>
        <w:tabs>
          <w:tab w:leader="none" w:pos="227" w:val="left"/>
        </w:tabs>
        <w:numPr>
          <w:ilvl w:val="0"/>
          <w:numId w:val="65"/>
        </w:numPr>
        <w:rPr>
          <w:rFonts w:ascii="Arial" w:cs="Arial" w:eastAsia="Arial" w:hAnsi="Arial"/>
          <w:sz w:val="16"/>
          <w:szCs w:val="16"/>
          <w:color w:val="auto"/>
        </w:rPr>
      </w:pPr>
      <w:r>
        <w:rPr>
          <w:rFonts w:ascii="Arial" w:cs="Arial" w:eastAsia="Arial" w:hAnsi="Arial"/>
          <w:sz w:val="16"/>
          <w:szCs w:val="16"/>
          <w:color w:val="auto"/>
        </w:rPr>
        <w:t>Included in Benefits and other changes in policy reserves (remeasurement gains (a)) on the Consolidated Statements of Earnings.</w:t>
      </w:r>
    </w:p>
    <w:p>
      <w:pPr>
        <w:sectPr>
          <w:pgSz w:w="11880" w:h="15480" w:orient="portrait"/>
          <w:cols w:equalWidth="0" w:num="1">
            <w:col w:w="10047"/>
          </w:cols>
          <w:pgMar w:left="913" w:top="772"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6"/>
        <w:spacing w:after="0"/>
        <w:rPr>
          <w:sz w:val="20"/>
          <w:szCs w:val="20"/>
          <w:color w:val="auto"/>
        </w:rPr>
      </w:pPr>
      <w:r>
        <w:rPr>
          <w:rFonts w:ascii="Arial" w:cs="Arial" w:eastAsia="Arial" w:hAnsi="Arial"/>
          <w:sz w:val="16"/>
          <w:szCs w:val="16"/>
          <w:color w:val="auto"/>
        </w:rPr>
        <w:t>188</w:t>
      </w:r>
    </w:p>
    <w:p>
      <w:pPr>
        <w:sectPr>
          <w:pgSz w:w="11880" w:h="15480" w:orient="portrait"/>
          <w:cols w:equalWidth="0" w:num="1">
            <w:col w:w="10047"/>
          </w:cols>
          <w:pgMar w:left="913" w:top="772" w:right="920" w:bottom="0" w:gutter="0" w:footer="0" w:header="0"/>
          <w:type w:val="continuous"/>
        </w:sectPr>
      </w:pPr>
    </w:p>
    <w:bookmarkStart w:id="200" w:name="page201"/>
    <w:bookmarkEnd w:id="200"/>
    <w:p>
      <w:pPr>
        <w:ind w:left="340"/>
        <w:spacing w:after="0"/>
        <w:rPr>
          <w:sz w:val="20"/>
          <w:szCs w:val="20"/>
          <w:color w:val="auto"/>
        </w:rPr>
      </w:pPr>
      <w:r>
        <w:rPr>
          <w:rFonts w:ascii="Arial" w:cs="Arial" w:eastAsia="Arial" w:hAnsi="Arial"/>
          <w:sz w:val="20"/>
          <w:szCs w:val="20"/>
          <w:color w:val="auto"/>
        </w:rPr>
        <w:t>The following table presents the weighted-average interest rate:</w:t>
      </w:r>
    </w:p>
    <w:p>
      <w:pPr>
        <w:spacing w:after="0" w:line="93" w:lineRule="exact"/>
        <w:rPr>
          <w:sz w:val="20"/>
          <w:szCs w:val="20"/>
          <w:color w:val="auto"/>
        </w:rPr>
      </w:pPr>
    </w:p>
    <w:p>
      <w:pPr>
        <w:ind w:left="7640"/>
        <w:spacing w:after="0"/>
        <w:rPr>
          <w:sz w:val="20"/>
          <w:szCs w:val="20"/>
          <w:color w:val="auto"/>
        </w:rPr>
      </w:pPr>
      <w:r>
        <w:rPr>
          <w:rFonts w:ascii="Arial" w:cs="Arial" w:eastAsia="Arial" w:hAnsi="Arial"/>
          <w:sz w:val="16"/>
          <w:szCs w:val="16"/>
          <w:b w:val="1"/>
          <w:bCs w:val="1"/>
          <w:color w:val="auto"/>
        </w:rPr>
        <w:t>December 31,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3896995</wp:posOffset>
                </wp:positionH>
                <wp:positionV relativeFrom="paragraph">
                  <wp:posOffset>24130</wp:posOffset>
                </wp:positionV>
                <wp:extent cx="2482850" cy="0"/>
                <wp:wrapNone/>
                <wp:docPr id="221" name="Shape 22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48285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221" o:spid="_x0000_s124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06.85pt,1.9pt" to="502.35pt,1.9pt" o:allowincell="f" strokecolor="#000000" strokeweight="1pt"/>
            </w:pict>
          </mc:Fallback>
        </mc:AlternateContent>
      </w:r>
    </w:p>
    <w:p>
      <w:pPr>
        <w:spacing w:after="0" w:line="46" w:lineRule="exact"/>
        <w:rPr>
          <w:sz w:val="20"/>
          <w:szCs w:val="20"/>
          <w:color w:val="auto"/>
        </w:rPr>
      </w:pPr>
    </w:p>
    <w:tbl>
      <w:tblPr>
        <w:tblLayout w:type="fixed"/>
        <w:tblInd w:w="40" w:type="dxa"/>
        <w:tblCellMar>
          <w:top w:w="0" w:type="dxa"/>
          <w:left w:w="0" w:type="dxa"/>
          <w:bottom w:w="0" w:type="dxa"/>
          <w:right w:w="0" w:type="dxa"/>
        </w:tblCellMar>
      </w:tblPr>
      <w:tr>
        <w:trPr>
          <w:trHeight w:val="213"/>
        </w:trPr>
        <w:tc>
          <w:tcPr>
            <w:tcW w:w="6100" w:type="dxa"/>
            <w:vAlign w:val="bottom"/>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2025</w:t>
            </w:r>
          </w:p>
        </w:tc>
        <w:tc>
          <w:tcPr>
            <w:tcW w:w="3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2024</w:t>
            </w:r>
          </w:p>
        </w:tc>
        <w:tc>
          <w:tcPr>
            <w:tcW w:w="48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060" w:type="dxa"/>
            <w:vAlign w:val="bottom"/>
            <w:tcBorders>
              <w:bottom w:val="single" w:sz="8" w:color="auto"/>
            </w:tcBorders>
          </w:tcPr>
          <w:p>
            <w:pPr>
              <w:jc w:val="right"/>
              <w:ind w:right="222"/>
              <w:spacing w:after="0"/>
              <w:rPr>
                <w:sz w:val="20"/>
                <w:szCs w:val="20"/>
                <w:color w:val="auto"/>
              </w:rPr>
            </w:pPr>
            <w:r>
              <w:rPr>
                <w:rFonts w:ascii="Arial" w:cs="Arial" w:eastAsia="Arial" w:hAnsi="Arial"/>
                <w:sz w:val="16"/>
                <w:szCs w:val="16"/>
                <w:b w:val="1"/>
                <w:bCs w:val="1"/>
                <w:color w:val="auto"/>
              </w:rPr>
              <w:t>2023</w:t>
            </w:r>
          </w:p>
        </w:tc>
        <w:tc>
          <w:tcPr>
            <w:tcW w:w="160" w:type="dxa"/>
            <w:vAlign w:val="bottom"/>
            <w:tcBorders>
              <w:bottom w:val="single" w:sz="8" w:color="auto"/>
            </w:tcBorders>
          </w:tcPr>
          <w:p>
            <w:pPr>
              <w:spacing w:after="0"/>
              <w:rPr>
                <w:sz w:val="18"/>
                <w:szCs w:val="18"/>
                <w:color w:val="auto"/>
              </w:rPr>
            </w:pPr>
          </w:p>
        </w:tc>
      </w:tr>
      <w:tr>
        <w:trPr>
          <w:trHeight w:val="223"/>
        </w:trPr>
        <w:tc>
          <w:tcPr>
            <w:tcW w:w="6900" w:type="dxa"/>
            <w:vAlign w:val="bottom"/>
            <w:gridSpan w:val="2"/>
          </w:tcPr>
          <w:p>
            <w:pPr>
              <w:spacing w:after="0"/>
              <w:rPr>
                <w:sz w:val="20"/>
                <w:szCs w:val="20"/>
                <w:color w:val="auto"/>
              </w:rPr>
            </w:pPr>
            <w:r>
              <w:rPr>
                <w:rFonts w:ascii="Arial" w:cs="Arial" w:eastAsia="Arial" w:hAnsi="Arial"/>
                <w:sz w:val="16"/>
                <w:szCs w:val="16"/>
                <w:b w:val="1"/>
                <w:bCs w:val="1"/>
                <w:color w:val="auto"/>
              </w:rPr>
              <w:t>Traditional life</w:t>
            </w: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250"/>
        </w:trPr>
        <w:tc>
          <w:tcPr>
            <w:tcW w:w="6900" w:type="dxa"/>
            <w:vAlign w:val="bottom"/>
            <w:gridSpan w:val="2"/>
          </w:tcPr>
          <w:p>
            <w:pPr>
              <w:ind w:left="120"/>
              <w:spacing w:after="0"/>
              <w:rPr>
                <w:sz w:val="20"/>
                <w:szCs w:val="20"/>
                <w:color w:val="auto"/>
              </w:rPr>
            </w:pPr>
            <w:r>
              <w:rPr>
                <w:rFonts w:ascii="Arial" w:cs="Arial" w:eastAsia="Arial" w:hAnsi="Arial"/>
                <w:sz w:val="16"/>
                <w:szCs w:val="16"/>
                <w:color w:val="auto"/>
              </w:rPr>
              <w:t>Interest accretion rate</w:t>
            </w:r>
          </w:p>
        </w:tc>
        <w:tc>
          <w:tcPr>
            <w:tcW w:w="300" w:type="dxa"/>
            <w:vAlign w:val="bottom"/>
          </w:tcPr>
          <w:p>
            <w:pPr>
              <w:jc w:val="right"/>
              <w:spacing w:after="0"/>
              <w:rPr>
                <w:sz w:val="20"/>
                <w:szCs w:val="20"/>
                <w:color w:val="auto"/>
              </w:rPr>
            </w:pPr>
            <w:r>
              <w:rPr>
                <w:rFonts w:ascii="Arial" w:cs="Arial" w:eastAsia="Arial" w:hAnsi="Arial"/>
                <w:sz w:val="16"/>
                <w:szCs w:val="16"/>
                <w:color w:val="auto"/>
                <w:w w:val="83"/>
              </w:rPr>
              <w:t>2.35</w:t>
            </w:r>
          </w:p>
        </w:tc>
        <w:tc>
          <w:tcPr>
            <w:tcW w:w="180" w:type="dxa"/>
            <w:vAlign w:val="bottom"/>
          </w:tcPr>
          <w:p>
            <w:pPr>
              <w:jc w:val="right"/>
              <w:spacing w:after="0"/>
              <w:rPr>
                <w:sz w:val="20"/>
                <w:szCs w:val="20"/>
                <w:color w:val="auto"/>
              </w:rPr>
            </w:pPr>
            <w:r>
              <w:rPr>
                <w:rFonts w:ascii="Arial" w:cs="Arial" w:eastAsia="Arial" w:hAnsi="Arial"/>
                <w:sz w:val="16"/>
                <w:szCs w:val="16"/>
                <w:color w:val="auto"/>
                <w:w w:val="98"/>
              </w:rPr>
              <w:t>%</w:t>
            </w:r>
          </w:p>
        </w:tc>
        <w:tc>
          <w:tcPr>
            <w:tcW w:w="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w w:val="88"/>
              </w:rPr>
              <w:t>2.34 %</w:t>
            </w:r>
          </w:p>
        </w:tc>
        <w:tc>
          <w:tcPr>
            <w:tcW w:w="1120" w:type="dxa"/>
            <w:vAlign w:val="bottom"/>
            <w:gridSpan w:val="2"/>
          </w:tcPr>
          <w:p>
            <w:pPr>
              <w:jc w:val="right"/>
              <w:spacing w:after="0"/>
              <w:rPr>
                <w:sz w:val="20"/>
                <w:szCs w:val="20"/>
                <w:color w:val="auto"/>
              </w:rPr>
            </w:pPr>
            <w:r>
              <w:rPr>
                <w:rFonts w:ascii="Arial" w:cs="Arial" w:eastAsia="Arial" w:hAnsi="Arial"/>
                <w:sz w:val="16"/>
                <w:szCs w:val="16"/>
                <w:color w:val="auto"/>
              </w:rPr>
              <w:t>2.33</w:t>
            </w:r>
          </w:p>
        </w:tc>
        <w:tc>
          <w:tcPr>
            <w:tcW w:w="160" w:type="dxa"/>
            <w:vAlign w:val="bottom"/>
          </w:tcPr>
          <w:p>
            <w:pPr>
              <w:jc w:val="right"/>
              <w:spacing w:after="0"/>
              <w:rPr>
                <w:sz w:val="20"/>
                <w:szCs w:val="20"/>
                <w:color w:val="auto"/>
              </w:rPr>
            </w:pPr>
            <w:r>
              <w:rPr>
                <w:rFonts w:ascii="Arial" w:cs="Arial" w:eastAsia="Arial" w:hAnsi="Arial"/>
                <w:sz w:val="16"/>
                <w:szCs w:val="16"/>
                <w:color w:val="auto"/>
                <w:w w:val="98"/>
              </w:rPr>
              <w:t>%</w:t>
            </w:r>
          </w:p>
        </w:tc>
      </w:tr>
      <w:tr>
        <w:trPr>
          <w:trHeight w:val="250"/>
        </w:trPr>
        <w:tc>
          <w:tcPr>
            <w:tcW w:w="6900" w:type="dxa"/>
            <w:vAlign w:val="bottom"/>
            <w:gridSpan w:val="2"/>
          </w:tcPr>
          <w:p>
            <w:pPr>
              <w:ind w:left="120"/>
              <w:spacing w:after="0"/>
              <w:rPr>
                <w:sz w:val="20"/>
                <w:szCs w:val="20"/>
                <w:color w:val="auto"/>
              </w:rPr>
            </w:pPr>
            <w:r>
              <w:rPr>
                <w:rFonts w:ascii="Arial" w:cs="Arial" w:eastAsia="Arial" w:hAnsi="Arial"/>
                <w:sz w:val="16"/>
                <w:szCs w:val="16"/>
                <w:color w:val="auto"/>
              </w:rPr>
              <w:t>Current discount rate</w:t>
            </w:r>
          </w:p>
        </w:tc>
        <w:tc>
          <w:tcPr>
            <w:tcW w:w="480" w:type="dxa"/>
            <w:vAlign w:val="bottom"/>
            <w:gridSpan w:val="2"/>
          </w:tcPr>
          <w:p>
            <w:pPr>
              <w:jc w:val="right"/>
              <w:spacing w:after="0"/>
              <w:rPr>
                <w:sz w:val="20"/>
                <w:szCs w:val="20"/>
                <w:color w:val="auto"/>
              </w:rPr>
            </w:pPr>
            <w:r>
              <w:rPr>
                <w:rFonts w:ascii="Arial" w:cs="Arial" w:eastAsia="Arial" w:hAnsi="Arial"/>
                <w:sz w:val="16"/>
                <w:szCs w:val="16"/>
                <w:color w:val="auto"/>
                <w:w w:val="88"/>
              </w:rPr>
              <w:t>4.77 %</w:t>
            </w:r>
          </w:p>
        </w:tc>
        <w:tc>
          <w:tcPr>
            <w:tcW w:w="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w w:val="88"/>
              </w:rPr>
              <w:t>5.44 %</w:t>
            </w:r>
          </w:p>
        </w:tc>
        <w:tc>
          <w:tcPr>
            <w:tcW w:w="1280" w:type="dxa"/>
            <w:vAlign w:val="bottom"/>
            <w:gridSpan w:val="3"/>
          </w:tcPr>
          <w:p>
            <w:pPr>
              <w:jc w:val="right"/>
              <w:spacing w:after="0"/>
              <w:rPr>
                <w:sz w:val="20"/>
                <w:szCs w:val="20"/>
                <w:color w:val="auto"/>
              </w:rPr>
            </w:pPr>
            <w:r>
              <w:rPr>
                <w:rFonts w:ascii="Arial" w:cs="Arial" w:eastAsia="Arial" w:hAnsi="Arial"/>
                <w:sz w:val="16"/>
                <w:szCs w:val="16"/>
                <w:color w:val="auto"/>
              </w:rPr>
              <w:t>5.03 %</w:t>
            </w:r>
          </w:p>
        </w:tc>
      </w:tr>
      <w:tr>
        <w:trPr>
          <w:trHeight w:val="250"/>
        </w:trPr>
        <w:tc>
          <w:tcPr>
            <w:tcW w:w="6900" w:type="dxa"/>
            <w:vAlign w:val="bottom"/>
            <w:gridSpan w:val="2"/>
          </w:tcPr>
          <w:p>
            <w:pPr>
              <w:spacing w:after="0"/>
              <w:rPr>
                <w:sz w:val="20"/>
                <w:szCs w:val="20"/>
                <w:color w:val="auto"/>
              </w:rPr>
            </w:pPr>
            <w:r>
              <w:rPr>
                <w:rFonts w:ascii="Arial" w:cs="Arial" w:eastAsia="Arial" w:hAnsi="Arial"/>
                <w:sz w:val="16"/>
                <w:szCs w:val="16"/>
                <w:b w:val="1"/>
                <w:bCs w:val="1"/>
                <w:color w:val="auto"/>
              </w:rPr>
              <w:t>Immediate annuities</w:t>
            </w:r>
          </w:p>
        </w:tc>
        <w:tc>
          <w:tcPr>
            <w:tcW w:w="3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60" w:type="dxa"/>
            <w:vAlign w:val="bottom"/>
          </w:tcPr>
          <w:p>
            <w:pPr>
              <w:spacing w:after="0"/>
              <w:rPr>
                <w:sz w:val="21"/>
                <w:szCs w:val="21"/>
                <w:color w:val="auto"/>
              </w:rPr>
            </w:pPr>
          </w:p>
        </w:tc>
      </w:tr>
      <w:tr>
        <w:trPr>
          <w:trHeight w:val="250"/>
        </w:trPr>
        <w:tc>
          <w:tcPr>
            <w:tcW w:w="6900" w:type="dxa"/>
            <w:vAlign w:val="bottom"/>
            <w:gridSpan w:val="2"/>
          </w:tcPr>
          <w:p>
            <w:pPr>
              <w:ind w:left="120"/>
              <w:spacing w:after="0"/>
              <w:rPr>
                <w:sz w:val="20"/>
                <w:szCs w:val="20"/>
                <w:color w:val="auto"/>
              </w:rPr>
            </w:pPr>
            <w:r>
              <w:rPr>
                <w:rFonts w:ascii="Arial" w:cs="Arial" w:eastAsia="Arial" w:hAnsi="Arial"/>
                <w:sz w:val="16"/>
                <w:szCs w:val="16"/>
                <w:color w:val="auto"/>
              </w:rPr>
              <w:t>Interest accretion rate</w:t>
            </w:r>
          </w:p>
        </w:tc>
        <w:tc>
          <w:tcPr>
            <w:tcW w:w="300" w:type="dxa"/>
            <w:vAlign w:val="bottom"/>
          </w:tcPr>
          <w:p>
            <w:pPr>
              <w:jc w:val="right"/>
              <w:spacing w:after="0"/>
              <w:rPr>
                <w:sz w:val="20"/>
                <w:szCs w:val="20"/>
                <w:color w:val="auto"/>
              </w:rPr>
            </w:pPr>
            <w:r>
              <w:rPr>
                <w:rFonts w:ascii="Arial" w:cs="Arial" w:eastAsia="Arial" w:hAnsi="Arial"/>
                <w:sz w:val="16"/>
                <w:szCs w:val="16"/>
                <w:color w:val="auto"/>
                <w:w w:val="83"/>
              </w:rPr>
              <w:t>3.20</w:t>
            </w:r>
          </w:p>
        </w:tc>
        <w:tc>
          <w:tcPr>
            <w:tcW w:w="180" w:type="dxa"/>
            <w:vAlign w:val="bottom"/>
          </w:tcPr>
          <w:p>
            <w:pPr>
              <w:jc w:val="right"/>
              <w:spacing w:after="0"/>
              <w:rPr>
                <w:sz w:val="20"/>
                <w:szCs w:val="20"/>
                <w:color w:val="auto"/>
              </w:rPr>
            </w:pPr>
            <w:r>
              <w:rPr>
                <w:rFonts w:ascii="Arial" w:cs="Arial" w:eastAsia="Arial" w:hAnsi="Arial"/>
                <w:sz w:val="16"/>
                <w:szCs w:val="16"/>
                <w:color w:val="auto"/>
                <w:w w:val="98"/>
              </w:rPr>
              <w:t>%</w:t>
            </w:r>
          </w:p>
        </w:tc>
        <w:tc>
          <w:tcPr>
            <w:tcW w:w="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w w:val="88"/>
              </w:rPr>
              <w:t>3.17 %</w:t>
            </w:r>
          </w:p>
        </w:tc>
        <w:tc>
          <w:tcPr>
            <w:tcW w:w="1120" w:type="dxa"/>
            <w:vAlign w:val="bottom"/>
            <w:gridSpan w:val="2"/>
          </w:tcPr>
          <w:p>
            <w:pPr>
              <w:jc w:val="right"/>
              <w:spacing w:after="0"/>
              <w:rPr>
                <w:sz w:val="20"/>
                <w:szCs w:val="20"/>
                <w:color w:val="auto"/>
              </w:rPr>
            </w:pPr>
            <w:r>
              <w:rPr>
                <w:rFonts w:ascii="Arial" w:cs="Arial" w:eastAsia="Arial" w:hAnsi="Arial"/>
                <w:sz w:val="16"/>
                <w:szCs w:val="16"/>
                <w:color w:val="auto"/>
              </w:rPr>
              <w:t>3.14</w:t>
            </w:r>
          </w:p>
        </w:tc>
        <w:tc>
          <w:tcPr>
            <w:tcW w:w="160" w:type="dxa"/>
            <w:vAlign w:val="bottom"/>
          </w:tcPr>
          <w:p>
            <w:pPr>
              <w:jc w:val="right"/>
              <w:spacing w:after="0"/>
              <w:rPr>
                <w:sz w:val="20"/>
                <w:szCs w:val="20"/>
                <w:color w:val="auto"/>
              </w:rPr>
            </w:pPr>
            <w:r>
              <w:rPr>
                <w:rFonts w:ascii="Arial" w:cs="Arial" w:eastAsia="Arial" w:hAnsi="Arial"/>
                <w:sz w:val="16"/>
                <w:szCs w:val="16"/>
                <w:color w:val="auto"/>
                <w:w w:val="98"/>
              </w:rPr>
              <w:t>%</w:t>
            </w:r>
          </w:p>
        </w:tc>
      </w:tr>
      <w:tr>
        <w:trPr>
          <w:trHeight w:val="250"/>
        </w:trPr>
        <w:tc>
          <w:tcPr>
            <w:tcW w:w="6900" w:type="dxa"/>
            <w:vAlign w:val="bottom"/>
            <w:gridSpan w:val="2"/>
          </w:tcPr>
          <w:p>
            <w:pPr>
              <w:ind w:left="120"/>
              <w:spacing w:after="0"/>
              <w:rPr>
                <w:sz w:val="20"/>
                <w:szCs w:val="20"/>
                <w:color w:val="auto"/>
              </w:rPr>
            </w:pPr>
            <w:r>
              <w:rPr>
                <w:rFonts w:ascii="Arial" w:cs="Arial" w:eastAsia="Arial" w:hAnsi="Arial"/>
                <w:sz w:val="16"/>
                <w:szCs w:val="16"/>
                <w:color w:val="auto"/>
              </w:rPr>
              <w:t>Current discount rate</w:t>
            </w:r>
          </w:p>
        </w:tc>
        <w:tc>
          <w:tcPr>
            <w:tcW w:w="480" w:type="dxa"/>
            <w:vAlign w:val="bottom"/>
            <w:gridSpan w:val="2"/>
          </w:tcPr>
          <w:p>
            <w:pPr>
              <w:jc w:val="right"/>
              <w:spacing w:after="0"/>
              <w:rPr>
                <w:sz w:val="20"/>
                <w:szCs w:val="20"/>
                <w:color w:val="auto"/>
              </w:rPr>
            </w:pPr>
            <w:r>
              <w:rPr>
                <w:rFonts w:ascii="Arial" w:cs="Arial" w:eastAsia="Arial" w:hAnsi="Arial"/>
                <w:sz w:val="16"/>
                <w:szCs w:val="16"/>
                <w:color w:val="auto"/>
                <w:w w:val="88"/>
              </w:rPr>
              <w:t>5.29 %</w:t>
            </w:r>
          </w:p>
        </w:tc>
        <w:tc>
          <w:tcPr>
            <w:tcW w:w="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w w:val="88"/>
              </w:rPr>
              <w:t>5.45 %</w:t>
            </w:r>
          </w:p>
        </w:tc>
        <w:tc>
          <w:tcPr>
            <w:tcW w:w="1280" w:type="dxa"/>
            <w:vAlign w:val="bottom"/>
            <w:gridSpan w:val="3"/>
          </w:tcPr>
          <w:p>
            <w:pPr>
              <w:jc w:val="right"/>
              <w:spacing w:after="0"/>
              <w:rPr>
                <w:sz w:val="20"/>
                <w:szCs w:val="20"/>
                <w:color w:val="auto"/>
              </w:rPr>
            </w:pPr>
            <w:r>
              <w:rPr>
                <w:rFonts w:ascii="Arial" w:cs="Arial" w:eastAsia="Arial" w:hAnsi="Arial"/>
                <w:sz w:val="16"/>
                <w:szCs w:val="16"/>
                <w:color w:val="auto"/>
              </w:rPr>
              <w:t>4.98 %</w:t>
            </w:r>
          </w:p>
        </w:tc>
      </w:tr>
      <w:tr>
        <w:trPr>
          <w:trHeight w:val="250"/>
        </w:trPr>
        <w:tc>
          <w:tcPr>
            <w:tcW w:w="6900" w:type="dxa"/>
            <w:vAlign w:val="bottom"/>
            <w:gridSpan w:val="2"/>
          </w:tcPr>
          <w:p>
            <w:pPr>
              <w:spacing w:after="0"/>
              <w:rPr>
                <w:sz w:val="20"/>
                <w:szCs w:val="20"/>
                <w:color w:val="auto"/>
              </w:rPr>
            </w:pPr>
            <w:r>
              <w:rPr>
                <w:rFonts w:ascii="Arial" w:cs="Arial" w:eastAsia="Arial" w:hAnsi="Arial"/>
                <w:sz w:val="16"/>
                <w:szCs w:val="16"/>
                <w:b w:val="1"/>
                <w:bCs w:val="1"/>
                <w:color w:val="auto"/>
              </w:rPr>
              <w:t>PRT</w:t>
            </w:r>
          </w:p>
        </w:tc>
        <w:tc>
          <w:tcPr>
            <w:tcW w:w="3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60" w:type="dxa"/>
            <w:vAlign w:val="bottom"/>
          </w:tcPr>
          <w:p>
            <w:pPr>
              <w:spacing w:after="0"/>
              <w:rPr>
                <w:sz w:val="21"/>
                <w:szCs w:val="21"/>
                <w:color w:val="auto"/>
              </w:rPr>
            </w:pPr>
          </w:p>
        </w:tc>
      </w:tr>
      <w:tr>
        <w:trPr>
          <w:trHeight w:val="250"/>
        </w:trPr>
        <w:tc>
          <w:tcPr>
            <w:tcW w:w="6900" w:type="dxa"/>
            <w:vAlign w:val="bottom"/>
            <w:gridSpan w:val="2"/>
          </w:tcPr>
          <w:p>
            <w:pPr>
              <w:ind w:left="120"/>
              <w:spacing w:after="0"/>
              <w:rPr>
                <w:sz w:val="20"/>
                <w:szCs w:val="20"/>
                <w:color w:val="auto"/>
              </w:rPr>
            </w:pPr>
            <w:r>
              <w:rPr>
                <w:rFonts w:ascii="Arial" w:cs="Arial" w:eastAsia="Arial" w:hAnsi="Arial"/>
                <w:sz w:val="16"/>
                <w:szCs w:val="16"/>
                <w:color w:val="auto"/>
              </w:rPr>
              <w:t>Interest accretion rate</w:t>
            </w:r>
          </w:p>
        </w:tc>
        <w:tc>
          <w:tcPr>
            <w:tcW w:w="300" w:type="dxa"/>
            <w:vAlign w:val="bottom"/>
          </w:tcPr>
          <w:p>
            <w:pPr>
              <w:jc w:val="right"/>
              <w:spacing w:after="0"/>
              <w:rPr>
                <w:sz w:val="20"/>
                <w:szCs w:val="20"/>
                <w:color w:val="auto"/>
              </w:rPr>
            </w:pPr>
            <w:r>
              <w:rPr>
                <w:rFonts w:ascii="Arial" w:cs="Arial" w:eastAsia="Arial" w:hAnsi="Arial"/>
                <w:sz w:val="16"/>
                <w:szCs w:val="16"/>
                <w:color w:val="auto"/>
                <w:w w:val="83"/>
              </w:rPr>
              <w:t>4.87</w:t>
            </w:r>
          </w:p>
        </w:tc>
        <w:tc>
          <w:tcPr>
            <w:tcW w:w="180" w:type="dxa"/>
            <w:vAlign w:val="bottom"/>
          </w:tcPr>
          <w:p>
            <w:pPr>
              <w:jc w:val="right"/>
              <w:spacing w:after="0"/>
              <w:rPr>
                <w:sz w:val="20"/>
                <w:szCs w:val="20"/>
                <w:color w:val="auto"/>
              </w:rPr>
            </w:pPr>
            <w:r>
              <w:rPr>
                <w:rFonts w:ascii="Arial" w:cs="Arial" w:eastAsia="Arial" w:hAnsi="Arial"/>
                <w:sz w:val="16"/>
                <w:szCs w:val="16"/>
                <w:color w:val="auto"/>
                <w:w w:val="98"/>
              </w:rPr>
              <w:t>%</w:t>
            </w:r>
          </w:p>
        </w:tc>
        <w:tc>
          <w:tcPr>
            <w:tcW w:w="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w w:val="88"/>
              </w:rPr>
              <w:t>4.72 %</w:t>
            </w:r>
          </w:p>
        </w:tc>
        <w:tc>
          <w:tcPr>
            <w:tcW w:w="1120" w:type="dxa"/>
            <w:vAlign w:val="bottom"/>
            <w:gridSpan w:val="2"/>
          </w:tcPr>
          <w:p>
            <w:pPr>
              <w:jc w:val="right"/>
              <w:spacing w:after="0"/>
              <w:rPr>
                <w:sz w:val="20"/>
                <w:szCs w:val="20"/>
                <w:color w:val="auto"/>
              </w:rPr>
            </w:pPr>
            <w:r>
              <w:rPr>
                <w:rFonts w:ascii="Arial" w:cs="Arial" w:eastAsia="Arial" w:hAnsi="Arial"/>
                <w:sz w:val="16"/>
                <w:szCs w:val="16"/>
                <w:color w:val="auto"/>
              </w:rPr>
              <w:t>4.61</w:t>
            </w:r>
          </w:p>
        </w:tc>
        <w:tc>
          <w:tcPr>
            <w:tcW w:w="160" w:type="dxa"/>
            <w:vAlign w:val="bottom"/>
          </w:tcPr>
          <w:p>
            <w:pPr>
              <w:jc w:val="right"/>
              <w:spacing w:after="0"/>
              <w:rPr>
                <w:sz w:val="20"/>
                <w:szCs w:val="20"/>
                <w:color w:val="auto"/>
              </w:rPr>
            </w:pPr>
            <w:r>
              <w:rPr>
                <w:rFonts w:ascii="Arial" w:cs="Arial" w:eastAsia="Arial" w:hAnsi="Arial"/>
                <w:sz w:val="16"/>
                <w:szCs w:val="16"/>
                <w:color w:val="auto"/>
                <w:w w:val="98"/>
              </w:rPr>
              <w:t>%</w:t>
            </w:r>
          </w:p>
        </w:tc>
      </w:tr>
      <w:tr>
        <w:trPr>
          <w:trHeight w:val="250"/>
        </w:trPr>
        <w:tc>
          <w:tcPr>
            <w:tcW w:w="6900" w:type="dxa"/>
            <w:vAlign w:val="bottom"/>
            <w:gridSpan w:val="2"/>
          </w:tcPr>
          <w:p>
            <w:pPr>
              <w:ind w:left="120"/>
              <w:spacing w:after="0"/>
              <w:rPr>
                <w:sz w:val="20"/>
                <w:szCs w:val="20"/>
                <w:color w:val="auto"/>
              </w:rPr>
            </w:pPr>
            <w:r>
              <w:rPr>
                <w:rFonts w:ascii="Arial" w:cs="Arial" w:eastAsia="Arial" w:hAnsi="Arial"/>
                <w:sz w:val="16"/>
                <w:szCs w:val="16"/>
                <w:color w:val="auto"/>
              </w:rPr>
              <w:t>Current discount rate</w:t>
            </w:r>
          </w:p>
        </w:tc>
        <w:tc>
          <w:tcPr>
            <w:tcW w:w="480" w:type="dxa"/>
            <w:vAlign w:val="bottom"/>
            <w:gridSpan w:val="2"/>
          </w:tcPr>
          <w:p>
            <w:pPr>
              <w:jc w:val="right"/>
              <w:spacing w:after="0"/>
              <w:rPr>
                <w:sz w:val="20"/>
                <w:szCs w:val="20"/>
                <w:color w:val="auto"/>
              </w:rPr>
            </w:pPr>
            <w:r>
              <w:rPr>
                <w:rFonts w:ascii="Arial" w:cs="Arial" w:eastAsia="Arial" w:hAnsi="Arial"/>
                <w:sz w:val="16"/>
                <w:szCs w:val="16"/>
                <w:color w:val="auto"/>
                <w:w w:val="88"/>
              </w:rPr>
              <w:t>4.98 %</w:t>
            </w:r>
          </w:p>
        </w:tc>
        <w:tc>
          <w:tcPr>
            <w:tcW w:w="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w w:val="88"/>
              </w:rPr>
              <w:t>5.54 %</w:t>
            </w:r>
          </w:p>
        </w:tc>
        <w:tc>
          <w:tcPr>
            <w:tcW w:w="1280" w:type="dxa"/>
            <w:vAlign w:val="bottom"/>
            <w:gridSpan w:val="3"/>
          </w:tcPr>
          <w:p>
            <w:pPr>
              <w:jc w:val="right"/>
              <w:spacing w:after="0"/>
              <w:rPr>
                <w:sz w:val="20"/>
                <w:szCs w:val="20"/>
                <w:color w:val="auto"/>
              </w:rPr>
            </w:pPr>
            <w:r>
              <w:rPr>
                <w:rFonts w:ascii="Arial" w:cs="Arial" w:eastAsia="Arial" w:hAnsi="Arial"/>
                <w:sz w:val="16"/>
                <w:szCs w:val="16"/>
                <w:color w:val="auto"/>
              </w:rPr>
              <w:t>5.03 %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-1270635</wp:posOffset>
            </wp:positionV>
            <wp:extent cx="6410325" cy="129476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179">
                      <a:extLst>
                        <a:ext uri="{28A0092B-C50C-407E-A947-70E740481C1C}"/>
                      </a:extLst>
                    </a:blip>
                    <a:srcRect/>
                    <a:stretch>
                      <a:fillRect/>
                    </a:stretch>
                  </pic:blipFill>
                  <pic:spPr bwMode="auto">
                    <a:xfrm>
                      <a:off x="0" y="0"/>
                      <a:ext cx="6410325" cy="1294765"/>
                    </a:xfrm>
                    <a:prstGeom prst="rect">
                      <a:avLst/>
                    </a:prstGeom>
                    <a:noFill/>
                  </pic:spPr>
                </pic:pic>
              </a:graphicData>
            </a:graphic>
          </wp:anchor>
        </w:drawing>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tables summarize the actual experience and expected experience for mortality and lapses of the FPB:</w:t>
      </w:r>
    </w:p>
    <w:p>
      <w:pPr>
        <w:spacing w:after="0" w:line="363" w:lineRule="exact"/>
        <w:rPr>
          <w:sz w:val="20"/>
          <w:szCs w:val="20"/>
          <w:color w:val="auto"/>
        </w:rPr>
      </w:pPr>
    </w:p>
    <w:tbl>
      <w:tblPr>
        <w:tblLayout w:type="fixed"/>
        <w:tblInd w:w="40" w:type="dxa"/>
        <w:tblCellMar>
          <w:top w:w="0" w:type="dxa"/>
          <w:left w:w="0" w:type="dxa"/>
          <w:bottom w:w="0" w:type="dxa"/>
          <w:right w:w="0" w:type="dxa"/>
        </w:tblCellMar>
      </w:tblPr>
      <w:tr>
        <w:trPr>
          <w:trHeight w:val="213"/>
        </w:trPr>
        <w:tc>
          <w:tcPr>
            <w:tcW w:w="2040" w:type="dxa"/>
            <w:vAlign w:val="bottom"/>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December 31,</w:t>
            </w:r>
          </w:p>
        </w:tc>
        <w:tc>
          <w:tcPr>
            <w:tcW w:w="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40" w:type="dxa"/>
            <w:vAlign w:val="bottom"/>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gridSpan w:val="2"/>
          </w:tcPr>
          <w:p>
            <w:pPr>
              <w:jc w:val="right"/>
              <w:ind w:right="242"/>
              <w:spacing w:after="0"/>
              <w:rPr>
                <w:sz w:val="20"/>
                <w:szCs w:val="20"/>
                <w:color w:val="auto"/>
              </w:rPr>
            </w:pPr>
            <w:r>
              <w:rPr>
                <w:rFonts w:ascii="Arial" w:cs="Arial" w:eastAsia="Arial" w:hAnsi="Arial"/>
                <w:sz w:val="16"/>
                <w:szCs w:val="16"/>
                <w:b w:val="1"/>
                <w:bCs w:val="1"/>
                <w:color w:val="auto"/>
              </w:rPr>
              <w:t>2025</w:t>
            </w:r>
          </w:p>
        </w:tc>
        <w:tc>
          <w:tcPr>
            <w:tcW w:w="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gridSpan w:val="2"/>
          </w:tcPr>
          <w:p>
            <w:pPr>
              <w:jc w:val="right"/>
              <w:ind w:right="242"/>
              <w:spacing w:after="0"/>
              <w:rPr>
                <w:sz w:val="20"/>
                <w:szCs w:val="20"/>
                <w:color w:val="auto"/>
              </w:rPr>
            </w:pPr>
            <w:r>
              <w:rPr>
                <w:rFonts w:ascii="Arial" w:cs="Arial" w:eastAsia="Arial" w:hAnsi="Arial"/>
                <w:sz w:val="16"/>
                <w:szCs w:val="16"/>
                <w:b w:val="1"/>
                <w:bCs w:val="1"/>
                <w:color w:val="auto"/>
              </w:rPr>
              <w:t>2024</w:t>
            </w:r>
          </w:p>
        </w:tc>
        <w:tc>
          <w:tcPr>
            <w:tcW w:w="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gridSpan w:val="2"/>
          </w:tcPr>
          <w:p>
            <w:pPr>
              <w:jc w:val="right"/>
              <w:ind w:right="222"/>
              <w:spacing w:after="0"/>
              <w:rPr>
                <w:sz w:val="20"/>
                <w:szCs w:val="20"/>
                <w:color w:val="auto"/>
              </w:rPr>
            </w:pPr>
            <w:r>
              <w:rPr>
                <w:rFonts w:ascii="Arial" w:cs="Arial" w:eastAsia="Arial" w:hAnsi="Arial"/>
                <w:sz w:val="16"/>
                <w:szCs w:val="16"/>
                <w:b w:val="1"/>
                <w:bCs w:val="1"/>
                <w:color w:val="auto"/>
              </w:rPr>
              <w:t>2023</w:t>
            </w:r>
          </w:p>
        </w:tc>
        <w:tc>
          <w:tcPr>
            <w:tcW w:w="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2"/>
        </w:trPr>
        <w:tc>
          <w:tcPr>
            <w:tcW w:w="2040" w:type="dxa"/>
            <w:vAlign w:val="bottom"/>
          </w:tcPr>
          <w:p>
            <w:pPr>
              <w:spacing w:after="0"/>
              <w:rPr>
                <w:sz w:val="15"/>
                <w:szCs w:val="15"/>
                <w:color w:val="auto"/>
              </w:rPr>
            </w:pPr>
          </w:p>
        </w:tc>
        <w:tc>
          <w:tcPr>
            <w:tcW w:w="880" w:type="dxa"/>
            <w:vAlign w:val="bottom"/>
          </w:tcPr>
          <w:p>
            <w:pPr>
              <w:jc w:val="right"/>
              <w:spacing w:after="0" w:line="182" w:lineRule="exact"/>
              <w:rPr>
                <w:sz w:val="20"/>
                <w:szCs w:val="20"/>
                <w:color w:val="auto"/>
              </w:rPr>
            </w:pPr>
            <w:r>
              <w:rPr>
                <w:rFonts w:ascii="Arial" w:cs="Arial" w:eastAsia="Arial" w:hAnsi="Arial"/>
                <w:sz w:val="16"/>
                <w:szCs w:val="16"/>
                <w:b w:val="1"/>
                <w:bCs w:val="1"/>
                <w:color w:val="auto"/>
                <w:w w:val="97"/>
              </w:rPr>
              <w:t>Traditional</w:t>
            </w:r>
          </w:p>
        </w:tc>
        <w:tc>
          <w:tcPr>
            <w:tcW w:w="60" w:type="dxa"/>
            <w:vAlign w:val="bottom"/>
          </w:tcPr>
          <w:p>
            <w:pPr>
              <w:spacing w:after="0"/>
              <w:rPr>
                <w:sz w:val="15"/>
                <w:szCs w:val="15"/>
                <w:color w:val="auto"/>
              </w:rPr>
            </w:pPr>
          </w:p>
        </w:tc>
        <w:tc>
          <w:tcPr>
            <w:tcW w:w="840" w:type="dxa"/>
            <w:vAlign w:val="bottom"/>
          </w:tcPr>
          <w:p>
            <w:pPr>
              <w:jc w:val="right"/>
              <w:spacing w:after="0" w:line="182" w:lineRule="exact"/>
              <w:rPr>
                <w:sz w:val="20"/>
                <w:szCs w:val="20"/>
                <w:color w:val="auto"/>
              </w:rPr>
            </w:pPr>
            <w:r>
              <w:rPr>
                <w:rFonts w:ascii="Arial" w:cs="Arial" w:eastAsia="Arial" w:hAnsi="Arial"/>
                <w:sz w:val="16"/>
                <w:szCs w:val="16"/>
                <w:b w:val="1"/>
                <w:bCs w:val="1"/>
                <w:color w:val="auto"/>
                <w:w w:val="95"/>
              </w:rPr>
              <w:t>Immediate</w:t>
            </w:r>
          </w:p>
        </w:tc>
        <w:tc>
          <w:tcPr>
            <w:tcW w:w="60" w:type="dxa"/>
            <w:vAlign w:val="bottom"/>
          </w:tcPr>
          <w:p>
            <w:pPr>
              <w:spacing w:after="0"/>
              <w:rPr>
                <w:sz w:val="15"/>
                <w:szCs w:val="15"/>
                <w:color w:val="auto"/>
              </w:rPr>
            </w:pPr>
          </w:p>
        </w:tc>
        <w:tc>
          <w:tcPr>
            <w:tcW w:w="780" w:type="dxa"/>
            <w:vAlign w:val="bottom"/>
            <w:vMerge w:val="restart"/>
          </w:tcPr>
          <w:p>
            <w:pPr>
              <w:jc w:val="right"/>
              <w:ind w:right="142"/>
              <w:spacing w:after="0"/>
              <w:rPr>
                <w:sz w:val="20"/>
                <w:szCs w:val="20"/>
                <w:color w:val="auto"/>
              </w:rPr>
            </w:pPr>
            <w:r>
              <w:rPr>
                <w:rFonts w:ascii="Arial" w:cs="Arial" w:eastAsia="Arial" w:hAnsi="Arial"/>
                <w:sz w:val="16"/>
                <w:szCs w:val="16"/>
                <w:b w:val="1"/>
                <w:bCs w:val="1"/>
                <w:color w:val="auto"/>
              </w:rPr>
              <w:t>PRT</w:t>
            </w:r>
          </w:p>
        </w:tc>
        <w:tc>
          <w:tcPr>
            <w:tcW w:w="60" w:type="dxa"/>
            <w:vAlign w:val="bottom"/>
          </w:tcPr>
          <w:p>
            <w:pPr>
              <w:spacing w:after="0"/>
              <w:rPr>
                <w:sz w:val="15"/>
                <w:szCs w:val="15"/>
                <w:color w:val="auto"/>
              </w:rPr>
            </w:pPr>
          </w:p>
        </w:tc>
        <w:tc>
          <w:tcPr>
            <w:tcW w:w="880" w:type="dxa"/>
            <w:vAlign w:val="bottom"/>
          </w:tcPr>
          <w:p>
            <w:pPr>
              <w:jc w:val="right"/>
              <w:spacing w:after="0" w:line="182" w:lineRule="exact"/>
              <w:rPr>
                <w:sz w:val="20"/>
                <w:szCs w:val="20"/>
                <w:color w:val="auto"/>
              </w:rPr>
            </w:pPr>
            <w:r>
              <w:rPr>
                <w:rFonts w:ascii="Arial" w:cs="Arial" w:eastAsia="Arial" w:hAnsi="Arial"/>
                <w:sz w:val="16"/>
                <w:szCs w:val="16"/>
                <w:b w:val="1"/>
                <w:bCs w:val="1"/>
                <w:color w:val="auto"/>
                <w:w w:val="97"/>
              </w:rPr>
              <w:t>Traditional</w:t>
            </w:r>
          </w:p>
        </w:tc>
        <w:tc>
          <w:tcPr>
            <w:tcW w:w="60" w:type="dxa"/>
            <w:vAlign w:val="bottom"/>
          </w:tcPr>
          <w:p>
            <w:pPr>
              <w:spacing w:after="0"/>
              <w:rPr>
                <w:sz w:val="15"/>
                <w:szCs w:val="15"/>
                <w:color w:val="auto"/>
              </w:rPr>
            </w:pPr>
          </w:p>
        </w:tc>
        <w:tc>
          <w:tcPr>
            <w:tcW w:w="840" w:type="dxa"/>
            <w:vAlign w:val="bottom"/>
          </w:tcPr>
          <w:p>
            <w:pPr>
              <w:jc w:val="right"/>
              <w:spacing w:after="0" w:line="182" w:lineRule="exact"/>
              <w:rPr>
                <w:sz w:val="20"/>
                <w:szCs w:val="20"/>
                <w:color w:val="auto"/>
              </w:rPr>
            </w:pPr>
            <w:r>
              <w:rPr>
                <w:rFonts w:ascii="Arial" w:cs="Arial" w:eastAsia="Arial" w:hAnsi="Arial"/>
                <w:sz w:val="16"/>
                <w:szCs w:val="16"/>
                <w:b w:val="1"/>
                <w:bCs w:val="1"/>
                <w:color w:val="auto"/>
                <w:w w:val="95"/>
              </w:rPr>
              <w:t>Immediate</w:t>
            </w:r>
          </w:p>
        </w:tc>
        <w:tc>
          <w:tcPr>
            <w:tcW w:w="60" w:type="dxa"/>
            <w:vAlign w:val="bottom"/>
          </w:tcPr>
          <w:p>
            <w:pPr>
              <w:spacing w:after="0"/>
              <w:rPr>
                <w:sz w:val="15"/>
                <w:szCs w:val="15"/>
                <w:color w:val="auto"/>
              </w:rPr>
            </w:pPr>
          </w:p>
        </w:tc>
        <w:tc>
          <w:tcPr>
            <w:tcW w:w="780" w:type="dxa"/>
            <w:vAlign w:val="bottom"/>
            <w:vMerge w:val="restart"/>
          </w:tcPr>
          <w:p>
            <w:pPr>
              <w:jc w:val="right"/>
              <w:ind w:right="142"/>
              <w:spacing w:after="0"/>
              <w:rPr>
                <w:sz w:val="20"/>
                <w:szCs w:val="20"/>
                <w:color w:val="auto"/>
              </w:rPr>
            </w:pPr>
            <w:r>
              <w:rPr>
                <w:rFonts w:ascii="Arial" w:cs="Arial" w:eastAsia="Arial" w:hAnsi="Arial"/>
                <w:sz w:val="16"/>
                <w:szCs w:val="16"/>
                <w:b w:val="1"/>
                <w:bCs w:val="1"/>
                <w:color w:val="auto"/>
              </w:rPr>
              <w:t>PRT</w:t>
            </w:r>
          </w:p>
        </w:tc>
        <w:tc>
          <w:tcPr>
            <w:tcW w:w="60" w:type="dxa"/>
            <w:vAlign w:val="bottom"/>
          </w:tcPr>
          <w:p>
            <w:pPr>
              <w:spacing w:after="0"/>
              <w:rPr>
                <w:sz w:val="15"/>
                <w:szCs w:val="15"/>
                <w:color w:val="auto"/>
              </w:rPr>
            </w:pPr>
          </w:p>
        </w:tc>
        <w:tc>
          <w:tcPr>
            <w:tcW w:w="880" w:type="dxa"/>
            <w:vAlign w:val="bottom"/>
          </w:tcPr>
          <w:p>
            <w:pPr>
              <w:jc w:val="right"/>
              <w:spacing w:after="0" w:line="182" w:lineRule="exact"/>
              <w:rPr>
                <w:sz w:val="20"/>
                <w:szCs w:val="20"/>
                <w:color w:val="auto"/>
              </w:rPr>
            </w:pPr>
            <w:r>
              <w:rPr>
                <w:rFonts w:ascii="Arial" w:cs="Arial" w:eastAsia="Arial" w:hAnsi="Arial"/>
                <w:sz w:val="16"/>
                <w:szCs w:val="16"/>
                <w:b w:val="1"/>
                <w:bCs w:val="1"/>
                <w:color w:val="auto"/>
                <w:w w:val="97"/>
              </w:rPr>
              <w:t>Traditional</w:t>
            </w:r>
          </w:p>
        </w:tc>
        <w:tc>
          <w:tcPr>
            <w:tcW w:w="60" w:type="dxa"/>
            <w:vAlign w:val="bottom"/>
          </w:tcPr>
          <w:p>
            <w:pPr>
              <w:spacing w:after="0"/>
              <w:rPr>
                <w:sz w:val="15"/>
                <w:szCs w:val="15"/>
                <w:color w:val="auto"/>
              </w:rPr>
            </w:pPr>
          </w:p>
        </w:tc>
        <w:tc>
          <w:tcPr>
            <w:tcW w:w="820" w:type="dxa"/>
            <w:vAlign w:val="bottom"/>
          </w:tcPr>
          <w:p>
            <w:pPr>
              <w:jc w:val="right"/>
              <w:spacing w:after="0" w:line="182" w:lineRule="exact"/>
              <w:rPr>
                <w:sz w:val="20"/>
                <w:szCs w:val="20"/>
                <w:color w:val="auto"/>
              </w:rPr>
            </w:pPr>
            <w:r>
              <w:rPr>
                <w:rFonts w:ascii="Arial" w:cs="Arial" w:eastAsia="Arial" w:hAnsi="Arial"/>
                <w:sz w:val="16"/>
                <w:szCs w:val="16"/>
                <w:b w:val="1"/>
                <w:bCs w:val="1"/>
                <w:color w:val="auto"/>
                <w:w w:val="95"/>
              </w:rPr>
              <w:t>Immediate</w:t>
            </w:r>
          </w:p>
        </w:tc>
        <w:tc>
          <w:tcPr>
            <w:tcW w:w="60" w:type="dxa"/>
            <w:vAlign w:val="bottom"/>
          </w:tcPr>
          <w:p>
            <w:pPr>
              <w:spacing w:after="0"/>
              <w:rPr>
                <w:sz w:val="15"/>
                <w:szCs w:val="15"/>
                <w:color w:val="auto"/>
              </w:rPr>
            </w:pPr>
          </w:p>
        </w:tc>
        <w:tc>
          <w:tcPr>
            <w:tcW w:w="780" w:type="dxa"/>
            <w:vAlign w:val="bottom"/>
            <w:vMerge w:val="restart"/>
          </w:tcPr>
          <w:p>
            <w:pPr>
              <w:jc w:val="right"/>
              <w:ind w:right="122"/>
              <w:spacing w:after="0"/>
              <w:rPr>
                <w:sz w:val="20"/>
                <w:szCs w:val="20"/>
                <w:color w:val="auto"/>
              </w:rPr>
            </w:pPr>
            <w:r>
              <w:rPr>
                <w:rFonts w:ascii="Arial" w:cs="Arial" w:eastAsia="Arial" w:hAnsi="Arial"/>
                <w:sz w:val="16"/>
                <w:szCs w:val="16"/>
                <w:b w:val="1"/>
                <w:bCs w:val="1"/>
                <w:color w:val="auto"/>
              </w:rPr>
              <w:t>PRT</w:t>
            </w:r>
          </w:p>
        </w:tc>
        <w:tc>
          <w:tcPr>
            <w:tcW w:w="0" w:type="dxa"/>
            <w:vAlign w:val="bottom"/>
          </w:tcPr>
          <w:p>
            <w:pPr>
              <w:spacing w:after="0"/>
              <w:rPr>
                <w:sz w:val="1"/>
                <w:szCs w:val="1"/>
                <w:color w:val="auto"/>
              </w:rPr>
            </w:pPr>
          </w:p>
        </w:tc>
      </w:tr>
      <w:tr>
        <w:trPr>
          <w:trHeight w:val="210"/>
        </w:trPr>
        <w:tc>
          <w:tcPr>
            <w:tcW w:w="2040" w:type="dxa"/>
            <w:vAlign w:val="bottom"/>
          </w:tcPr>
          <w:p>
            <w:pPr>
              <w:spacing w:after="0"/>
              <w:rPr>
                <w:sz w:val="18"/>
                <w:szCs w:val="18"/>
                <w:color w:val="auto"/>
              </w:rPr>
            </w:pPr>
          </w:p>
        </w:tc>
        <w:tc>
          <w:tcPr>
            <w:tcW w:w="880" w:type="dxa"/>
            <w:vAlign w:val="bottom"/>
            <w:tcBorders>
              <w:bottom w:val="single" w:sz="8" w:color="auto"/>
            </w:tcBorders>
          </w:tcPr>
          <w:p>
            <w:pPr>
              <w:jc w:val="right"/>
              <w:ind w:right="262"/>
              <w:spacing w:after="0"/>
              <w:rPr>
                <w:sz w:val="20"/>
                <w:szCs w:val="20"/>
                <w:color w:val="auto"/>
              </w:rPr>
            </w:pPr>
            <w:r>
              <w:rPr>
                <w:rFonts w:ascii="Arial" w:cs="Arial" w:eastAsia="Arial" w:hAnsi="Arial"/>
                <w:sz w:val="16"/>
                <w:szCs w:val="16"/>
                <w:b w:val="1"/>
                <w:bCs w:val="1"/>
                <w:color w:val="auto"/>
              </w:rPr>
              <w:t>life</w:t>
            </w:r>
          </w:p>
        </w:tc>
        <w:tc>
          <w:tcPr>
            <w:tcW w:w="60" w:type="dxa"/>
            <w:vAlign w:val="bottom"/>
          </w:tcPr>
          <w:p>
            <w:pPr>
              <w:spacing w:after="0"/>
              <w:rPr>
                <w:sz w:val="18"/>
                <w:szCs w:val="18"/>
                <w:color w:val="auto"/>
              </w:rPr>
            </w:pPr>
          </w:p>
        </w:tc>
        <w:tc>
          <w:tcPr>
            <w:tcW w:w="84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b w:val="1"/>
                <w:bCs w:val="1"/>
                <w:color w:val="auto"/>
                <w:w w:val="99"/>
              </w:rPr>
              <w:t>annuities</w:t>
            </w:r>
          </w:p>
        </w:tc>
        <w:tc>
          <w:tcPr>
            <w:tcW w:w="60" w:type="dxa"/>
            <w:vAlign w:val="bottom"/>
          </w:tcPr>
          <w:p>
            <w:pPr>
              <w:spacing w:after="0"/>
              <w:rPr>
                <w:sz w:val="18"/>
                <w:szCs w:val="18"/>
                <w:color w:val="auto"/>
              </w:rPr>
            </w:pPr>
          </w:p>
        </w:tc>
        <w:tc>
          <w:tcPr>
            <w:tcW w:w="780" w:type="dxa"/>
            <w:vAlign w:val="bottom"/>
            <w:tcBorders>
              <w:bottom w:val="single" w:sz="8" w:color="auto"/>
            </w:tcBorders>
            <w:vMerge w:val="continue"/>
          </w:tcPr>
          <w:p>
            <w:pPr>
              <w:spacing w:after="0"/>
              <w:rPr>
                <w:sz w:val="18"/>
                <w:szCs w:val="18"/>
                <w:color w:val="auto"/>
              </w:rPr>
            </w:pPr>
          </w:p>
        </w:tc>
        <w:tc>
          <w:tcPr>
            <w:tcW w:w="60" w:type="dxa"/>
            <w:vAlign w:val="bottom"/>
          </w:tcPr>
          <w:p>
            <w:pPr>
              <w:spacing w:after="0"/>
              <w:rPr>
                <w:sz w:val="18"/>
                <w:szCs w:val="18"/>
                <w:color w:val="auto"/>
              </w:rPr>
            </w:pPr>
          </w:p>
        </w:tc>
        <w:tc>
          <w:tcPr>
            <w:tcW w:w="880" w:type="dxa"/>
            <w:vAlign w:val="bottom"/>
            <w:tcBorders>
              <w:bottom w:val="single" w:sz="8" w:color="auto"/>
            </w:tcBorders>
          </w:tcPr>
          <w:p>
            <w:pPr>
              <w:jc w:val="right"/>
              <w:ind w:right="262"/>
              <w:spacing w:after="0"/>
              <w:rPr>
                <w:sz w:val="20"/>
                <w:szCs w:val="20"/>
                <w:color w:val="auto"/>
              </w:rPr>
            </w:pPr>
            <w:r>
              <w:rPr>
                <w:rFonts w:ascii="Arial" w:cs="Arial" w:eastAsia="Arial" w:hAnsi="Arial"/>
                <w:sz w:val="16"/>
                <w:szCs w:val="16"/>
                <w:b w:val="1"/>
                <w:bCs w:val="1"/>
                <w:color w:val="auto"/>
              </w:rPr>
              <w:t>life</w:t>
            </w:r>
          </w:p>
        </w:tc>
        <w:tc>
          <w:tcPr>
            <w:tcW w:w="60" w:type="dxa"/>
            <w:vAlign w:val="bottom"/>
          </w:tcPr>
          <w:p>
            <w:pPr>
              <w:spacing w:after="0"/>
              <w:rPr>
                <w:sz w:val="18"/>
                <w:szCs w:val="18"/>
                <w:color w:val="auto"/>
              </w:rPr>
            </w:pPr>
          </w:p>
        </w:tc>
        <w:tc>
          <w:tcPr>
            <w:tcW w:w="84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b w:val="1"/>
                <w:bCs w:val="1"/>
                <w:color w:val="auto"/>
                <w:w w:val="99"/>
              </w:rPr>
              <w:t>annuities</w:t>
            </w:r>
          </w:p>
        </w:tc>
        <w:tc>
          <w:tcPr>
            <w:tcW w:w="60" w:type="dxa"/>
            <w:vAlign w:val="bottom"/>
          </w:tcPr>
          <w:p>
            <w:pPr>
              <w:spacing w:after="0"/>
              <w:rPr>
                <w:sz w:val="18"/>
                <w:szCs w:val="18"/>
                <w:color w:val="auto"/>
              </w:rPr>
            </w:pPr>
          </w:p>
        </w:tc>
        <w:tc>
          <w:tcPr>
            <w:tcW w:w="780" w:type="dxa"/>
            <w:vAlign w:val="bottom"/>
            <w:tcBorders>
              <w:bottom w:val="single" w:sz="8" w:color="auto"/>
            </w:tcBorders>
            <w:vMerge w:val="continue"/>
          </w:tcPr>
          <w:p>
            <w:pPr>
              <w:spacing w:after="0"/>
              <w:rPr>
                <w:sz w:val="18"/>
                <w:szCs w:val="18"/>
                <w:color w:val="auto"/>
              </w:rPr>
            </w:pPr>
          </w:p>
        </w:tc>
        <w:tc>
          <w:tcPr>
            <w:tcW w:w="60" w:type="dxa"/>
            <w:vAlign w:val="bottom"/>
          </w:tcPr>
          <w:p>
            <w:pPr>
              <w:spacing w:after="0"/>
              <w:rPr>
                <w:sz w:val="18"/>
                <w:szCs w:val="18"/>
                <w:color w:val="auto"/>
              </w:rPr>
            </w:pPr>
          </w:p>
        </w:tc>
        <w:tc>
          <w:tcPr>
            <w:tcW w:w="880" w:type="dxa"/>
            <w:vAlign w:val="bottom"/>
            <w:tcBorders>
              <w:bottom w:val="single" w:sz="8" w:color="auto"/>
            </w:tcBorders>
          </w:tcPr>
          <w:p>
            <w:pPr>
              <w:jc w:val="right"/>
              <w:ind w:right="262"/>
              <w:spacing w:after="0"/>
              <w:rPr>
                <w:sz w:val="20"/>
                <w:szCs w:val="20"/>
                <w:color w:val="auto"/>
              </w:rPr>
            </w:pPr>
            <w:r>
              <w:rPr>
                <w:rFonts w:ascii="Arial" w:cs="Arial" w:eastAsia="Arial" w:hAnsi="Arial"/>
                <w:sz w:val="16"/>
                <w:szCs w:val="16"/>
                <w:b w:val="1"/>
                <w:bCs w:val="1"/>
                <w:color w:val="auto"/>
              </w:rPr>
              <w:t>life</w:t>
            </w:r>
          </w:p>
        </w:tc>
        <w:tc>
          <w:tcPr>
            <w:tcW w:w="60" w:type="dxa"/>
            <w:vAlign w:val="bottom"/>
          </w:tcPr>
          <w:p>
            <w:pPr>
              <w:spacing w:after="0"/>
              <w:rPr>
                <w:sz w:val="18"/>
                <w:szCs w:val="18"/>
                <w:color w:val="auto"/>
              </w:rPr>
            </w:pPr>
          </w:p>
        </w:tc>
        <w:tc>
          <w:tcPr>
            <w:tcW w:w="82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b w:val="1"/>
                <w:bCs w:val="1"/>
                <w:color w:val="auto"/>
                <w:w w:val="99"/>
              </w:rPr>
              <w:t>annuities</w:t>
            </w:r>
          </w:p>
        </w:tc>
        <w:tc>
          <w:tcPr>
            <w:tcW w:w="60" w:type="dxa"/>
            <w:vAlign w:val="bottom"/>
          </w:tcPr>
          <w:p>
            <w:pPr>
              <w:spacing w:after="0"/>
              <w:rPr>
                <w:sz w:val="18"/>
                <w:szCs w:val="18"/>
                <w:color w:val="auto"/>
              </w:rPr>
            </w:pPr>
          </w:p>
        </w:tc>
        <w:tc>
          <w:tcPr>
            <w:tcW w:w="7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40" w:type="dxa"/>
            <w:vAlign w:val="bottom"/>
          </w:tcPr>
          <w:p>
            <w:pPr>
              <w:spacing w:after="0"/>
              <w:rPr>
                <w:sz w:val="20"/>
                <w:szCs w:val="20"/>
                <w:color w:val="auto"/>
              </w:rPr>
            </w:pPr>
            <w:r>
              <w:rPr>
                <w:rFonts w:ascii="Arial" w:cs="Arial" w:eastAsia="Arial" w:hAnsi="Arial"/>
                <w:sz w:val="16"/>
                <w:szCs w:val="16"/>
                <w:b w:val="1"/>
                <w:bCs w:val="1"/>
                <w:color w:val="auto"/>
              </w:rPr>
              <w:t>Mortality</w:t>
            </w:r>
          </w:p>
        </w:tc>
        <w:tc>
          <w:tcPr>
            <w:tcW w:w="8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2040" w:type="dxa"/>
            <w:vAlign w:val="bottom"/>
          </w:tcPr>
          <w:p>
            <w:pPr>
              <w:ind w:left="120"/>
              <w:spacing w:after="0"/>
              <w:rPr>
                <w:sz w:val="20"/>
                <w:szCs w:val="20"/>
                <w:color w:val="auto"/>
              </w:rPr>
            </w:pPr>
            <w:r>
              <w:rPr>
                <w:rFonts w:ascii="Arial" w:cs="Arial" w:eastAsia="Arial" w:hAnsi="Arial"/>
                <w:sz w:val="16"/>
                <w:szCs w:val="16"/>
                <w:color w:val="auto"/>
              </w:rPr>
              <w:t>Actual experience</w:t>
            </w:r>
          </w:p>
        </w:tc>
        <w:tc>
          <w:tcPr>
            <w:tcW w:w="880" w:type="dxa"/>
            <w:vAlign w:val="bottom"/>
          </w:tcPr>
          <w:p>
            <w:pPr>
              <w:jc w:val="right"/>
              <w:spacing w:after="0"/>
              <w:rPr>
                <w:sz w:val="20"/>
                <w:szCs w:val="20"/>
                <w:color w:val="auto"/>
              </w:rPr>
            </w:pPr>
            <w:r>
              <w:rPr>
                <w:rFonts w:ascii="Arial" w:cs="Arial" w:eastAsia="Arial" w:hAnsi="Arial"/>
                <w:sz w:val="16"/>
                <w:szCs w:val="16"/>
                <w:color w:val="auto"/>
              </w:rPr>
              <w:t>2.4 %</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2.4 %</w:t>
            </w:r>
          </w:p>
        </w:tc>
        <w:tc>
          <w:tcPr>
            <w:tcW w:w="840" w:type="dxa"/>
            <w:vAlign w:val="bottom"/>
            <w:gridSpan w:val="2"/>
          </w:tcPr>
          <w:p>
            <w:pPr>
              <w:jc w:val="right"/>
              <w:spacing w:after="0"/>
              <w:rPr>
                <w:sz w:val="20"/>
                <w:szCs w:val="20"/>
                <w:color w:val="auto"/>
              </w:rPr>
            </w:pPr>
            <w:r>
              <w:rPr>
                <w:rFonts w:ascii="Arial" w:cs="Arial" w:eastAsia="Arial" w:hAnsi="Arial"/>
                <w:sz w:val="16"/>
                <w:szCs w:val="16"/>
                <w:color w:val="auto"/>
              </w:rPr>
              <w:t>2.6 %</w:t>
            </w: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1.4 %</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2.7 %</w:t>
            </w:r>
          </w:p>
        </w:tc>
        <w:tc>
          <w:tcPr>
            <w:tcW w:w="840" w:type="dxa"/>
            <w:vAlign w:val="bottom"/>
            <w:gridSpan w:val="2"/>
          </w:tcPr>
          <w:p>
            <w:pPr>
              <w:jc w:val="right"/>
              <w:spacing w:after="0"/>
              <w:rPr>
                <w:sz w:val="20"/>
                <w:szCs w:val="20"/>
                <w:color w:val="auto"/>
              </w:rPr>
            </w:pPr>
            <w:r>
              <w:rPr>
                <w:rFonts w:ascii="Arial" w:cs="Arial" w:eastAsia="Arial" w:hAnsi="Arial"/>
                <w:sz w:val="16"/>
                <w:szCs w:val="16"/>
                <w:color w:val="auto"/>
              </w:rPr>
              <w:t>2.7 %</w:t>
            </w: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1.7 %</w:t>
            </w: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3.2 %</w:t>
            </w:r>
          </w:p>
        </w:tc>
        <w:tc>
          <w:tcPr>
            <w:tcW w:w="840" w:type="dxa"/>
            <w:vAlign w:val="bottom"/>
            <w:gridSpan w:val="2"/>
          </w:tcPr>
          <w:p>
            <w:pPr>
              <w:jc w:val="right"/>
              <w:spacing w:after="0"/>
              <w:rPr>
                <w:sz w:val="20"/>
                <w:szCs w:val="20"/>
                <w:color w:val="auto"/>
              </w:rPr>
            </w:pPr>
            <w:r>
              <w:rPr>
                <w:rFonts w:ascii="Arial" w:cs="Arial" w:eastAsia="Arial" w:hAnsi="Arial"/>
                <w:sz w:val="16"/>
                <w:szCs w:val="16"/>
                <w:color w:val="auto"/>
              </w:rPr>
              <w:t>3.2 %</w:t>
            </w:r>
          </w:p>
        </w:tc>
        <w:tc>
          <w:tcPr>
            <w:tcW w:w="0" w:type="dxa"/>
            <w:vAlign w:val="bottom"/>
          </w:tcPr>
          <w:p>
            <w:pPr>
              <w:spacing w:after="0"/>
              <w:rPr>
                <w:sz w:val="1"/>
                <w:szCs w:val="1"/>
                <w:color w:val="auto"/>
              </w:rPr>
            </w:pPr>
          </w:p>
        </w:tc>
      </w:tr>
      <w:tr>
        <w:trPr>
          <w:trHeight w:val="250"/>
        </w:trPr>
        <w:tc>
          <w:tcPr>
            <w:tcW w:w="2040" w:type="dxa"/>
            <w:vAlign w:val="bottom"/>
          </w:tcPr>
          <w:p>
            <w:pPr>
              <w:ind w:left="120"/>
              <w:spacing w:after="0"/>
              <w:rPr>
                <w:sz w:val="20"/>
                <w:szCs w:val="20"/>
                <w:color w:val="auto"/>
              </w:rPr>
            </w:pPr>
            <w:r>
              <w:rPr>
                <w:rFonts w:ascii="Arial" w:cs="Arial" w:eastAsia="Arial" w:hAnsi="Arial"/>
                <w:sz w:val="16"/>
                <w:szCs w:val="16"/>
                <w:color w:val="auto"/>
              </w:rPr>
              <w:t>Expected experience</w:t>
            </w:r>
          </w:p>
        </w:tc>
        <w:tc>
          <w:tcPr>
            <w:tcW w:w="880" w:type="dxa"/>
            <w:vAlign w:val="bottom"/>
          </w:tcPr>
          <w:p>
            <w:pPr>
              <w:jc w:val="right"/>
              <w:spacing w:after="0"/>
              <w:rPr>
                <w:sz w:val="20"/>
                <w:szCs w:val="20"/>
                <w:color w:val="auto"/>
              </w:rPr>
            </w:pPr>
            <w:r>
              <w:rPr>
                <w:rFonts w:ascii="Arial" w:cs="Arial" w:eastAsia="Arial" w:hAnsi="Arial"/>
                <w:sz w:val="16"/>
                <w:szCs w:val="16"/>
                <w:color w:val="auto"/>
              </w:rPr>
              <w:t>1.6 %</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1.7 %</w:t>
            </w:r>
          </w:p>
        </w:tc>
        <w:tc>
          <w:tcPr>
            <w:tcW w:w="840" w:type="dxa"/>
            <w:vAlign w:val="bottom"/>
            <w:gridSpan w:val="2"/>
          </w:tcPr>
          <w:p>
            <w:pPr>
              <w:jc w:val="right"/>
              <w:spacing w:after="0"/>
              <w:rPr>
                <w:sz w:val="20"/>
                <w:szCs w:val="20"/>
                <w:color w:val="auto"/>
              </w:rPr>
            </w:pPr>
            <w:r>
              <w:rPr>
                <w:rFonts w:ascii="Arial" w:cs="Arial" w:eastAsia="Arial" w:hAnsi="Arial"/>
                <w:sz w:val="16"/>
                <w:szCs w:val="16"/>
                <w:color w:val="auto"/>
              </w:rPr>
              <w:t>2.5 %</w:t>
            </w: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1.5 %</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1.9 %</w:t>
            </w:r>
          </w:p>
        </w:tc>
        <w:tc>
          <w:tcPr>
            <w:tcW w:w="840" w:type="dxa"/>
            <w:vAlign w:val="bottom"/>
            <w:gridSpan w:val="2"/>
          </w:tcPr>
          <w:p>
            <w:pPr>
              <w:jc w:val="right"/>
              <w:spacing w:after="0"/>
              <w:rPr>
                <w:sz w:val="20"/>
                <w:szCs w:val="20"/>
                <w:color w:val="auto"/>
              </w:rPr>
            </w:pPr>
            <w:r>
              <w:rPr>
                <w:rFonts w:ascii="Arial" w:cs="Arial" w:eastAsia="Arial" w:hAnsi="Arial"/>
                <w:sz w:val="16"/>
                <w:szCs w:val="16"/>
                <w:color w:val="auto"/>
              </w:rPr>
              <w:t>2.5 %</w:t>
            </w: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1.4 %</w:t>
            </w: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1.8 %</w:t>
            </w:r>
          </w:p>
        </w:tc>
        <w:tc>
          <w:tcPr>
            <w:tcW w:w="840" w:type="dxa"/>
            <w:vAlign w:val="bottom"/>
            <w:gridSpan w:val="2"/>
          </w:tcPr>
          <w:p>
            <w:pPr>
              <w:jc w:val="right"/>
              <w:spacing w:after="0"/>
              <w:rPr>
                <w:sz w:val="20"/>
                <w:szCs w:val="20"/>
                <w:color w:val="auto"/>
              </w:rPr>
            </w:pPr>
            <w:r>
              <w:rPr>
                <w:rFonts w:ascii="Arial" w:cs="Arial" w:eastAsia="Arial" w:hAnsi="Arial"/>
                <w:sz w:val="16"/>
                <w:szCs w:val="16"/>
                <w:color w:val="auto"/>
              </w:rPr>
              <w:t>2.3 %</w:t>
            </w:r>
          </w:p>
        </w:tc>
        <w:tc>
          <w:tcPr>
            <w:tcW w:w="0" w:type="dxa"/>
            <w:vAlign w:val="bottom"/>
          </w:tcPr>
          <w:p>
            <w:pPr>
              <w:spacing w:after="0"/>
              <w:rPr>
                <w:sz w:val="1"/>
                <w:szCs w:val="1"/>
                <w:color w:val="auto"/>
              </w:rPr>
            </w:pPr>
          </w:p>
        </w:tc>
      </w:tr>
      <w:tr>
        <w:trPr>
          <w:trHeight w:val="250"/>
        </w:trPr>
        <w:tc>
          <w:tcPr>
            <w:tcW w:w="2040" w:type="dxa"/>
            <w:vAlign w:val="bottom"/>
          </w:tcPr>
          <w:p>
            <w:pPr>
              <w:spacing w:after="0"/>
              <w:rPr>
                <w:sz w:val="20"/>
                <w:szCs w:val="20"/>
                <w:color w:val="auto"/>
              </w:rPr>
            </w:pPr>
            <w:r>
              <w:rPr>
                <w:rFonts w:ascii="Arial" w:cs="Arial" w:eastAsia="Arial" w:hAnsi="Arial"/>
                <w:sz w:val="16"/>
                <w:szCs w:val="16"/>
                <w:b w:val="1"/>
                <w:bCs w:val="1"/>
                <w:color w:val="auto"/>
              </w:rPr>
              <w:t>Lapses</w:t>
            </w:r>
          </w:p>
        </w:tc>
        <w:tc>
          <w:tcPr>
            <w:tcW w:w="8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040" w:type="dxa"/>
            <w:vAlign w:val="bottom"/>
          </w:tcPr>
          <w:p>
            <w:pPr>
              <w:ind w:left="120"/>
              <w:spacing w:after="0"/>
              <w:rPr>
                <w:sz w:val="20"/>
                <w:szCs w:val="20"/>
                <w:color w:val="auto"/>
              </w:rPr>
            </w:pPr>
            <w:r>
              <w:rPr>
                <w:rFonts w:ascii="Arial" w:cs="Arial" w:eastAsia="Arial" w:hAnsi="Arial"/>
                <w:sz w:val="16"/>
                <w:szCs w:val="16"/>
                <w:color w:val="auto"/>
              </w:rPr>
              <w:t>Actual experience</w:t>
            </w:r>
          </w:p>
        </w:tc>
        <w:tc>
          <w:tcPr>
            <w:tcW w:w="880" w:type="dxa"/>
            <w:vAlign w:val="bottom"/>
          </w:tcPr>
          <w:p>
            <w:pPr>
              <w:jc w:val="right"/>
              <w:spacing w:after="0"/>
              <w:rPr>
                <w:sz w:val="20"/>
                <w:szCs w:val="20"/>
                <w:color w:val="auto"/>
              </w:rPr>
            </w:pPr>
            <w:r>
              <w:rPr>
                <w:rFonts w:ascii="Arial" w:cs="Arial" w:eastAsia="Arial" w:hAnsi="Arial"/>
                <w:sz w:val="16"/>
                <w:szCs w:val="16"/>
                <w:color w:val="auto"/>
              </w:rPr>
              <w:t>— %</w:t>
            </w:r>
          </w:p>
        </w:tc>
        <w:tc>
          <w:tcPr>
            <w:tcW w:w="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 %</w:t>
            </w:r>
          </w:p>
        </w:tc>
        <w:tc>
          <w:tcPr>
            <w:tcW w:w="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 %</w:t>
            </w: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0.1 %</w:t>
            </w:r>
          </w:p>
        </w:tc>
        <w:tc>
          <w:tcPr>
            <w:tcW w:w="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 %</w:t>
            </w:r>
          </w:p>
        </w:tc>
        <w:tc>
          <w:tcPr>
            <w:tcW w:w="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 %</w:t>
            </w:r>
          </w:p>
        </w:tc>
        <w:tc>
          <w:tcPr>
            <w:tcW w:w="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 %</w:t>
            </w:r>
          </w:p>
        </w:tc>
        <w:tc>
          <w:tcPr>
            <w:tcW w:w="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 %</w:t>
            </w:r>
          </w:p>
        </w:tc>
        <w:tc>
          <w:tcPr>
            <w:tcW w:w="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 %</w:t>
            </w:r>
          </w:p>
        </w:tc>
        <w:tc>
          <w:tcPr>
            <w:tcW w:w="0" w:type="dxa"/>
            <w:vAlign w:val="bottom"/>
          </w:tcPr>
          <w:p>
            <w:pPr>
              <w:spacing w:after="0"/>
              <w:rPr>
                <w:sz w:val="1"/>
                <w:szCs w:val="1"/>
                <w:color w:val="auto"/>
              </w:rPr>
            </w:pPr>
          </w:p>
        </w:tc>
      </w:tr>
      <w:tr>
        <w:trPr>
          <w:trHeight w:val="250"/>
        </w:trPr>
        <w:tc>
          <w:tcPr>
            <w:tcW w:w="2040" w:type="dxa"/>
            <w:vAlign w:val="bottom"/>
          </w:tcPr>
          <w:p>
            <w:pPr>
              <w:ind w:left="120"/>
              <w:spacing w:after="0"/>
              <w:rPr>
                <w:sz w:val="20"/>
                <w:szCs w:val="20"/>
                <w:color w:val="auto"/>
              </w:rPr>
            </w:pPr>
            <w:r>
              <w:rPr>
                <w:rFonts w:ascii="Arial" w:cs="Arial" w:eastAsia="Arial" w:hAnsi="Arial"/>
                <w:sz w:val="16"/>
                <w:szCs w:val="16"/>
                <w:color w:val="auto"/>
              </w:rPr>
              <w:t>Expected experience</w:t>
            </w:r>
          </w:p>
        </w:tc>
        <w:tc>
          <w:tcPr>
            <w:tcW w:w="880" w:type="dxa"/>
            <w:vAlign w:val="bottom"/>
          </w:tcPr>
          <w:p>
            <w:pPr>
              <w:jc w:val="right"/>
              <w:spacing w:after="0"/>
              <w:rPr>
                <w:sz w:val="20"/>
                <w:szCs w:val="20"/>
                <w:color w:val="auto"/>
              </w:rPr>
            </w:pPr>
            <w:r>
              <w:rPr>
                <w:rFonts w:ascii="Arial" w:cs="Arial" w:eastAsia="Arial" w:hAnsi="Arial"/>
                <w:sz w:val="16"/>
                <w:szCs w:val="16"/>
                <w:color w:val="auto"/>
              </w:rPr>
              <w:t>0.6 %</w:t>
            </w:r>
          </w:p>
        </w:tc>
        <w:tc>
          <w:tcPr>
            <w:tcW w:w="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 %</w:t>
            </w:r>
          </w:p>
        </w:tc>
        <w:tc>
          <w:tcPr>
            <w:tcW w:w="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 %</w:t>
            </w: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0.5 %</w:t>
            </w:r>
          </w:p>
        </w:tc>
        <w:tc>
          <w:tcPr>
            <w:tcW w:w="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 %</w:t>
            </w:r>
          </w:p>
        </w:tc>
        <w:tc>
          <w:tcPr>
            <w:tcW w:w="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 %</w:t>
            </w: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0.3 %</w:t>
            </w:r>
          </w:p>
        </w:tc>
        <w:tc>
          <w:tcPr>
            <w:tcW w:w="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 %</w:t>
            </w:r>
          </w:p>
        </w:tc>
        <w:tc>
          <w:tcPr>
            <w:tcW w:w="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-794385</wp:posOffset>
            </wp:positionV>
            <wp:extent cx="6410325" cy="81915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180">
                      <a:extLst>
                        <a:ext uri="{28A0092B-C50C-407E-A947-70E740481C1C}"/>
                      </a:extLst>
                    </a:blip>
                    <a:srcRect/>
                    <a:stretch>
                      <a:fillRect/>
                    </a:stretch>
                  </pic:blipFill>
                  <pic:spPr bwMode="auto">
                    <a:xfrm>
                      <a:off x="0" y="0"/>
                      <a:ext cx="6410325" cy="819150"/>
                    </a:xfrm>
                    <a:prstGeom prst="rect">
                      <a:avLst/>
                    </a:prstGeom>
                    <a:noFill/>
                  </pic:spPr>
                </pic:pic>
              </a:graphicData>
            </a:graphic>
          </wp:anchor>
        </w:drawing>
      </w:r>
    </w:p>
    <w:p>
      <w:pPr>
        <w:spacing w:after="0" w:line="200" w:lineRule="exact"/>
        <w:rPr>
          <w:sz w:val="20"/>
          <w:szCs w:val="20"/>
          <w:color w:val="auto"/>
        </w:rPr>
      </w:pPr>
    </w:p>
    <w:p>
      <w:pPr>
        <w:spacing w:after="0" w:line="305" w:lineRule="exact"/>
        <w:rPr>
          <w:sz w:val="20"/>
          <w:szCs w:val="20"/>
          <w:color w:val="auto"/>
        </w:rPr>
      </w:pPr>
    </w:p>
    <w:p>
      <w:pPr>
        <w:jc w:val="both"/>
        <w:ind w:firstLine="353"/>
        <w:spacing w:after="0" w:line="271" w:lineRule="auto"/>
        <w:rPr>
          <w:sz w:val="20"/>
          <w:szCs w:val="20"/>
          <w:color w:val="auto"/>
        </w:rPr>
      </w:pPr>
      <w:r>
        <w:rPr>
          <w:rFonts w:ascii="Arial" w:cs="Arial" w:eastAsia="Arial" w:hAnsi="Arial"/>
          <w:sz w:val="20"/>
          <w:szCs w:val="20"/>
          <w:color w:val="auto"/>
        </w:rPr>
        <w:t>The following table provides additional information for periods in which a cohort has a net premium ratio (“NPR”) greater than 100% (and therefore capped at 100%) (dollars in millions):</w:t>
      </w:r>
    </w:p>
    <w:p>
      <w:pPr>
        <w:spacing w:after="0" w:line="98" w:lineRule="exact"/>
        <w:rPr>
          <w:sz w:val="20"/>
          <w:szCs w:val="20"/>
          <w:color w:val="auto"/>
        </w:rPr>
      </w:pPr>
    </w:p>
    <w:tbl>
      <w:tblPr>
        <w:tblLayout w:type="fixed"/>
        <w:tblInd w:w="40" w:type="dxa"/>
        <w:tblCellMar>
          <w:top w:w="0" w:type="dxa"/>
          <w:left w:w="0" w:type="dxa"/>
          <w:bottom w:w="0" w:type="dxa"/>
          <w:right w:w="0" w:type="dxa"/>
        </w:tblCellMar>
      </w:tblPr>
      <w:tr>
        <w:trPr>
          <w:trHeight w:val="213"/>
        </w:trPr>
        <w:tc>
          <w:tcPr>
            <w:tcW w:w="29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2480" w:type="dxa"/>
            <w:vAlign w:val="bottom"/>
            <w:tcBorders>
              <w:bottom w:val="single" w:sz="8" w:color="auto"/>
            </w:tcBorders>
          </w:tcPr>
          <w:p>
            <w:pPr>
              <w:ind w:left="80"/>
              <w:spacing w:after="0"/>
              <w:rPr>
                <w:sz w:val="20"/>
                <w:szCs w:val="20"/>
                <w:color w:val="auto"/>
              </w:rPr>
            </w:pPr>
            <w:r>
              <w:rPr>
                <w:rFonts w:ascii="Arial" w:cs="Arial" w:eastAsia="Arial" w:hAnsi="Arial"/>
                <w:sz w:val="16"/>
                <w:szCs w:val="16"/>
                <w:b w:val="1"/>
                <w:bCs w:val="1"/>
                <w:color w:val="auto"/>
              </w:rPr>
              <w:t>December 31, 2025</w:t>
            </w:r>
          </w:p>
        </w:tc>
        <w:tc>
          <w:tcPr>
            <w:tcW w:w="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2460" w:type="dxa"/>
            <w:vAlign w:val="bottom"/>
            <w:tcBorders>
              <w:bottom w:val="single" w:sz="8" w:color="auto"/>
            </w:tcBorders>
          </w:tcPr>
          <w:p>
            <w:pPr>
              <w:ind w:left="80"/>
              <w:spacing w:after="0"/>
              <w:rPr>
                <w:sz w:val="20"/>
                <w:szCs w:val="20"/>
                <w:color w:val="auto"/>
              </w:rPr>
            </w:pPr>
            <w:r>
              <w:rPr>
                <w:rFonts w:ascii="Arial" w:cs="Arial" w:eastAsia="Arial" w:hAnsi="Arial"/>
                <w:sz w:val="16"/>
                <w:szCs w:val="16"/>
                <w:b w:val="1"/>
                <w:bCs w:val="1"/>
                <w:color w:val="auto"/>
              </w:rPr>
              <w:t>December 31, 2024</w:t>
            </w:r>
          </w:p>
        </w:tc>
        <w:tc>
          <w:tcPr>
            <w:tcW w:w="0" w:type="dxa"/>
            <w:vAlign w:val="bottom"/>
          </w:tcPr>
          <w:p>
            <w:pPr>
              <w:spacing w:after="0"/>
              <w:rPr>
                <w:sz w:val="1"/>
                <w:szCs w:val="1"/>
                <w:color w:val="auto"/>
              </w:rPr>
            </w:pPr>
          </w:p>
        </w:tc>
      </w:tr>
      <w:tr>
        <w:trPr>
          <w:trHeight w:val="223"/>
        </w:trPr>
        <w:tc>
          <w:tcPr>
            <w:tcW w:w="29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ind w:right="142"/>
              <w:spacing w:after="0"/>
              <w:rPr>
                <w:sz w:val="20"/>
                <w:szCs w:val="20"/>
                <w:color w:val="auto"/>
              </w:rPr>
            </w:pPr>
            <w:r>
              <w:rPr>
                <w:rFonts w:ascii="Arial" w:cs="Arial" w:eastAsia="Arial" w:hAnsi="Arial"/>
                <w:sz w:val="16"/>
                <w:szCs w:val="16"/>
                <w:b w:val="1"/>
                <w:bCs w:val="1"/>
                <w:color w:val="auto"/>
                <w:w w:val="94"/>
              </w:rPr>
              <w:t>Cohort X</w:t>
            </w:r>
          </w:p>
        </w:tc>
        <w:tc>
          <w:tcPr>
            <w:tcW w:w="2480" w:type="dxa"/>
            <w:vAlign w:val="bottom"/>
          </w:tcPr>
          <w:p>
            <w:pPr>
              <w:ind w:left="860"/>
              <w:spacing w:after="0"/>
              <w:rPr>
                <w:sz w:val="20"/>
                <w:szCs w:val="20"/>
                <w:color w:val="auto"/>
              </w:rPr>
            </w:pPr>
            <w:r>
              <w:rPr>
                <w:rFonts w:ascii="Arial" w:cs="Arial" w:eastAsia="Arial" w:hAnsi="Arial"/>
                <w:sz w:val="16"/>
                <w:szCs w:val="16"/>
                <w:b w:val="1"/>
                <w:bCs w:val="1"/>
                <w:color w:val="auto"/>
              </w:rPr>
              <w:t>Description</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ind w:right="142"/>
              <w:spacing w:after="0"/>
              <w:rPr>
                <w:sz w:val="20"/>
                <w:szCs w:val="20"/>
                <w:color w:val="auto"/>
              </w:rPr>
            </w:pPr>
            <w:r>
              <w:rPr>
                <w:rFonts w:ascii="Arial" w:cs="Arial" w:eastAsia="Arial" w:hAnsi="Arial"/>
                <w:sz w:val="16"/>
                <w:szCs w:val="16"/>
                <w:b w:val="1"/>
                <w:bCs w:val="1"/>
                <w:color w:val="auto"/>
                <w:w w:val="94"/>
              </w:rPr>
              <w:t>Cohort X</w:t>
            </w:r>
          </w:p>
        </w:tc>
        <w:tc>
          <w:tcPr>
            <w:tcW w:w="2460" w:type="dxa"/>
            <w:vAlign w:val="bottom"/>
          </w:tcPr>
          <w:p>
            <w:pPr>
              <w:ind w:left="860"/>
              <w:spacing w:after="0"/>
              <w:rPr>
                <w:sz w:val="20"/>
                <w:szCs w:val="20"/>
                <w:color w:val="auto"/>
              </w:rPr>
            </w:pPr>
            <w:r>
              <w:rPr>
                <w:rFonts w:ascii="Arial" w:cs="Arial" w:eastAsia="Arial" w:hAnsi="Arial"/>
                <w:sz w:val="16"/>
                <w:szCs w:val="16"/>
                <w:b w:val="1"/>
                <w:bCs w:val="1"/>
                <w:color w:val="auto"/>
              </w:rPr>
              <w:t>Description</w:t>
            </w:r>
          </w:p>
        </w:tc>
        <w:tc>
          <w:tcPr>
            <w:tcW w:w="0" w:type="dxa"/>
            <w:vAlign w:val="bottom"/>
          </w:tcPr>
          <w:p>
            <w:pPr>
              <w:spacing w:after="0"/>
              <w:rPr>
                <w:sz w:val="1"/>
                <w:szCs w:val="1"/>
                <w:color w:val="auto"/>
              </w:rPr>
            </w:pPr>
          </w:p>
        </w:tc>
      </w:tr>
      <w:tr>
        <w:trPr>
          <w:trHeight w:val="209"/>
        </w:trPr>
        <w:tc>
          <w:tcPr>
            <w:tcW w:w="2960" w:type="dxa"/>
            <w:vAlign w:val="bottom"/>
            <w:vMerge w:val="restart"/>
          </w:tcPr>
          <w:p>
            <w:pPr>
              <w:spacing w:after="0"/>
              <w:rPr>
                <w:sz w:val="20"/>
                <w:szCs w:val="20"/>
                <w:color w:val="auto"/>
              </w:rPr>
            </w:pPr>
            <w:r>
              <w:rPr>
                <w:rFonts w:ascii="Arial" w:cs="Arial" w:eastAsia="Arial" w:hAnsi="Arial"/>
                <w:sz w:val="16"/>
                <w:szCs w:val="16"/>
                <w:color w:val="auto"/>
              </w:rPr>
              <w:t>NPR before capping</w:t>
            </w:r>
          </w:p>
        </w:tc>
        <w:tc>
          <w:tcPr>
            <w:tcW w:w="140" w:type="dxa"/>
            <w:vAlign w:val="bottom"/>
          </w:tcPr>
          <w:p>
            <w:pPr>
              <w:spacing w:after="0"/>
              <w:rPr>
                <w:sz w:val="18"/>
                <w:szCs w:val="18"/>
                <w:color w:val="auto"/>
              </w:rPr>
            </w:pPr>
          </w:p>
        </w:tc>
        <w:tc>
          <w:tcPr>
            <w:tcW w:w="880" w:type="dxa"/>
            <w:vAlign w:val="bottom"/>
            <w:vMerge w:val="restart"/>
          </w:tcPr>
          <w:p>
            <w:pPr>
              <w:jc w:val="right"/>
              <w:spacing w:after="0"/>
              <w:rPr>
                <w:sz w:val="20"/>
                <w:szCs w:val="20"/>
                <w:color w:val="auto"/>
              </w:rPr>
            </w:pPr>
            <w:r>
              <w:rPr>
                <w:rFonts w:ascii="Arial" w:cs="Arial" w:eastAsia="Arial" w:hAnsi="Arial"/>
                <w:sz w:val="16"/>
                <w:szCs w:val="16"/>
                <w:color w:val="auto"/>
              </w:rPr>
              <w:t>104 %</w:t>
            </w:r>
          </w:p>
        </w:tc>
        <w:tc>
          <w:tcPr>
            <w:tcW w:w="2480" w:type="dxa"/>
            <w:vAlign w:val="bottom"/>
          </w:tcPr>
          <w:p>
            <w:pPr>
              <w:ind w:left="60"/>
              <w:spacing w:after="0"/>
              <w:rPr>
                <w:sz w:val="20"/>
                <w:szCs w:val="20"/>
                <w:color w:val="auto"/>
              </w:rPr>
            </w:pPr>
            <w:r>
              <w:rPr>
                <w:rFonts w:ascii="Arial" w:cs="Arial" w:eastAsia="Arial" w:hAnsi="Arial"/>
                <w:sz w:val="16"/>
                <w:szCs w:val="16"/>
                <w:color w:val="auto"/>
                <w:w w:val="99"/>
              </w:rPr>
              <w:t>Term with return of premium Non-</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vMerge w:val="restart"/>
          </w:tcPr>
          <w:p>
            <w:pPr>
              <w:jc w:val="right"/>
              <w:spacing w:after="0"/>
              <w:rPr>
                <w:sz w:val="20"/>
                <w:szCs w:val="20"/>
                <w:color w:val="auto"/>
              </w:rPr>
            </w:pPr>
            <w:r>
              <w:rPr>
                <w:rFonts w:ascii="Arial" w:cs="Arial" w:eastAsia="Arial" w:hAnsi="Arial"/>
                <w:sz w:val="16"/>
                <w:szCs w:val="16"/>
                <w:color w:val="auto"/>
              </w:rPr>
              <w:t>108 %</w:t>
            </w:r>
          </w:p>
        </w:tc>
        <w:tc>
          <w:tcPr>
            <w:tcW w:w="2460" w:type="dxa"/>
            <w:vAlign w:val="bottom"/>
          </w:tcPr>
          <w:p>
            <w:pPr>
              <w:ind w:left="60"/>
              <w:spacing w:after="0"/>
              <w:rPr>
                <w:sz w:val="20"/>
                <w:szCs w:val="20"/>
                <w:color w:val="auto"/>
              </w:rPr>
            </w:pPr>
            <w:r>
              <w:rPr>
                <w:rFonts w:ascii="Arial" w:cs="Arial" w:eastAsia="Arial" w:hAnsi="Arial"/>
                <w:sz w:val="16"/>
                <w:szCs w:val="16"/>
                <w:color w:val="auto"/>
                <w:w w:val="99"/>
              </w:rPr>
              <w:t>Term with return of premium Non-</w:t>
            </w:r>
          </w:p>
        </w:tc>
        <w:tc>
          <w:tcPr>
            <w:tcW w:w="0" w:type="dxa"/>
            <w:vAlign w:val="bottom"/>
          </w:tcPr>
          <w:p>
            <w:pPr>
              <w:spacing w:after="0"/>
              <w:rPr>
                <w:sz w:val="1"/>
                <w:szCs w:val="1"/>
                <w:color w:val="auto"/>
              </w:rPr>
            </w:pPr>
          </w:p>
        </w:tc>
      </w:tr>
      <w:tr>
        <w:trPr>
          <w:trHeight w:val="204"/>
        </w:trPr>
        <w:tc>
          <w:tcPr>
            <w:tcW w:w="296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vMerge w:val="continue"/>
          </w:tcPr>
          <w:p>
            <w:pPr>
              <w:spacing w:after="0"/>
              <w:rPr>
                <w:sz w:val="17"/>
                <w:szCs w:val="17"/>
                <w:color w:val="auto"/>
              </w:rPr>
            </w:pPr>
          </w:p>
        </w:tc>
        <w:tc>
          <w:tcPr>
            <w:tcW w:w="2480" w:type="dxa"/>
            <w:vAlign w:val="bottom"/>
          </w:tcPr>
          <w:p>
            <w:pPr>
              <w:ind w:left="60"/>
              <w:spacing w:after="0"/>
              <w:rPr>
                <w:sz w:val="20"/>
                <w:szCs w:val="20"/>
                <w:color w:val="auto"/>
              </w:rPr>
            </w:pPr>
            <w:r>
              <w:rPr>
                <w:rFonts w:ascii="Arial" w:cs="Arial" w:eastAsia="Arial" w:hAnsi="Arial"/>
                <w:sz w:val="16"/>
                <w:szCs w:val="16"/>
                <w:color w:val="auto"/>
              </w:rPr>
              <w:t>NY Cohort</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vMerge w:val="continue"/>
          </w:tcPr>
          <w:p>
            <w:pPr>
              <w:spacing w:after="0"/>
              <w:rPr>
                <w:sz w:val="17"/>
                <w:szCs w:val="17"/>
                <w:color w:val="auto"/>
              </w:rPr>
            </w:pPr>
          </w:p>
        </w:tc>
        <w:tc>
          <w:tcPr>
            <w:tcW w:w="2460" w:type="dxa"/>
            <w:vAlign w:val="bottom"/>
          </w:tcPr>
          <w:p>
            <w:pPr>
              <w:ind w:left="60"/>
              <w:spacing w:after="0"/>
              <w:rPr>
                <w:sz w:val="20"/>
                <w:szCs w:val="20"/>
                <w:color w:val="auto"/>
              </w:rPr>
            </w:pPr>
            <w:r>
              <w:rPr>
                <w:rFonts w:ascii="Arial" w:cs="Arial" w:eastAsia="Arial" w:hAnsi="Arial"/>
                <w:sz w:val="16"/>
                <w:szCs w:val="16"/>
                <w:color w:val="auto"/>
              </w:rPr>
              <w:t>NY Cohort</w:t>
            </w:r>
          </w:p>
        </w:tc>
        <w:tc>
          <w:tcPr>
            <w:tcW w:w="0" w:type="dxa"/>
            <w:vAlign w:val="bottom"/>
          </w:tcPr>
          <w:p>
            <w:pPr>
              <w:spacing w:after="0"/>
              <w:rPr>
                <w:sz w:val="1"/>
                <w:szCs w:val="1"/>
                <w:color w:val="auto"/>
              </w:rPr>
            </w:pPr>
          </w:p>
        </w:tc>
      </w:tr>
      <w:tr>
        <w:trPr>
          <w:trHeight w:val="208"/>
        </w:trPr>
        <w:tc>
          <w:tcPr>
            <w:tcW w:w="2960" w:type="dxa"/>
            <w:vAlign w:val="bottom"/>
            <w:vMerge w:val="restart"/>
          </w:tcPr>
          <w:p>
            <w:pPr>
              <w:spacing w:after="0"/>
              <w:rPr>
                <w:sz w:val="20"/>
                <w:szCs w:val="20"/>
                <w:color w:val="auto"/>
              </w:rPr>
            </w:pPr>
            <w:r>
              <w:rPr>
                <w:rFonts w:ascii="Arial" w:cs="Arial" w:eastAsia="Arial" w:hAnsi="Arial"/>
                <w:sz w:val="16"/>
                <w:szCs w:val="16"/>
                <w:color w:val="auto"/>
              </w:rPr>
              <w:t>Reserves before NPR capping</w:t>
            </w:r>
          </w:p>
        </w:tc>
        <w:tc>
          <w:tcPr>
            <w:tcW w:w="1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880" w:type="dxa"/>
            <w:vAlign w:val="bottom"/>
            <w:vMerge w:val="restart"/>
          </w:tcPr>
          <w:p>
            <w:pPr>
              <w:jc w:val="right"/>
              <w:ind w:right="162"/>
              <w:spacing w:after="0"/>
              <w:rPr>
                <w:sz w:val="20"/>
                <w:szCs w:val="20"/>
                <w:color w:val="auto"/>
              </w:rPr>
            </w:pPr>
            <w:r>
              <w:rPr>
                <w:rFonts w:ascii="Arial" w:cs="Arial" w:eastAsia="Arial" w:hAnsi="Arial"/>
                <w:sz w:val="16"/>
                <w:szCs w:val="16"/>
                <w:color w:val="auto"/>
              </w:rPr>
              <w:t>1,145</w:t>
            </w:r>
          </w:p>
        </w:tc>
        <w:tc>
          <w:tcPr>
            <w:tcW w:w="2480" w:type="dxa"/>
            <w:vAlign w:val="bottom"/>
          </w:tcPr>
          <w:p>
            <w:pPr>
              <w:ind w:left="60"/>
              <w:spacing w:after="0"/>
              <w:rPr>
                <w:sz w:val="20"/>
                <w:szCs w:val="20"/>
                <w:color w:val="auto"/>
              </w:rPr>
            </w:pPr>
            <w:r>
              <w:rPr>
                <w:rFonts w:ascii="Arial" w:cs="Arial" w:eastAsia="Arial" w:hAnsi="Arial"/>
                <w:sz w:val="16"/>
                <w:szCs w:val="16"/>
                <w:color w:val="auto"/>
                <w:w w:val="99"/>
              </w:rPr>
              <w:t>Term with return of premium Non-</w:t>
            </w:r>
          </w:p>
        </w:tc>
        <w:tc>
          <w:tcPr>
            <w:tcW w:w="200" w:type="dxa"/>
            <w:vAlign w:val="bottom"/>
            <w:gridSpan w:val="2"/>
            <w:vMerge w:val="restart"/>
          </w:tcPr>
          <w:p>
            <w:pPr>
              <w:jc w:val="right"/>
              <w:ind w:right="20"/>
              <w:spacing w:after="0"/>
              <w:rPr>
                <w:sz w:val="20"/>
                <w:szCs w:val="20"/>
                <w:color w:val="auto"/>
              </w:rPr>
            </w:pPr>
            <w:r>
              <w:rPr>
                <w:rFonts w:ascii="Arial" w:cs="Arial" w:eastAsia="Arial" w:hAnsi="Arial"/>
                <w:sz w:val="16"/>
                <w:szCs w:val="16"/>
                <w:color w:val="auto"/>
              </w:rPr>
              <w:t>$</w:t>
            </w:r>
          </w:p>
        </w:tc>
        <w:tc>
          <w:tcPr>
            <w:tcW w:w="880" w:type="dxa"/>
            <w:vAlign w:val="bottom"/>
            <w:vMerge w:val="restart"/>
          </w:tcPr>
          <w:p>
            <w:pPr>
              <w:jc w:val="right"/>
              <w:ind w:right="162"/>
              <w:spacing w:after="0"/>
              <w:rPr>
                <w:sz w:val="20"/>
                <w:szCs w:val="20"/>
                <w:color w:val="auto"/>
              </w:rPr>
            </w:pPr>
            <w:r>
              <w:rPr>
                <w:rFonts w:ascii="Arial" w:cs="Arial" w:eastAsia="Arial" w:hAnsi="Arial"/>
                <w:sz w:val="16"/>
                <w:szCs w:val="16"/>
                <w:color w:val="auto"/>
              </w:rPr>
              <w:t>1,147</w:t>
            </w:r>
          </w:p>
        </w:tc>
        <w:tc>
          <w:tcPr>
            <w:tcW w:w="2460" w:type="dxa"/>
            <w:vAlign w:val="bottom"/>
          </w:tcPr>
          <w:p>
            <w:pPr>
              <w:ind w:left="60"/>
              <w:spacing w:after="0"/>
              <w:rPr>
                <w:sz w:val="20"/>
                <w:szCs w:val="20"/>
                <w:color w:val="auto"/>
              </w:rPr>
            </w:pPr>
            <w:r>
              <w:rPr>
                <w:rFonts w:ascii="Arial" w:cs="Arial" w:eastAsia="Arial" w:hAnsi="Arial"/>
                <w:sz w:val="16"/>
                <w:szCs w:val="16"/>
                <w:color w:val="auto"/>
                <w:w w:val="99"/>
              </w:rPr>
              <w:t>Term with return of premium Non-</w:t>
            </w:r>
          </w:p>
        </w:tc>
        <w:tc>
          <w:tcPr>
            <w:tcW w:w="0" w:type="dxa"/>
            <w:vAlign w:val="bottom"/>
          </w:tcPr>
          <w:p>
            <w:pPr>
              <w:spacing w:after="0"/>
              <w:rPr>
                <w:sz w:val="1"/>
                <w:szCs w:val="1"/>
                <w:color w:val="auto"/>
              </w:rPr>
            </w:pPr>
          </w:p>
        </w:tc>
      </w:tr>
      <w:tr>
        <w:trPr>
          <w:trHeight w:val="204"/>
        </w:trPr>
        <w:tc>
          <w:tcPr>
            <w:tcW w:w="2960" w:type="dxa"/>
            <w:vAlign w:val="bottom"/>
            <w:vMerge w:val="continue"/>
          </w:tcPr>
          <w:p>
            <w:pPr>
              <w:spacing w:after="0"/>
              <w:rPr>
                <w:sz w:val="17"/>
                <w:szCs w:val="17"/>
                <w:color w:val="auto"/>
              </w:rPr>
            </w:pPr>
          </w:p>
        </w:tc>
        <w:tc>
          <w:tcPr>
            <w:tcW w:w="140" w:type="dxa"/>
            <w:vAlign w:val="bottom"/>
            <w:vMerge w:val="continue"/>
          </w:tcPr>
          <w:p>
            <w:pPr>
              <w:spacing w:after="0"/>
              <w:rPr>
                <w:sz w:val="17"/>
                <w:szCs w:val="17"/>
                <w:color w:val="auto"/>
              </w:rPr>
            </w:pPr>
          </w:p>
        </w:tc>
        <w:tc>
          <w:tcPr>
            <w:tcW w:w="880" w:type="dxa"/>
            <w:vAlign w:val="bottom"/>
            <w:vMerge w:val="continue"/>
          </w:tcPr>
          <w:p>
            <w:pPr>
              <w:spacing w:after="0"/>
              <w:rPr>
                <w:sz w:val="17"/>
                <w:szCs w:val="17"/>
                <w:color w:val="auto"/>
              </w:rPr>
            </w:pPr>
          </w:p>
        </w:tc>
        <w:tc>
          <w:tcPr>
            <w:tcW w:w="2480" w:type="dxa"/>
            <w:vAlign w:val="bottom"/>
          </w:tcPr>
          <w:p>
            <w:pPr>
              <w:ind w:left="60"/>
              <w:spacing w:after="0"/>
              <w:rPr>
                <w:sz w:val="20"/>
                <w:szCs w:val="20"/>
                <w:color w:val="auto"/>
              </w:rPr>
            </w:pPr>
            <w:r>
              <w:rPr>
                <w:rFonts w:ascii="Arial" w:cs="Arial" w:eastAsia="Arial" w:hAnsi="Arial"/>
                <w:sz w:val="16"/>
                <w:szCs w:val="16"/>
                <w:color w:val="auto"/>
              </w:rPr>
              <w:t>NY Cohort</w:t>
            </w:r>
          </w:p>
        </w:tc>
        <w:tc>
          <w:tcPr>
            <w:tcW w:w="200" w:type="dxa"/>
            <w:vAlign w:val="bottom"/>
            <w:gridSpan w:val="2"/>
            <w:vMerge w:val="continue"/>
          </w:tcPr>
          <w:p>
            <w:pPr>
              <w:spacing w:after="0"/>
              <w:rPr>
                <w:sz w:val="17"/>
                <w:szCs w:val="17"/>
                <w:color w:val="auto"/>
              </w:rPr>
            </w:pPr>
          </w:p>
        </w:tc>
        <w:tc>
          <w:tcPr>
            <w:tcW w:w="880" w:type="dxa"/>
            <w:vAlign w:val="bottom"/>
            <w:vMerge w:val="continue"/>
          </w:tcPr>
          <w:p>
            <w:pPr>
              <w:spacing w:after="0"/>
              <w:rPr>
                <w:sz w:val="17"/>
                <w:szCs w:val="17"/>
                <w:color w:val="auto"/>
              </w:rPr>
            </w:pPr>
          </w:p>
        </w:tc>
        <w:tc>
          <w:tcPr>
            <w:tcW w:w="2460" w:type="dxa"/>
            <w:vAlign w:val="bottom"/>
          </w:tcPr>
          <w:p>
            <w:pPr>
              <w:ind w:left="60"/>
              <w:spacing w:after="0"/>
              <w:rPr>
                <w:sz w:val="20"/>
                <w:szCs w:val="20"/>
                <w:color w:val="auto"/>
              </w:rPr>
            </w:pPr>
            <w:r>
              <w:rPr>
                <w:rFonts w:ascii="Arial" w:cs="Arial" w:eastAsia="Arial" w:hAnsi="Arial"/>
                <w:sz w:val="16"/>
                <w:szCs w:val="16"/>
                <w:color w:val="auto"/>
              </w:rPr>
              <w:t>NY Cohort</w:t>
            </w:r>
          </w:p>
        </w:tc>
        <w:tc>
          <w:tcPr>
            <w:tcW w:w="0" w:type="dxa"/>
            <w:vAlign w:val="bottom"/>
          </w:tcPr>
          <w:p>
            <w:pPr>
              <w:spacing w:after="0"/>
              <w:rPr>
                <w:sz w:val="1"/>
                <w:szCs w:val="1"/>
                <w:color w:val="auto"/>
              </w:rPr>
            </w:pPr>
          </w:p>
        </w:tc>
      </w:tr>
      <w:tr>
        <w:trPr>
          <w:trHeight w:val="208"/>
        </w:trPr>
        <w:tc>
          <w:tcPr>
            <w:tcW w:w="2960" w:type="dxa"/>
            <w:vAlign w:val="bottom"/>
            <w:vMerge w:val="restart"/>
          </w:tcPr>
          <w:p>
            <w:pPr>
              <w:spacing w:after="0"/>
              <w:rPr>
                <w:sz w:val="20"/>
                <w:szCs w:val="20"/>
                <w:color w:val="auto"/>
              </w:rPr>
            </w:pPr>
            <w:r>
              <w:rPr>
                <w:rFonts w:ascii="Arial" w:cs="Arial" w:eastAsia="Arial" w:hAnsi="Arial"/>
                <w:sz w:val="16"/>
                <w:szCs w:val="16"/>
                <w:color w:val="auto"/>
              </w:rPr>
              <w:t>Reserves after NPR capping</w:t>
            </w:r>
          </w:p>
        </w:tc>
        <w:tc>
          <w:tcPr>
            <w:tcW w:w="140" w:type="dxa"/>
            <w:vAlign w:val="bottom"/>
          </w:tcPr>
          <w:p>
            <w:pPr>
              <w:spacing w:after="0"/>
              <w:rPr>
                <w:sz w:val="18"/>
                <w:szCs w:val="18"/>
                <w:color w:val="auto"/>
              </w:rPr>
            </w:pPr>
          </w:p>
        </w:tc>
        <w:tc>
          <w:tcPr>
            <w:tcW w:w="880" w:type="dxa"/>
            <w:vAlign w:val="bottom"/>
            <w:vMerge w:val="restart"/>
          </w:tcPr>
          <w:p>
            <w:pPr>
              <w:jc w:val="right"/>
              <w:ind w:right="162"/>
              <w:spacing w:after="0"/>
              <w:rPr>
                <w:sz w:val="20"/>
                <w:szCs w:val="20"/>
                <w:color w:val="auto"/>
              </w:rPr>
            </w:pPr>
            <w:r>
              <w:rPr>
                <w:rFonts w:ascii="Arial" w:cs="Arial" w:eastAsia="Arial" w:hAnsi="Arial"/>
                <w:sz w:val="16"/>
                <w:szCs w:val="16"/>
                <w:color w:val="auto"/>
              </w:rPr>
              <w:t>1,156</w:t>
            </w:r>
          </w:p>
        </w:tc>
        <w:tc>
          <w:tcPr>
            <w:tcW w:w="2480" w:type="dxa"/>
            <w:vAlign w:val="bottom"/>
          </w:tcPr>
          <w:p>
            <w:pPr>
              <w:ind w:left="60"/>
              <w:spacing w:after="0"/>
              <w:rPr>
                <w:sz w:val="20"/>
                <w:szCs w:val="20"/>
                <w:color w:val="auto"/>
              </w:rPr>
            </w:pPr>
            <w:r>
              <w:rPr>
                <w:rFonts w:ascii="Arial" w:cs="Arial" w:eastAsia="Arial" w:hAnsi="Arial"/>
                <w:sz w:val="16"/>
                <w:szCs w:val="16"/>
                <w:color w:val="auto"/>
                <w:w w:val="99"/>
              </w:rPr>
              <w:t>Term with return of premium Non-</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vMerge w:val="restart"/>
          </w:tcPr>
          <w:p>
            <w:pPr>
              <w:jc w:val="right"/>
              <w:ind w:right="162"/>
              <w:spacing w:after="0"/>
              <w:rPr>
                <w:sz w:val="20"/>
                <w:szCs w:val="20"/>
                <w:color w:val="auto"/>
              </w:rPr>
            </w:pPr>
            <w:r>
              <w:rPr>
                <w:rFonts w:ascii="Arial" w:cs="Arial" w:eastAsia="Arial" w:hAnsi="Arial"/>
                <w:sz w:val="16"/>
                <w:szCs w:val="16"/>
                <w:color w:val="auto"/>
              </w:rPr>
              <w:t>1,174</w:t>
            </w:r>
          </w:p>
        </w:tc>
        <w:tc>
          <w:tcPr>
            <w:tcW w:w="2460" w:type="dxa"/>
            <w:vAlign w:val="bottom"/>
          </w:tcPr>
          <w:p>
            <w:pPr>
              <w:ind w:left="60"/>
              <w:spacing w:after="0"/>
              <w:rPr>
                <w:sz w:val="20"/>
                <w:szCs w:val="20"/>
                <w:color w:val="auto"/>
              </w:rPr>
            </w:pPr>
            <w:r>
              <w:rPr>
                <w:rFonts w:ascii="Arial" w:cs="Arial" w:eastAsia="Arial" w:hAnsi="Arial"/>
                <w:sz w:val="16"/>
                <w:szCs w:val="16"/>
                <w:color w:val="auto"/>
                <w:w w:val="99"/>
              </w:rPr>
              <w:t>Term with return of premium Non-</w:t>
            </w:r>
          </w:p>
        </w:tc>
        <w:tc>
          <w:tcPr>
            <w:tcW w:w="0" w:type="dxa"/>
            <w:vAlign w:val="bottom"/>
          </w:tcPr>
          <w:p>
            <w:pPr>
              <w:spacing w:after="0"/>
              <w:rPr>
                <w:sz w:val="1"/>
                <w:szCs w:val="1"/>
                <w:color w:val="auto"/>
              </w:rPr>
            </w:pPr>
          </w:p>
        </w:tc>
      </w:tr>
      <w:tr>
        <w:trPr>
          <w:trHeight w:val="204"/>
        </w:trPr>
        <w:tc>
          <w:tcPr>
            <w:tcW w:w="296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vMerge w:val="continue"/>
          </w:tcPr>
          <w:p>
            <w:pPr>
              <w:spacing w:after="0"/>
              <w:rPr>
                <w:sz w:val="17"/>
                <w:szCs w:val="17"/>
                <w:color w:val="auto"/>
              </w:rPr>
            </w:pPr>
          </w:p>
        </w:tc>
        <w:tc>
          <w:tcPr>
            <w:tcW w:w="2480" w:type="dxa"/>
            <w:vAlign w:val="bottom"/>
          </w:tcPr>
          <w:p>
            <w:pPr>
              <w:ind w:left="60"/>
              <w:spacing w:after="0"/>
              <w:rPr>
                <w:sz w:val="20"/>
                <w:szCs w:val="20"/>
                <w:color w:val="auto"/>
              </w:rPr>
            </w:pPr>
            <w:r>
              <w:rPr>
                <w:rFonts w:ascii="Arial" w:cs="Arial" w:eastAsia="Arial" w:hAnsi="Arial"/>
                <w:sz w:val="16"/>
                <w:szCs w:val="16"/>
                <w:color w:val="auto"/>
              </w:rPr>
              <w:t>NY Cohort</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vMerge w:val="continue"/>
          </w:tcPr>
          <w:p>
            <w:pPr>
              <w:spacing w:after="0"/>
              <w:rPr>
                <w:sz w:val="17"/>
                <w:szCs w:val="17"/>
                <w:color w:val="auto"/>
              </w:rPr>
            </w:pPr>
          </w:p>
        </w:tc>
        <w:tc>
          <w:tcPr>
            <w:tcW w:w="2460" w:type="dxa"/>
            <w:vAlign w:val="bottom"/>
          </w:tcPr>
          <w:p>
            <w:pPr>
              <w:ind w:left="60"/>
              <w:spacing w:after="0"/>
              <w:rPr>
                <w:sz w:val="20"/>
                <w:szCs w:val="20"/>
                <w:color w:val="auto"/>
              </w:rPr>
            </w:pPr>
            <w:r>
              <w:rPr>
                <w:rFonts w:ascii="Arial" w:cs="Arial" w:eastAsia="Arial" w:hAnsi="Arial"/>
                <w:sz w:val="16"/>
                <w:szCs w:val="16"/>
                <w:color w:val="auto"/>
              </w:rPr>
              <w:t>NY Cohort</w:t>
            </w:r>
          </w:p>
        </w:tc>
        <w:tc>
          <w:tcPr>
            <w:tcW w:w="0" w:type="dxa"/>
            <w:vAlign w:val="bottom"/>
          </w:tcPr>
          <w:p>
            <w:pPr>
              <w:spacing w:after="0"/>
              <w:rPr>
                <w:sz w:val="1"/>
                <w:szCs w:val="1"/>
                <w:color w:val="auto"/>
              </w:rPr>
            </w:pPr>
          </w:p>
        </w:tc>
      </w:tr>
      <w:tr>
        <w:trPr>
          <w:trHeight w:val="208"/>
        </w:trPr>
        <w:tc>
          <w:tcPr>
            <w:tcW w:w="2960" w:type="dxa"/>
            <w:vAlign w:val="bottom"/>
            <w:vMerge w:val="restart"/>
          </w:tcPr>
          <w:p>
            <w:pPr>
              <w:spacing w:after="0"/>
              <w:rPr>
                <w:sz w:val="20"/>
                <w:szCs w:val="20"/>
                <w:color w:val="auto"/>
              </w:rPr>
            </w:pPr>
            <w:r>
              <w:rPr>
                <w:rFonts w:ascii="Arial" w:cs="Arial" w:eastAsia="Arial" w:hAnsi="Arial"/>
                <w:sz w:val="16"/>
                <w:szCs w:val="16"/>
                <w:color w:val="auto"/>
              </w:rPr>
              <w:t>Loss Expense</w:t>
            </w:r>
          </w:p>
        </w:tc>
        <w:tc>
          <w:tcPr>
            <w:tcW w:w="140" w:type="dxa"/>
            <w:vAlign w:val="bottom"/>
          </w:tcPr>
          <w:p>
            <w:pPr>
              <w:spacing w:after="0"/>
              <w:rPr>
                <w:sz w:val="18"/>
                <w:szCs w:val="18"/>
                <w:color w:val="auto"/>
              </w:rPr>
            </w:pPr>
          </w:p>
        </w:tc>
        <w:tc>
          <w:tcPr>
            <w:tcW w:w="880" w:type="dxa"/>
            <w:vAlign w:val="bottom"/>
            <w:vMerge w:val="restart"/>
          </w:tcPr>
          <w:p>
            <w:pPr>
              <w:jc w:val="right"/>
              <w:ind w:right="162"/>
              <w:spacing w:after="0"/>
              <w:rPr>
                <w:sz w:val="20"/>
                <w:szCs w:val="20"/>
                <w:color w:val="auto"/>
              </w:rPr>
            </w:pPr>
            <w:r>
              <w:rPr>
                <w:rFonts w:ascii="Arial" w:cs="Arial" w:eastAsia="Arial" w:hAnsi="Arial"/>
                <w:sz w:val="16"/>
                <w:szCs w:val="16"/>
                <w:color w:val="auto"/>
              </w:rPr>
              <w:t>11</w:t>
            </w:r>
          </w:p>
        </w:tc>
        <w:tc>
          <w:tcPr>
            <w:tcW w:w="2480" w:type="dxa"/>
            <w:vAlign w:val="bottom"/>
          </w:tcPr>
          <w:p>
            <w:pPr>
              <w:ind w:left="60"/>
              <w:spacing w:after="0"/>
              <w:rPr>
                <w:sz w:val="20"/>
                <w:szCs w:val="20"/>
                <w:color w:val="auto"/>
              </w:rPr>
            </w:pPr>
            <w:r>
              <w:rPr>
                <w:rFonts w:ascii="Arial" w:cs="Arial" w:eastAsia="Arial" w:hAnsi="Arial"/>
                <w:sz w:val="16"/>
                <w:szCs w:val="16"/>
                <w:color w:val="auto"/>
                <w:w w:val="99"/>
              </w:rPr>
              <w:t>Term with return of premium Non-</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vMerge w:val="restart"/>
          </w:tcPr>
          <w:p>
            <w:pPr>
              <w:jc w:val="right"/>
              <w:ind w:right="162"/>
              <w:spacing w:after="0"/>
              <w:rPr>
                <w:sz w:val="20"/>
                <w:szCs w:val="20"/>
                <w:color w:val="auto"/>
              </w:rPr>
            </w:pPr>
            <w:r>
              <w:rPr>
                <w:rFonts w:ascii="Arial" w:cs="Arial" w:eastAsia="Arial" w:hAnsi="Arial"/>
                <w:sz w:val="16"/>
                <w:szCs w:val="16"/>
                <w:color w:val="auto"/>
              </w:rPr>
              <w:t>27</w:t>
            </w:r>
          </w:p>
        </w:tc>
        <w:tc>
          <w:tcPr>
            <w:tcW w:w="2460" w:type="dxa"/>
            <w:vAlign w:val="bottom"/>
          </w:tcPr>
          <w:p>
            <w:pPr>
              <w:ind w:left="60"/>
              <w:spacing w:after="0"/>
              <w:rPr>
                <w:sz w:val="20"/>
                <w:szCs w:val="20"/>
                <w:color w:val="auto"/>
              </w:rPr>
            </w:pPr>
            <w:r>
              <w:rPr>
                <w:rFonts w:ascii="Arial" w:cs="Arial" w:eastAsia="Arial" w:hAnsi="Arial"/>
                <w:sz w:val="16"/>
                <w:szCs w:val="16"/>
                <w:color w:val="auto"/>
                <w:w w:val="99"/>
              </w:rPr>
              <w:t>Term with return of premium Non-</w:t>
            </w:r>
          </w:p>
        </w:tc>
        <w:tc>
          <w:tcPr>
            <w:tcW w:w="0" w:type="dxa"/>
            <w:vAlign w:val="bottom"/>
          </w:tcPr>
          <w:p>
            <w:pPr>
              <w:spacing w:after="0"/>
              <w:rPr>
                <w:sz w:val="1"/>
                <w:szCs w:val="1"/>
                <w:color w:val="auto"/>
              </w:rPr>
            </w:pPr>
          </w:p>
        </w:tc>
      </w:tr>
      <w:tr>
        <w:trPr>
          <w:trHeight w:val="204"/>
        </w:trPr>
        <w:tc>
          <w:tcPr>
            <w:tcW w:w="296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vMerge w:val="continue"/>
          </w:tcPr>
          <w:p>
            <w:pPr>
              <w:spacing w:after="0"/>
              <w:rPr>
                <w:sz w:val="17"/>
                <w:szCs w:val="17"/>
                <w:color w:val="auto"/>
              </w:rPr>
            </w:pPr>
          </w:p>
        </w:tc>
        <w:tc>
          <w:tcPr>
            <w:tcW w:w="2480" w:type="dxa"/>
            <w:vAlign w:val="bottom"/>
          </w:tcPr>
          <w:p>
            <w:pPr>
              <w:ind w:left="60"/>
              <w:spacing w:after="0"/>
              <w:rPr>
                <w:sz w:val="20"/>
                <w:szCs w:val="20"/>
                <w:color w:val="auto"/>
              </w:rPr>
            </w:pPr>
            <w:r>
              <w:rPr>
                <w:rFonts w:ascii="Arial" w:cs="Arial" w:eastAsia="Arial" w:hAnsi="Arial"/>
                <w:sz w:val="16"/>
                <w:szCs w:val="16"/>
                <w:color w:val="auto"/>
              </w:rPr>
              <w:t>NY Cohort</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vMerge w:val="continue"/>
          </w:tcPr>
          <w:p>
            <w:pPr>
              <w:spacing w:after="0"/>
              <w:rPr>
                <w:sz w:val="17"/>
                <w:szCs w:val="17"/>
                <w:color w:val="auto"/>
              </w:rPr>
            </w:pPr>
          </w:p>
        </w:tc>
        <w:tc>
          <w:tcPr>
            <w:tcW w:w="2460" w:type="dxa"/>
            <w:vAlign w:val="bottom"/>
          </w:tcPr>
          <w:p>
            <w:pPr>
              <w:ind w:left="60"/>
              <w:spacing w:after="0"/>
              <w:rPr>
                <w:sz w:val="20"/>
                <w:szCs w:val="20"/>
                <w:color w:val="auto"/>
              </w:rPr>
            </w:pPr>
            <w:r>
              <w:rPr>
                <w:rFonts w:ascii="Arial" w:cs="Arial" w:eastAsia="Arial" w:hAnsi="Arial"/>
                <w:sz w:val="16"/>
                <w:szCs w:val="16"/>
                <w:color w:val="auto"/>
              </w:rPr>
              <w:t>NY Cohort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-1047115</wp:posOffset>
            </wp:positionV>
            <wp:extent cx="6410325" cy="107061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181">
                      <a:extLst>
                        <a:ext uri="{28A0092B-C50C-407E-A947-70E740481C1C}"/>
                      </a:extLst>
                    </a:blip>
                    <a:srcRect/>
                    <a:stretch>
                      <a:fillRect/>
                    </a:stretch>
                  </pic:blipFill>
                  <pic:spPr bwMode="auto">
                    <a:xfrm>
                      <a:off x="0" y="0"/>
                      <a:ext cx="6410325" cy="1070610"/>
                    </a:xfrm>
                    <a:prstGeom prst="rect">
                      <a:avLst/>
                    </a:prstGeom>
                    <a:noFill/>
                  </pic:spPr>
                </pic:pic>
              </a:graphicData>
            </a:graphic>
          </wp:anchor>
        </w:drawing>
      </w:r>
    </w:p>
    <w:p>
      <w:pPr>
        <w:sectPr>
          <w:pgSz w:w="11880" w:h="15480" w:orient="portrait"/>
          <w:cols w:equalWidth="0" w:num="1">
            <w:col w:w="10040"/>
          </w:cols>
          <w:pgMar w:left="920" w:top="772"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189</w:t>
      </w:r>
    </w:p>
    <w:p>
      <w:pPr>
        <w:sectPr>
          <w:pgSz w:w="11880" w:h="15480" w:orient="portrait"/>
          <w:cols w:equalWidth="0" w:num="1">
            <w:col w:w="10040"/>
          </w:cols>
          <w:pgMar w:left="920" w:top="772" w:right="920" w:bottom="0" w:gutter="0" w:footer="0" w:header="0"/>
          <w:type w:val="continuous"/>
        </w:sectPr>
      </w:pPr>
    </w:p>
    <w:bookmarkStart w:id="201" w:name="page202"/>
    <w:bookmarkEnd w:id="201"/>
    <w:p>
      <w:pPr>
        <w:jc w:val="both"/>
        <w:ind w:firstLine="353"/>
        <w:spacing w:after="0" w:line="359" w:lineRule="auto"/>
        <w:rPr>
          <w:sz w:val="20"/>
          <w:szCs w:val="20"/>
          <w:color w:val="auto"/>
        </w:rPr>
      </w:pPr>
      <w:r>
        <w:rPr>
          <w:rFonts w:ascii="Arial" w:cs="Arial" w:eastAsia="Arial" w:hAnsi="Arial"/>
          <w:sz w:val="17"/>
          <w:szCs w:val="17"/>
          <w:color w:val="auto"/>
        </w:rPr>
        <w:t>F&amp;G made changes to assumptions during the years ended December 31, 2025 and 2024. Significant assumption inputs used in the calculation of our FPB are described below. Refer to the tables above for further details on changes to our FPB.</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Traditional life</w:t>
      </w:r>
    </w:p>
    <w:p>
      <w:pPr>
        <w:spacing w:after="0" w:line="125" w:lineRule="exact"/>
        <w:rPr>
          <w:sz w:val="20"/>
          <w:szCs w:val="20"/>
          <w:color w:val="auto"/>
        </w:rPr>
      </w:pPr>
    </w:p>
    <w:p>
      <w:pPr>
        <w:jc w:val="both"/>
        <w:ind w:firstLine="353"/>
        <w:spacing w:after="0" w:line="258" w:lineRule="auto"/>
        <w:rPr>
          <w:sz w:val="20"/>
          <w:szCs w:val="20"/>
          <w:color w:val="auto"/>
        </w:rPr>
      </w:pPr>
      <w:r>
        <w:rPr>
          <w:rFonts w:ascii="Arial" w:cs="Arial" w:eastAsia="Arial" w:hAnsi="Arial"/>
          <w:sz w:val="20"/>
          <w:szCs w:val="20"/>
          <w:color w:val="auto"/>
        </w:rPr>
        <w:t>The traditional life line of business primarily consists of policies that were sold prior to 2010. As this line of business continues to age, benefit payments made from these contracts will be the primary driver of the emergence of reserves, decreasing the reserve balance.</w:t>
      </w:r>
    </w:p>
    <w:p>
      <w:pPr>
        <w:spacing w:after="0" w:line="82" w:lineRule="exact"/>
        <w:rPr>
          <w:sz w:val="20"/>
          <w:szCs w:val="20"/>
          <w:color w:val="auto"/>
        </w:rPr>
      </w:pPr>
    </w:p>
    <w:p>
      <w:pPr>
        <w:jc w:val="both"/>
        <w:ind w:firstLine="353"/>
        <w:spacing w:after="0" w:line="264" w:lineRule="auto"/>
        <w:rPr>
          <w:sz w:val="20"/>
          <w:szCs w:val="20"/>
          <w:color w:val="auto"/>
        </w:rPr>
      </w:pPr>
      <w:r>
        <w:rPr>
          <w:rFonts w:ascii="Arial" w:cs="Arial" w:eastAsia="Arial" w:hAnsi="Arial"/>
          <w:sz w:val="19"/>
          <w:szCs w:val="19"/>
          <w:color w:val="auto"/>
        </w:rPr>
        <w:t>Significant assumption inputs to the calculation of the FPB for traditional life include mortality, lapses (including lapses due to nonpayment of premium and surrenders for cash surrender value), and discount rates (both accretion and current). F&amp;G reviews the cash flow assumptions annually, typically in the third quarter. In 2025, F&amp;G updated the assumptions for surrenders and lapses. Updates to these assumptions brought F&amp;G more in line with internal and overall industry experience since the prior assumption updates. These assumption updates resulted in a decrease to the FPB liability for the year ended December 31, 2025. In 2024, F&amp;G made an adjustment to the calculation to reflect additional actuarial precision, unrelated to the assumptions, driving an increase to the FPB liability.</w:t>
      </w:r>
    </w:p>
    <w:p>
      <w:pPr>
        <w:spacing w:after="0" w:line="82" w:lineRule="exact"/>
        <w:rPr>
          <w:sz w:val="20"/>
          <w:szCs w:val="20"/>
          <w:color w:val="auto"/>
        </w:rPr>
      </w:pPr>
    </w:p>
    <w:p>
      <w:pPr>
        <w:jc w:val="both"/>
        <w:ind w:firstLine="353"/>
        <w:spacing w:after="0" w:line="278" w:lineRule="auto"/>
        <w:rPr>
          <w:sz w:val="20"/>
          <w:szCs w:val="20"/>
          <w:color w:val="auto"/>
        </w:rPr>
      </w:pPr>
      <w:r>
        <w:rPr>
          <w:rFonts w:ascii="Arial" w:cs="Arial" w:eastAsia="Arial" w:hAnsi="Arial"/>
          <w:sz w:val="19"/>
          <w:szCs w:val="19"/>
          <w:color w:val="auto"/>
        </w:rPr>
        <w:t>Market data that underlies current discount rates was updated in 2025 from that utilized in 2024 resulting in decreased discount rates that drove an increase to the FPB. Market data that underlies current discount rates was updated in 2024 from that utilized in 2023 resulting in increased discount rates that drove a decrease to the FPB.</w:t>
      </w:r>
    </w:p>
    <w:p>
      <w:pPr>
        <w:spacing w:after="0" w:line="6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Immediate annuities (life contingent)</w:t>
      </w:r>
    </w:p>
    <w:p>
      <w:pPr>
        <w:spacing w:after="0" w:line="125" w:lineRule="exact"/>
        <w:rPr>
          <w:sz w:val="20"/>
          <w:szCs w:val="20"/>
          <w:color w:val="auto"/>
        </w:rPr>
      </w:pPr>
    </w:p>
    <w:p>
      <w:pPr>
        <w:jc w:val="both"/>
        <w:ind w:firstLine="353"/>
        <w:spacing w:after="0" w:line="266" w:lineRule="auto"/>
        <w:rPr>
          <w:sz w:val="20"/>
          <w:szCs w:val="20"/>
          <w:color w:val="auto"/>
        </w:rPr>
      </w:pPr>
      <w:r>
        <w:rPr>
          <w:rFonts w:ascii="Arial" w:cs="Arial" w:eastAsia="Arial" w:hAnsi="Arial"/>
          <w:sz w:val="19"/>
          <w:szCs w:val="19"/>
          <w:color w:val="auto"/>
        </w:rPr>
        <w:t>Significant assumption inputs to the calculation of the FPB for immediate annuities (life contingent) include mortality and discount rates (both accretion and current). F&amp;G reviews the cash flow assumptions annually, typically in the third quarter. In 2024, F&amp;G undertook a review of the significant cash flow assumptions and did not make any changes to mortality. Market data that underlies current discount rates was updated in 2025 from that utilized in 2024 resulting in decreased discount rates that drove an increase to the FPB. Market data that underlies current discount rates was updated in 2024 from that utilized in 2023 resulting in increased discount rates that drove a decrease to the FPB.</w:t>
      </w:r>
    </w:p>
    <w:p>
      <w:pPr>
        <w:spacing w:after="0" w:line="7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PRT (life contingent)</w:t>
      </w:r>
    </w:p>
    <w:p>
      <w:pPr>
        <w:spacing w:after="0" w:line="125" w:lineRule="exact"/>
        <w:rPr>
          <w:sz w:val="20"/>
          <w:szCs w:val="20"/>
          <w:color w:val="auto"/>
        </w:rPr>
      </w:pPr>
    </w:p>
    <w:p>
      <w:pPr>
        <w:jc w:val="both"/>
        <w:ind w:firstLine="353"/>
        <w:spacing w:after="0" w:line="271" w:lineRule="auto"/>
        <w:rPr>
          <w:sz w:val="20"/>
          <w:szCs w:val="20"/>
          <w:color w:val="auto"/>
        </w:rPr>
      </w:pPr>
      <w:r>
        <w:rPr>
          <w:rFonts w:ascii="Arial" w:cs="Arial" w:eastAsia="Arial" w:hAnsi="Arial"/>
          <w:sz w:val="20"/>
          <w:szCs w:val="20"/>
          <w:color w:val="auto"/>
        </w:rPr>
        <w:t>The PRT line of business has issued a significant volume of contracts for 2025 and 2024, which is the primary impact in increasing the reserve balance in each of those periods.</w:t>
      </w:r>
    </w:p>
    <w:p>
      <w:pPr>
        <w:spacing w:after="0" w:line="69" w:lineRule="exact"/>
        <w:rPr>
          <w:sz w:val="20"/>
          <w:szCs w:val="20"/>
          <w:color w:val="auto"/>
        </w:rPr>
      </w:pPr>
    </w:p>
    <w:p>
      <w:pPr>
        <w:jc w:val="both"/>
        <w:ind w:firstLine="353"/>
        <w:spacing w:after="0" w:line="300" w:lineRule="auto"/>
        <w:rPr>
          <w:sz w:val="20"/>
          <w:szCs w:val="20"/>
          <w:color w:val="auto"/>
        </w:rPr>
      </w:pPr>
      <w:r>
        <w:rPr>
          <w:rFonts w:ascii="Arial" w:cs="Arial" w:eastAsia="Arial" w:hAnsi="Arial"/>
          <w:sz w:val="17"/>
          <w:szCs w:val="17"/>
          <w:color w:val="auto"/>
        </w:rPr>
        <w:t>Significant assumption inputs to the calculation of the FPB for PRT (life contingent) include mortality and discount rates (both accretion and current). Additionally, for PRT contracts with deferred payment streams, retirement age and elected payment form are significant assumptions. F&amp;G reviews the cash flow assumptions annually, typically in the third quarter. In 2024, F&amp;G undertook a review of the significant cash flow assumptions and did not make any changes to any significant assumptions. Market data that underlies current discount rates was updated in 2025 from that utilized in 2024 resulting in decreased discount rates that drove an increase to the FPB. Market data that underlies current discount rates was updated in 2024 from that utilized in 2023 resulting in increased discount rates that drove a decrease to the FPB.</w:t>
      </w:r>
    </w:p>
    <w:p>
      <w:pPr>
        <w:spacing w:after="0" w:line="16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Premium deficiency testing</w:t>
      </w:r>
    </w:p>
    <w:p>
      <w:pPr>
        <w:spacing w:after="0" w:line="125" w:lineRule="exact"/>
        <w:rPr>
          <w:sz w:val="20"/>
          <w:szCs w:val="20"/>
          <w:color w:val="auto"/>
        </w:rPr>
      </w:pPr>
    </w:p>
    <w:p>
      <w:pPr>
        <w:jc w:val="both"/>
        <w:ind w:firstLine="353"/>
        <w:spacing w:after="0" w:line="297" w:lineRule="auto"/>
        <w:rPr>
          <w:sz w:val="20"/>
          <w:szCs w:val="20"/>
          <w:color w:val="auto"/>
        </w:rPr>
      </w:pPr>
      <w:r>
        <w:rPr>
          <w:rFonts w:ascii="Arial" w:cs="Arial" w:eastAsia="Arial" w:hAnsi="Arial"/>
          <w:sz w:val="17"/>
          <w:szCs w:val="17"/>
          <w:color w:val="auto"/>
        </w:rPr>
        <w:t>F&amp;G conducts annual premium deficiency testing for its long-duration contracts except for the FPB for nonparticipating traditional and limited-payment contracts. F&amp;G also conducts annual premium deficiency testing for the VOBA of all long-duration contracts. Premium deficiency testing is performed by reviewing assumptions used to calculate the insurance liabilities and determining whether the sum of the existing contract liabilities and the present value of future gross premiums is sufficient to cover the present value of future benefits to be paid to or on behalf of policyholders and settlement costs and recover unamortized present value of future profits. Anticipated investment income, based on F&amp;G’s experience, is considered when performing premium deficiency testing for long-duration contracts. During 2024, F&amp;G did not pass premium deficiency testing for the traditional life block of business, related to the recoverability of VOBA. Due to that result, F&amp;G began accruing a liability in the fourth quarter of 2024 that increases the amortization of traditional life VOBA. The liability balance was immaterial at December 31, 2025 and December 31, 2024.</w:t>
      </w:r>
    </w:p>
    <w:p>
      <w:pPr>
        <w:sectPr>
          <w:pgSz w:w="11880" w:h="15480" w:orient="portrait"/>
          <w:cols w:equalWidth="0" w:num="1">
            <w:col w:w="10040"/>
          </w:cols>
          <w:pgMar w:left="920" w:top="772"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190</w:t>
      </w:r>
    </w:p>
    <w:p>
      <w:pPr>
        <w:sectPr>
          <w:pgSz w:w="11880" w:h="15480" w:orient="portrait"/>
          <w:cols w:equalWidth="0" w:num="1">
            <w:col w:w="10040"/>
          </w:cols>
          <w:pgMar w:left="920" w:top="772" w:right="920" w:bottom="0" w:gutter="0" w:footer="0" w:header="0"/>
          <w:type w:val="continuous"/>
        </w:sectPr>
      </w:pPr>
    </w:p>
    <w:bookmarkStart w:id="202" w:name="page203"/>
    <w:bookmarkEnd w:id="202"/>
    <w:p>
      <w:pPr>
        <w:ind w:left="300" w:right="1320" w:hanging="308"/>
        <w:spacing w:after="0" w:line="278" w:lineRule="auto"/>
        <w:rPr>
          <w:sz w:val="20"/>
          <w:szCs w:val="20"/>
          <w:color w:val="auto"/>
        </w:rPr>
      </w:pPr>
      <w:r>
        <w:rPr>
          <w:rFonts w:ascii="Arial" w:cs="Arial" w:eastAsia="Arial" w:hAnsi="Arial"/>
          <w:sz w:val="20"/>
          <w:szCs w:val="20"/>
          <w:b w:val="1"/>
          <w:bCs w:val="1"/>
          <w:color w:val="auto"/>
        </w:rPr>
        <w:t>Item 9.</w:t>
      </w:r>
      <w:r>
        <w:rPr>
          <w:sz w:val="20"/>
          <w:szCs w:val="20"/>
          <w:color w:val="auto"/>
        </w:rPr>
        <w:t xml:space="preserve"> </w:t>
      </w:r>
      <w:r>
        <w:rPr>
          <w:rFonts w:ascii="Arial" w:cs="Arial" w:eastAsia="Arial" w:hAnsi="Arial"/>
          <w:sz w:val="20"/>
          <w:szCs w:val="20"/>
          <w:b w:val="1"/>
          <w:bCs w:val="1"/>
          <w:i w:val="1"/>
          <w:iCs w:val="1"/>
          <w:color w:val="auto"/>
        </w:rPr>
        <w:t xml:space="preserve">Changes in and Disagreements with Accountants on Accounting and Financial Disclosure </w:t>
      </w:r>
      <w:r>
        <w:rPr>
          <w:rFonts w:ascii="Arial" w:cs="Arial" w:eastAsia="Arial" w:hAnsi="Arial"/>
          <w:sz w:val="20"/>
          <w:szCs w:val="20"/>
          <w:color w:val="auto"/>
        </w:rPr>
        <w:t>None.</w:t>
      </w:r>
    </w:p>
    <w:p>
      <w:pPr>
        <w:spacing w:after="0" w:line="5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9A. Controls and Procedures</w:t>
      </w:r>
    </w:p>
    <w:p>
      <w:pPr>
        <w:spacing w:after="0" w:line="130" w:lineRule="exact"/>
        <w:rPr>
          <w:sz w:val="20"/>
          <w:szCs w:val="20"/>
          <w:color w:val="auto"/>
        </w:rPr>
      </w:pPr>
    </w:p>
    <w:p>
      <w:pPr>
        <w:jc w:val="both"/>
        <w:ind w:firstLine="353"/>
        <w:spacing w:after="0" w:line="299" w:lineRule="auto"/>
        <w:rPr>
          <w:sz w:val="20"/>
          <w:szCs w:val="20"/>
          <w:color w:val="auto"/>
        </w:rPr>
      </w:pPr>
      <w:r>
        <w:rPr>
          <w:rFonts w:ascii="Arial" w:cs="Arial" w:eastAsia="Arial" w:hAnsi="Arial"/>
          <w:sz w:val="17"/>
          <w:szCs w:val="17"/>
          <w:color w:val="auto"/>
        </w:rPr>
        <w:t>As of the end of the year covered by this report, we carried out an evaluation, under the supervision and with the participation of our principal executive officer and principal financial officer, of the effectiveness of the design and operation of our disclosure controls and procedures, as such term is defined in Rule 13a-15(e) under the Exchange Act. Based on this evaluation, our principal executive officer and principal financial officer concluded that our disclosure controls and procedures are effective to ensure that information required to be disclosed by us in the reports that we file or submit under the Exchange Act is: (a) recorded, processed, summarized and reported, within the time periods specified in the Commission’s rules and forms; and (b) accumulated and communicated to management, including our principal executive and principal financial officers, as appropriate to allow timely decisions regarding required disclosure.</w:t>
      </w:r>
    </w:p>
    <w:p>
      <w:pPr>
        <w:spacing w:after="0" w:line="51" w:lineRule="exact"/>
        <w:rPr>
          <w:sz w:val="20"/>
          <w:szCs w:val="20"/>
          <w:color w:val="auto"/>
        </w:rPr>
      </w:pPr>
    </w:p>
    <w:p>
      <w:pPr>
        <w:jc w:val="both"/>
        <w:ind w:firstLine="353"/>
        <w:spacing w:after="0" w:line="250" w:lineRule="auto"/>
        <w:rPr>
          <w:sz w:val="20"/>
          <w:szCs w:val="20"/>
          <w:color w:val="auto"/>
        </w:rPr>
      </w:pPr>
      <w:r>
        <w:rPr>
          <w:rFonts w:ascii="Arial" w:cs="Arial" w:eastAsia="Arial" w:hAnsi="Arial"/>
          <w:sz w:val="20"/>
          <w:szCs w:val="20"/>
          <w:color w:val="auto"/>
        </w:rPr>
        <w:t>Notwithstanding the foregoing, there can be no assurance that the Company’s disclosure controls and procedures will detect or uncover all failures of persons within the Company to disclose material information otherwise required to be set forth in the Company’s periodic reports. There are inherent limitations to the effectiveness of any system of disclosure controls and procedures, including the possibility of human error and the circumvention or overriding of the controls and procedures. Accordingly, even effective disclosure controls and procedures can only provide reasonable, not absolute, assurance of achieving their control objectives.</w:t>
      </w:r>
    </w:p>
    <w:p>
      <w:pPr>
        <w:spacing w:after="0" w:line="91" w:lineRule="exact"/>
        <w:rPr>
          <w:sz w:val="20"/>
          <w:szCs w:val="20"/>
          <w:color w:val="auto"/>
        </w:rPr>
      </w:pPr>
    </w:p>
    <w:p>
      <w:pPr>
        <w:jc w:val="both"/>
        <w:ind w:firstLine="353"/>
        <w:spacing w:after="0" w:line="356" w:lineRule="auto"/>
        <w:rPr>
          <w:sz w:val="20"/>
          <w:szCs w:val="20"/>
          <w:color w:val="auto"/>
        </w:rPr>
      </w:pPr>
      <w:r>
        <w:rPr>
          <w:rFonts w:ascii="Arial" w:cs="Arial" w:eastAsia="Arial" w:hAnsi="Arial"/>
          <w:sz w:val="17"/>
          <w:szCs w:val="17"/>
          <w:color w:val="auto"/>
        </w:rPr>
        <w:t>There were no changes in our internal control over financial reporting that occurred during the year ended December 31, 2025, that have materially affected, or are reasonably likely to materially affect, our internal control over financial reporting.</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MANAGEMENT'S REPORT ON INTERNAL CONTROL OVER FINANCIAL REPORTING</w:t>
      </w:r>
    </w:p>
    <w:p>
      <w:pPr>
        <w:spacing w:after="0" w:line="130" w:lineRule="exact"/>
        <w:rPr>
          <w:sz w:val="20"/>
          <w:szCs w:val="20"/>
          <w:color w:val="auto"/>
        </w:rPr>
      </w:pPr>
    </w:p>
    <w:p>
      <w:pPr>
        <w:jc w:val="both"/>
        <w:ind w:firstLine="353"/>
        <w:spacing w:after="0" w:line="249" w:lineRule="auto"/>
        <w:rPr>
          <w:sz w:val="20"/>
          <w:szCs w:val="20"/>
          <w:color w:val="auto"/>
        </w:rPr>
      </w:pPr>
      <w:r>
        <w:rPr>
          <w:rFonts w:ascii="Arial" w:cs="Arial" w:eastAsia="Arial" w:hAnsi="Arial"/>
          <w:sz w:val="20"/>
          <w:szCs w:val="20"/>
          <w:color w:val="auto"/>
        </w:rPr>
        <w:t>Management is responsible for establishing and maintaining adequate internal control over financial reporting, as such term is defined in Exchange Act Rules 13a-15(f) or 15d-15(f). Under the supervision and with the participation of our management, including our principal executive officer and principal financial officer, we conducted an evaluation of the effectiveness of our internal control over financial reporting. Management has adopted the framework in Internal Control - Integrated Framework (2013) issued by the Committee of Sponsoring Organizations of the Treadway Commission (COSO). Based on our evaluation under this framework, our management concluded that our internal control over financial reporting was effective as of December 31, 2025.</w:t>
      </w:r>
    </w:p>
    <w:p>
      <w:pPr>
        <w:spacing w:after="0" w:line="94" w:lineRule="exact"/>
        <w:rPr>
          <w:sz w:val="20"/>
          <w:szCs w:val="20"/>
          <w:color w:val="auto"/>
        </w:rPr>
      </w:pPr>
    </w:p>
    <w:p>
      <w:pPr>
        <w:jc w:val="both"/>
        <w:ind w:firstLine="353"/>
        <w:spacing w:after="0" w:line="356" w:lineRule="auto"/>
        <w:rPr>
          <w:sz w:val="20"/>
          <w:szCs w:val="20"/>
          <w:color w:val="auto"/>
        </w:rPr>
      </w:pPr>
      <w:r>
        <w:rPr>
          <w:rFonts w:ascii="Arial" w:cs="Arial" w:eastAsia="Arial" w:hAnsi="Arial"/>
          <w:sz w:val="17"/>
          <w:szCs w:val="17"/>
          <w:color w:val="auto"/>
        </w:rPr>
        <w:t>The effectiveness of our internal control over financial reporting as of December 31, 2025, has been audited by Ernst &amp; Young LLP, an independent registered public accounting firm, as stated in their report, which is included herein.</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LIMITATIONS ON THE EFFECTIVENESS OF CONTROLS</w:t>
      </w:r>
    </w:p>
    <w:p>
      <w:pPr>
        <w:spacing w:after="0" w:line="130" w:lineRule="exact"/>
        <w:rPr>
          <w:sz w:val="20"/>
          <w:szCs w:val="20"/>
          <w:color w:val="auto"/>
        </w:rPr>
      </w:pPr>
    </w:p>
    <w:p>
      <w:pPr>
        <w:jc w:val="both"/>
        <w:ind w:firstLine="353"/>
        <w:spacing w:after="0" w:line="325" w:lineRule="auto"/>
        <w:rPr>
          <w:sz w:val="20"/>
          <w:szCs w:val="20"/>
          <w:color w:val="auto"/>
        </w:rPr>
      </w:pPr>
      <w:r>
        <w:rPr>
          <w:rFonts w:ascii="Arial" w:cs="Arial" w:eastAsia="Arial" w:hAnsi="Arial"/>
          <w:sz w:val="17"/>
          <w:szCs w:val="17"/>
          <w:color w:val="auto"/>
        </w:rPr>
        <w:t>A control system, no matter how well conceived and operated, can provide only reasonable, not absolute, assurance that the objectives of the control system are met. Because of the inherent limitations in all control systems, no evaluation of controls can provide absolute assurance that all control issues and instances of fraud, if any, within the Company have been detected.</w:t>
      </w:r>
    </w:p>
    <w:p>
      <w:pPr>
        <w:spacing w:after="0" w:line="22" w:lineRule="exact"/>
        <w:rPr>
          <w:sz w:val="20"/>
          <w:szCs w:val="20"/>
          <w:color w:val="auto"/>
        </w:rPr>
      </w:pPr>
    </w:p>
    <w:p>
      <w:pPr>
        <w:spacing w:after="0"/>
        <w:tabs>
          <w:tab w:leader="none" w:pos="1380" w:val="left"/>
        </w:tabs>
        <w:rPr>
          <w:sz w:val="20"/>
          <w:szCs w:val="20"/>
          <w:color w:val="auto"/>
        </w:rPr>
      </w:pPr>
      <w:r>
        <w:rPr>
          <w:rFonts w:ascii="Arial" w:cs="Arial" w:eastAsia="Arial" w:hAnsi="Arial"/>
          <w:sz w:val="20"/>
          <w:szCs w:val="20"/>
          <w:b w:val="1"/>
          <w:bCs w:val="1"/>
          <w:color w:val="auto"/>
        </w:rPr>
        <w:t>Item 9B.</w:t>
      </w:r>
      <w:r>
        <w:rPr>
          <w:sz w:val="20"/>
          <w:szCs w:val="20"/>
          <w:color w:val="auto"/>
        </w:rPr>
        <w:tab/>
      </w:r>
      <w:r>
        <w:rPr>
          <w:rFonts w:ascii="Arial" w:cs="Arial" w:eastAsia="Arial" w:hAnsi="Arial"/>
          <w:sz w:val="17"/>
          <w:szCs w:val="17"/>
          <w:b w:val="1"/>
          <w:bCs w:val="1"/>
          <w:color w:val="auto"/>
        </w:rPr>
        <w:t>Other Information</w:t>
      </w:r>
    </w:p>
    <w:p>
      <w:pPr>
        <w:spacing w:after="0" w:line="130" w:lineRule="exact"/>
        <w:rPr>
          <w:sz w:val="20"/>
          <w:szCs w:val="20"/>
          <w:color w:val="auto"/>
        </w:rPr>
      </w:pPr>
    </w:p>
    <w:p>
      <w:pPr>
        <w:jc w:val="both"/>
        <w:ind w:firstLine="353"/>
        <w:spacing w:after="0" w:line="356" w:lineRule="auto"/>
        <w:rPr>
          <w:sz w:val="20"/>
          <w:szCs w:val="20"/>
          <w:color w:val="auto"/>
        </w:rPr>
      </w:pPr>
      <w:r>
        <w:rPr>
          <w:rFonts w:ascii="Arial" w:cs="Arial" w:eastAsia="Arial" w:hAnsi="Arial"/>
          <w:sz w:val="17"/>
          <w:szCs w:val="17"/>
          <w:color w:val="auto"/>
        </w:rPr>
        <w:t>During the year ended December 31, 2025, no director or officer of the Company adopted or terminated a "Rule 10b5-1 trading arrangement" or "non-Rule 10b5-1 trading arrangement," as each term is defined in Item 408(a) of Regulation S-K.</w:t>
      </w:r>
    </w:p>
    <w:p>
      <w:pPr>
        <w:spacing w:after="0" w:line="1" w:lineRule="exact"/>
        <w:rPr>
          <w:sz w:val="20"/>
          <w:szCs w:val="20"/>
          <w:color w:val="auto"/>
        </w:rPr>
      </w:pPr>
    </w:p>
    <w:p>
      <w:pPr>
        <w:spacing w:after="0"/>
        <w:tabs>
          <w:tab w:leader="none" w:pos="1380" w:val="left"/>
        </w:tabs>
        <w:rPr>
          <w:sz w:val="20"/>
          <w:szCs w:val="20"/>
          <w:color w:val="auto"/>
        </w:rPr>
      </w:pPr>
      <w:r>
        <w:rPr>
          <w:rFonts w:ascii="Arial" w:cs="Arial" w:eastAsia="Arial" w:hAnsi="Arial"/>
          <w:sz w:val="20"/>
          <w:szCs w:val="20"/>
          <w:b w:val="1"/>
          <w:bCs w:val="1"/>
          <w:color w:val="auto"/>
        </w:rPr>
        <w:t>Item 9C.</w:t>
      </w:r>
      <w:r>
        <w:rPr>
          <w:sz w:val="20"/>
          <w:szCs w:val="20"/>
          <w:color w:val="auto"/>
        </w:rPr>
        <w:tab/>
      </w:r>
      <w:r>
        <w:rPr>
          <w:rFonts w:ascii="Arial" w:cs="Arial" w:eastAsia="Arial" w:hAnsi="Arial"/>
          <w:sz w:val="17"/>
          <w:szCs w:val="17"/>
          <w:b w:val="1"/>
          <w:bCs w:val="1"/>
          <w:color w:val="auto"/>
        </w:rPr>
        <w:t>Disclosure Regarding Foreign Jurisdictions that Prevent Inspections</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20"/>
          <w:szCs w:val="20"/>
          <w:color w:val="auto"/>
        </w:rPr>
        <w:t>Not applicable.</w:t>
      </w:r>
    </w:p>
    <w:p>
      <w:pPr>
        <w:sectPr>
          <w:pgSz w:w="11880" w:h="15480" w:orient="portrait"/>
          <w:cols w:equalWidth="0" w:num="1">
            <w:col w:w="10040"/>
          </w:cols>
          <w:pgMar w:left="920" w:top="1000"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191</w:t>
      </w:r>
    </w:p>
    <w:p>
      <w:pPr>
        <w:sectPr>
          <w:pgSz w:w="11880" w:h="15480" w:orient="portrait"/>
          <w:cols w:equalWidth="0" w:num="1">
            <w:col w:w="10040"/>
          </w:cols>
          <w:pgMar w:left="920" w:top="1000" w:right="920" w:bottom="0" w:gutter="0" w:footer="0" w:header="0"/>
          <w:type w:val="continuous"/>
        </w:sectPr>
      </w:pPr>
    </w:p>
    <w:bookmarkStart w:id="203" w:name="page204"/>
    <w:bookmarkEnd w:id="203"/>
    <w:p>
      <w:pPr>
        <w:jc w:val="center"/>
        <w:spacing w:after="0"/>
        <w:rPr>
          <w:sz w:val="20"/>
          <w:szCs w:val="20"/>
          <w:color w:val="auto"/>
        </w:rPr>
      </w:pPr>
      <w:r>
        <w:rPr>
          <w:rFonts w:ascii="Arial" w:cs="Arial" w:eastAsia="Arial" w:hAnsi="Arial"/>
          <w:sz w:val="20"/>
          <w:szCs w:val="20"/>
          <w:b w:val="1"/>
          <w:bCs w:val="1"/>
          <w:color w:val="auto"/>
        </w:rPr>
        <w:t>PART III</w:t>
      </w:r>
    </w:p>
    <w:p>
      <w:pPr>
        <w:spacing w:after="0" w:line="24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10</w:t>
      </w:r>
    </w:p>
    <w:p>
      <w:pPr>
        <w:spacing w:after="0" w:line="12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Codes of Ethics</w:t>
      </w:r>
    </w:p>
    <w:p>
      <w:pPr>
        <w:spacing w:after="0" w:line="130" w:lineRule="exact"/>
        <w:rPr>
          <w:sz w:val="20"/>
          <w:szCs w:val="20"/>
          <w:color w:val="auto"/>
        </w:rPr>
      </w:pPr>
    </w:p>
    <w:p>
      <w:pPr>
        <w:jc w:val="both"/>
        <w:ind w:firstLine="353"/>
        <w:spacing w:after="0" w:line="295" w:lineRule="auto"/>
        <w:rPr>
          <w:sz w:val="20"/>
          <w:szCs w:val="20"/>
          <w:color w:val="auto"/>
        </w:rPr>
      </w:pPr>
      <w:r>
        <w:rPr>
          <w:rFonts w:ascii="Arial" w:cs="Arial" w:eastAsia="Arial" w:hAnsi="Arial"/>
          <w:sz w:val="17"/>
          <w:szCs w:val="17"/>
          <w:color w:val="auto"/>
        </w:rPr>
        <w:t>Our board of directors has adopted a Code of Ethics for Senior Financial Officers, which is applicable to our Chief Executive Officer, our Chief Financial Officer and our Chief Accounting Officer, and a Code of Business Conduct and Ethics, which is applicable to all our directors, officers and employees. The purpose of these codes is to: (i) promote honest and ethical conduct, including the ethical handling of conflicts of interest; (ii) promote full, fair, accurate, timely and understandable disclosure; (iii) promote compliance with applicable laws and governmental rules and regulations; (iv) ensure the protection of our legitimate business interests, including corporate opportunities, assets and confidential information; and (v) deter wrongdoing. Our codes of ethics are designed to maintain our commitment to our longstanding standards for ethical business practices. Our reputation for integrity is one of our most important assets and each of our employees and directors is expected to contribute to the care and preservation of that asset. Under our codes of ethics, an amendment to or a waiver or modification of any ethics policy applicable to our directors or executive officers must be disclosed to the extent required under Securities and Exchange Commission and/or New York Stock Exchange rules. We intend to disclose any such amendment or waiver by posting it on our website at www.investor.fnf.com.</w:t>
      </w:r>
    </w:p>
    <w:p>
      <w:pPr>
        <w:spacing w:after="0" w:line="297" w:lineRule="exact"/>
        <w:rPr>
          <w:sz w:val="20"/>
          <w:szCs w:val="20"/>
          <w:color w:val="auto"/>
        </w:rPr>
      </w:pPr>
    </w:p>
    <w:p>
      <w:pPr>
        <w:jc w:val="both"/>
        <w:ind w:firstLine="353"/>
        <w:spacing w:after="0" w:line="271" w:lineRule="auto"/>
        <w:rPr>
          <w:sz w:val="20"/>
          <w:szCs w:val="20"/>
          <w:color w:val="auto"/>
        </w:rPr>
      </w:pPr>
      <w:r>
        <w:rPr>
          <w:rFonts w:ascii="Arial" w:cs="Arial" w:eastAsia="Arial" w:hAnsi="Arial"/>
          <w:sz w:val="20"/>
          <w:szCs w:val="20"/>
          <w:color w:val="auto"/>
        </w:rPr>
        <w:t>Copies of our Code of Business Conduct and Ethics and our Code of Ethics for Senior Financial Officers are available for review on our website at www.investor.fnf.com.</w:t>
      </w:r>
    </w:p>
    <w:p>
      <w:pPr>
        <w:spacing w:after="0" w:line="6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Policy Prohibiting Insider Trading and Related Procedures</w:t>
      </w:r>
    </w:p>
    <w:p>
      <w:pPr>
        <w:spacing w:after="0" w:line="130" w:lineRule="exact"/>
        <w:rPr>
          <w:sz w:val="20"/>
          <w:szCs w:val="20"/>
          <w:color w:val="auto"/>
        </w:rPr>
      </w:pPr>
    </w:p>
    <w:p>
      <w:pPr>
        <w:jc w:val="both"/>
        <w:ind w:firstLine="353"/>
        <w:spacing w:after="0" w:line="251" w:lineRule="auto"/>
        <w:rPr>
          <w:sz w:val="20"/>
          <w:szCs w:val="20"/>
          <w:color w:val="auto"/>
        </w:rPr>
      </w:pPr>
      <w:r>
        <w:rPr>
          <w:rFonts w:ascii="Arial" w:cs="Arial" w:eastAsia="Arial" w:hAnsi="Arial"/>
          <w:sz w:val="20"/>
          <w:szCs w:val="20"/>
          <w:color w:val="auto"/>
        </w:rPr>
        <w:t>We have adopted an Insider Trading and Tipping Policy prohibiting insider trading and provides related procedures governing the purchase, sale, and other dispositions of the registrant's securities. This policy also prohibits tipping or disclosing material nonpublic information ("MNPI") to outsiders. This policy is applicable to all directors, officers, employees, their immediate family, and any entities controlled by them who have regular access to MNPI. A copy of the insider trading policy is filed as an exhibit to this Annual Report.</w:t>
      </w:r>
    </w:p>
    <w:p>
      <w:pPr>
        <w:spacing w:after="0" w:line="8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Items 10-14.</w:t>
      </w:r>
    </w:p>
    <w:p>
      <w:pPr>
        <w:spacing w:after="0" w:line="127" w:lineRule="exact"/>
        <w:rPr>
          <w:sz w:val="20"/>
          <w:szCs w:val="20"/>
          <w:color w:val="auto"/>
        </w:rPr>
      </w:pPr>
    </w:p>
    <w:p>
      <w:pPr>
        <w:jc w:val="both"/>
        <w:ind w:firstLine="353"/>
        <w:spacing w:after="0" w:line="271" w:lineRule="auto"/>
        <w:rPr>
          <w:sz w:val="20"/>
          <w:szCs w:val="20"/>
          <w:color w:val="auto"/>
        </w:rPr>
      </w:pPr>
      <w:r>
        <w:rPr>
          <w:rFonts w:ascii="Arial" w:cs="Arial" w:eastAsia="Arial" w:hAnsi="Arial"/>
          <w:sz w:val="20"/>
          <w:szCs w:val="20"/>
          <w:color w:val="auto"/>
        </w:rPr>
        <w:t>Within 120 days after the close of our fiscal year, we intend to file with the Securities and Exchange Commission the remaining matters required by these items.</w:t>
      </w:r>
    </w:p>
    <w:p>
      <w:pPr>
        <w:sectPr>
          <w:pgSz w:w="11880" w:h="15480" w:orient="portrait"/>
          <w:cols w:equalWidth="0" w:num="1">
            <w:col w:w="10040"/>
          </w:cols>
          <w:pgMar w:left="920" w:top="1333"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192</w:t>
      </w:r>
    </w:p>
    <w:p>
      <w:pPr>
        <w:sectPr>
          <w:pgSz w:w="11880" w:h="15480" w:orient="portrait"/>
          <w:cols w:equalWidth="0" w:num="1">
            <w:col w:w="10040"/>
          </w:cols>
          <w:pgMar w:left="920" w:top="1333" w:right="920" w:bottom="0" w:gutter="0" w:footer="0" w:header="0"/>
          <w:type w:val="continuous"/>
        </w:sectPr>
      </w:pPr>
    </w:p>
    <w:bookmarkStart w:id="204" w:name="page205"/>
    <w:bookmarkEnd w:id="204"/>
    <w:p>
      <w:pPr>
        <w:ind w:left="4620"/>
        <w:spacing w:after="0"/>
        <w:rPr>
          <w:sz w:val="20"/>
          <w:szCs w:val="20"/>
          <w:color w:val="auto"/>
        </w:rPr>
      </w:pPr>
      <w:r>
        <w:rPr>
          <w:rFonts w:ascii="Arial" w:cs="Arial" w:eastAsia="Arial" w:hAnsi="Arial"/>
          <w:sz w:val="20"/>
          <w:szCs w:val="20"/>
          <w:b w:val="1"/>
          <w:bCs w:val="1"/>
          <w:color w:val="auto"/>
        </w:rPr>
        <w:t>PART IV</w:t>
      </w:r>
    </w:p>
    <w:p>
      <w:pPr>
        <w:spacing w:after="0" w:line="240" w:lineRule="exact"/>
        <w:rPr>
          <w:sz w:val="20"/>
          <w:szCs w:val="20"/>
          <w:color w:val="auto"/>
        </w:rPr>
      </w:pPr>
    </w:p>
    <w:p>
      <w:pPr>
        <w:spacing w:after="0"/>
        <w:tabs>
          <w:tab w:leader="none" w:pos="1380" w:val="left"/>
        </w:tabs>
        <w:rPr>
          <w:sz w:val="20"/>
          <w:szCs w:val="20"/>
          <w:color w:val="auto"/>
        </w:rPr>
      </w:pPr>
      <w:r>
        <w:rPr>
          <w:rFonts w:ascii="Arial" w:cs="Arial" w:eastAsia="Arial" w:hAnsi="Arial"/>
          <w:sz w:val="20"/>
          <w:szCs w:val="20"/>
          <w:b w:val="1"/>
          <w:bCs w:val="1"/>
          <w:color w:val="auto"/>
        </w:rPr>
        <w:t>Item 15.</w:t>
      </w:r>
      <w:r>
        <w:rPr>
          <w:sz w:val="20"/>
          <w:szCs w:val="20"/>
          <w:color w:val="auto"/>
        </w:rPr>
        <w:tab/>
      </w:r>
      <w:r>
        <w:rPr>
          <w:rFonts w:ascii="Arial" w:cs="Arial" w:eastAsia="Arial" w:hAnsi="Arial"/>
          <w:sz w:val="17"/>
          <w:szCs w:val="17"/>
          <w:b w:val="1"/>
          <w:bCs w:val="1"/>
          <w:i w:val="1"/>
          <w:iCs w:val="1"/>
          <w:color w:val="auto"/>
        </w:rPr>
        <w:t>Exhibits and Financial Statement Schedules</w:t>
      </w:r>
    </w:p>
    <w:p>
      <w:pPr>
        <w:spacing w:after="0" w:line="246" w:lineRule="exact"/>
        <w:rPr>
          <w:sz w:val="20"/>
          <w:szCs w:val="20"/>
          <w:color w:val="auto"/>
        </w:rPr>
      </w:pPr>
    </w:p>
    <w:p>
      <w:pPr>
        <w:ind w:firstLine="345"/>
        <w:spacing w:after="0" w:line="273" w:lineRule="auto"/>
        <w:tabs>
          <w:tab w:leader="none" w:pos="664" w:val="left"/>
        </w:tabs>
        <w:numPr>
          <w:ilvl w:val="0"/>
          <w:numId w:val="66"/>
        </w:numPr>
        <w:rPr>
          <w:rFonts w:ascii="Arial" w:cs="Arial" w:eastAsia="Arial" w:hAnsi="Arial"/>
          <w:sz w:val="20"/>
          <w:szCs w:val="20"/>
          <w:color w:val="auto"/>
        </w:rPr>
      </w:pPr>
      <w:r>
        <w:rPr>
          <w:rFonts w:ascii="Arial" w:cs="Arial" w:eastAsia="Arial" w:hAnsi="Arial"/>
          <w:sz w:val="20"/>
          <w:szCs w:val="20"/>
          <w:color w:val="auto"/>
        </w:rPr>
        <w:t xml:space="preserve">(1) </w:t>
      </w:r>
      <w:r>
        <w:rPr>
          <w:rFonts w:ascii="Arial" w:cs="Arial" w:eastAsia="Arial" w:hAnsi="Arial"/>
          <w:sz w:val="20"/>
          <w:szCs w:val="20"/>
          <w:b w:val="1"/>
          <w:bCs w:val="1"/>
          <w:i w:val="1"/>
          <w:iCs w:val="1"/>
          <w:color w:val="auto"/>
        </w:rPr>
        <w:t>Financial Statements.</w:t>
      </w:r>
      <w:r>
        <w:rPr>
          <w:rFonts w:ascii="Arial" w:cs="Arial" w:eastAsia="Arial" w:hAnsi="Arial"/>
          <w:sz w:val="20"/>
          <w:szCs w:val="20"/>
          <w:color w:val="auto"/>
        </w:rPr>
        <w:t xml:space="preserve"> The following is a list of the Consolidated Financial Statements of Fidelity National Financial, Inc. and its subsidiaries included in Item 8 of Part II:</w:t>
      </w:r>
    </w:p>
    <w:p>
      <w:pPr>
        <w:spacing w:after="0" w:line="19" w:lineRule="exact"/>
        <w:rPr>
          <w:sz w:val="20"/>
          <w:szCs w:val="20"/>
          <w:color w:val="auto"/>
        </w:rPr>
      </w:pPr>
    </w:p>
    <w:p>
      <w:pPr>
        <w:ind w:left="40"/>
        <w:spacing w:after="0"/>
        <w:rPr>
          <w:sz w:val="20"/>
          <w:szCs w:val="20"/>
          <w:color w:val="auto"/>
        </w:rPr>
      </w:pPr>
      <w:r>
        <w:rPr>
          <w:rFonts w:ascii="Arial" w:cs="Arial" w:eastAsia="Arial" w:hAnsi="Arial"/>
          <w:sz w:val="20"/>
          <w:szCs w:val="20"/>
          <w:u w:val="single" w:color="auto"/>
          <w:color w:val="auto"/>
        </w:rPr>
        <w:t>Report of Independent Registered Public Accounting Firm on Effectiveness of Internal Control over Financial</w:t>
      </w:r>
    </w:p>
    <w:p>
      <w:pPr>
        <w:ind w:left="40"/>
        <w:spacing w:after="0"/>
        <w:tabs>
          <w:tab w:leader="dot" w:pos="9760" w:val="left"/>
        </w:tabs>
        <w:rPr>
          <w:sz w:val="20"/>
          <w:szCs w:val="20"/>
          <w:color w:val="auto"/>
        </w:rPr>
      </w:pPr>
      <w:r>
        <w:rPr>
          <w:rFonts w:ascii="Arial" w:cs="Arial" w:eastAsia="Arial" w:hAnsi="Arial"/>
          <w:sz w:val="20"/>
          <w:szCs w:val="20"/>
          <w:u w:val="single" w:color="auto"/>
          <w:color w:val="auto"/>
        </w:rPr>
        <w:t>Reporting</w:t>
      </w:r>
      <w:r>
        <w:rPr>
          <w:sz w:val="20"/>
          <w:szCs w:val="20"/>
          <w:color w:val="auto"/>
        </w:rPr>
        <w:tab/>
      </w:r>
      <w:r>
        <w:rPr>
          <w:rFonts w:ascii="Arial" w:cs="Arial" w:eastAsia="Arial" w:hAnsi="Arial"/>
          <w:sz w:val="16"/>
          <w:szCs w:val="16"/>
          <w:u w:val="single" w:color="auto"/>
          <w:color w:val="auto"/>
        </w:rPr>
        <w:t>98</w:t>
      </w:r>
    </w:p>
    <w:p>
      <w:pPr>
        <w:spacing w:after="0" w:line="42" w:lineRule="exact"/>
        <w:rPr>
          <w:sz w:val="20"/>
          <w:szCs w:val="20"/>
          <w:color w:val="auto"/>
        </w:rPr>
      </w:pPr>
    </w:p>
    <w:p>
      <w:pPr>
        <w:ind w:left="40"/>
        <w:spacing w:after="0"/>
        <w:tabs>
          <w:tab w:leader="dot" w:pos="9760" w:val="left"/>
        </w:tabs>
        <w:rPr>
          <w:sz w:val="20"/>
          <w:szCs w:val="20"/>
          <w:color w:val="auto"/>
        </w:rPr>
      </w:pPr>
      <w:r>
        <w:rPr>
          <w:rFonts w:ascii="Arial" w:cs="Arial" w:eastAsia="Arial" w:hAnsi="Arial"/>
          <w:sz w:val="20"/>
          <w:szCs w:val="20"/>
          <w:u w:val="single" w:color="auto"/>
          <w:color w:val="auto"/>
        </w:rPr>
        <w:t>Report of Independent Registered Public Accounting Firm on Financial Statements</w:t>
      </w:r>
      <w:r>
        <w:rPr>
          <w:sz w:val="20"/>
          <w:szCs w:val="20"/>
          <w:color w:val="auto"/>
        </w:rPr>
        <w:tab/>
      </w:r>
      <w:r>
        <w:rPr>
          <w:rFonts w:ascii="Arial" w:cs="Arial" w:eastAsia="Arial" w:hAnsi="Arial"/>
          <w:sz w:val="16"/>
          <w:szCs w:val="16"/>
          <w:u w:val="single" w:color="auto"/>
          <w:color w:val="auto"/>
        </w:rPr>
        <w:t>99</w:t>
      </w:r>
    </w:p>
    <w:p>
      <w:pPr>
        <w:spacing w:after="0" w:line="64" w:lineRule="exact"/>
        <w:rPr>
          <w:sz w:val="20"/>
          <w:szCs w:val="20"/>
          <w:color w:val="auto"/>
        </w:rPr>
      </w:pPr>
    </w:p>
    <w:p>
      <w:pPr>
        <w:ind w:left="40"/>
        <w:spacing w:after="0"/>
        <w:tabs>
          <w:tab w:leader="dot" w:pos="9660" w:val="left"/>
        </w:tabs>
        <w:rPr>
          <w:sz w:val="20"/>
          <w:szCs w:val="20"/>
          <w:color w:val="auto"/>
        </w:rPr>
      </w:pPr>
      <w:r>
        <w:rPr>
          <w:rFonts w:ascii="Arial" w:cs="Arial" w:eastAsia="Arial" w:hAnsi="Arial"/>
          <w:sz w:val="20"/>
          <w:szCs w:val="20"/>
          <w:u w:val="single" w:color="auto"/>
          <w:color w:val="auto"/>
        </w:rPr>
        <w:t>Consolidated Balance Sheets as of December 31, 2025 and 2024</w:t>
      </w:r>
      <w:r>
        <w:rPr>
          <w:sz w:val="20"/>
          <w:szCs w:val="20"/>
          <w:color w:val="auto"/>
        </w:rPr>
        <w:tab/>
      </w:r>
      <w:r>
        <w:rPr>
          <w:rFonts w:ascii="Arial" w:cs="Arial" w:eastAsia="Arial" w:hAnsi="Arial"/>
          <w:sz w:val="16"/>
          <w:szCs w:val="16"/>
          <w:u w:val="single" w:color="auto"/>
          <w:color w:val="auto"/>
        </w:rPr>
        <w:t>101</w:t>
      </w:r>
    </w:p>
    <w:p>
      <w:pPr>
        <w:spacing w:after="0" w:line="64" w:lineRule="exact"/>
        <w:rPr>
          <w:sz w:val="20"/>
          <w:szCs w:val="20"/>
          <w:color w:val="auto"/>
        </w:rPr>
      </w:pPr>
    </w:p>
    <w:p>
      <w:pPr>
        <w:ind w:left="40"/>
        <w:spacing w:after="0"/>
        <w:tabs>
          <w:tab w:leader="dot" w:pos="9660" w:val="left"/>
        </w:tabs>
        <w:rPr>
          <w:sz w:val="20"/>
          <w:szCs w:val="20"/>
          <w:color w:val="auto"/>
        </w:rPr>
      </w:pPr>
      <w:r>
        <w:rPr>
          <w:rFonts w:ascii="Arial" w:cs="Arial" w:eastAsia="Arial" w:hAnsi="Arial"/>
          <w:sz w:val="20"/>
          <w:szCs w:val="20"/>
          <w:u w:val="single" w:color="auto"/>
          <w:color w:val="auto"/>
        </w:rPr>
        <w:t>Consolidated Statements of Earnings for the years ended December 31, 2025, 2024 and 2023</w:t>
      </w:r>
      <w:r>
        <w:rPr>
          <w:sz w:val="20"/>
          <w:szCs w:val="20"/>
          <w:color w:val="auto"/>
        </w:rPr>
        <w:tab/>
      </w:r>
      <w:r>
        <w:rPr>
          <w:rFonts w:ascii="Arial" w:cs="Arial" w:eastAsia="Arial" w:hAnsi="Arial"/>
          <w:sz w:val="16"/>
          <w:szCs w:val="16"/>
          <w:u w:val="single" w:color="auto"/>
          <w:color w:val="auto"/>
        </w:rPr>
        <w:t>102</w:t>
      </w:r>
    </w:p>
    <w:p>
      <w:pPr>
        <w:spacing w:after="0" w:line="64" w:lineRule="exact"/>
        <w:rPr>
          <w:sz w:val="20"/>
          <w:szCs w:val="20"/>
          <w:color w:val="auto"/>
        </w:rPr>
      </w:pPr>
    </w:p>
    <w:p>
      <w:pPr>
        <w:ind w:left="40"/>
        <w:spacing w:after="0"/>
        <w:tabs>
          <w:tab w:leader="dot" w:pos="9660" w:val="left"/>
        </w:tabs>
        <w:rPr>
          <w:sz w:val="20"/>
          <w:szCs w:val="20"/>
          <w:color w:val="auto"/>
        </w:rPr>
      </w:pPr>
      <w:r>
        <w:rPr>
          <w:rFonts w:ascii="Arial" w:cs="Arial" w:eastAsia="Arial" w:hAnsi="Arial"/>
          <w:sz w:val="20"/>
          <w:szCs w:val="20"/>
          <w:u w:val="single" w:color="auto"/>
          <w:color w:val="auto"/>
        </w:rPr>
        <w:t>Consolidated Statements of Comprehensive Earnings for the years ended December 31, 2025, 2024 and 2023</w:t>
      </w:r>
      <w:r>
        <w:rPr>
          <w:sz w:val="20"/>
          <w:szCs w:val="20"/>
          <w:color w:val="auto"/>
        </w:rPr>
        <w:tab/>
      </w:r>
      <w:r>
        <w:rPr>
          <w:rFonts w:ascii="Arial" w:cs="Arial" w:eastAsia="Arial" w:hAnsi="Arial"/>
          <w:sz w:val="16"/>
          <w:szCs w:val="16"/>
          <w:u w:val="single" w:color="auto"/>
          <w:color w:val="auto"/>
        </w:rPr>
        <w:t>103</w:t>
      </w:r>
    </w:p>
    <w:p>
      <w:pPr>
        <w:spacing w:after="0" w:line="64" w:lineRule="exact"/>
        <w:rPr>
          <w:sz w:val="20"/>
          <w:szCs w:val="20"/>
          <w:color w:val="auto"/>
        </w:rPr>
      </w:pPr>
    </w:p>
    <w:p>
      <w:pPr>
        <w:ind w:left="40"/>
        <w:spacing w:after="0"/>
        <w:tabs>
          <w:tab w:leader="dot" w:pos="9660" w:val="left"/>
        </w:tabs>
        <w:rPr>
          <w:sz w:val="20"/>
          <w:szCs w:val="20"/>
          <w:color w:val="auto"/>
        </w:rPr>
      </w:pPr>
      <w:r>
        <w:rPr>
          <w:rFonts w:ascii="Arial" w:cs="Arial" w:eastAsia="Arial" w:hAnsi="Arial"/>
          <w:sz w:val="20"/>
          <w:szCs w:val="20"/>
          <w:u w:val="single" w:color="auto"/>
          <w:color w:val="auto"/>
        </w:rPr>
        <w:t>Consolidated Statements of Equity for the years ended December 31, 2025, 2024 and 2023</w:t>
      </w:r>
      <w:r>
        <w:rPr>
          <w:sz w:val="20"/>
          <w:szCs w:val="20"/>
          <w:color w:val="auto"/>
        </w:rPr>
        <w:tab/>
      </w:r>
      <w:r>
        <w:rPr>
          <w:rFonts w:ascii="Arial" w:cs="Arial" w:eastAsia="Arial" w:hAnsi="Arial"/>
          <w:sz w:val="16"/>
          <w:szCs w:val="16"/>
          <w:u w:val="single" w:color="auto"/>
          <w:color w:val="auto"/>
        </w:rPr>
        <w:t>104</w:t>
      </w:r>
    </w:p>
    <w:p>
      <w:pPr>
        <w:spacing w:after="0" w:line="64" w:lineRule="exact"/>
        <w:rPr>
          <w:sz w:val="20"/>
          <w:szCs w:val="20"/>
          <w:color w:val="auto"/>
        </w:rPr>
      </w:pPr>
    </w:p>
    <w:p>
      <w:pPr>
        <w:ind w:left="40"/>
        <w:spacing w:after="0"/>
        <w:tabs>
          <w:tab w:leader="dot" w:pos="9660" w:val="left"/>
        </w:tabs>
        <w:rPr>
          <w:sz w:val="20"/>
          <w:szCs w:val="20"/>
          <w:color w:val="auto"/>
        </w:rPr>
      </w:pPr>
      <w:r>
        <w:rPr>
          <w:rFonts w:ascii="Arial" w:cs="Arial" w:eastAsia="Arial" w:hAnsi="Arial"/>
          <w:sz w:val="20"/>
          <w:szCs w:val="20"/>
          <w:u w:val="single" w:color="auto"/>
          <w:color w:val="auto"/>
        </w:rPr>
        <w:t>Consolidated Statements of Cash Flows for the years ended December 31, 2025, 2024 and 2023</w:t>
      </w:r>
      <w:r>
        <w:rPr>
          <w:sz w:val="20"/>
          <w:szCs w:val="20"/>
          <w:color w:val="auto"/>
        </w:rPr>
        <w:tab/>
      </w:r>
      <w:r>
        <w:rPr>
          <w:rFonts w:ascii="Arial" w:cs="Arial" w:eastAsia="Arial" w:hAnsi="Arial"/>
          <w:sz w:val="16"/>
          <w:szCs w:val="16"/>
          <w:u w:val="single" w:color="auto"/>
          <w:color w:val="auto"/>
        </w:rPr>
        <w:t>107</w:t>
      </w:r>
    </w:p>
    <w:p>
      <w:pPr>
        <w:spacing w:after="0" w:line="64" w:lineRule="exact"/>
        <w:rPr>
          <w:sz w:val="20"/>
          <w:szCs w:val="20"/>
          <w:color w:val="auto"/>
        </w:rPr>
      </w:pPr>
    </w:p>
    <w:p>
      <w:pPr>
        <w:ind w:left="40"/>
        <w:spacing w:after="0"/>
        <w:tabs>
          <w:tab w:leader="dot" w:pos="9660" w:val="left"/>
        </w:tabs>
        <w:rPr>
          <w:sz w:val="20"/>
          <w:szCs w:val="20"/>
          <w:color w:val="auto"/>
        </w:rPr>
      </w:pPr>
      <w:r>
        <w:rPr>
          <w:rFonts w:ascii="Arial" w:cs="Arial" w:eastAsia="Arial" w:hAnsi="Arial"/>
          <w:sz w:val="20"/>
          <w:szCs w:val="20"/>
          <w:u w:val="single" w:color="auto"/>
          <w:color w:val="auto"/>
        </w:rPr>
        <w:t>Notes to Consolidated Financial Statements</w:t>
      </w:r>
      <w:r>
        <w:rPr>
          <w:sz w:val="20"/>
          <w:szCs w:val="20"/>
          <w:color w:val="auto"/>
        </w:rPr>
        <w:tab/>
      </w:r>
      <w:r>
        <w:rPr>
          <w:rFonts w:ascii="Arial" w:cs="Arial" w:eastAsia="Arial" w:hAnsi="Arial"/>
          <w:sz w:val="16"/>
          <w:szCs w:val="16"/>
          <w:u w:val="single" w:color="auto"/>
          <w:color w:val="auto"/>
        </w:rPr>
        <w:t>109</w:t>
      </w:r>
    </w:p>
    <w:p>
      <w:pPr>
        <w:spacing w:after="0" w:line="93" w:lineRule="exact"/>
        <w:rPr>
          <w:sz w:val="20"/>
          <w:szCs w:val="20"/>
          <w:color w:val="auto"/>
        </w:rPr>
      </w:pPr>
    </w:p>
    <w:p>
      <w:pPr>
        <w:ind w:firstLine="345"/>
        <w:spacing w:after="0" w:line="273" w:lineRule="auto"/>
        <w:tabs>
          <w:tab w:leader="none" w:pos="628" w:val="left"/>
        </w:tabs>
        <w:numPr>
          <w:ilvl w:val="0"/>
          <w:numId w:val="67"/>
        </w:numPr>
        <w:rPr>
          <w:rFonts w:ascii="Arial" w:cs="Arial" w:eastAsia="Arial" w:hAnsi="Arial"/>
          <w:sz w:val="20"/>
          <w:szCs w:val="20"/>
          <w:color w:val="auto"/>
        </w:rPr>
      </w:pPr>
      <w:r>
        <w:rPr>
          <w:rFonts w:ascii="Arial" w:cs="Arial" w:eastAsia="Arial" w:hAnsi="Arial"/>
          <w:sz w:val="20"/>
          <w:szCs w:val="20"/>
          <w:color w:val="auto"/>
        </w:rPr>
        <w:t xml:space="preserve">(2) </w:t>
      </w:r>
      <w:r>
        <w:rPr>
          <w:rFonts w:ascii="Arial" w:cs="Arial" w:eastAsia="Arial" w:hAnsi="Arial"/>
          <w:sz w:val="20"/>
          <w:szCs w:val="20"/>
          <w:b w:val="1"/>
          <w:bCs w:val="1"/>
          <w:i w:val="1"/>
          <w:iCs w:val="1"/>
          <w:color w:val="auto"/>
        </w:rPr>
        <w:t>Financial Statement Schedules.</w:t>
      </w:r>
      <w:r>
        <w:rPr>
          <w:rFonts w:ascii="Arial" w:cs="Arial" w:eastAsia="Arial" w:hAnsi="Arial"/>
          <w:sz w:val="20"/>
          <w:szCs w:val="20"/>
          <w:color w:val="auto"/>
        </w:rPr>
        <w:t xml:space="preserve"> The following is a list of financial statement schedules filed as part of this annual report on Form 10-K:</w:t>
      </w:r>
    </w:p>
    <w:p>
      <w:pPr>
        <w:spacing w:after="0" w:line="132" w:lineRule="exact"/>
        <w:rPr>
          <w:sz w:val="20"/>
          <w:szCs w:val="20"/>
          <w:color w:val="auto"/>
        </w:rPr>
      </w:pPr>
    </w:p>
    <w:p>
      <w:pPr>
        <w:ind w:left="40"/>
        <w:spacing w:after="0"/>
        <w:tabs>
          <w:tab w:leader="dot" w:pos="9660" w:val="left"/>
        </w:tabs>
        <w:rPr>
          <w:sz w:val="20"/>
          <w:szCs w:val="20"/>
          <w:color w:val="auto"/>
        </w:rPr>
      </w:pPr>
      <w:r>
        <w:rPr>
          <w:rFonts w:ascii="Arial" w:cs="Arial" w:eastAsia="Arial" w:hAnsi="Arial"/>
          <w:sz w:val="20"/>
          <w:szCs w:val="20"/>
          <w:b w:val="1"/>
          <w:bCs w:val="1"/>
          <w:i w:val="1"/>
          <w:iCs w:val="1"/>
          <w:u w:val="single" w:color="auto"/>
          <w:color w:val="auto"/>
        </w:rPr>
        <w:t>Schedule II:</w:t>
      </w:r>
      <w:r>
        <w:rPr>
          <w:rFonts w:ascii="Arial" w:cs="Arial" w:eastAsia="Arial" w:hAnsi="Arial"/>
          <w:sz w:val="20"/>
          <w:szCs w:val="20"/>
          <w:b w:val="1"/>
          <w:bCs w:val="1"/>
          <w:i w:val="1"/>
          <w:iCs w:val="1"/>
          <w:color w:val="auto"/>
        </w:rPr>
        <w:t xml:space="preserve"> </w:t>
      </w:r>
      <w:r>
        <w:rPr>
          <w:rFonts w:ascii="Arial" w:cs="Arial" w:eastAsia="Arial" w:hAnsi="Arial"/>
          <w:sz w:val="20"/>
          <w:szCs w:val="20"/>
          <w:u w:val="single" w:color="auto"/>
          <w:color w:val="auto"/>
        </w:rPr>
        <w:t>Fidelity National Financial, Inc. (Parent Company Financial Statements)</w:t>
      </w:r>
      <w:r>
        <w:rPr>
          <w:sz w:val="20"/>
          <w:szCs w:val="20"/>
          <w:color w:val="auto"/>
        </w:rPr>
        <w:tab/>
      </w:r>
      <w:r>
        <w:rPr>
          <w:rFonts w:ascii="Arial" w:cs="Arial" w:eastAsia="Arial" w:hAnsi="Arial"/>
          <w:sz w:val="16"/>
          <w:szCs w:val="16"/>
          <w:u w:val="single" w:color="auto"/>
          <w:color w:val="auto"/>
        </w:rPr>
        <w:t>201</w:t>
      </w:r>
    </w:p>
    <w:p>
      <w:pPr>
        <w:spacing w:after="0" w:line="64" w:lineRule="exact"/>
        <w:rPr>
          <w:sz w:val="20"/>
          <w:szCs w:val="20"/>
          <w:color w:val="auto"/>
        </w:rPr>
      </w:pPr>
    </w:p>
    <w:p>
      <w:pPr>
        <w:ind w:left="40"/>
        <w:spacing w:after="0"/>
        <w:tabs>
          <w:tab w:leader="dot" w:pos="9660" w:val="left"/>
        </w:tabs>
        <w:rPr>
          <w:sz w:val="20"/>
          <w:szCs w:val="20"/>
          <w:color w:val="auto"/>
        </w:rPr>
      </w:pPr>
      <w:r>
        <w:rPr>
          <w:rFonts w:ascii="Arial" w:cs="Arial" w:eastAsia="Arial" w:hAnsi="Arial"/>
          <w:sz w:val="20"/>
          <w:szCs w:val="20"/>
          <w:b w:val="1"/>
          <w:bCs w:val="1"/>
          <w:i w:val="1"/>
          <w:iCs w:val="1"/>
          <w:u w:val="single" w:color="auto"/>
          <w:color w:val="auto"/>
        </w:rPr>
        <w:t>Schedule III:</w:t>
      </w:r>
      <w:r>
        <w:rPr>
          <w:rFonts w:ascii="Arial" w:cs="Arial" w:eastAsia="Arial" w:hAnsi="Arial"/>
          <w:sz w:val="20"/>
          <w:szCs w:val="20"/>
          <w:b w:val="1"/>
          <w:bCs w:val="1"/>
          <w:i w:val="1"/>
          <w:iCs w:val="1"/>
          <w:color w:val="auto"/>
        </w:rPr>
        <w:t xml:space="preserve"> </w:t>
      </w:r>
      <w:r>
        <w:rPr>
          <w:rFonts w:ascii="Arial" w:cs="Arial" w:eastAsia="Arial" w:hAnsi="Arial"/>
          <w:sz w:val="20"/>
          <w:szCs w:val="20"/>
          <w:u w:val="single" w:color="auto"/>
          <w:color w:val="auto"/>
        </w:rPr>
        <w:t>F&amp;G Supplementary Insurance Information</w:t>
      </w:r>
      <w:r>
        <w:rPr>
          <w:sz w:val="20"/>
          <w:szCs w:val="20"/>
          <w:color w:val="auto"/>
        </w:rPr>
        <w:tab/>
      </w:r>
      <w:r>
        <w:rPr>
          <w:rFonts w:ascii="Arial" w:cs="Arial" w:eastAsia="Arial" w:hAnsi="Arial"/>
          <w:sz w:val="16"/>
          <w:szCs w:val="16"/>
          <w:u w:val="single" w:color="auto"/>
          <w:color w:val="auto"/>
        </w:rPr>
        <w:t>205</w:t>
      </w:r>
    </w:p>
    <w:p>
      <w:pPr>
        <w:spacing w:after="0" w:line="64" w:lineRule="exact"/>
        <w:rPr>
          <w:sz w:val="20"/>
          <w:szCs w:val="20"/>
          <w:color w:val="auto"/>
        </w:rPr>
      </w:pPr>
    </w:p>
    <w:p>
      <w:pPr>
        <w:ind w:left="40"/>
        <w:spacing w:after="0"/>
        <w:tabs>
          <w:tab w:leader="dot" w:pos="9660" w:val="left"/>
        </w:tabs>
        <w:rPr>
          <w:sz w:val="20"/>
          <w:szCs w:val="20"/>
          <w:color w:val="auto"/>
        </w:rPr>
      </w:pPr>
      <w:r>
        <w:rPr>
          <w:rFonts w:ascii="Arial" w:cs="Arial" w:eastAsia="Arial" w:hAnsi="Arial"/>
          <w:sz w:val="20"/>
          <w:szCs w:val="20"/>
          <w:b w:val="1"/>
          <w:bCs w:val="1"/>
          <w:i w:val="1"/>
          <w:iCs w:val="1"/>
          <w:u w:val="single" w:color="auto"/>
          <w:color w:val="auto"/>
        </w:rPr>
        <w:t>Schedule IV:</w:t>
      </w:r>
      <w:r>
        <w:rPr>
          <w:rFonts w:ascii="Arial" w:cs="Arial" w:eastAsia="Arial" w:hAnsi="Arial"/>
          <w:sz w:val="20"/>
          <w:szCs w:val="20"/>
          <w:b w:val="1"/>
          <w:bCs w:val="1"/>
          <w:i w:val="1"/>
          <w:iCs w:val="1"/>
          <w:color w:val="auto"/>
        </w:rPr>
        <w:t xml:space="preserve"> </w:t>
      </w:r>
      <w:r>
        <w:rPr>
          <w:rFonts w:ascii="Arial" w:cs="Arial" w:eastAsia="Arial" w:hAnsi="Arial"/>
          <w:sz w:val="20"/>
          <w:szCs w:val="20"/>
          <w:u w:val="single" w:color="auto"/>
          <w:color w:val="auto"/>
        </w:rPr>
        <w:t>F&amp;G Reinsurance</w:t>
      </w:r>
      <w:r>
        <w:rPr>
          <w:sz w:val="20"/>
          <w:szCs w:val="20"/>
          <w:color w:val="auto"/>
        </w:rPr>
        <w:tab/>
      </w:r>
      <w:r>
        <w:rPr>
          <w:rFonts w:ascii="Arial" w:cs="Arial" w:eastAsia="Arial" w:hAnsi="Arial"/>
          <w:sz w:val="16"/>
          <w:szCs w:val="16"/>
          <w:u w:val="single" w:color="auto"/>
          <w:color w:val="auto"/>
        </w:rPr>
        <w:t>206</w:t>
      </w:r>
    </w:p>
    <w:p>
      <w:pPr>
        <w:spacing w:after="0" w:line="97"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All other schedules are omitted because they are not applicable or not required, or because the required information is</w:t>
      </w:r>
    </w:p>
    <w:p>
      <w:pPr>
        <w:spacing w:after="0" w:line="59" w:lineRule="exact"/>
        <w:rPr>
          <w:sz w:val="20"/>
          <w:szCs w:val="20"/>
          <w:color w:val="auto"/>
        </w:rPr>
      </w:pPr>
    </w:p>
    <w:p>
      <w:pPr>
        <w:spacing w:after="0"/>
        <w:rPr>
          <w:sz w:val="20"/>
          <w:szCs w:val="20"/>
          <w:color w:val="auto"/>
        </w:rPr>
      </w:pPr>
      <w:r>
        <w:rPr>
          <w:rFonts w:ascii="Arial" w:cs="Arial" w:eastAsia="Arial" w:hAnsi="Arial"/>
          <w:sz w:val="20"/>
          <w:szCs w:val="20"/>
          <w:color w:val="auto"/>
        </w:rPr>
        <w:t>included in the Consolidated Financial Statements or notes thereto.</w:t>
      </w:r>
    </w:p>
    <w:p>
      <w:pPr>
        <w:sectPr>
          <w:pgSz w:w="11880" w:h="15480" w:orient="portrait"/>
          <w:cols w:equalWidth="0" w:num="1">
            <w:col w:w="10040"/>
          </w:cols>
          <w:pgMar w:left="920" w:top="765"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193</w:t>
      </w:r>
    </w:p>
    <w:p>
      <w:pPr>
        <w:sectPr>
          <w:pgSz w:w="11880" w:h="15480" w:orient="portrait"/>
          <w:cols w:equalWidth="0" w:num="1">
            <w:col w:w="10040"/>
          </w:cols>
          <w:pgMar w:left="920" w:top="765" w:right="920" w:bottom="0" w:gutter="0" w:footer="0" w:header="0"/>
          <w:type w:val="continuous"/>
        </w:sectPr>
      </w:pPr>
    </w:p>
    <w:bookmarkStart w:id="205" w:name="page206"/>
    <w:bookmarkEnd w:id="205"/>
    <w:p>
      <w:pPr>
        <w:ind w:left="280"/>
        <w:spacing w:after="0"/>
        <w:rPr>
          <w:sz w:val="20"/>
          <w:szCs w:val="20"/>
          <w:color w:val="auto"/>
        </w:rPr>
      </w:pPr>
      <w:r>
        <w:rPr>
          <w:rFonts w:ascii="Arial" w:cs="Arial" w:eastAsia="Arial" w:hAnsi="Arial"/>
          <w:sz w:val="20"/>
          <w:szCs w:val="20"/>
          <w:color w:val="auto"/>
        </w:rPr>
        <w:t>(a) (3) The following exhibits are incorporated by reference or are set forth on pages to this Form 10-K:</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9"/>
              </w:rPr>
              <w:t>Exhibit</w:t>
            </w:r>
          </w:p>
        </w:tc>
        <w:tc>
          <w:tcPr>
            <w:tcW w:w="4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300" w:type="dxa"/>
            <w:vAlign w:val="bottom"/>
            <w:gridSpan w:val="22"/>
            <w:vMerge w:val="restart"/>
          </w:tcPr>
          <w:p>
            <w:pPr>
              <w:ind w:left="240"/>
              <w:spacing w:after="0"/>
              <w:rPr>
                <w:sz w:val="20"/>
                <w:szCs w:val="20"/>
                <w:color w:val="auto"/>
              </w:rPr>
            </w:pPr>
            <w:r>
              <w:rPr>
                <w:rFonts w:ascii="Arial" w:cs="Arial" w:eastAsia="Arial" w:hAnsi="Arial"/>
                <w:sz w:val="16"/>
                <w:szCs w:val="16"/>
                <w:b w:val="1"/>
                <w:bCs w:val="1"/>
                <w:color w:val="auto"/>
              </w:rPr>
              <w:t>Description</w:t>
            </w:r>
          </w:p>
        </w:tc>
        <w:tc>
          <w:tcPr>
            <w:tcW w:w="0" w:type="dxa"/>
            <w:vAlign w:val="bottom"/>
          </w:tcPr>
          <w:p>
            <w:pPr>
              <w:spacing w:after="0"/>
              <w:rPr>
                <w:sz w:val="1"/>
                <w:szCs w:val="1"/>
                <w:color w:val="auto"/>
              </w:rPr>
            </w:pPr>
          </w:p>
        </w:tc>
      </w:tr>
      <w:tr>
        <w:trPr>
          <w:trHeight w:val="170"/>
        </w:trPr>
        <w:tc>
          <w:tcPr>
            <w:tcW w:w="560" w:type="dxa"/>
            <w:vAlign w:val="bottom"/>
          </w:tcPr>
          <w:p>
            <w:pPr>
              <w:jc w:val="center"/>
              <w:spacing w:after="0" w:line="170" w:lineRule="exact"/>
              <w:rPr>
                <w:sz w:val="20"/>
                <w:szCs w:val="20"/>
                <w:color w:val="auto"/>
              </w:rPr>
            </w:pPr>
            <w:r>
              <w:rPr>
                <w:rFonts w:ascii="Arial" w:cs="Arial" w:eastAsia="Arial" w:hAnsi="Arial"/>
                <w:sz w:val="16"/>
                <w:szCs w:val="16"/>
                <w:b w:val="1"/>
                <w:bCs w:val="1"/>
                <w:color w:val="auto"/>
                <w:w w:val="92"/>
              </w:rPr>
              <w:t>Number</w:t>
            </w: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300" w:type="dxa"/>
            <w:vAlign w:val="bottom"/>
            <w:gridSpan w:val="2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94967257"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4"/>
        </w:trPr>
        <w:tc>
          <w:tcPr>
            <w:tcW w:w="560" w:type="dxa"/>
            <w:vAlign w:val="bottom"/>
          </w:tcPr>
          <w:p>
            <w:pPr>
              <w:jc w:val="center"/>
              <w:spacing w:after="0"/>
              <w:rPr>
                <w:sz w:val="20"/>
                <w:szCs w:val="20"/>
                <w:color w:val="auto"/>
              </w:rPr>
            </w:pPr>
            <w:r>
              <w:rPr>
                <w:rFonts w:ascii="Arial" w:cs="Arial" w:eastAsia="Arial" w:hAnsi="Arial"/>
                <w:sz w:val="20"/>
                <w:szCs w:val="20"/>
                <w:color w:val="auto"/>
                <w:w w:val="86"/>
              </w:rPr>
              <w:t>2.1</w:t>
            </w:r>
          </w:p>
        </w:tc>
        <w:tc>
          <w:tcPr>
            <w:tcW w:w="120" w:type="dxa"/>
            <w:vAlign w:val="bottom"/>
          </w:tcPr>
          <w:p>
            <w:pPr>
              <w:spacing w:after="0"/>
              <w:rPr>
                <w:sz w:val="23"/>
                <w:szCs w:val="23"/>
                <w:color w:val="auto"/>
              </w:rPr>
            </w:pPr>
          </w:p>
        </w:tc>
        <w:tc>
          <w:tcPr>
            <w:tcW w:w="9300" w:type="dxa"/>
            <w:vAlign w:val="bottom"/>
            <w:gridSpan w:val="30"/>
          </w:tcPr>
          <w:p>
            <w:pPr>
              <w:spacing w:after="0"/>
              <w:rPr>
                <w:sz w:val="20"/>
                <w:szCs w:val="20"/>
                <w:color w:val="auto"/>
              </w:rPr>
            </w:pPr>
            <w:r>
              <w:rPr>
                <w:rFonts w:ascii="Arial" w:cs="Arial" w:eastAsia="Arial" w:hAnsi="Arial"/>
                <w:sz w:val="20"/>
                <w:szCs w:val="20"/>
                <w:color w:val="auto"/>
                <w:w w:val="91"/>
              </w:rPr>
              <w:t>Agreement and Plan of Merger, dated February 7, 2020, by and between FGL Holdings, Fidelity National Financial,</w:t>
            </w:r>
          </w:p>
        </w:tc>
        <w:tc>
          <w:tcPr>
            <w:tcW w:w="0" w:type="dxa"/>
            <w:vAlign w:val="bottom"/>
          </w:tcPr>
          <w:p>
            <w:pPr>
              <w:spacing w:after="0"/>
              <w:rPr>
                <w:sz w:val="1"/>
                <w:szCs w:val="1"/>
                <w:color w:val="auto"/>
              </w:rPr>
            </w:pPr>
          </w:p>
        </w:tc>
      </w:tr>
      <w:tr>
        <w:trPr>
          <w:trHeight w:val="176"/>
        </w:trPr>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180" w:type="dxa"/>
            <w:vAlign w:val="bottom"/>
            <w:tcBorders>
              <w:top w:val="single" w:sz="8" w:color="auto"/>
            </w:tcBorders>
            <w:gridSpan w:val="25"/>
          </w:tcPr>
          <w:p>
            <w:pPr>
              <w:spacing w:after="0" w:line="176" w:lineRule="exact"/>
              <w:rPr>
                <w:sz w:val="20"/>
                <w:szCs w:val="20"/>
                <w:color w:val="auto"/>
              </w:rPr>
            </w:pPr>
            <w:r>
              <w:rPr>
                <w:rFonts w:ascii="Arial" w:cs="Arial" w:eastAsia="Arial" w:hAnsi="Arial"/>
                <w:sz w:val="20"/>
                <w:szCs w:val="20"/>
                <w:color w:val="auto"/>
                <w:w w:val="90"/>
              </w:rPr>
              <w:t>Inc., F Corp I and F Corp II. (incorporated by reference to Exhibit 2.1 to the Registrant's Current Report on Form 8-</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94967257"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120" w:type="dxa"/>
            <w:vAlign w:val="bottom"/>
            <w:tcBorders>
              <w:top w:val="single" w:sz="8" w:color="auto"/>
            </w:tcBorders>
            <w:gridSpan w:val="23"/>
          </w:tcPr>
          <w:p>
            <w:pPr>
              <w:spacing w:after="0" w:line="176" w:lineRule="exact"/>
              <w:rPr>
                <w:sz w:val="20"/>
                <w:szCs w:val="20"/>
                <w:color w:val="auto"/>
              </w:rPr>
            </w:pPr>
            <w:r>
              <w:rPr>
                <w:rFonts w:ascii="Arial" w:cs="Arial" w:eastAsia="Arial" w:hAnsi="Arial"/>
                <w:sz w:val="20"/>
                <w:szCs w:val="20"/>
                <w:color w:val="auto"/>
              </w:rPr>
              <w:t>K filed on February 7, 2020)</w:t>
            </w:r>
          </w:p>
        </w:tc>
        <w:tc>
          <w:tcPr>
            <w:tcW w:w="40" w:type="dxa"/>
            <w:vAlign w:val="bottom"/>
          </w:tcPr>
          <w:p>
            <w:pPr>
              <w:spacing w:after="0"/>
              <w:rPr>
                <w:sz w:val="15"/>
                <w:szCs w:val="15"/>
                <w:color w:val="auto"/>
              </w:rPr>
            </w:pPr>
          </w:p>
        </w:tc>
        <w:tc>
          <w:tcPr>
            <w:tcW w:w="80" w:type="dxa"/>
            <w:vAlign w:val="bottom"/>
            <w:gridSpan w:val="2"/>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94967257"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60" w:type="dxa"/>
            <w:vAlign w:val="bottom"/>
            <w:vMerge w:val="restart"/>
          </w:tcPr>
          <w:p>
            <w:pPr>
              <w:jc w:val="center"/>
              <w:spacing w:after="0"/>
              <w:rPr>
                <w:sz w:val="20"/>
                <w:szCs w:val="20"/>
                <w:color w:val="auto"/>
              </w:rPr>
            </w:pPr>
            <w:r>
              <w:rPr>
                <w:rFonts w:ascii="Arial" w:cs="Arial" w:eastAsia="Arial" w:hAnsi="Arial"/>
                <w:sz w:val="20"/>
                <w:szCs w:val="20"/>
                <w:color w:val="auto"/>
                <w:w w:val="86"/>
              </w:rPr>
              <w:t>2.2</w:t>
            </w:r>
          </w:p>
        </w:tc>
        <w:tc>
          <w:tcPr>
            <w:tcW w:w="1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40" w:type="dxa"/>
            <w:vAlign w:val="bottom"/>
            <w:tcBorders>
              <w:left w:val="single" w:sz="8" w:color="auto"/>
            </w:tcBorders>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94967257"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9"/>
        </w:trPr>
        <w:tc>
          <w:tcPr>
            <w:tcW w:w="56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9300" w:type="dxa"/>
            <w:vAlign w:val="bottom"/>
            <w:gridSpan w:val="30"/>
          </w:tcPr>
          <w:p>
            <w:pPr>
              <w:spacing w:after="0"/>
              <w:rPr>
                <w:sz w:val="20"/>
                <w:szCs w:val="20"/>
                <w:color w:val="auto"/>
              </w:rPr>
            </w:pPr>
            <w:r>
              <w:rPr>
                <w:rFonts w:ascii="Arial" w:cs="Arial" w:eastAsia="Arial" w:hAnsi="Arial"/>
                <w:sz w:val="20"/>
                <w:szCs w:val="20"/>
                <w:color w:val="auto"/>
                <w:w w:val="90"/>
              </w:rPr>
              <w:t>First Amendment to the Agreement and Plan of Merger, dated as of April 24, 2020, by and between Fidelity National</w:t>
            </w:r>
          </w:p>
        </w:tc>
        <w:tc>
          <w:tcPr>
            <w:tcW w:w="0" w:type="dxa"/>
            <w:vAlign w:val="bottom"/>
          </w:tcPr>
          <w:p>
            <w:pPr>
              <w:spacing w:after="0"/>
              <w:rPr>
                <w:sz w:val="1"/>
                <w:szCs w:val="1"/>
                <w:color w:val="auto"/>
              </w:rPr>
            </w:pPr>
          </w:p>
        </w:tc>
      </w:tr>
      <w:tr>
        <w:trPr>
          <w:trHeight w:val="176"/>
        </w:trPr>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40" w:type="dxa"/>
            <w:vAlign w:val="bottom"/>
            <w:tcBorders>
              <w:top w:val="single" w:sz="8" w:color="auto"/>
            </w:tcBorders>
            <w:gridSpan w:val="26"/>
          </w:tcPr>
          <w:p>
            <w:pPr>
              <w:spacing w:after="0" w:line="176" w:lineRule="exact"/>
              <w:rPr>
                <w:sz w:val="20"/>
                <w:szCs w:val="20"/>
                <w:color w:val="auto"/>
              </w:rPr>
            </w:pPr>
            <w:r>
              <w:rPr>
                <w:rFonts w:ascii="Arial" w:cs="Arial" w:eastAsia="Arial" w:hAnsi="Arial"/>
                <w:sz w:val="20"/>
                <w:szCs w:val="20"/>
                <w:color w:val="auto"/>
                <w:w w:val="91"/>
              </w:rPr>
              <w:t>Financial, Inc., F I Corp., F II Corp., and FGL Holdings (incorporated by reference to Exhibit 2.2 to the Registrant’s</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94967257"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940" w:type="dxa"/>
            <w:vAlign w:val="bottom"/>
            <w:tcBorders>
              <w:top w:val="single" w:sz="8" w:color="auto"/>
              <w:bottom w:val="single" w:sz="8" w:color="auto"/>
            </w:tcBorders>
            <w:gridSpan w:val="11"/>
          </w:tcPr>
          <w:p>
            <w:pPr>
              <w:spacing w:after="0" w:line="176" w:lineRule="exact"/>
              <w:rPr>
                <w:sz w:val="20"/>
                <w:szCs w:val="20"/>
                <w:color w:val="auto"/>
              </w:rPr>
            </w:pPr>
            <w:r>
              <w:rPr>
                <w:rFonts w:ascii="Arial" w:cs="Arial" w:eastAsia="Arial" w:hAnsi="Arial"/>
                <w:sz w:val="20"/>
                <w:szCs w:val="20"/>
                <w:color w:val="auto"/>
                <w:w w:val="90"/>
              </w:rPr>
              <w:t>Registration Statement on Form S-4/A filed on April 24, 2020)</w:t>
            </w:r>
          </w:p>
        </w:tc>
        <w:tc>
          <w:tcPr>
            <w:tcW w:w="4220" w:type="dxa"/>
            <w:vAlign w:val="bottom"/>
            <w:tcBorders>
              <w:top w:val="single" w:sz="8" w:color="auto"/>
            </w:tcBorders>
            <w:gridSpan w:val="13"/>
          </w:tcPr>
          <w:p>
            <w:pPr>
              <w:spacing w:after="0"/>
              <w:rPr>
                <w:sz w:val="15"/>
                <w:szCs w:val="15"/>
                <w:color w:val="auto"/>
              </w:rPr>
            </w:pPr>
          </w:p>
        </w:tc>
        <w:tc>
          <w:tcPr>
            <w:tcW w:w="14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94967257"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0"/>
        </w:trPr>
        <w:tc>
          <w:tcPr>
            <w:tcW w:w="560" w:type="dxa"/>
            <w:vAlign w:val="bottom"/>
          </w:tcPr>
          <w:p>
            <w:pPr>
              <w:jc w:val="center"/>
              <w:spacing w:after="0" w:line="220" w:lineRule="exact"/>
              <w:rPr>
                <w:sz w:val="20"/>
                <w:szCs w:val="20"/>
                <w:color w:val="auto"/>
              </w:rPr>
            </w:pPr>
            <w:r>
              <w:rPr>
                <w:rFonts w:ascii="Arial" w:cs="Arial" w:eastAsia="Arial" w:hAnsi="Arial"/>
                <w:sz w:val="20"/>
                <w:szCs w:val="20"/>
                <w:color w:val="auto"/>
                <w:w w:val="86"/>
              </w:rPr>
              <w:t>2.3</w:t>
            </w:r>
          </w:p>
        </w:tc>
        <w:tc>
          <w:tcPr>
            <w:tcW w:w="120" w:type="dxa"/>
            <w:vAlign w:val="bottom"/>
          </w:tcPr>
          <w:p>
            <w:pPr>
              <w:spacing w:after="0"/>
              <w:rPr>
                <w:sz w:val="19"/>
                <w:szCs w:val="19"/>
                <w:color w:val="auto"/>
              </w:rPr>
            </w:pPr>
          </w:p>
        </w:tc>
        <w:tc>
          <w:tcPr>
            <w:tcW w:w="9020" w:type="dxa"/>
            <w:vAlign w:val="bottom"/>
            <w:tcBorders>
              <w:bottom w:val="single" w:sz="8" w:color="auto"/>
            </w:tcBorders>
            <w:gridSpan w:val="21"/>
          </w:tcPr>
          <w:p>
            <w:pPr>
              <w:spacing w:after="0" w:line="210" w:lineRule="exact"/>
              <w:rPr>
                <w:sz w:val="20"/>
                <w:szCs w:val="20"/>
                <w:color w:val="auto"/>
              </w:rPr>
            </w:pPr>
            <w:r>
              <w:rPr>
                <w:rFonts w:ascii="Arial" w:cs="Arial" w:eastAsia="Arial" w:hAnsi="Arial"/>
                <w:sz w:val="20"/>
                <w:szCs w:val="20"/>
                <w:color w:val="auto"/>
                <w:w w:val="90"/>
              </w:rPr>
              <w:t>Separation and Distribution Agreement, dated as of November 30, 2022, between Fidelity National Financial, Inc.</w:t>
            </w:r>
          </w:p>
        </w:tc>
        <w:tc>
          <w:tcPr>
            <w:tcW w:w="80" w:type="dxa"/>
            <w:vAlign w:val="bottom"/>
          </w:tcPr>
          <w:p>
            <w:pPr>
              <w:spacing w:after="0"/>
              <w:rPr>
                <w:sz w:val="19"/>
                <w:szCs w:val="19"/>
                <w:color w:val="auto"/>
              </w:rPr>
            </w:pPr>
          </w:p>
        </w:tc>
        <w:tc>
          <w:tcPr>
            <w:tcW w:w="200" w:type="dxa"/>
            <w:vAlign w:val="bottom"/>
            <w:gridSpan w:val="5"/>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94967257"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20" w:type="dxa"/>
            <w:vAlign w:val="bottom"/>
            <w:gridSpan w:val="21"/>
          </w:tcPr>
          <w:p>
            <w:pPr>
              <w:spacing w:after="0" w:line="176" w:lineRule="exact"/>
              <w:rPr>
                <w:sz w:val="20"/>
                <w:szCs w:val="20"/>
                <w:color w:val="auto"/>
              </w:rPr>
            </w:pPr>
            <w:r>
              <w:rPr>
                <w:rFonts w:ascii="Arial" w:cs="Arial" w:eastAsia="Arial" w:hAnsi="Arial"/>
                <w:sz w:val="20"/>
                <w:szCs w:val="20"/>
                <w:color w:val="auto"/>
                <w:w w:val="92"/>
              </w:rPr>
              <w:t>and F&amp;G Annuities &amp; Life, Inc. (incorporated by reference to Exhibit 99.1 to the Registrant's Current Report on</w:t>
            </w:r>
          </w:p>
        </w:tc>
        <w:tc>
          <w:tcPr>
            <w:tcW w:w="80" w:type="dxa"/>
            <w:vAlign w:val="bottom"/>
          </w:tcPr>
          <w:p>
            <w:pPr>
              <w:spacing w:after="0"/>
              <w:rPr>
                <w:sz w:val="15"/>
                <w:szCs w:val="15"/>
                <w:color w:val="auto"/>
              </w:rPr>
            </w:pPr>
          </w:p>
        </w:tc>
        <w:tc>
          <w:tcPr>
            <w:tcW w:w="200" w:type="dxa"/>
            <w:vAlign w:val="bottom"/>
            <w:gridSpan w:val="5"/>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94967257"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40" w:type="dxa"/>
            <w:vAlign w:val="bottom"/>
            <w:tcBorders>
              <w:top w:val="single" w:sz="8" w:color="auto"/>
            </w:tcBorders>
            <w:gridSpan w:val="18"/>
          </w:tcPr>
          <w:p>
            <w:pPr>
              <w:spacing w:after="0" w:line="176" w:lineRule="exact"/>
              <w:rPr>
                <w:sz w:val="20"/>
                <w:szCs w:val="20"/>
                <w:color w:val="auto"/>
              </w:rPr>
            </w:pPr>
            <w:r>
              <w:rPr>
                <w:rFonts w:ascii="Arial" w:cs="Arial" w:eastAsia="Arial" w:hAnsi="Arial"/>
                <w:sz w:val="20"/>
                <w:szCs w:val="20"/>
                <w:color w:val="auto"/>
              </w:rPr>
              <w:t>Form 8-K filed on December 1, 2022)</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gridSpan w:val="2"/>
          </w:tcPr>
          <w:p>
            <w:pPr>
              <w:spacing w:after="0"/>
              <w:rPr>
                <w:sz w:val="15"/>
                <w:szCs w:val="15"/>
                <w:color w:val="auto"/>
              </w:rPr>
            </w:pPr>
          </w:p>
        </w:tc>
        <w:tc>
          <w:tcPr>
            <w:tcW w:w="200" w:type="dxa"/>
            <w:vAlign w:val="bottom"/>
            <w:gridSpan w:val="5"/>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94967257"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60" w:type="dxa"/>
            <w:vAlign w:val="bottom"/>
            <w:vMerge w:val="restart"/>
          </w:tcPr>
          <w:p>
            <w:pPr>
              <w:jc w:val="center"/>
              <w:spacing w:after="0"/>
              <w:rPr>
                <w:sz w:val="20"/>
                <w:szCs w:val="20"/>
                <w:color w:val="auto"/>
              </w:rPr>
            </w:pPr>
            <w:r>
              <w:rPr>
                <w:rFonts w:ascii="Arial" w:cs="Arial" w:eastAsia="Arial" w:hAnsi="Arial"/>
                <w:sz w:val="20"/>
                <w:szCs w:val="20"/>
                <w:color w:val="auto"/>
                <w:w w:val="86"/>
              </w:rPr>
              <w:t>2.4</w:t>
            </w:r>
          </w:p>
        </w:tc>
        <w:tc>
          <w:tcPr>
            <w:tcW w:w="1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80" w:type="dxa"/>
            <w:vAlign w:val="bottom"/>
            <w:tcBorders>
              <w:left w:val="single" w:sz="8" w:color="auto"/>
            </w:tcBorders>
            <w:gridSpan w:val="2"/>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94967257"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9"/>
        </w:trPr>
        <w:tc>
          <w:tcPr>
            <w:tcW w:w="560" w:type="dxa"/>
            <w:vAlign w:val="bottom"/>
            <w:vMerge w:val="continue"/>
          </w:tcPr>
          <w:p>
            <w:pPr>
              <w:spacing w:after="0"/>
              <w:rPr>
                <w:sz w:val="23"/>
                <w:szCs w:val="23"/>
                <w:color w:val="auto"/>
              </w:rPr>
            </w:pPr>
          </w:p>
        </w:tc>
        <w:tc>
          <w:tcPr>
            <w:tcW w:w="120" w:type="dxa"/>
            <w:vAlign w:val="bottom"/>
          </w:tcPr>
          <w:p>
            <w:pPr>
              <w:spacing w:after="0"/>
              <w:rPr>
                <w:sz w:val="23"/>
                <w:szCs w:val="23"/>
                <w:color w:val="auto"/>
              </w:rPr>
            </w:pPr>
          </w:p>
        </w:tc>
        <w:tc>
          <w:tcPr>
            <w:tcW w:w="9300" w:type="dxa"/>
            <w:vAlign w:val="bottom"/>
            <w:gridSpan w:val="30"/>
          </w:tcPr>
          <w:p>
            <w:pPr>
              <w:spacing w:after="0"/>
              <w:rPr>
                <w:sz w:val="20"/>
                <w:szCs w:val="20"/>
                <w:color w:val="auto"/>
              </w:rPr>
            </w:pPr>
            <w:r>
              <w:rPr>
                <w:rFonts w:ascii="Arial" w:cs="Arial" w:eastAsia="Arial" w:hAnsi="Arial"/>
                <w:sz w:val="20"/>
                <w:szCs w:val="20"/>
                <w:color w:val="auto"/>
                <w:w w:val="93"/>
              </w:rPr>
              <w:t>Plan of Conversion (incorporated by reference to Exhibit 2.1 to the Company's Current Report on Form 8-K, filed</w:t>
            </w:r>
          </w:p>
        </w:tc>
        <w:tc>
          <w:tcPr>
            <w:tcW w:w="0" w:type="dxa"/>
            <w:vAlign w:val="bottom"/>
          </w:tcPr>
          <w:p>
            <w:pPr>
              <w:spacing w:after="0"/>
              <w:rPr>
                <w:sz w:val="1"/>
                <w:szCs w:val="1"/>
                <w:color w:val="auto"/>
              </w:rPr>
            </w:pPr>
          </w:p>
        </w:tc>
      </w:tr>
      <w:tr>
        <w:trPr>
          <w:trHeight w:val="176"/>
        </w:trPr>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980" w:type="dxa"/>
            <w:vAlign w:val="bottom"/>
            <w:tcBorders>
              <w:top w:val="single" w:sz="8" w:color="auto"/>
            </w:tcBorders>
            <w:gridSpan w:val="19"/>
          </w:tcPr>
          <w:p>
            <w:pPr>
              <w:spacing w:after="0" w:line="176" w:lineRule="exact"/>
              <w:rPr>
                <w:sz w:val="20"/>
                <w:szCs w:val="20"/>
                <w:color w:val="auto"/>
              </w:rPr>
            </w:pPr>
            <w:r>
              <w:rPr>
                <w:rFonts w:ascii="Arial" w:cs="Arial" w:eastAsia="Arial" w:hAnsi="Arial"/>
                <w:sz w:val="20"/>
                <w:szCs w:val="20"/>
                <w:color w:val="auto"/>
              </w:rPr>
              <w:t>with the Commission on June 12, 2025)</w:t>
            </w:r>
          </w:p>
        </w:tc>
        <w:tc>
          <w:tcPr>
            <w:tcW w:w="20" w:type="dxa"/>
            <w:vAlign w:val="bottom"/>
          </w:tcPr>
          <w:p>
            <w:pPr>
              <w:spacing w:after="0"/>
              <w:rPr>
                <w:sz w:val="15"/>
                <w:szCs w:val="15"/>
                <w:color w:val="auto"/>
              </w:rPr>
            </w:pPr>
          </w:p>
        </w:tc>
        <w:tc>
          <w:tcPr>
            <w:tcW w:w="100" w:type="dxa"/>
            <w:vAlign w:val="bottom"/>
            <w:gridSpan w:val="2"/>
          </w:tcPr>
          <w:p>
            <w:pPr>
              <w:spacing w:after="0"/>
              <w:rPr>
                <w:sz w:val="15"/>
                <w:szCs w:val="15"/>
                <w:color w:val="auto"/>
              </w:rPr>
            </w:pPr>
          </w:p>
        </w:tc>
        <w:tc>
          <w:tcPr>
            <w:tcW w:w="200" w:type="dxa"/>
            <w:vAlign w:val="bottom"/>
            <w:gridSpan w:val="5"/>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94967257"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60" w:type="dxa"/>
            <w:vAlign w:val="bottom"/>
            <w:vMerge w:val="restart"/>
          </w:tcPr>
          <w:p>
            <w:pPr>
              <w:jc w:val="center"/>
              <w:spacing w:after="0"/>
              <w:rPr>
                <w:sz w:val="20"/>
                <w:szCs w:val="20"/>
                <w:color w:val="auto"/>
              </w:rPr>
            </w:pPr>
            <w:r>
              <w:rPr>
                <w:rFonts w:ascii="Arial" w:cs="Arial" w:eastAsia="Arial" w:hAnsi="Arial"/>
                <w:sz w:val="20"/>
                <w:szCs w:val="20"/>
                <w:color w:val="auto"/>
                <w:w w:val="86"/>
              </w:rPr>
              <w:t>3.1</w:t>
            </w:r>
          </w:p>
        </w:tc>
        <w:tc>
          <w:tcPr>
            <w:tcW w:w="1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520" w:type="dxa"/>
            <w:vAlign w:val="bottom"/>
            <w:tcBorders>
              <w:left w:val="single" w:sz="8" w:color="auto"/>
            </w:tcBorders>
            <w:gridSpan w:val="3"/>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94967257"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5"/>
        </w:trPr>
        <w:tc>
          <w:tcPr>
            <w:tcW w:w="560" w:type="dxa"/>
            <w:vAlign w:val="bottom"/>
            <w:vMerge w:val="continue"/>
          </w:tcPr>
          <w:p>
            <w:pPr>
              <w:spacing w:after="0"/>
              <w:rPr>
                <w:sz w:val="23"/>
                <w:szCs w:val="23"/>
                <w:color w:val="auto"/>
              </w:rPr>
            </w:pPr>
          </w:p>
        </w:tc>
        <w:tc>
          <w:tcPr>
            <w:tcW w:w="120" w:type="dxa"/>
            <w:vAlign w:val="bottom"/>
          </w:tcPr>
          <w:p>
            <w:pPr>
              <w:spacing w:after="0"/>
              <w:rPr>
                <w:sz w:val="23"/>
                <w:szCs w:val="23"/>
                <w:color w:val="auto"/>
              </w:rPr>
            </w:pPr>
          </w:p>
        </w:tc>
        <w:tc>
          <w:tcPr>
            <w:tcW w:w="9300" w:type="dxa"/>
            <w:vAlign w:val="bottom"/>
            <w:tcBorders>
              <w:bottom w:val="single" w:sz="8" w:color="auto"/>
            </w:tcBorders>
            <w:gridSpan w:val="30"/>
          </w:tcPr>
          <w:p>
            <w:pPr>
              <w:spacing w:after="0"/>
              <w:rPr>
                <w:sz w:val="20"/>
                <w:szCs w:val="20"/>
                <w:color w:val="auto"/>
              </w:rPr>
            </w:pPr>
            <w:r>
              <w:rPr>
                <w:rFonts w:ascii="Arial" w:cs="Arial" w:eastAsia="Arial" w:hAnsi="Arial"/>
                <w:sz w:val="20"/>
                <w:szCs w:val="20"/>
                <w:color w:val="auto"/>
              </w:rPr>
              <w:t>Articles of Incorporation of Fidelity National Financial, Inc. (incorporated by reference to Exhibit 3.1 to the</w:t>
            </w:r>
          </w:p>
        </w:tc>
        <w:tc>
          <w:tcPr>
            <w:tcW w:w="0" w:type="dxa"/>
            <w:vAlign w:val="bottom"/>
          </w:tcPr>
          <w:p>
            <w:pPr>
              <w:spacing w:after="0"/>
              <w:rPr>
                <w:sz w:val="1"/>
                <w:szCs w:val="1"/>
                <w:color w:val="auto"/>
              </w:rPr>
            </w:pPr>
          </w:p>
        </w:tc>
      </w:tr>
      <w:tr>
        <w:trPr>
          <w:trHeight w:val="200"/>
        </w:trPr>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300" w:type="dxa"/>
            <w:vAlign w:val="bottom"/>
            <w:gridSpan w:val="30"/>
          </w:tcPr>
          <w:p>
            <w:pPr>
              <w:spacing w:after="0" w:line="200" w:lineRule="exact"/>
              <w:rPr>
                <w:sz w:val="20"/>
                <w:szCs w:val="20"/>
                <w:color w:val="auto"/>
              </w:rPr>
            </w:pPr>
            <w:r>
              <w:rPr>
                <w:rFonts w:ascii="Arial" w:cs="Arial" w:eastAsia="Arial" w:hAnsi="Arial"/>
                <w:sz w:val="20"/>
                <w:szCs w:val="20"/>
                <w:color w:val="auto"/>
              </w:rPr>
              <w:t>Company's Current Report on Form 8-K, filed with the Commission on June 12, 2025)</w:t>
            </w: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400" w:type="dxa"/>
            <w:vAlign w:val="bottom"/>
            <w:tcBorders>
              <w:left w:val="single" w:sz="8" w:color="auto"/>
            </w:tcBorders>
            <w:gridSpan w:val="4"/>
            <w:shd w:val="clear" w:color="auto" w:fill="000000"/>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660" w:type="dxa"/>
            <w:vAlign w:val="bottom"/>
            <w:gridSpan w:val="3"/>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94967257"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1"/>
        </w:trPr>
        <w:tc>
          <w:tcPr>
            <w:tcW w:w="560" w:type="dxa"/>
            <w:vAlign w:val="bottom"/>
          </w:tcPr>
          <w:p>
            <w:pPr>
              <w:jc w:val="center"/>
              <w:spacing w:after="0"/>
              <w:rPr>
                <w:sz w:val="20"/>
                <w:szCs w:val="20"/>
                <w:color w:val="auto"/>
              </w:rPr>
            </w:pPr>
            <w:r>
              <w:rPr>
                <w:rFonts w:ascii="Arial" w:cs="Arial" w:eastAsia="Arial" w:hAnsi="Arial"/>
                <w:sz w:val="20"/>
                <w:szCs w:val="20"/>
                <w:color w:val="auto"/>
                <w:w w:val="86"/>
              </w:rPr>
              <w:t>3.2</w:t>
            </w:r>
          </w:p>
        </w:tc>
        <w:tc>
          <w:tcPr>
            <w:tcW w:w="120" w:type="dxa"/>
            <w:vAlign w:val="bottom"/>
          </w:tcPr>
          <w:p>
            <w:pPr>
              <w:spacing w:after="0"/>
              <w:rPr>
                <w:sz w:val="22"/>
                <w:szCs w:val="22"/>
                <w:color w:val="auto"/>
              </w:rPr>
            </w:pPr>
          </w:p>
        </w:tc>
        <w:tc>
          <w:tcPr>
            <w:tcW w:w="9300" w:type="dxa"/>
            <w:vAlign w:val="bottom"/>
            <w:gridSpan w:val="30"/>
          </w:tcPr>
          <w:p>
            <w:pPr>
              <w:spacing w:after="0"/>
              <w:rPr>
                <w:sz w:val="20"/>
                <w:szCs w:val="20"/>
                <w:color w:val="auto"/>
              </w:rPr>
            </w:pPr>
            <w:r>
              <w:rPr>
                <w:rFonts w:ascii="Arial" w:cs="Arial" w:eastAsia="Arial" w:hAnsi="Arial"/>
                <w:sz w:val="20"/>
                <w:szCs w:val="20"/>
                <w:color w:val="auto"/>
                <w:w w:val="90"/>
              </w:rPr>
              <w:t>Bylaws of Fidelity National Financial, Inc. (incorporated by reference to Exhibit 3.2 to the Company's Current Report</w:t>
            </w:r>
          </w:p>
        </w:tc>
        <w:tc>
          <w:tcPr>
            <w:tcW w:w="0" w:type="dxa"/>
            <w:vAlign w:val="bottom"/>
          </w:tcPr>
          <w:p>
            <w:pPr>
              <w:spacing w:after="0"/>
              <w:rPr>
                <w:sz w:val="1"/>
                <w:szCs w:val="1"/>
                <w:color w:val="auto"/>
              </w:rPr>
            </w:pPr>
          </w:p>
        </w:tc>
      </w:tr>
      <w:tr>
        <w:trPr>
          <w:trHeight w:val="176"/>
        </w:trPr>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60" w:type="dxa"/>
            <w:vAlign w:val="bottom"/>
            <w:tcBorders>
              <w:top w:val="single" w:sz="8" w:color="auto"/>
              <w:bottom w:val="single" w:sz="8" w:color="auto"/>
            </w:tcBorders>
            <w:gridSpan w:val="10"/>
          </w:tcPr>
          <w:p>
            <w:pPr>
              <w:spacing w:after="0" w:line="176" w:lineRule="exact"/>
              <w:rPr>
                <w:sz w:val="20"/>
                <w:szCs w:val="20"/>
                <w:color w:val="auto"/>
              </w:rPr>
            </w:pPr>
            <w:r>
              <w:rPr>
                <w:rFonts w:ascii="Arial" w:cs="Arial" w:eastAsia="Arial" w:hAnsi="Arial"/>
                <w:sz w:val="20"/>
                <w:szCs w:val="20"/>
                <w:color w:val="auto"/>
                <w:w w:val="89"/>
              </w:rPr>
              <w:t>on Form 8-K, filed with the Commission on June 12, 2025)</w:t>
            </w:r>
          </w:p>
        </w:tc>
        <w:tc>
          <w:tcPr>
            <w:tcW w:w="4660" w:type="dxa"/>
            <w:vAlign w:val="bottom"/>
            <w:tcBorders>
              <w:top w:val="single" w:sz="8" w:color="auto"/>
            </w:tcBorders>
            <w:gridSpan w:val="18"/>
          </w:tcPr>
          <w:p>
            <w:pPr>
              <w:spacing w:after="0"/>
              <w:rPr>
                <w:sz w:val="15"/>
                <w:szCs w:val="15"/>
                <w:color w:val="auto"/>
              </w:rPr>
            </w:pPr>
          </w:p>
        </w:tc>
        <w:tc>
          <w:tcPr>
            <w:tcW w:w="20" w:type="dxa"/>
            <w:vAlign w:val="bottom"/>
          </w:tcPr>
          <w:p>
            <w:pPr>
              <w:spacing w:after="0"/>
              <w:rPr>
                <w:sz w:val="15"/>
                <w:szCs w:val="15"/>
                <w:color w:val="auto"/>
              </w:rPr>
            </w:pPr>
          </w:p>
        </w:tc>
        <w:tc>
          <w:tcPr>
            <w:tcW w:w="4294967257"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9"/>
        </w:trPr>
        <w:tc>
          <w:tcPr>
            <w:tcW w:w="560" w:type="dxa"/>
            <w:vAlign w:val="bottom"/>
          </w:tcPr>
          <w:p>
            <w:pPr>
              <w:jc w:val="center"/>
              <w:spacing w:after="0"/>
              <w:rPr>
                <w:sz w:val="20"/>
                <w:szCs w:val="20"/>
                <w:color w:val="auto"/>
              </w:rPr>
            </w:pPr>
            <w:r>
              <w:rPr>
                <w:rFonts w:ascii="Arial" w:cs="Arial" w:eastAsia="Arial" w:hAnsi="Arial"/>
                <w:sz w:val="20"/>
                <w:szCs w:val="20"/>
                <w:color w:val="auto"/>
                <w:w w:val="86"/>
              </w:rPr>
              <w:t>4.1</w:t>
            </w:r>
          </w:p>
        </w:tc>
        <w:tc>
          <w:tcPr>
            <w:tcW w:w="120" w:type="dxa"/>
            <w:vAlign w:val="bottom"/>
          </w:tcPr>
          <w:p>
            <w:pPr>
              <w:spacing w:after="0"/>
              <w:rPr>
                <w:sz w:val="23"/>
                <w:szCs w:val="23"/>
                <w:color w:val="auto"/>
              </w:rPr>
            </w:pPr>
          </w:p>
        </w:tc>
        <w:tc>
          <w:tcPr>
            <w:tcW w:w="9300" w:type="dxa"/>
            <w:vAlign w:val="bottom"/>
            <w:tcBorders>
              <w:bottom w:val="single" w:sz="8" w:color="auto"/>
            </w:tcBorders>
            <w:gridSpan w:val="30"/>
          </w:tcPr>
          <w:p>
            <w:pPr>
              <w:spacing w:after="0"/>
              <w:rPr>
                <w:sz w:val="20"/>
                <w:szCs w:val="20"/>
                <w:color w:val="auto"/>
              </w:rPr>
            </w:pPr>
            <w:r>
              <w:rPr>
                <w:rFonts w:ascii="Arial" w:cs="Arial" w:eastAsia="Arial" w:hAnsi="Arial"/>
                <w:sz w:val="20"/>
                <w:szCs w:val="20"/>
                <w:color w:val="auto"/>
                <w:w w:val="96"/>
              </w:rPr>
              <w:t>Indenture between the Registrant and The Bank of New York Trust Company, N.A., dated December 8, 2005</w:t>
            </w:r>
          </w:p>
        </w:tc>
        <w:tc>
          <w:tcPr>
            <w:tcW w:w="0" w:type="dxa"/>
            <w:vAlign w:val="bottom"/>
          </w:tcPr>
          <w:p>
            <w:pPr>
              <w:spacing w:after="0"/>
              <w:rPr>
                <w:sz w:val="1"/>
                <w:szCs w:val="1"/>
                <w:color w:val="auto"/>
              </w:rPr>
            </w:pPr>
          </w:p>
        </w:tc>
      </w:tr>
      <w:tr>
        <w:trPr>
          <w:trHeight w:val="176"/>
        </w:trPr>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300" w:type="dxa"/>
            <w:vAlign w:val="bottom"/>
            <w:gridSpan w:val="30"/>
          </w:tcPr>
          <w:p>
            <w:pPr>
              <w:spacing w:after="0" w:line="176" w:lineRule="exact"/>
              <w:rPr>
                <w:sz w:val="20"/>
                <w:szCs w:val="20"/>
                <w:color w:val="auto"/>
              </w:rPr>
            </w:pPr>
            <w:r>
              <w:rPr>
                <w:rFonts w:ascii="Arial" w:cs="Arial" w:eastAsia="Arial" w:hAnsi="Arial"/>
                <w:sz w:val="20"/>
                <w:szCs w:val="20"/>
                <w:color w:val="auto"/>
                <w:w w:val="97"/>
              </w:rPr>
              <w:t>(incorporated by reference to Exhibit 4.1 to the Registrant’s Annual Report on Form 10-K for the year ended</w:t>
            </w:r>
          </w:p>
        </w:tc>
        <w:tc>
          <w:tcPr>
            <w:tcW w:w="0" w:type="dxa"/>
            <w:vAlign w:val="bottom"/>
          </w:tcPr>
          <w:p>
            <w:pPr>
              <w:spacing w:after="0"/>
              <w:rPr>
                <w:sz w:val="1"/>
                <w:szCs w:val="1"/>
                <w:color w:val="auto"/>
              </w:rPr>
            </w:pPr>
          </w:p>
        </w:tc>
      </w:tr>
      <w:tr>
        <w:trPr>
          <w:trHeight w:val="176"/>
        </w:trPr>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0" w:type="dxa"/>
            <w:vAlign w:val="bottom"/>
            <w:tcBorders>
              <w:top w:val="single" w:sz="8" w:color="auto"/>
              <w:bottom w:val="single" w:sz="8" w:color="auto"/>
            </w:tcBorders>
            <w:gridSpan w:val="4"/>
          </w:tcPr>
          <w:p>
            <w:pPr>
              <w:spacing w:after="0" w:line="176" w:lineRule="exact"/>
              <w:rPr>
                <w:sz w:val="20"/>
                <w:szCs w:val="20"/>
                <w:color w:val="auto"/>
              </w:rPr>
            </w:pPr>
            <w:r>
              <w:rPr>
                <w:rFonts w:ascii="Arial" w:cs="Arial" w:eastAsia="Arial" w:hAnsi="Arial"/>
                <w:sz w:val="20"/>
                <w:szCs w:val="20"/>
                <w:color w:val="auto"/>
                <w:w w:val="85"/>
              </w:rPr>
              <w:t>December 31, 2005)</w:t>
            </w:r>
          </w:p>
        </w:tc>
        <w:tc>
          <w:tcPr>
            <w:tcW w:w="7700" w:type="dxa"/>
            <w:vAlign w:val="bottom"/>
            <w:tcBorders>
              <w:top w:val="single" w:sz="8" w:color="auto"/>
            </w:tcBorders>
            <w:gridSpan w:val="23"/>
          </w:tcPr>
          <w:p>
            <w:pPr>
              <w:spacing w:after="0"/>
              <w:rPr>
                <w:sz w:val="15"/>
                <w:szCs w:val="15"/>
                <w:color w:val="auto"/>
              </w:rPr>
            </w:pPr>
          </w:p>
        </w:tc>
        <w:tc>
          <w:tcPr>
            <w:tcW w:w="40" w:type="dxa"/>
            <w:vAlign w:val="bottom"/>
            <w:gridSpan w:val="2"/>
          </w:tcPr>
          <w:p>
            <w:pPr>
              <w:spacing w:after="0"/>
              <w:rPr>
                <w:sz w:val="15"/>
                <w:szCs w:val="15"/>
                <w:color w:val="auto"/>
              </w:rPr>
            </w:pPr>
          </w:p>
        </w:tc>
        <w:tc>
          <w:tcPr>
            <w:tcW w:w="4294967257"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9"/>
        </w:trPr>
        <w:tc>
          <w:tcPr>
            <w:tcW w:w="560" w:type="dxa"/>
            <w:vAlign w:val="bottom"/>
          </w:tcPr>
          <w:p>
            <w:pPr>
              <w:jc w:val="center"/>
              <w:spacing w:after="0"/>
              <w:rPr>
                <w:sz w:val="20"/>
                <w:szCs w:val="20"/>
                <w:color w:val="auto"/>
              </w:rPr>
            </w:pPr>
            <w:r>
              <w:rPr>
                <w:rFonts w:ascii="Arial" w:cs="Arial" w:eastAsia="Arial" w:hAnsi="Arial"/>
                <w:sz w:val="20"/>
                <w:szCs w:val="20"/>
                <w:color w:val="auto"/>
                <w:w w:val="86"/>
              </w:rPr>
              <w:t>4.2</w:t>
            </w:r>
          </w:p>
        </w:tc>
        <w:tc>
          <w:tcPr>
            <w:tcW w:w="120" w:type="dxa"/>
            <w:vAlign w:val="bottom"/>
          </w:tcPr>
          <w:p>
            <w:pPr>
              <w:spacing w:after="0"/>
              <w:rPr>
                <w:sz w:val="24"/>
                <w:szCs w:val="24"/>
                <w:color w:val="auto"/>
              </w:rPr>
            </w:pPr>
          </w:p>
        </w:tc>
        <w:tc>
          <w:tcPr>
            <w:tcW w:w="9300" w:type="dxa"/>
            <w:vAlign w:val="bottom"/>
            <w:tcBorders>
              <w:bottom w:val="single" w:sz="8" w:color="auto"/>
            </w:tcBorders>
            <w:gridSpan w:val="30"/>
          </w:tcPr>
          <w:p>
            <w:pPr>
              <w:spacing w:after="0"/>
              <w:rPr>
                <w:sz w:val="20"/>
                <w:szCs w:val="20"/>
                <w:color w:val="auto"/>
              </w:rPr>
            </w:pPr>
            <w:r>
              <w:rPr>
                <w:rFonts w:ascii="Arial" w:cs="Arial" w:eastAsia="Arial" w:hAnsi="Arial"/>
                <w:sz w:val="20"/>
                <w:szCs w:val="20"/>
                <w:color w:val="auto"/>
                <w:w w:val="92"/>
              </w:rPr>
              <w:t>First Supplemental Indenture between the Registrant and the Bank of New York Trust Company, N.A., dated as of</w:t>
            </w:r>
          </w:p>
        </w:tc>
        <w:tc>
          <w:tcPr>
            <w:tcW w:w="0" w:type="dxa"/>
            <w:vAlign w:val="bottom"/>
          </w:tcPr>
          <w:p>
            <w:pPr>
              <w:spacing w:after="0"/>
              <w:rPr>
                <w:sz w:val="1"/>
                <w:szCs w:val="1"/>
                <w:color w:val="auto"/>
              </w:rPr>
            </w:pPr>
          </w:p>
        </w:tc>
      </w:tr>
      <w:tr>
        <w:trPr>
          <w:trHeight w:val="176"/>
        </w:trPr>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300" w:type="dxa"/>
            <w:vAlign w:val="bottom"/>
            <w:tcBorders>
              <w:bottom w:val="single" w:sz="8" w:color="auto"/>
            </w:tcBorders>
            <w:gridSpan w:val="30"/>
          </w:tcPr>
          <w:p>
            <w:pPr>
              <w:spacing w:after="0" w:line="176" w:lineRule="exact"/>
              <w:rPr>
                <w:sz w:val="20"/>
                <w:szCs w:val="20"/>
                <w:color w:val="auto"/>
              </w:rPr>
            </w:pPr>
            <w:r>
              <w:rPr>
                <w:rFonts w:ascii="Arial" w:cs="Arial" w:eastAsia="Arial" w:hAnsi="Arial"/>
                <w:sz w:val="20"/>
                <w:szCs w:val="20"/>
                <w:color w:val="auto"/>
                <w:w w:val="93"/>
              </w:rPr>
              <w:t>January 6, 2006 (incorporated by reference to Exhibit 4.1 to the Registrant’s Current Report on Form 8-K filed on</w:t>
            </w:r>
          </w:p>
        </w:tc>
        <w:tc>
          <w:tcPr>
            <w:tcW w:w="0" w:type="dxa"/>
            <w:vAlign w:val="bottom"/>
          </w:tcPr>
          <w:p>
            <w:pPr>
              <w:spacing w:after="0"/>
              <w:rPr>
                <w:sz w:val="1"/>
                <w:szCs w:val="1"/>
                <w:color w:val="auto"/>
              </w:rPr>
            </w:pPr>
          </w:p>
        </w:tc>
      </w:tr>
      <w:tr>
        <w:trPr>
          <w:trHeight w:val="176"/>
        </w:trPr>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300" w:type="dxa"/>
            <w:vAlign w:val="bottom"/>
            <w:gridSpan w:val="30"/>
          </w:tcPr>
          <w:p>
            <w:pPr>
              <w:spacing w:after="0" w:line="176" w:lineRule="exact"/>
              <w:rPr>
                <w:sz w:val="20"/>
                <w:szCs w:val="20"/>
                <w:color w:val="auto"/>
              </w:rPr>
            </w:pPr>
            <w:r>
              <w:rPr>
                <w:rFonts w:ascii="Arial" w:cs="Arial" w:eastAsia="Arial" w:hAnsi="Arial"/>
                <w:sz w:val="20"/>
                <w:szCs w:val="20"/>
                <w:color w:val="auto"/>
              </w:rPr>
              <w:t>January 24, 2006)</w:t>
            </w: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0" w:type="dxa"/>
            <w:vAlign w:val="bottom"/>
            <w:gridSpan w:val="4"/>
          </w:tcPr>
          <w:p>
            <w:pPr>
              <w:spacing w:after="0" w:line="20" w:lineRule="exact"/>
              <w:rPr>
                <w:sz w:val="1"/>
                <w:szCs w:val="1"/>
                <w:color w:val="auto"/>
              </w:rPr>
            </w:pPr>
          </w:p>
        </w:tc>
        <w:tc>
          <w:tcPr>
            <w:tcW w:w="1320" w:type="dxa"/>
            <w:vAlign w:val="bottom"/>
            <w:gridSpan w:val="5"/>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40" w:type="dxa"/>
            <w:vAlign w:val="bottom"/>
            <w:gridSpan w:val="7"/>
          </w:tcPr>
          <w:p>
            <w:pPr>
              <w:spacing w:after="0" w:line="20" w:lineRule="exact"/>
              <w:rPr>
                <w:sz w:val="1"/>
                <w:szCs w:val="1"/>
                <w:color w:val="auto"/>
              </w:rPr>
            </w:pPr>
          </w:p>
        </w:tc>
        <w:tc>
          <w:tcPr>
            <w:tcW w:w="4294967257"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9"/>
        </w:trPr>
        <w:tc>
          <w:tcPr>
            <w:tcW w:w="560" w:type="dxa"/>
            <w:vAlign w:val="bottom"/>
          </w:tcPr>
          <w:p>
            <w:pPr>
              <w:jc w:val="center"/>
              <w:spacing w:after="0"/>
              <w:rPr>
                <w:sz w:val="20"/>
                <w:szCs w:val="20"/>
                <w:color w:val="auto"/>
              </w:rPr>
            </w:pPr>
            <w:r>
              <w:rPr>
                <w:rFonts w:ascii="Arial" w:cs="Arial" w:eastAsia="Arial" w:hAnsi="Arial"/>
                <w:sz w:val="20"/>
                <w:szCs w:val="20"/>
                <w:color w:val="auto"/>
                <w:w w:val="86"/>
              </w:rPr>
              <w:t>4.3</w:t>
            </w:r>
          </w:p>
        </w:tc>
        <w:tc>
          <w:tcPr>
            <w:tcW w:w="120" w:type="dxa"/>
            <w:vAlign w:val="bottom"/>
          </w:tcPr>
          <w:p>
            <w:pPr>
              <w:spacing w:after="0"/>
              <w:rPr>
                <w:sz w:val="24"/>
                <w:szCs w:val="24"/>
                <w:color w:val="auto"/>
              </w:rPr>
            </w:pPr>
          </w:p>
        </w:tc>
        <w:tc>
          <w:tcPr>
            <w:tcW w:w="9300" w:type="dxa"/>
            <w:vAlign w:val="bottom"/>
            <w:tcBorders>
              <w:bottom w:val="single" w:sz="8" w:color="auto"/>
            </w:tcBorders>
            <w:gridSpan w:val="30"/>
          </w:tcPr>
          <w:p>
            <w:pPr>
              <w:spacing w:after="0"/>
              <w:rPr>
                <w:sz w:val="20"/>
                <w:szCs w:val="20"/>
                <w:color w:val="auto"/>
              </w:rPr>
            </w:pPr>
            <w:r>
              <w:rPr>
                <w:rFonts w:ascii="Arial" w:cs="Arial" w:eastAsia="Arial" w:hAnsi="Arial"/>
                <w:sz w:val="20"/>
                <w:szCs w:val="20"/>
                <w:color w:val="auto"/>
                <w:w w:val="93"/>
              </w:rPr>
              <w:t>Second Supplemental Indenture, dated May 5, 2010, between the Registrant and The Bank of New York Mellon</w:t>
            </w:r>
          </w:p>
        </w:tc>
        <w:tc>
          <w:tcPr>
            <w:tcW w:w="0" w:type="dxa"/>
            <w:vAlign w:val="bottom"/>
          </w:tcPr>
          <w:p>
            <w:pPr>
              <w:spacing w:after="0"/>
              <w:rPr>
                <w:sz w:val="1"/>
                <w:szCs w:val="1"/>
                <w:color w:val="auto"/>
              </w:rPr>
            </w:pPr>
          </w:p>
        </w:tc>
      </w:tr>
      <w:tr>
        <w:trPr>
          <w:trHeight w:val="176"/>
        </w:trPr>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300" w:type="dxa"/>
            <w:vAlign w:val="bottom"/>
            <w:tcBorders>
              <w:bottom w:val="single" w:sz="8" w:color="auto"/>
            </w:tcBorders>
            <w:gridSpan w:val="30"/>
          </w:tcPr>
          <w:p>
            <w:pPr>
              <w:spacing w:after="0" w:line="176" w:lineRule="exact"/>
              <w:rPr>
                <w:sz w:val="20"/>
                <w:szCs w:val="20"/>
                <w:color w:val="auto"/>
              </w:rPr>
            </w:pPr>
            <w:r>
              <w:rPr>
                <w:rFonts w:ascii="Arial" w:cs="Arial" w:eastAsia="Arial" w:hAnsi="Arial"/>
                <w:sz w:val="20"/>
                <w:szCs w:val="20"/>
                <w:color w:val="auto"/>
                <w:w w:val="91"/>
              </w:rPr>
              <w:t>Trust Company, N.A. (incorporated by reference to Exhibit 4.1 to the Registrant's Current Report on Form 8-K filed</w:t>
            </w:r>
          </w:p>
        </w:tc>
        <w:tc>
          <w:tcPr>
            <w:tcW w:w="0" w:type="dxa"/>
            <w:vAlign w:val="bottom"/>
          </w:tcPr>
          <w:p>
            <w:pPr>
              <w:spacing w:after="0"/>
              <w:rPr>
                <w:sz w:val="1"/>
                <w:szCs w:val="1"/>
                <w:color w:val="auto"/>
              </w:rPr>
            </w:pPr>
          </w:p>
        </w:tc>
      </w:tr>
      <w:tr>
        <w:trPr>
          <w:trHeight w:val="176"/>
        </w:trPr>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0" w:type="dxa"/>
            <w:vAlign w:val="bottom"/>
            <w:tcBorders>
              <w:bottom w:val="single" w:sz="8" w:color="auto"/>
            </w:tcBorders>
            <w:gridSpan w:val="3"/>
          </w:tcPr>
          <w:p>
            <w:pPr>
              <w:spacing w:after="0" w:line="176" w:lineRule="exact"/>
              <w:rPr>
                <w:sz w:val="20"/>
                <w:szCs w:val="20"/>
                <w:color w:val="auto"/>
              </w:rPr>
            </w:pPr>
            <w:r>
              <w:rPr>
                <w:rFonts w:ascii="Arial" w:cs="Arial" w:eastAsia="Arial" w:hAnsi="Arial"/>
                <w:sz w:val="20"/>
                <w:szCs w:val="20"/>
                <w:color w:val="auto"/>
                <w:w w:val="94"/>
              </w:rPr>
              <w:t>on May 5, 2010)</w:t>
            </w:r>
          </w:p>
        </w:tc>
        <w:tc>
          <w:tcPr>
            <w:tcW w:w="7900" w:type="dxa"/>
            <w:vAlign w:val="bottom"/>
            <w:gridSpan w:val="27"/>
          </w:tcPr>
          <w:p>
            <w:pPr>
              <w:spacing w:after="0"/>
              <w:rPr>
                <w:sz w:val="15"/>
                <w:szCs w:val="15"/>
                <w:color w:val="auto"/>
              </w:rPr>
            </w:pPr>
          </w:p>
        </w:tc>
        <w:tc>
          <w:tcPr>
            <w:tcW w:w="0" w:type="dxa"/>
            <w:vAlign w:val="bottom"/>
          </w:tcPr>
          <w:p>
            <w:pPr>
              <w:spacing w:after="0"/>
              <w:rPr>
                <w:sz w:val="1"/>
                <w:szCs w:val="1"/>
                <w:color w:val="auto"/>
              </w:rPr>
            </w:pPr>
          </w:p>
        </w:tc>
      </w:tr>
      <w:tr>
        <w:trPr>
          <w:trHeight w:val="279"/>
        </w:trPr>
        <w:tc>
          <w:tcPr>
            <w:tcW w:w="560" w:type="dxa"/>
            <w:vAlign w:val="bottom"/>
          </w:tcPr>
          <w:p>
            <w:pPr>
              <w:jc w:val="center"/>
              <w:spacing w:after="0"/>
              <w:rPr>
                <w:sz w:val="20"/>
                <w:szCs w:val="20"/>
                <w:color w:val="auto"/>
              </w:rPr>
            </w:pPr>
            <w:r>
              <w:rPr>
                <w:rFonts w:ascii="Arial" w:cs="Arial" w:eastAsia="Arial" w:hAnsi="Arial"/>
                <w:sz w:val="20"/>
                <w:szCs w:val="20"/>
                <w:color w:val="auto"/>
                <w:w w:val="86"/>
              </w:rPr>
              <w:t>4.4</w:t>
            </w:r>
          </w:p>
        </w:tc>
        <w:tc>
          <w:tcPr>
            <w:tcW w:w="120" w:type="dxa"/>
            <w:vAlign w:val="bottom"/>
          </w:tcPr>
          <w:p>
            <w:pPr>
              <w:spacing w:after="0"/>
              <w:rPr>
                <w:sz w:val="24"/>
                <w:szCs w:val="24"/>
                <w:color w:val="auto"/>
              </w:rPr>
            </w:pPr>
          </w:p>
        </w:tc>
        <w:tc>
          <w:tcPr>
            <w:tcW w:w="9300" w:type="dxa"/>
            <w:vAlign w:val="bottom"/>
            <w:gridSpan w:val="30"/>
          </w:tcPr>
          <w:p>
            <w:pPr>
              <w:spacing w:after="0"/>
              <w:rPr>
                <w:sz w:val="20"/>
                <w:szCs w:val="20"/>
                <w:color w:val="auto"/>
              </w:rPr>
            </w:pPr>
            <w:r>
              <w:rPr>
                <w:rFonts w:ascii="Arial" w:cs="Arial" w:eastAsia="Arial" w:hAnsi="Arial"/>
                <w:sz w:val="20"/>
                <w:szCs w:val="20"/>
                <w:color w:val="auto"/>
                <w:w w:val="89"/>
              </w:rPr>
              <w:t>Third Supplemental Indenture, dated June 30, 2014, between the Registrant and The Bank of New York Mellon Trust</w:t>
            </w:r>
          </w:p>
        </w:tc>
        <w:tc>
          <w:tcPr>
            <w:tcW w:w="0" w:type="dxa"/>
            <w:vAlign w:val="bottom"/>
          </w:tcPr>
          <w:p>
            <w:pPr>
              <w:spacing w:after="0"/>
              <w:rPr>
                <w:sz w:val="1"/>
                <w:szCs w:val="1"/>
                <w:color w:val="auto"/>
              </w:rPr>
            </w:pPr>
          </w:p>
        </w:tc>
      </w:tr>
      <w:tr>
        <w:trPr>
          <w:trHeight w:val="176"/>
        </w:trPr>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320" w:type="dxa"/>
            <w:vAlign w:val="bottom"/>
            <w:tcBorders>
              <w:top w:val="single" w:sz="8" w:color="auto"/>
              <w:bottom w:val="single" w:sz="8" w:color="auto"/>
            </w:tcBorders>
            <w:gridSpan w:val="28"/>
          </w:tcPr>
          <w:p>
            <w:pPr>
              <w:spacing w:after="0" w:line="176" w:lineRule="exact"/>
              <w:rPr>
                <w:sz w:val="20"/>
                <w:szCs w:val="20"/>
                <w:color w:val="auto"/>
              </w:rPr>
            </w:pPr>
            <w:r>
              <w:rPr>
                <w:rFonts w:ascii="Arial" w:cs="Arial" w:eastAsia="Arial" w:hAnsi="Arial"/>
                <w:sz w:val="20"/>
                <w:szCs w:val="20"/>
                <w:color w:val="auto"/>
                <w:w w:val="94"/>
              </w:rPr>
              <w:t>Company, N.A. (incorporated by reference to Exhibit 4.1 to the Registrant's Current Report on Form 8-K filed on</w:t>
            </w:r>
          </w:p>
        </w:tc>
        <w:tc>
          <w:tcPr>
            <w:tcW w:w="20" w:type="dxa"/>
            <w:vAlign w:val="bottom"/>
            <w:tcBorders>
              <w:bottom w:val="single" w:sz="8" w:color="auto"/>
            </w:tcBorders>
          </w:tcPr>
          <w:p>
            <w:pPr>
              <w:spacing w:after="0"/>
              <w:rPr>
                <w:sz w:val="15"/>
                <w:szCs w:val="15"/>
                <w:color w:val="auto"/>
              </w:rPr>
            </w:pPr>
          </w:p>
        </w:tc>
        <w:tc>
          <w:tcPr>
            <w:tcW w:w="4294967257"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Borders>
              <w:bottom w:val="single" w:sz="8" w:color="auto"/>
            </w:tcBorders>
            <w:gridSpan w:val="2"/>
          </w:tcPr>
          <w:p>
            <w:pPr>
              <w:spacing w:after="0" w:line="176" w:lineRule="exact"/>
              <w:rPr>
                <w:sz w:val="20"/>
                <w:szCs w:val="20"/>
                <w:color w:val="auto"/>
              </w:rPr>
            </w:pPr>
            <w:r>
              <w:rPr>
                <w:rFonts w:ascii="Arial" w:cs="Arial" w:eastAsia="Arial" w:hAnsi="Arial"/>
                <w:sz w:val="20"/>
                <w:szCs w:val="20"/>
                <w:color w:val="auto"/>
                <w:w w:val="85"/>
              </w:rPr>
              <w:t>June 30, 2014)</w:t>
            </w:r>
          </w:p>
        </w:tc>
        <w:tc>
          <w:tcPr>
            <w:tcW w:w="8140" w:type="dxa"/>
            <w:vAlign w:val="bottom"/>
            <w:gridSpan w:val="28"/>
          </w:tcPr>
          <w:p>
            <w:pPr>
              <w:spacing w:after="0"/>
              <w:rPr>
                <w:sz w:val="15"/>
                <w:szCs w:val="15"/>
                <w:color w:val="auto"/>
              </w:rPr>
            </w:pPr>
          </w:p>
        </w:tc>
        <w:tc>
          <w:tcPr>
            <w:tcW w:w="0" w:type="dxa"/>
            <w:vAlign w:val="bottom"/>
          </w:tcPr>
          <w:p>
            <w:pPr>
              <w:spacing w:after="0"/>
              <w:rPr>
                <w:sz w:val="1"/>
                <w:szCs w:val="1"/>
                <w:color w:val="auto"/>
              </w:rPr>
            </w:pPr>
          </w:p>
        </w:tc>
      </w:tr>
      <w:tr>
        <w:trPr>
          <w:trHeight w:val="279"/>
        </w:trPr>
        <w:tc>
          <w:tcPr>
            <w:tcW w:w="560" w:type="dxa"/>
            <w:vAlign w:val="bottom"/>
          </w:tcPr>
          <w:p>
            <w:pPr>
              <w:jc w:val="center"/>
              <w:spacing w:after="0"/>
              <w:rPr>
                <w:sz w:val="20"/>
                <w:szCs w:val="20"/>
                <w:color w:val="auto"/>
              </w:rPr>
            </w:pPr>
            <w:r>
              <w:rPr>
                <w:rFonts w:ascii="Arial" w:cs="Arial" w:eastAsia="Arial" w:hAnsi="Arial"/>
                <w:sz w:val="20"/>
                <w:szCs w:val="20"/>
                <w:color w:val="auto"/>
                <w:w w:val="86"/>
              </w:rPr>
              <w:t>4.5</w:t>
            </w:r>
          </w:p>
        </w:tc>
        <w:tc>
          <w:tcPr>
            <w:tcW w:w="120" w:type="dxa"/>
            <w:vAlign w:val="bottom"/>
          </w:tcPr>
          <w:p>
            <w:pPr>
              <w:spacing w:after="0"/>
              <w:rPr>
                <w:sz w:val="24"/>
                <w:szCs w:val="24"/>
                <w:color w:val="auto"/>
              </w:rPr>
            </w:pPr>
          </w:p>
        </w:tc>
        <w:tc>
          <w:tcPr>
            <w:tcW w:w="9300" w:type="dxa"/>
            <w:vAlign w:val="bottom"/>
            <w:tcBorders>
              <w:bottom w:val="single" w:sz="8" w:color="auto"/>
            </w:tcBorders>
            <w:gridSpan w:val="30"/>
          </w:tcPr>
          <w:p>
            <w:pPr>
              <w:spacing w:after="0"/>
              <w:rPr>
                <w:sz w:val="20"/>
                <w:szCs w:val="20"/>
                <w:color w:val="auto"/>
              </w:rPr>
            </w:pPr>
            <w:r>
              <w:rPr>
                <w:rFonts w:ascii="Arial" w:cs="Arial" w:eastAsia="Arial" w:hAnsi="Arial"/>
                <w:sz w:val="20"/>
                <w:szCs w:val="20"/>
                <w:color w:val="auto"/>
              </w:rPr>
              <w:t>Form of Subordinated Indenture between the Registrant and the Bank of New York Trust Company, N.A.</w:t>
            </w:r>
          </w:p>
        </w:tc>
        <w:tc>
          <w:tcPr>
            <w:tcW w:w="0" w:type="dxa"/>
            <w:vAlign w:val="bottom"/>
          </w:tcPr>
          <w:p>
            <w:pPr>
              <w:spacing w:after="0"/>
              <w:rPr>
                <w:sz w:val="1"/>
                <w:szCs w:val="1"/>
                <w:color w:val="auto"/>
              </w:rPr>
            </w:pPr>
          </w:p>
        </w:tc>
      </w:tr>
      <w:tr>
        <w:trPr>
          <w:trHeight w:val="176"/>
        </w:trPr>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300" w:type="dxa"/>
            <w:vAlign w:val="bottom"/>
            <w:tcBorders>
              <w:bottom w:val="single" w:sz="8" w:color="auto"/>
            </w:tcBorders>
            <w:gridSpan w:val="30"/>
          </w:tcPr>
          <w:p>
            <w:pPr>
              <w:spacing w:after="0" w:line="176" w:lineRule="exact"/>
              <w:rPr>
                <w:sz w:val="20"/>
                <w:szCs w:val="20"/>
                <w:color w:val="auto"/>
              </w:rPr>
            </w:pPr>
            <w:r>
              <w:rPr>
                <w:rFonts w:ascii="Arial" w:cs="Arial" w:eastAsia="Arial" w:hAnsi="Arial"/>
                <w:sz w:val="20"/>
                <w:szCs w:val="20"/>
                <w:color w:val="auto"/>
                <w:w w:val="97"/>
              </w:rPr>
              <w:t>(incorporated by reference to Exhibit 4.2 (A) to the Registrant’s Registration Statement on Form S-3 filed on</w:t>
            </w:r>
          </w:p>
        </w:tc>
        <w:tc>
          <w:tcPr>
            <w:tcW w:w="0" w:type="dxa"/>
            <w:vAlign w:val="bottom"/>
          </w:tcPr>
          <w:p>
            <w:pPr>
              <w:spacing w:after="0"/>
              <w:rPr>
                <w:sz w:val="1"/>
                <w:szCs w:val="1"/>
                <w:color w:val="auto"/>
              </w:rPr>
            </w:pPr>
          </w:p>
        </w:tc>
      </w:tr>
      <w:tr>
        <w:trPr>
          <w:trHeight w:val="176"/>
        </w:trPr>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300" w:type="dxa"/>
            <w:vAlign w:val="bottom"/>
            <w:gridSpan w:val="30"/>
          </w:tcPr>
          <w:p>
            <w:pPr>
              <w:spacing w:after="0" w:line="176" w:lineRule="exact"/>
              <w:rPr>
                <w:sz w:val="20"/>
                <w:szCs w:val="20"/>
                <w:color w:val="auto"/>
              </w:rPr>
            </w:pPr>
            <w:r>
              <w:rPr>
                <w:rFonts w:ascii="Arial" w:cs="Arial" w:eastAsia="Arial" w:hAnsi="Arial"/>
                <w:sz w:val="20"/>
                <w:szCs w:val="20"/>
                <w:color w:val="auto"/>
              </w:rPr>
              <w:t>November 14, 2007)</w:t>
            </w:r>
          </w:p>
        </w:tc>
        <w:tc>
          <w:tcPr>
            <w:tcW w:w="0" w:type="dxa"/>
            <w:vAlign w:val="bottom"/>
          </w:tcPr>
          <w:p>
            <w:pPr>
              <w:spacing w:after="0"/>
              <w:rPr>
                <w:sz w:val="1"/>
                <w:szCs w:val="1"/>
                <w:color w:val="auto"/>
              </w:rPr>
            </w:pPr>
          </w:p>
        </w:tc>
      </w:tr>
      <w:tr>
        <w:trPr>
          <w:trHeight w:val="20"/>
        </w:trPr>
        <w:tc>
          <w:tcPr>
            <w:tcW w:w="560" w:type="dxa"/>
            <w:vAlign w:val="bottom"/>
            <w:vMerge w:val="restart"/>
          </w:tcPr>
          <w:p>
            <w:pPr>
              <w:jc w:val="center"/>
              <w:spacing w:after="0"/>
              <w:rPr>
                <w:sz w:val="20"/>
                <w:szCs w:val="20"/>
                <w:color w:val="auto"/>
              </w:rPr>
            </w:pPr>
            <w:r>
              <w:rPr>
                <w:rFonts w:ascii="Arial" w:cs="Arial" w:eastAsia="Arial" w:hAnsi="Arial"/>
                <w:sz w:val="20"/>
                <w:szCs w:val="20"/>
                <w:color w:val="auto"/>
                <w:w w:val="86"/>
              </w:rPr>
              <w:t>4.6</w:t>
            </w:r>
          </w:p>
        </w:tc>
        <w:tc>
          <w:tcPr>
            <w:tcW w:w="1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140" w:type="dxa"/>
            <w:vAlign w:val="bottom"/>
            <w:gridSpan w:val="3"/>
            <w:shd w:val="clear" w:color="auto" w:fill="000000"/>
          </w:tcPr>
          <w:p>
            <w:pPr>
              <w:spacing w:after="0" w:line="20" w:lineRule="exact"/>
              <w:rPr>
                <w:sz w:val="1"/>
                <w:szCs w:val="1"/>
                <w:color w:val="auto"/>
              </w:rPr>
            </w:pPr>
          </w:p>
        </w:tc>
        <w:tc>
          <w:tcPr>
            <w:tcW w:w="2400" w:type="dxa"/>
            <w:vAlign w:val="bottom"/>
            <w:tcBorders>
              <w:left w:val="single" w:sz="8" w:color="auto"/>
            </w:tcBorders>
            <w:gridSpan w:val="4"/>
          </w:tcPr>
          <w:p>
            <w:pPr>
              <w:spacing w:after="0" w:line="20" w:lineRule="exact"/>
              <w:rPr>
                <w:sz w:val="1"/>
                <w:szCs w:val="1"/>
                <w:color w:val="auto"/>
              </w:rPr>
            </w:pPr>
          </w:p>
        </w:tc>
        <w:tc>
          <w:tcPr>
            <w:tcW w:w="1320" w:type="dxa"/>
            <w:vAlign w:val="bottom"/>
            <w:gridSpan w:val="5"/>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40" w:type="dxa"/>
            <w:vAlign w:val="bottom"/>
            <w:gridSpan w:val="7"/>
          </w:tcPr>
          <w:p>
            <w:pPr>
              <w:spacing w:after="0" w:line="20" w:lineRule="exact"/>
              <w:rPr>
                <w:sz w:val="1"/>
                <w:szCs w:val="1"/>
                <w:color w:val="auto"/>
              </w:rPr>
            </w:pPr>
          </w:p>
        </w:tc>
        <w:tc>
          <w:tcPr>
            <w:tcW w:w="4294967257"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7"/>
        </w:trPr>
        <w:tc>
          <w:tcPr>
            <w:tcW w:w="56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9300" w:type="dxa"/>
            <w:vAlign w:val="bottom"/>
            <w:tcBorders>
              <w:bottom w:val="single" w:sz="8" w:color="auto"/>
            </w:tcBorders>
            <w:gridSpan w:val="30"/>
          </w:tcPr>
          <w:p>
            <w:pPr>
              <w:spacing w:after="0"/>
              <w:rPr>
                <w:sz w:val="20"/>
                <w:szCs w:val="20"/>
                <w:color w:val="auto"/>
              </w:rPr>
            </w:pPr>
            <w:r>
              <w:rPr>
                <w:rFonts w:ascii="Arial" w:cs="Arial" w:eastAsia="Arial" w:hAnsi="Arial"/>
                <w:sz w:val="20"/>
                <w:szCs w:val="20"/>
                <w:color w:val="auto"/>
                <w:w w:val="91"/>
              </w:rPr>
              <w:t>Fourth Supplemental Indenture, dated August 13, 2018, between the Registrant and The Bank of New York Mellon</w:t>
            </w:r>
          </w:p>
        </w:tc>
        <w:tc>
          <w:tcPr>
            <w:tcW w:w="0" w:type="dxa"/>
            <w:vAlign w:val="bottom"/>
          </w:tcPr>
          <w:p>
            <w:pPr>
              <w:spacing w:after="0"/>
              <w:rPr>
                <w:sz w:val="1"/>
                <w:szCs w:val="1"/>
                <w:color w:val="auto"/>
              </w:rPr>
            </w:pPr>
          </w:p>
        </w:tc>
      </w:tr>
      <w:tr>
        <w:trPr>
          <w:trHeight w:val="176"/>
        </w:trPr>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300" w:type="dxa"/>
            <w:vAlign w:val="bottom"/>
            <w:tcBorders>
              <w:bottom w:val="single" w:sz="8" w:color="auto"/>
            </w:tcBorders>
            <w:gridSpan w:val="30"/>
          </w:tcPr>
          <w:p>
            <w:pPr>
              <w:spacing w:after="0" w:line="176" w:lineRule="exact"/>
              <w:rPr>
                <w:sz w:val="20"/>
                <w:szCs w:val="20"/>
                <w:color w:val="auto"/>
              </w:rPr>
            </w:pPr>
            <w:r>
              <w:rPr>
                <w:rFonts w:ascii="Arial" w:cs="Arial" w:eastAsia="Arial" w:hAnsi="Arial"/>
                <w:sz w:val="20"/>
                <w:szCs w:val="20"/>
                <w:color w:val="auto"/>
                <w:w w:val="91"/>
              </w:rPr>
              <w:t>Trust Company, N.A. (incorporated by reference to Exhibit 4.4 to the Registrant's Current Report on Form 8-K filed</w:t>
            </w:r>
          </w:p>
        </w:tc>
        <w:tc>
          <w:tcPr>
            <w:tcW w:w="0" w:type="dxa"/>
            <w:vAlign w:val="bottom"/>
          </w:tcPr>
          <w:p>
            <w:pPr>
              <w:spacing w:after="0"/>
              <w:rPr>
                <w:sz w:val="1"/>
                <w:szCs w:val="1"/>
                <w:color w:val="auto"/>
              </w:rPr>
            </w:pPr>
          </w:p>
        </w:tc>
      </w:tr>
      <w:tr>
        <w:trPr>
          <w:trHeight w:val="176"/>
        </w:trPr>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300" w:type="dxa"/>
            <w:vAlign w:val="bottom"/>
            <w:gridSpan w:val="30"/>
          </w:tcPr>
          <w:p>
            <w:pPr>
              <w:spacing w:after="0" w:line="176" w:lineRule="exact"/>
              <w:rPr>
                <w:sz w:val="20"/>
                <w:szCs w:val="20"/>
                <w:color w:val="auto"/>
              </w:rPr>
            </w:pPr>
            <w:r>
              <w:rPr>
                <w:rFonts w:ascii="Arial" w:cs="Arial" w:eastAsia="Arial" w:hAnsi="Arial"/>
                <w:sz w:val="20"/>
                <w:szCs w:val="20"/>
                <w:color w:val="auto"/>
              </w:rPr>
              <w:t>on August 13, 2018)</w:t>
            </w:r>
          </w:p>
        </w:tc>
        <w:tc>
          <w:tcPr>
            <w:tcW w:w="0" w:type="dxa"/>
            <w:vAlign w:val="bottom"/>
          </w:tcPr>
          <w:p>
            <w:pPr>
              <w:spacing w:after="0"/>
              <w:rPr>
                <w:sz w:val="1"/>
                <w:szCs w:val="1"/>
                <w:color w:val="auto"/>
              </w:rPr>
            </w:pPr>
          </w:p>
        </w:tc>
      </w:tr>
      <w:tr>
        <w:trPr>
          <w:trHeight w:val="20"/>
        </w:trPr>
        <w:tc>
          <w:tcPr>
            <w:tcW w:w="560" w:type="dxa"/>
            <w:vAlign w:val="bottom"/>
            <w:vMerge w:val="restart"/>
          </w:tcPr>
          <w:p>
            <w:pPr>
              <w:jc w:val="center"/>
              <w:spacing w:after="0"/>
              <w:rPr>
                <w:sz w:val="20"/>
                <w:szCs w:val="20"/>
                <w:color w:val="auto"/>
              </w:rPr>
            </w:pPr>
            <w:r>
              <w:rPr>
                <w:rFonts w:ascii="Arial" w:cs="Arial" w:eastAsia="Arial" w:hAnsi="Arial"/>
                <w:sz w:val="20"/>
                <w:szCs w:val="20"/>
                <w:color w:val="auto"/>
                <w:w w:val="86"/>
              </w:rPr>
              <w:t>4.7</w:t>
            </w:r>
          </w:p>
        </w:tc>
        <w:tc>
          <w:tcPr>
            <w:tcW w:w="1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140" w:type="dxa"/>
            <w:vAlign w:val="bottom"/>
            <w:gridSpan w:val="3"/>
            <w:shd w:val="clear" w:color="auto" w:fill="000000"/>
          </w:tcPr>
          <w:p>
            <w:pPr>
              <w:spacing w:after="0" w:line="20" w:lineRule="exact"/>
              <w:rPr>
                <w:sz w:val="1"/>
                <w:szCs w:val="1"/>
                <w:color w:val="auto"/>
              </w:rPr>
            </w:pPr>
          </w:p>
        </w:tc>
        <w:tc>
          <w:tcPr>
            <w:tcW w:w="2400" w:type="dxa"/>
            <w:vAlign w:val="bottom"/>
            <w:gridSpan w:val="4"/>
          </w:tcPr>
          <w:p>
            <w:pPr>
              <w:spacing w:after="0" w:line="20" w:lineRule="exact"/>
              <w:rPr>
                <w:sz w:val="1"/>
                <w:szCs w:val="1"/>
                <w:color w:val="auto"/>
              </w:rPr>
            </w:pPr>
          </w:p>
        </w:tc>
        <w:tc>
          <w:tcPr>
            <w:tcW w:w="1320" w:type="dxa"/>
            <w:vAlign w:val="bottom"/>
            <w:gridSpan w:val="5"/>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40" w:type="dxa"/>
            <w:vAlign w:val="bottom"/>
            <w:gridSpan w:val="7"/>
          </w:tcPr>
          <w:p>
            <w:pPr>
              <w:spacing w:after="0" w:line="20" w:lineRule="exact"/>
              <w:rPr>
                <w:sz w:val="1"/>
                <w:szCs w:val="1"/>
                <w:color w:val="auto"/>
              </w:rPr>
            </w:pPr>
          </w:p>
        </w:tc>
        <w:tc>
          <w:tcPr>
            <w:tcW w:w="4294967257"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9"/>
        </w:trPr>
        <w:tc>
          <w:tcPr>
            <w:tcW w:w="560" w:type="dxa"/>
            <w:vAlign w:val="bottom"/>
            <w:vMerge w:val="continue"/>
          </w:tcPr>
          <w:p>
            <w:pPr>
              <w:spacing w:after="0"/>
              <w:rPr>
                <w:sz w:val="23"/>
                <w:szCs w:val="23"/>
                <w:color w:val="auto"/>
              </w:rPr>
            </w:pPr>
          </w:p>
        </w:tc>
        <w:tc>
          <w:tcPr>
            <w:tcW w:w="120" w:type="dxa"/>
            <w:vAlign w:val="bottom"/>
          </w:tcPr>
          <w:p>
            <w:pPr>
              <w:spacing w:after="0"/>
              <w:rPr>
                <w:sz w:val="23"/>
                <w:szCs w:val="23"/>
                <w:color w:val="auto"/>
              </w:rPr>
            </w:pPr>
          </w:p>
        </w:tc>
        <w:tc>
          <w:tcPr>
            <w:tcW w:w="9300" w:type="dxa"/>
            <w:vAlign w:val="bottom"/>
            <w:gridSpan w:val="30"/>
          </w:tcPr>
          <w:p>
            <w:pPr>
              <w:spacing w:after="0"/>
              <w:rPr>
                <w:sz w:val="20"/>
                <w:szCs w:val="20"/>
                <w:color w:val="auto"/>
              </w:rPr>
            </w:pPr>
            <w:r>
              <w:rPr>
                <w:rFonts w:ascii="Arial" w:cs="Arial" w:eastAsia="Arial" w:hAnsi="Arial"/>
                <w:sz w:val="20"/>
                <w:szCs w:val="20"/>
                <w:color w:val="auto"/>
                <w:w w:val="92"/>
              </w:rPr>
              <w:t>Form of 4.50% Senior Note of the Registrant due 2028 (incorporated by reference to Exhibit A to Exhibit 4.4 to the</w:t>
            </w:r>
          </w:p>
        </w:tc>
        <w:tc>
          <w:tcPr>
            <w:tcW w:w="0" w:type="dxa"/>
            <w:vAlign w:val="bottom"/>
          </w:tcPr>
          <w:p>
            <w:pPr>
              <w:spacing w:after="0"/>
              <w:rPr>
                <w:sz w:val="1"/>
                <w:szCs w:val="1"/>
                <w:color w:val="auto"/>
              </w:rPr>
            </w:pPr>
          </w:p>
        </w:tc>
      </w:tr>
      <w:tr>
        <w:trPr>
          <w:trHeight w:val="176"/>
        </w:trPr>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100" w:type="dxa"/>
            <w:vAlign w:val="bottom"/>
            <w:tcBorders>
              <w:top w:val="single" w:sz="8" w:color="auto"/>
            </w:tcBorders>
            <w:gridSpan w:val="22"/>
          </w:tcPr>
          <w:p>
            <w:pPr>
              <w:spacing w:after="0" w:line="176" w:lineRule="exact"/>
              <w:rPr>
                <w:sz w:val="20"/>
                <w:szCs w:val="20"/>
                <w:color w:val="auto"/>
              </w:rPr>
            </w:pPr>
            <w:r>
              <w:rPr>
                <w:rFonts w:ascii="Arial" w:cs="Arial" w:eastAsia="Arial" w:hAnsi="Arial"/>
                <w:sz w:val="20"/>
                <w:szCs w:val="20"/>
                <w:color w:val="auto"/>
              </w:rPr>
              <w:t>Registrant's Current Report on Form 8-K filed on August 13, 2018).</w:t>
            </w:r>
          </w:p>
        </w:tc>
        <w:tc>
          <w:tcPr>
            <w:tcW w:w="240" w:type="dxa"/>
            <w:vAlign w:val="bottom"/>
            <w:gridSpan w:val="7"/>
          </w:tcPr>
          <w:p>
            <w:pPr>
              <w:spacing w:after="0"/>
              <w:rPr>
                <w:sz w:val="15"/>
                <w:szCs w:val="15"/>
                <w:color w:val="auto"/>
              </w:rPr>
            </w:pPr>
          </w:p>
        </w:tc>
        <w:tc>
          <w:tcPr>
            <w:tcW w:w="4294967257"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540" w:type="dxa"/>
            <w:vAlign w:val="bottom"/>
            <w:gridSpan w:val="7"/>
            <w:shd w:val="clear" w:color="auto" w:fill="000000"/>
          </w:tcPr>
          <w:p>
            <w:pPr>
              <w:spacing w:after="0" w:line="20" w:lineRule="exact"/>
              <w:rPr>
                <w:sz w:val="1"/>
                <w:szCs w:val="1"/>
                <w:color w:val="auto"/>
              </w:rPr>
            </w:pPr>
          </w:p>
        </w:tc>
        <w:tc>
          <w:tcPr>
            <w:tcW w:w="1320" w:type="dxa"/>
            <w:vAlign w:val="bottom"/>
            <w:gridSpan w:val="5"/>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340" w:type="dxa"/>
            <w:vAlign w:val="bottom"/>
            <w:gridSpan w:val="9"/>
          </w:tcPr>
          <w:p>
            <w:pPr>
              <w:spacing w:after="0" w:line="20" w:lineRule="exact"/>
              <w:rPr>
                <w:sz w:val="1"/>
                <w:szCs w:val="1"/>
                <w:color w:val="auto"/>
              </w:rPr>
            </w:pPr>
          </w:p>
        </w:tc>
        <w:tc>
          <w:tcPr>
            <w:tcW w:w="4294967257"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1"/>
        </w:trPr>
        <w:tc>
          <w:tcPr>
            <w:tcW w:w="560" w:type="dxa"/>
            <w:vAlign w:val="bottom"/>
          </w:tcPr>
          <w:p>
            <w:pPr>
              <w:jc w:val="center"/>
              <w:spacing w:after="0"/>
              <w:rPr>
                <w:sz w:val="20"/>
                <w:szCs w:val="20"/>
                <w:color w:val="auto"/>
              </w:rPr>
            </w:pPr>
            <w:r>
              <w:rPr>
                <w:rFonts w:ascii="Arial" w:cs="Arial" w:eastAsia="Arial" w:hAnsi="Arial"/>
                <w:sz w:val="20"/>
                <w:szCs w:val="20"/>
                <w:color w:val="auto"/>
                <w:w w:val="86"/>
              </w:rPr>
              <w:t>4.8</w:t>
            </w:r>
          </w:p>
        </w:tc>
        <w:tc>
          <w:tcPr>
            <w:tcW w:w="120" w:type="dxa"/>
            <w:vAlign w:val="bottom"/>
          </w:tcPr>
          <w:p>
            <w:pPr>
              <w:spacing w:after="0"/>
              <w:rPr>
                <w:sz w:val="22"/>
                <w:szCs w:val="22"/>
                <w:color w:val="auto"/>
              </w:rPr>
            </w:pPr>
          </w:p>
        </w:tc>
        <w:tc>
          <w:tcPr>
            <w:tcW w:w="9300" w:type="dxa"/>
            <w:vAlign w:val="bottom"/>
            <w:gridSpan w:val="30"/>
          </w:tcPr>
          <w:p>
            <w:pPr>
              <w:spacing w:after="0"/>
              <w:rPr>
                <w:sz w:val="20"/>
                <w:szCs w:val="20"/>
                <w:color w:val="auto"/>
              </w:rPr>
            </w:pPr>
            <w:r>
              <w:rPr>
                <w:rFonts w:ascii="Arial" w:cs="Arial" w:eastAsia="Arial" w:hAnsi="Arial"/>
                <w:sz w:val="20"/>
                <w:szCs w:val="20"/>
                <w:color w:val="auto"/>
                <w:w w:val="98"/>
              </w:rPr>
              <w:t xml:space="preserve">Specimen certificate for shares of the Registrant’s FNF Group common stock, par value </w:t>
            </w:r>
            <w:r>
              <w:rPr>
                <w:rFonts w:ascii="Arial" w:cs="Arial" w:eastAsia="Arial" w:hAnsi="Arial"/>
                <w:sz w:val="20"/>
                <w:szCs w:val="20"/>
                <w:u w:val="single" w:color="auto"/>
                <w:color w:val="auto"/>
                <w:w w:val="98"/>
              </w:rPr>
              <w:t>$</w:t>
            </w:r>
            <w:r>
              <w:rPr>
                <w:rFonts w:ascii="Arial" w:cs="Arial" w:eastAsia="Arial" w:hAnsi="Arial"/>
                <w:sz w:val="20"/>
                <w:szCs w:val="20"/>
                <w:color w:val="auto"/>
                <w:w w:val="98"/>
              </w:rPr>
              <w:t>0.0001 per Share</w:t>
            </w:r>
          </w:p>
        </w:tc>
        <w:tc>
          <w:tcPr>
            <w:tcW w:w="0" w:type="dxa"/>
            <w:vAlign w:val="bottom"/>
          </w:tcPr>
          <w:p>
            <w:pPr>
              <w:spacing w:after="0"/>
              <w:rPr>
                <w:sz w:val="1"/>
                <w:szCs w:val="1"/>
                <w:color w:val="auto"/>
              </w:rPr>
            </w:pPr>
          </w:p>
        </w:tc>
      </w:tr>
      <w:tr>
        <w:trPr>
          <w:trHeight w:val="176"/>
        </w:trPr>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340" w:type="dxa"/>
            <w:vAlign w:val="bottom"/>
            <w:tcBorders>
              <w:top w:val="single" w:sz="8" w:color="auto"/>
              <w:bottom w:val="single" w:sz="8" w:color="auto"/>
            </w:tcBorders>
            <w:gridSpan w:val="29"/>
          </w:tcPr>
          <w:p>
            <w:pPr>
              <w:spacing w:after="0" w:line="176" w:lineRule="exact"/>
              <w:rPr>
                <w:sz w:val="20"/>
                <w:szCs w:val="20"/>
                <w:color w:val="auto"/>
              </w:rPr>
            </w:pPr>
            <w:r>
              <w:rPr>
                <w:rFonts w:ascii="Arial" w:cs="Arial" w:eastAsia="Arial" w:hAnsi="Arial"/>
                <w:sz w:val="20"/>
                <w:szCs w:val="20"/>
                <w:color w:val="auto"/>
                <w:w w:val="92"/>
              </w:rPr>
              <w:t>(incorporated by reference to Exhibit 4.1 to the Registrant’s Registration Statement on Form S-4/A filed on May 5,</w:t>
            </w:r>
          </w:p>
        </w:tc>
        <w:tc>
          <w:tcPr>
            <w:tcW w:w="4294967257"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Borders>
              <w:bottom w:val="single" w:sz="8" w:color="auto"/>
            </w:tcBorders>
          </w:tcPr>
          <w:p>
            <w:pPr>
              <w:spacing w:after="0" w:line="176" w:lineRule="exact"/>
              <w:rPr>
                <w:sz w:val="20"/>
                <w:szCs w:val="20"/>
                <w:color w:val="auto"/>
              </w:rPr>
            </w:pPr>
            <w:r>
              <w:rPr>
                <w:rFonts w:ascii="Arial" w:cs="Arial" w:eastAsia="Arial" w:hAnsi="Arial"/>
                <w:sz w:val="20"/>
                <w:szCs w:val="20"/>
                <w:color w:val="auto"/>
                <w:w w:val="85"/>
              </w:rPr>
              <w:t>2014)</w:t>
            </w:r>
          </w:p>
        </w:tc>
        <w:tc>
          <w:tcPr>
            <w:tcW w:w="7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94967257"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9"/>
        </w:trPr>
        <w:tc>
          <w:tcPr>
            <w:tcW w:w="560" w:type="dxa"/>
            <w:vAlign w:val="bottom"/>
          </w:tcPr>
          <w:p>
            <w:pPr>
              <w:jc w:val="center"/>
              <w:spacing w:after="0"/>
              <w:rPr>
                <w:sz w:val="20"/>
                <w:szCs w:val="20"/>
                <w:color w:val="auto"/>
              </w:rPr>
            </w:pPr>
            <w:r>
              <w:rPr>
                <w:rFonts w:ascii="Arial" w:cs="Arial" w:eastAsia="Arial" w:hAnsi="Arial"/>
                <w:sz w:val="20"/>
                <w:szCs w:val="20"/>
                <w:color w:val="auto"/>
                <w:w w:val="86"/>
              </w:rPr>
              <w:t>4.9</w:t>
            </w:r>
          </w:p>
        </w:tc>
        <w:tc>
          <w:tcPr>
            <w:tcW w:w="120" w:type="dxa"/>
            <w:vAlign w:val="bottom"/>
          </w:tcPr>
          <w:p>
            <w:pPr>
              <w:spacing w:after="0"/>
              <w:rPr>
                <w:sz w:val="24"/>
                <w:szCs w:val="24"/>
                <w:color w:val="auto"/>
              </w:rPr>
            </w:pPr>
          </w:p>
        </w:tc>
        <w:tc>
          <w:tcPr>
            <w:tcW w:w="9300" w:type="dxa"/>
            <w:vAlign w:val="bottom"/>
            <w:tcBorders>
              <w:bottom w:val="single" w:sz="8" w:color="auto"/>
            </w:tcBorders>
            <w:gridSpan w:val="30"/>
          </w:tcPr>
          <w:p>
            <w:pPr>
              <w:spacing w:after="0"/>
              <w:rPr>
                <w:sz w:val="20"/>
                <w:szCs w:val="20"/>
                <w:color w:val="auto"/>
              </w:rPr>
            </w:pPr>
            <w:r>
              <w:rPr>
                <w:rFonts w:ascii="Arial" w:cs="Arial" w:eastAsia="Arial" w:hAnsi="Arial"/>
                <w:sz w:val="20"/>
                <w:szCs w:val="20"/>
                <w:color w:val="auto"/>
                <w:w w:val="92"/>
              </w:rPr>
              <w:t>Description of FNF Common Stock (incorporated by reference to Exhibit 4.9 to the Registrant’s Annual Report on</w:t>
            </w:r>
          </w:p>
        </w:tc>
        <w:tc>
          <w:tcPr>
            <w:tcW w:w="0" w:type="dxa"/>
            <w:vAlign w:val="bottom"/>
          </w:tcPr>
          <w:p>
            <w:pPr>
              <w:spacing w:after="0"/>
              <w:rPr>
                <w:sz w:val="1"/>
                <w:szCs w:val="1"/>
                <w:color w:val="auto"/>
              </w:rPr>
            </w:pPr>
          </w:p>
        </w:tc>
      </w:tr>
      <w:tr>
        <w:trPr>
          <w:trHeight w:val="176"/>
        </w:trPr>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0" w:type="dxa"/>
            <w:vAlign w:val="bottom"/>
            <w:tcBorders>
              <w:bottom w:val="single" w:sz="8" w:color="auto"/>
            </w:tcBorders>
            <w:gridSpan w:val="8"/>
          </w:tcPr>
          <w:p>
            <w:pPr>
              <w:spacing w:after="0" w:line="176" w:lineRule="exact"/>
              <w:rPr>
                <w:sz w:val="20"/>
                <w:szCs w:val="20"/>
                <w:color w:val="auto"/>
              </w:rPr>
            </w:pPr>
            <w:r>
              <w:rPr>
                <w:rFonts w:ascii="Arial" w:cs="Arial" w:eastAsia="Arial" w:hAnsi="Arial"/>
                <w:sz w:val="20"/>
                <w:szCs w:val="20"/>
                <w:color w:val="auto"/>
                <w:w w:val="88"/>
              </w:rPr>
              <w:t>Form 10-K for the year ended December 31, 2019)</w:t>
            </w:r>
          </w:p>
        </w:tc>
        <w:tc>
          <w:tcPr>
            <w:tcW w:w="5300" w:type="dxa"/>
            <w:vAlign w:val="bottom"/>
            <w:gridSpan w:val="22"/>
          </w:tcPr>
          <w:p>
            <w:pPr>
              <w:spacing w:after="0"/>
              <w:rPr>
                <w:sz w:val="15"/>
                <w:szCs w:val="15"/>
                <w:color w:val="auto"/>
              </w:rPr>
            </w:pPr>
          </w:p>
        </w:tc>
        <w:tc>
          <w:tcPr>
            <w:tcW w:w="0" w:type="dxa"/>
            <w:vAlign w:val="bottom"/>
          </w:tcPr>
          <w:p>
            <w:pPr>
              <w:spacing w:after="0"/>
              <w:rPr>
                <w:sz w:val="1"/>
                <w:szCs w:val="1"/>
                <w:color w:val="auto"/>
              </w:rPr>
            </w:pPr>
          </w:p>
        </w:tc>
      </w:tr>
      <w:tr>
        <w:trPr>
          <w:trHeight w:val="269"/>
        </w:trPr>
        <w:tc>
          <w:tcPr>
            <w:tcW w:w="560" w:type="dxa"/>
            <w:vAlign w:val="bottom"/>
          </w:tcPr>
          <w:p>
            <w:pPr>
              <w:jc w:val="center"/>
              <w:spacing w:after="0"/>
              <w:rPr>
                <w:sz w:val="20"/>
                <w:szCs w:val="20"/>
                <w:color w:val="auto"/>
              </w:rPr>
            </w:pPr>
            <w:r>
              <w:rPr>
                <w:rFonts w:ascii="Arial" w:cs="Arial" w:eastAsia="Arial" w:hAnsi="Arial"/>
                <w:sz w:val="20"/>
                <w:szCs w:val="20"/>
                <w:color w:val="auto"/>
                <w:w w:val="87"/>
              </w:rPr>
              <w:t>4.10</w:t>
            </w:r>
          </w:p>
        </w:tc>
        <w:tc>
          <w:tcPr>
            <w:tcW w:w="120" w:type="dxa"/>
            <w:vAlign w:val="bottom"/>
          </w:tcPr>
          <w:p>
            <w:pPr>
              <w:spacing w:after="0"/>
              <w:rPr>
                <w:sz w:val="23"/>
                <w:szCs w:val="23"/>
                <w:color w:val="auto"/>
              </w:rPr>
            </w:pPr>
          </w:p>
        </w:tc>
        <w:tc>
          <w:tcPr>
            <w:tcW w:w="9300" w:type="dxa"/>
            <w:vAlign w:val="bottom"/>
            <w:tcBorders>
              <w:bottom w:val="single" w:sz="8" w:color="auto"/>
            </w:tcBorders>
            <w:gridSpan w:val="30"/>
          </w:tcPr>
          <w:p>
            <w:pPr>
              <w:spacing w:after="0"/>
              <w:rPr>
                <w:sz w:val="20"/>
                <w:szCs w:val="20"/>
                <w:color w:val="auto"/>
              </w:rPr>
            </w:pPr>
            <w:r>
              <w:rPr>
                <w:rFonts w:ascii="Arial" w:cs="Arial" w:eastAsia="Arial" w:hAnsi="Arial"/>
                <w:sz w:val="20"/>
                <w:szCs w:val="20"/>
                <w:color w:val="auto"/>
                <w:w w:val="93"/>
              </w:rPr>
              <w:t>Supplemental Indenture, dated as of June 1, 2020, by and among Fidelity &amp; Guaranty Life Holdings, Inc., Fidelity</w:t>
            </w:r>
          </w:p>
        </w:tc>
        <w:tc>
          <w:tcPr>
            <w:tcW w:w="0" w:type="dxa"/>
            <w:vAlign w:val="bottom"/>
          </w:tcPr>
          <w:p>
            <w:pPr>
              <w:spacing w:after="0"/>
              <w:rPr>
                <w:sz w:val="1"/>
                <w:szCs w:val="1"/>
                <w:color w:val="auto"/>
              </w:rPr>
            </w:pPr>
          </w:p>
        </w:tc>
      </w:tr>
      <w:tr>
        <w:trPr>
          <w:trHeight w:val="176"/>
        </w:trPr>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300" w:type="dxa"/>
            <w:vAlign w:val="bottom"/>
            <w:tcBorders>
              <w:bottom w:val="single" w:sz="8" w:color="auto"/>
            </w:tcBorders>
            <w:gridSpan w:val="30"/>
          </w:tcPr>
          <w:p>
            <w:pPr>
              <w:spacing w:after="0" w:line="176" w:lineRule="exact"/>
              <w:rPr>
                <w:sz w:val="20"/>
                <w:szCs w:val="20"/>
                <w:color w:val="auto"/>
              </w:rPr>
            </w:pPr>
            <w:r>
              <w:rPr>
                <w:rFonts w:ascii="Arial" w:cs="Arial" w:eastAsia="Arial" w:hAnsi="Arial"/>
                <w:sz w:val="20"/>
                <w:szCs w:val="20"/>
                <w:color w:val="auto"/>
                <w:w w:val="90"/>
              </w:rPr>
              <w:t>National Financial, Inc., and Wells Fargo Bank, National Association, as trustee (incorporated by reference to Exhibit</w:t>
            </w:r>
          </w:p>
        </w:tc>
        <w:tc>
          <w:tcPr>
            <w:tcW w:w="0" w:type="dxa"/>
            <w:vAlign w:val="bottom"/>
          </w:tcPr>
          <w:p>
            <w:pPr>
              <w:spacing w:after="0"/>
              <w:rPr>
                <w:sz w:val="1"/>
                <w:szCs w:val="1"/>
                <w:color w:val="auto"/>
              </w:rPr>
            </w:pPr>
          </w:p>
        </w:tc>
      </w:tr>
      <w:tr>
        <w:trPr>
          <w:trHeight w:val="176"/>
        </w:trPr>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300" w:type="dxa"/>
            <w:vAlign w:val="bottom"/>
            <w:gridSpan w:val="30"/>
          </w:tcPr>
          <w:p>
            <w:pPr>
              <w:spacing w:after="0" w:line="176" w:lineRule="exact"/>
              <w:rPr>
                <w:sz w:val="20"/>
                <w:szCs w:val="20"/>
                <w:color w:val="auto"/>
              </w:rPr>
            </w:pPr>
            <w:r>
              <w:rPr>
                <w:rFonts w:ascii="Arial" w:cs="Arial" w:eastAsia="Arial" w:hAnsi="Arial"/>
                <w:sz w:val="20"/>
                <w:szCs w:val="20"/>
                <w:color w:val="auto"/>
              </w:rPr>
              <w:t>4.</w:t>
            </w:r>
            <w:r>
              <w:rPr>
                <w:rFonts w:ascii="Arial" w:cs="Arial" w:eastAsia="Arial" w:hAnsi="Arial"/>
                <w:sz w:val="20"/>
                <w:szCs w:val="20"/>
                <w:u w:val="single" w:color="auto"/>
                <w:color w:val="auto"/>
              </w:rPr>
              <w:t>1</w:t>
            </w:r>
            <w:r>
              <w:rPr>
                <w:rFonts w:ascii="Arial" w:cs="Arial" w:eastAsia="Arial" w:hAnsi="Arial"/>
                <w:sz w:val="20"/>
                <w:szCs w:val="20"/>
                <w:color w:val="auto"/>
              </w:rPr>
              <w:t xml:space="preserve"> to the Registrant's Current Report on Form 8-K filed on June 1, 2020).</w:t>
            </w: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0" w:type="dxa"/>
            <w:vAlign w:val="bottom"/>
            <w:gridSpan w:val="14"/>
            <w:shd w:val="clear" w:color="auto" w:fill="000000"/>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300" w:type="dxa"/>
            <w:vAlign w:val="bottom"/>
            <w:gridSpan w:val="1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9"/>
        </w:trPr>
        <w:tc>
          <w:tcPr>
            <w:tcW w:w="560" w:type="dxa"/>
            <w:vAlign w:val="bottom"/>
          </w:tcPr>
          <w:p>
            <w:pPr>
              <w:jc w:val="center"/>
              <w:spacing w:after="0"/>
              <w:rPr>
                <w:sz w:val="20"/>
                <w:szCs w:val="20"/>
                <w:color w:val="auto"/>
              </w:rPr>
            </w:pPr>
            <w:r>
              <w:rPr>
                <w:rFonts w:ascii="Arial" w:cs="Arial" w:eastAsia="Arial" w:hAnsi="Arial"/>
                <w:sz w:val="20"/>
                <w:szCs w:val="20"/>
                <w:color w:val="auto"/>
                <w:w w:val="87"/>
              </w:rPr>
              <w:t>4.11</w:t>
            </w:r>
          </w:p>
        </w:tc>
        <w:tc>
          <w:tcPr>
            <w:tcW w:w="120" w:type="dxa"/>
            <w:vAlign w:val="bottom"/>
          </w:tcPr>
          <w:p>
            <w:pPr>
              <w:spacing w:after="0"/>
              <w:rPr>
                <w:sz w:val="24"/>
                <w:szCs w:val="24"/>
                <w:color w:val="auto"/>
              </w:rPr>
            </w:pPr>
          </w:p>
        </w:tc>
        <w:tc>
          <w:tcPr>
            <w:tcW w:w="9000" w:type="dxa"/>
            <w:vAlign w:val="bottom"/>
            <w:tcBorders>
              <w:bottom w:val="single" w:sz="8" w:color="auto"/>
            </w:tcBorders>
            <w:gridSpan w:val="20"/>
          </w:tcPr>
          <w:p>
            <w:pPr>
              <w:spacing w:after="0"/>
              <w:rPr>
                <w:sz w:val="20"/>
                <w:szCs w:val="20"/>
                <w:color w:val="auto"/>
              </w:rPr>
            </w:pPr>
            <w:r>
              <w:rPr>
                <w:rFonts w:ascii="Arial" w:cs="Arial" w:eastAsia="Arial" w:hAnsi="Arial"/>
                <w:sz w:val="20"/>
                <w:szCs w:val="20"/>
                <w:color w:val="auto"/>
                <w:w w:val="90"/>
              </w:rPr>
              <w:t>Indenture, dated as of April 20, 2018, by and among Fidelity &amp; Guaranty Life Holdings, Inc., the guarantors party</w:t>
            </w:r>
          </w:p>
        </w:tc>
        <w:tc>
          <w:tcPr>
            <w:tcW w:w="300" w:type="dxa"/>
            <w:vAlign w:val="bottom"/>
            <w:gridSpan w:val="10"/>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700" w:type="dxa"/>
            <w:vAlign w:val="bottom"/>
            <w:tcBorders>
              <w:bottom w:val="single" w:sz="8" w:color="auto"/>
            </w:tcBorders>
            <w:gridSpan w:val="17"/>
          </w:tcPr>
          <w:p>
            <w:pPr>
              <w:spacing w:after="0" w:line="206" w:lineRule="exact"/>
              <w:rPr>
                <w:sz w:val="20"/>
                <w:szCs w:val="20"/>
                <w:color w:val="auto"/>
              </w:rPr>
            </w:pPr>
            <w:r>
              <w:rPr>
                <w:rFonts w:ascii="Arial" w:cs="Arial" w:eastAsia="Arial" w:hAnsi="Arial"/>
                <w:sz w:val="20"/>
                <w:szCs w:val="20"/>
                <w:color w:val="auto"/>
                <w:w w:val="89"/>
              </w:rPr>
              <w:t>thereto and Wells Fargo Bank, National Association, as trustee (incorporated by reference to Exhibit 4.1 to the</w:t>
            </w:r>
          </w:p>
        </w:tc>
        <w:tc>
          <w:tcPr>
            <w:tcW w:w="600" w:type="dxa"/>
            <w:vAlign w:val="bottom"/>
            <w:gridSpan w:val="13"/>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300" w:type="dxa"/>
            <w:vAlign w:val="bottom"/>
            <w:gridSpan w:val="30"/>
          </w:tcPr>
          <w:p>
            <w:pPr>
              <w:spacing w:after="0" w:line="206" w:lineRule="exact"/>
              <w:rPr>
                <w:sz w:val="20"/>
                <w:szCs w:val="20"/>
                <w:color w:val="auto"/>
              </w:rPr>
            </w:pPr>
            <w:r>
              <w:rPr>
                <w:rFonts w:ascii="Arial" w:cs="Arial" w:eastAsia="Arial" w:hAnsi="Arial"/>
                <w:sz w:val="20"/>
                <w:szCs w:val="20"/>
                <w:color w:val="auto"/>
              </w:rPr>
              <w:t>Current Report on Form 8-K filed by FGL Holdings (File No. 001-37779) on April 25, 2018).</w:t>
            </w: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40" w:type="dxa"/>
            <w:vAlign w:val="bottom"/>
            <w:tcBorders>
              <w:left w:val="single" w:sz="8" w:color="auto"/>
            </w:tcBorders>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94967257"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880" w:h="15480" w:orient="portrait"/>
          <w:cols w:equalWidth="0" w:num="1">
            <w:col w:w="9980"/>
          </w:cols>
          <w:pgMar w:left="980" w:top="772"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60"/>
        <w:spacing w:after="0"/>
        <w:rPr>
          <w:sz w:val="20"/>
          <w:szCs w:val="20"/>
          <w:color w:val="auto"/>
        </w:rPr>
      </w:pPr>
      <w:r>
        <w:rPr>
          <w:rFonts w:ascii="Arial" w:cs="Arial" w:eastAsia="Arial" w:hAnsi="Arial"/>
          <w:sz w:val="16"/>
          <w:szCs w:val="16"/>
          <w:color w:val="auto"/>
        </w:rPr>
        <w:t>194</w:t>
      </w:r>
    </w:p>
    <w:p>
      <w:pPr>
        <w:sectPr>
          <w:pgSz w:w="11880" w:h="15480" w:orient="portrait"/>
          <w:cols w:equalWidth="0" w:num="1">
            <w:col w:w="9980"/>
          </w:cols>
          <w:pgMar w:left="980" w:top="772" w:right="920" w:bottom="0" w:gutter="0" w:footer="0" w:header="0"/>
          <w:type w:val="continuous"/>
        </w:sectPr>
      </w:pPr>
    </w:p>
    <w:bookmarkStart w:id="206" w:name="page207"/>
    <w:bookmarkEnd w:id="206"/>
    <w:tbl>
      <w:tblPr>
        <w:tblLayout w:type="fixed"/>
        <w:tblInd w:w="0" w:type="dxa"/>
        <w:tblCellMar>
          <w:top w:w="0" w:type="dxa"/>
          <w:left w:w="0" w:type="dxa"/>
          <w:bottom w:w="0" w:type="dxa"/>
          <w:right w:w="0" w:type="dxa"/>
        </w:tblCellMar>
      </w:tblPr>
      <w:tr>
        <w:trPr>
          <w:trHeight w:val="184"/>
        </w:trPr>
        <w:tc>
          <w:tcPr>
            <w:tcW w:w="2680" w:type="dxa"/>
            <w:vAlign w:val="bottom"/>
          </w:tcPr>
          <w:p>
            <w:pPr>
              <w:jc w:val="center"/>
              <w:ind w:right="2042"/>
              <w:spacing w:after="0"/>
              <w:rPr>
                <w:sz w:val="20"/>
                <w:szCs w:val="20"/>
                <w:color w:val="auto"/>
              </w:rPr>
            </w:pPr>
            <w:r>
              <w:rPr>
                <w:rFonts w:ascii="Arial" w:cs="Arial" w:eastAsia="Arial" w:hAnsi="Arial"/>
                <w:sz w:val="16"/>
                <w:szCs w:val="16"/>
                <w:b w:val="1"/>
                <w:bCs w:val="1"/>
                <w:color w:val="auto"/>
                <w:w w:val="89"/>
              </w:rPr>
              <w:t>Exhibit</w:t>
            </w:r>
          </w:p>
        </w:tc>
        <w:tc>
          <w:tcPr>
            <w:tcW w:w="3100" w:type="dxa"/>
            <w:vAlign w:val="bottom"/>
            <w:vMerge w:val="restart"/>
          </w:tcPr>
          <w:p>
            <w:pPr>
              <w:ind w:left="2140"/>
              <w:spacing w:after="0"/>
              <w:rPr>
                <w:sz w:val="20"/>
                <w:szCs w:val="20"/>
                <w:color w:val="auto"/>
              </w:rPr>
            </w:pPr>
            <w:r>
              <w:rPr>
                <w:rFonts w:ascii="Arial" w:cs="Arial" w:eastAsia="Arial" w:hAnsi="Arial"/>
                <w:sz w:val="20"/>
                <w:szCs w:val="20"/>
                <w:b w:val="1"/>
                <w:bCs w:val="1"/>
                <w:u w:val="single" w:color="auto"/>
                <w:color w:val="auto"/>
                <w:w w:val="85"/>
              </w:rPr>
              <w:t>Description</w:t>
            </w:r>
          </w:p>
        </w:tc>
        <w:tc>
          <w:tcPr>
            <w:tcW w:w="0" w:type="dxa"/>
            <w:vAlign w:val="bottom"/>
          </w:tcPr>
          <w:p>
            <w:pPr>
              <w:spacing w:after="0"/>
              <w:rPr>
                <w:sz w:val="1"/>
                <w:szCs w:val="1"/>
                <w:color w:val="auto"/>
              </w:rPr>
            </w:pPr>
          </w:p>
        </w:tc>
      </w:tr>
      <w:tr>
        <w:trPr>
          <w:trHeight w:val="206"/>
        </w:trPr>
        <w:tc>
          <w:tcPr>
            <w:tcW w:w="2680" w:type="dxa"/>
            <w:vAlign w:val="bottom"/>
          </w:tcPr>
          <w:p>
            <w:pPr>
              <w:jc w:val="center"/>
              <w:ind w:right="2042"/>
              <w:spacing w:after="0"/>
              <w:rPr>
                <w:sz w:val="20"/>
                <w:szCs w:val="20"/>
                <w:color w:val="auto"/>
              </w:rPr>
            </w:pPr>
            <w:r>
              <w:rPr>
                <w:rFonts w:ascii="Arial" w:cs="Arial" w:eastAsia="Arial" w:hAnsi="Arial"/>
                <w:sz w:val="16"/>
                <w:szCs w:val="16"/>
                <w:b w:val="1"/>
                <w:bCs w:val="1"/>
                <w:u w:val="single" w:color="auto"/>
                <w:color w:val="auto"/>
                <w:w w:val="92"/>
              </w:rPr>
              <w:t>Number</w:t>
            </w:r>
          </w:p>
        </w:tc>
        <w:tc>
          <w:tcPr>
            <w:tcW w:w="31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jc w:val="both"/>
        <w:ind w:left="680" w:right="140" w:hanging="549"/>
        <w:spacing w:after="0" w:line="248" w:lineRule="auto"/>
        <w:tabs>
          <w:tab w:leader="none" w:pos="660" w:val="left"/>
        </w:tabs>
        <w:rPr>
          <w:sz w:val="20"/>
          <w:szCs w:val="20"/>
          <w:color w:val="auto"/>
        </w:rPr>
      </w:pPr>
      <w:r>
        <w:rPr>
          <w:rFonts w:ascii="Arial" w:cs="Arial" w:eastAsia="Arial" w:hAnsi="Arial"/>
          <w:sz w:val="20"/>
          <w:szCs w:val="20"/>
          <w:color w:val="auto"/>
        </w:rPr>
        <w:t>4.12</w:t>
      </w:r>
      <w:r>
        <w:rPr>
          <w:sz w:val="20"/>
          <w:szCs w:val="20"/>
          <w:color w:val="auto"/>
        </w:rPr>
        <w:tab/>
      </w:r>
      <w:r>
        <w:rPr>
          <w:rFonts w:ascii="Arial" w:cs="Arial" w:eastAsia="Arial" w:hAnsi="Arial"/>
          <w:sz w:val="20"/>
          <w:szCs w:val="20"/>
          <w:u w:val="single" w:color="auto"/>
          <w:color w:val="auto"/>
        </w:rPr>
        <w:t>Fifth Supplemental Indenture, dated as of June 12, 2020, between Fidelity National Financial, Inc. and The Bank of New York Mellon Trust Company, N.A. (incorporated by reference to Exhibit 4.1 to the Registrant's Current Report on Form 8-K filed on June 12, 2020).</w:t>
      </w:r>
    </w:p>
    <w:p>
      <w:pPr>
        <w:spacing w:after="0" w:line="37" w:lineRule="exact"/>
        <w:rPr>
          <w:sz w:val="20"/>
          <w:szCs w:val="20"/>
          <w:color w:val="auto"/>
        </w:rPr>
      </w:pPr>
    </w:p>
    <w:p>
      <w:pPr>
        <w:ind w:left="680" w:right="420" w:hanging="549"/>
        <w:spacing w:after="0" w:line="315" w:lineRule="auto"/>
        <w:tabs>
          <w:tab w:leader="none" w:pos="660" w:val="left"/>
        </w:tabs>
        <w:rPr>
          <w:sz w:val="20"/>
          <w:szCs w:val="20"/>
          <w:color w:val="auto"/>
        </w:rPr>
      </w:pPr>
      <w:r>
        <w:rPr>
          <w:rFonts w:ascii="Arial" w:cs="Arial" w:eastAsia="Arial" w:hAnsi="Arial"/>
          <w:sz w:val="20"/>
          <w:szCs w:val="20"/>
          <w:color w:val="auto"/>
        </w:rPr>
        <w:t>4.13</w:t>
      </w:r>
      <w:r>
        <w:rPr>
          <w:sz w:val="20"/>
          <w:szCs w:val="20"/>
          <w:color w:val="auto"/>
        </w:rPr>
        <w:tab/>
      </w:r>
      <w:r>
        <w:rPr>
          <w:rFonts w:ascii="Arial" w:cs="Arial" w:eastAsia="Arial" w:hAnsi="Arial"/>
          <w:sz w:val="17"/>
          <w:szCs w:val="17"/>
          <w:u w:val="single" w:color="auto"/>
          <w:color w:val="auto"/>
        </w:rPr>
        <w:t>Form of 3.40% Senior Note of the Registrant due 2030 (included in Exhibit 4.12 hereto which is incorporated by reference to Exhibit 4.1 to the Registrant's Current Report on Form 8-K filed on June 12, 2020)</w:t>
      </w:r>
    </w:p>
    <w:p>
      <w:pPr>
        <w:spacing w:after="0" w:line="1" w:lineRule="exact"/>
        <w:rPr>
          <w:sz w:val="20"/>
          <w:szCs w:val="20"/>
          <w:color w:val="auto"/>
        </w:rPr>
      </w:pPr>
    </w:p>
    <w:p>
      <w:pPr>
        <w:jc w:val="both"/>
        <w:ind w:left="680" w:hanging="549"/>
        <w:spacing w:after="0" w:line="224" w:lineRule="auto"/>
        <w:tabs>
          <w:tab w:leader="none" w:pos="660" w:val="left"/>
        </w:tabs>
        <w:rPr>
          <w:sz w:val="20"/>
          <w:szCs w:val="20"/>
          <w:color w:val="auto"/>
        </w:rPr>
      </w:pPr>
      <w:r>
        <w:rPr>
          <w:rFonts w:ascii="Arial" w:cs="Arial" w:eastAsia="Arial" w:hAnsi="Arial"/>
          <w:sz w:val="20"/>
          <w:szCs w:val="20"/>
          <w:color w:val="auto"/>
        </w:rPr>
        <w:t>4.14</w:t>
      </w:r>
      <w:r>
        <w:rPr>
          <w:sz w:val="20"/>
          <w:szCs w:val="20"/>
          <w:color w:val="auto"/>
        </w:rPr>
        <w:tab/>
      </w:r>
      <w:r>
        <w:rPr>
          <w:rFonts w:ascii="Arial" w:cs="Arial" w:eastAsia="Arial" w:hAnsi="Arial"/>
          <w:sz w:val="20"/>
          <w:szCs w:val="20"/>
          <w:u w:val="single" w:color="auto"/>
          <w:color w:val="auto"/>
        </w:rPr>
        <w:t>Sixth Supplemental Indenture, dated as of September 15, 2020, between Fidelity National Financial, Inc. and The Bank of New York Mellon Trust Company, N.A. (incorporated by reference to Exhibit 4.1 to the Registrant's Current Report on Form 8-K filed on September 15, 2020).</w:t>
      </w:r>
    </w:p>
    <w:p>
      <w:pPr>
        <w:spacing w:after="0" w:line="47" w:lineRule="exact"/>
        <w:rPr>
          <w:sz w:val="20"/>
          <w:szCs w:val="20"/>
          <w:color w:val="auto"/>
        </w:rPr>
      </w:pPr>
    </w:p>
    <w:p>
      <w:pPr>
        <w:jc w:val="both"/>
        <w:ind w:left="680" w:right="60" w:hanging="549"/>
        <w:spacing w:after="0" w:line="241" w:lineRule="auto"/>
        <w:tabs>
          <w:tab w:leader="none" w:pos="660" w:val="left"/>
        </w:tabs>
        <w:rPr>
          <w:sz w:val="20"/>
          <w:szCs w:val="20"/>
          <w:color w:val="auto"/>
        </w:rPr>
      </w:pPr>
      <w:r>
        <w:rPr>
          <w:rFonts w:ascii="Arial" w:cs="Arial" w:eastAsia="Arial" w:hAnsi="Arial"/>
          <w:sz w:val="20"/>
          <w:szCs w:val="20"/>
          <w:color w:val="auto"/>
        </w:rPr>
        <w:t>4.15</w:t>
      </w:r>
      <w:r>
        <w:rPr>
          <w:sz w:val="20"/>
          <w:szCs w:val="20"/>
          <w:color w:val="auto"/>
        </w:rPr>
        <w:tab/>
      </w:r>
      <w:r>
        <w:rPr>
          <w:rFonts w:ascii="Arial" w:cs="Arial" w:eastAsia="Arial" w:hAnsi="Arial"/>
          <w:sz w:val="20"/>
          <w:szCs w:val="20"/>
          <w:u w:val="single" w:color="auto"/>
          <w:color w:val="auto"/>
        </w:rPr>
        <w:t>Seventh Supplemental Indenture, dated as of September 17, 2021, between Fidelity National Financial, Inc. and The Bank of New York Mellon Trust Company, N.A. (incorporated by reference to Exhibit 4.1 to the Registrant's Current Report on Form 8-K filed on September 17, 2021)</w:t>
      </w:r>
    </w:p>
    <w:p>
      <w:pPr>
        <w:spacing w:after="0" w:line="189" w:lineRule="exact"/>
        <w:rPr>
          <w:sz w:val="20"/>
          <w:szCs w:val="20"/>
          <w:color w:val="auto"/>
        </w:rPr>
      </w:pPr>
    </w:p>
    <w:p>
      <w:pPr>
        <w:jc w:val="both"/>
        <w:ind w:left="680" w:right="100" w:hanging="549"/>
        <w:spacing w:after="0" w:line="241" w:lineRule="auto"/>
        <w:tabs>
          <w:tab w:leader="none" w:pos="660" w:val="left"/>
        </w:tabs>
        <w:rPr>
          <w:sz w:val="20"/>
          <w:szCs w:val="20"/>
          <w:color w:val="auto"/>
        </w:rPr>
      </w:pPr>
      <w:r>
        <w:rPr>
          <w:rFonts w:ascii="Arial" w:cs="Arial" w:eastAsia="Arial" w:hAnsi="Arial"/>
          <w:sz w:val="20"/>
          <w:szCs w:val="20"/>
          <w:color w:val="auto"/>
        </w:rPr>
        <w:t>4.16</w:t>
      </w:r>
      <w:r>
        <w:rPr>
          <w:sz w:val="20"/>
          <w:szCs w:val="20"/>
          <w:color w:val="auto"/>
        </w:rPr>
        <w:tab/>
      </w:r>
      <w:r>
        <w:rPr>
          <w:rFonts w:ascii="Arial" w:cs="Arial" w:eastAsia="Arial" w:hAnsi="Arial"/>
          <w:sz w:val="20"/>
          <w:szCs w:val="20"/>
          <w:u w:val="single" w:color="auto"/>
          <w:color w:val="auto"/>
        </w:rPr>
        <w:t>Eight Supplemental Indenture, dated as of April 22, 2024, between Fidelity National Financial, Inc. and The Bank of New York Mellon Trust Company, N.A. (incorporated by reference to Exhibit 4.1 to the Registrant's Current Report on 8-K filed on April 23, 2024)</w:t>
      </w:r>
    </w:p>
    <w:p>
      <w:pPr>
        <w:spacing w:after="0" w:line="27" w:lineRule="exact"/>
        <w:rPr>
          <w:sz w:val="20"/>
          <w:szCs w:val="20"/>
          <w:color w:val="auto"/>
        </w:rPr>
      </w:pPr>
    </w:p>
    <w:p>
      <w:pPr>
        <w:ind w:left="680" w:right="460" w:hanging="549"/>
        <w:spacing w:after="0" w:line="297" w:lineRule="auto"/>
        <w:tabs>
          <w:tab w:leader="none" w:pos="660" w:val="left"/>
        </w:tabs>
        <w:rPr>
          <w:sz w:val="20"/>
          <w:szCs w:val="20"/>
          <w:color w:val="auto"/>
        </w:rPr>
      </w:pPr>
      <w:r>
        <w:rPr>
          <w:rFonts w:ascii="Arial" w:cs="Arial" w:eastAsia="Arial" w:hAnsi="Arial"/>
          <w:sz w:val="20"/>
          <w:szCs w:val="20"/>
          <w:color w:val="auto"/>
        </w:rPr>
        <w:t>4.17</w:t>
      </w:r>
      <w:r>
        <w:rPr>
          <w:sz w:val="20"/>
          <w:szCs w:val="20"/>
          <w:color w:val="auto"/>
        </w:rPr>
        <w:tab/>
      </w:r>
      <w:r>
        <w:rPr>
          <w:rFonts w:ascii="Arial" w:cs="Arial" w:eastAsia="Arial" w:hAnsi="Arial"/>
          <w:sz w:val="17"/>
          <w:szCs w:val="17"/>
          <w:u w:val="single" w:color="auto"/>
          <w:color w:val="auto"/>
        </w:rPr>
        <w:t>Form of 3.20% Senior Note of the Registrant due 2051 (included in exhibit 4.16 hereto which is incorporated by reference to Exhibit 4.1 to the Registrant's Current Report on Form 8-K filed on September 17, 2021)</w:t>
      </w:r>
    </w:p>
    <w:p>
      <w:pPr>
        <w:spacing w:after="0" w:line="1" w:lineRule="exact"/>
        <w:rPr>
          <w:sz w:val="20"/>
          <w:szCs w:val="20"/>
          <w:color w:val="auto"/>
        </w:rPr>
      </w:pPr>
    </w:p>
    <w:p>
      <w:pPr>
        <w:jc w:val="both"/>
        <w:ind w:left="680" w:hanging="549"/>
        <w:spacing w:after="0" w:line="224" w:lineRule="auto"/>
        <w:tabs>
          <w:tab w:leader="none" w:pos="660" w:val="left"/>
        </w:tabs>
        <w:rPr>
          <w:sz w:val="20"/>
          <w:szCs w:val="20"/>
          <w:color w:val="auto"/>
        </w:rPr>
      </w:pPr>
      <w:r>
        <w:rPr>
          <w:rFonts w:ascii="Arial" w:cs="Arial" w:eastAsia="Arial" w:hAnsi="Arial"/>
          <w:sz w:val="20"/>
          <w:szCs w:val="20"/>
          <w:color w:val="auto"/>
        </w:rPr>
        <w:t>4.18</w:t>
      </w:r>
      <w:r>
        <w:rPr>
          <w:sz w:val="20"/>
          <w:szCs w:val="20"/>
          <w:color w:val="auto"/>
        </w:rPr>
        <w:tab/>
      </w:r>
      <w:r>
        <w:rPr>
          <w:rFonts w:ascii="Arial" w:cs="Arial" w:eastAsia="Arial" w:hAnsi="Arial"/>
          <w:sz w:val="20"/>
          <w:szCs w:val="20"/>
          <w:u w:val="single" w:color="auto"/>
          <w:color w:val="auto"/>
        </w:rPr>
        <w:t>Indenture, dated as of January 13, 2023, by and among F&amp;G Annuities &amp; Life, Inc., the guarantors named therein and Citibank, N.A. (incorporated by reference to Exhibit 4.1 to the Registrant's Current Report on Form 8-K filed on January 13, 2023)</w:t>
      </w:r>
    </w:p>
    <w:p>
      <w:pPr>
        <w:spacing w:after="0" w:line="62" w:lineRule="exact"/>
        <w:rPr>
          <w:sz w:val="20"/>
          <w:szCs w:val="20"/>
          <w:color w:val="auto"/>
        </w:rPr>
      </w:pPr>
    </w:p>
    <w:p>
      <w:pPr>
        <w:jc w:val="both"/>
        <w:ind w:left="680" w:hanging="549"/>
        <w:spacing w:after="0" w:line="224" w:lineRule="auto"/>
        <w:tabs>
          <w:tab w:leader="none" w:pos="660" w:val="left"/>
        </w:tabs>
        <w:rPr>
          <w:sz w:val="20"/>
          <w:szCs w:val="20"/>
          <w:color w:val="auto"/>
        </w:rPr>
      </w:pPr>
      <w:r>
        <w:rPr>
          <w:rFonts w:ascii="Arial" w:cs="Arial" w:eastAsia="Arial" w:hAnsi="Arial"/>
          <w:sz w:val="20"/>
          <w:szCs w:val="20"/>
          <w:color w:val="auto"/>
        </w:rPr>
        <w:t>4.19</w:t>
      </w:r>
      <w:r>
        <w:rPr>
          <w:sz w:val="20"/>
          <w:szCs w:val="20"/>
          <w:color w:val="auto"/>
        </w:rPr>
        <w:tab/>
      </w:r>
      <w:r>
        <w:rPr>
          <w:rFonts w:ascii="Arial" w:cs="Arial" w:eastAsia="Arial" w:hAnsi="Arial"/>
          <w:sz w:val="20"/>
          <w:szCs w:val="20"/>
          <w:u w:val="single" w:color="auto"/>
          <w:color w:val="auto"/>
        </w:rPr>
        <w:t>First Supplemental Indenture, dated as of January 13, 2023, among F&amp;G Annuities &amp; Life, Inc., the guarantors named therein and Citibank, N.A. (incorporated by reference to Exhibit 4.2 to the Registrant's Current Report on Form 8-K filed on January 13, 2023)</w:t>
      </w:r>
    </w:p>
    <w:p>
      <w:pPr>
        <w:spacing w:after="0" w:line="76" w:lineRule="exact"/>
        <w:rPr>
          <w:sz w:val="20"/>
          <w:szCs w:val="20"/>
          <w:color w:val="auto"/>
        </w:rPr>
      </w:pPr>
    </w:p>
    <w:p>
      <w:pPr>
        <w:jc w:val="both"/>
        <w:ind w:left="680" w:hanging="549"/>
        <w:spacing w:after="0" w:line="313" w:lineRule="auto"/>
        <w:tabs>
          <w:tab w:leader="none" w:pos="660" w:val="left"/>
        </w:tabs>
        <w:rPr>
          <w:sz w:val="20"/>
          <w:szCs w:val="20"/>
          <w:color w:val="auto"/>
        </w:rPr>
      </w:pPr>
      <w:r>
        <w:rPr>
          <w:rFonts w:ascii="Arial" w:cs="Arial" w:eastAsia="Arial" w:hAnsi="Arial"/>
          <w:sz w:val="20"/>
          <w:szCs w:val="20"/>
          <w:color w:val="auto"/>
        </w:rPr>
        <w:t>4.20</w:t>
      </w:r>
      <w:r>
        <w:rPr>
          <w:sz w:val="20"/>
          <w:szCs w:val="20"/>
          <w:color w:val="auto"/>
        </w:rPr>
        <w:tab/>
      </w:r>
      <w:r>
        <w:rPr>
          <w:rFonts w:ascii="Arial" w:cs="Arial" w:eastAsia="Arial" w:hAnsi="Arial"/>
          <w:sz w:val="17"/>
          <w:szCs w:val="17"/>
          <w:u w:val="single" w:color="auto"/>
          <w:color w:val="auto"/>
        </w:rPr>
        <w:t>Form of F&amp;G Annuities &amp; Life, Inc’s 7.400% Senior Notes due 2028 (included in Exhibit 4.18 hereto which is incorporated by reference to Exhibit 4.2 to the Registrant's Current Report on Form 8-K filed on January 13, 2023)</w:t>
      </w:r>
    </w:p>
    <w:p>
      <w:pPr>
        <w:spacing w:after="0" w:line="63" w:lineRule="exact"/>
        <w:rPr>
          <w:sz w:val="20"/>
          <w:szCs w:val="20"/>
          <w:color w:val="auto"/>
        </w:rPr>
      </w:pPr>
    </w:p>
    <w:p>
      <w:pPr>
        <w:jc w:val="both"/>
        <w:ind w:left="680" w:hanging="549"/>
        <w:spacing w:after="0" w:line="276" w:lineRule="auto"/>
        <w:tabs>
          <w:tab w:leader="none" w:pos="660" w:val="left"/>
        </w:tabs>
        <w:rPr>
          <w:sz w:val="20"/>
          <w:szCs w:val="20"/>
          <w:color w:val="auto"/>
        </w:rPr>
      </w:pPr>
      <w:r>
        <w:rPr>
          <w:rFonts w:ascii="Arial" w:cs="Arial" w:eastAsia="Arial" w:hAnsi="Arial"/>
          <w:sz w:val="20"/>
          <w:szCs w:val="20"/>
          <w:color w:val="auto"/>
        </w:rPr>
        <w:t>4.21</w:t>
      </w:r>
      <w:r>
        <w:rPr>
          <w:sz w:val="20"/>
          <w:szCs w:val="20"/>
          <w:color w:val="auto"/>
        </w:rPr>
        <w:tab/>
      </w:r>
      <w:r>
        <w:rPr>
          <w:rFonts w:ascii="Arial" w:cs="Arial" w:eastAsia="Arial" w:hAnsi="Arial"/>
          <w:sz w:val="17"/>
          <w:szCs w:val="17"/>
          <w:u w:val="single" w:color="auto"/>
          <w:color w:val="auto"/>
        </w:rPr>
        <w:t>Third Supplemental Indenture relating to the 7.950% Senior Notes due 2053, dated as of December 6, 2023, among F&amp;G Annuities &amp; Life, Inc., the guarantors named therein and Citibank, N.A., as trustee (incorporated by reference to the Company’s Current Report on Form 8-K, filed with the Commission on December 6, 2023)</w:t>
      </w:r>
      <w:r>
        <w:rPr>
          <w:rFonts w:ascii="Arial" w:cs="Arial" w:eastAsia="Arial" w:hAnsi="Arial"/>
          <w:sz w:val="17"/>
          <w:szCs w:val="17"/>
          <w:color w:val="auto"/>
        </w:rPr>
        <w:t>.</w:t>
      </w:r>
    </w:p>
    <w:p>
      <w:pPr>
        <w:spacing w:after="0" w:line="17" w:lineRule="exact"/>
        <w:rPr>
          <w:sz w:val="20"/>
          <w:szCs w:val="20"/>
          <w:color w:val="auto"/>
        </w:rPr>
      </w:pPr>
    </w:p>
    <w:p>
      <w:pPr>
        <w:jc w:val="both"/>
        <w:ind w:left="680" w:hanging="549"/>
        <w:spacing w:after="0" w:line="276" w:lineRule="auto"/>
        <w:tabs>
          <w:tab w:leader="none" w:pos="660" w:val="left"/>
        </w:tabs>
        <w:rPr>
          <w:sz w:val="20"/>
          <w:szCs w:val="20"/>
          <w:color w:val="auto"/>
        </w:rPr>
      </w:pPr>
      <w:r>
        <w:rPr>
          <w:rFonts w:ascii="Arial" w:cs="Arial" w:eastAsia="Arial" w:hAnsi="Arial"/>
          <w:sz w:val="20"/>
          <w:szCs w:val="20"/>
          <w:color w:val="auto"/>
        </w:rPr>
        <w:t>4.22</w:t>
      </w:r>
      <w:r>
        <w:rPr>
          <w:sz w:val="20"/>
          <w:szCs w:val="20"/>
          <w:color w:val="auto"/>
        </w:rPr>
        <w:tab/>
      </w:r>
      <w:r>
        <w:rPr>
          <w:rFonts w:ascii="Arial" w:cs="Arial" w:eastAsia="Arial" w:hAnsi="Arial"/>
          <w:sz w:val="17"/>
          <w:szCs w:val="17"/>
          <w:u w:val="single" w:color="auto"/>
          <w:color w:val="auto"/>
        </w:rPr>
        <w:t>Fourth Supplemental Indenture relating to F&amp;G Annuities &amp; Life, Inc.’s 6.500% senior notes due 2029, dated as of June 4, 2024, among F&amp;G Annuities &amp; Life, Inc., the guarantors named therein and Citibank, N.A., as trustee. (incorporated by reference to Exhibit 4.1 to the Registrant's Current Report on Form 8-K filed on June 4, 2024).</w:t>
      </w:r>
    </w:p>
    <w:p>
      <w:pPr>
        <w:spacing w:after="0" w:line="17" w:lineRule="exact"/>
        <w:rPr>
          <w:sz w:val="20"/>
          <w:szCs w:val="20"/>
          <w:color w:val="auto"/>
        </w:rPr>
      </w:pPr>
    </w:p>
    <w:p>
      <w:pPr>
        <w:jc w:val="both"/>
        <w:ind w:left="680" w:hanging="549"/>
        <w:spacing w:after="0" w:line="276" w:lineRule="auto"/>
        <w:tabs>
          <w:tab w:leader="none" w:pos="660" w:val="left"/>
        </w:tabs>
        <w:rPr>
          <w:sz w:val="20"/>
          <w:szCs w:val="20"/>
          <w:color w:val="auto"/>
        </w:rPr>
      </w:pPr>
      <w:r>
        <w:rPr>
          <w:rFonts w:ascii="Arial" w:cs="Arial" w:eastAsia="Arial" w:hAnsi="Arial"/>
          <w:sz w:val="20"/>
          <w:szCs w:val="20"/>
          <w:color w:val="auto"/>
        </w:rPr>
        <w:t>4.23</w:t>
      </w:r>
      <w:r>
        <w:rPr>
          <w:sz w:val="20"/>
          <w:szCs w:val="20"/>
          <w:color w:val="auto"/>
        </w:rPr>
        <w:tab/>
      </w:r>
      <w:r>
        <w:rPr>
          <w:rFonts w:ascii="Arial" w:cs="Arial" w:eastAsia="Arial" w:hAnsi="Arial"/>
          <w:sz w:val="17"/>
          <w:szCs w:val="17"/>
          <w:u w:val="single" w:color="auto"/>
          <w:color w:val="auto"/>
        </w:rPr>
        <w:t>Fifth Supplemental Indenture relating to F&amp;G Annuities &amp; Life, Inc.’s 6.250% senior notes due 2034, dated as of October 4, 2024, among F&amp;G Annuities &amp; Life, Inc., the guarantors named therein and Citibank, N.A., as trustee (incorporated by reference to Exhibit 4.1 to Registrant's Current Report on Form 8-K filed on October 4, 2024).</w:t>
      </w:r>
    </w:p>
    <w:p>
      <w:pPr>
        <w:spacing w:after="0" w:line="17" w:lineRule="exact"/>
        <w:rPr>
          <w:sz w:val="20"/>
          <w:szCs w:val="20"/>
          <w:color w:val="auto"/>
        </w:rPr>
      </w:pPr>
    </w:p>
    <w:p>
      <w:pPr>
        <w:jc w:val="both"/>
        <w:ind w:left="680" w:hanging="549"/>
        <w:spacing w:after="0" w:line="235" w:lineRule="auto"/>
        <w:tabs>
          <w:tab w:leader="none" w:pos="660" w:val="left"/>
        </w:tabs>
        <w:rPr>
          <w:sz w:val="20"/>
          <w:szCs w:val="20"/>
          <w:color w:val="auto"/>
        </w:rPr>
      </w:pPr>
      <w:r>
        <w:rPr>
          <w:rFonts w:ascii="Arial" w:cs="Arial" w:eastAsia="Arial" w:hAnsi="Arial"/>
          <w:sz w:val="20"/>
          <w:szCs w:val="20"/>
          <w:color w:val="auto"/>
        </w:rPr>
        <w:t>4.24</w:t>
      </w:r>
      <w:r>
        <w:rPr>
          <w:sz w:val="20"/>
          <w:szCs w:val="20"/>
          <w:color w:val="auto"/>
        </w:rPr>
        <w:tab/>
      </w:r>
      <w:r>
        <w:rPr>
          <w:rFonts w:ascii="Arial" w:cs="Arial" w:eastAsia="Arial" w:hAnsi="Arial"/>
          <w:sz w:val="20"/>
          <w:szCs w:val="20"/>
          <w:u w:val="single" w:color="auto"/>
          <w:color w:val="auto"/>
        </w:rPr>
        <w:t>Form of F&amp;G Annuities &amp; Life, Inc.’s 6.250% senior notes due 2034 (incorporated by reference to Exhibit 4.2 to Registrant's Current Report on Form 8-K filed on October 4, 2024).</w:t>
      </w:r>
    </w:p>
    <w:p>
      <w:pPr>
        <w:spacing w:after="0" w:line="35" w:lineRule="exact"/>
        <w:rPr>
          <w:sz w:val="20"/>
          <w:szCs w:val="20"/>
          <w:color w:val="auto"/>
        </w:rPr>
      </w:pPr>
    </w:p>
    <w:p>
      <w:pPr>
        <w:jc w:val="both"/>
        <w:ind w:left="680" w:hanging="549"/>
        <w:spacing w:after="0" w:line="235" w:lineRule="auto"/>
        <w:tabs>
          <w:tab w:leader="none" w:pos="660" w:val="left"/>
        </w:tabs>
        <w:rPr>
          <w:sz w:val="20"/>
          <w:szCs w:val="20"/>
          <w:color w:val="auto"/>
        </w:rPr>
      </w:pPr>
      <w:r>
        <w:rPr>
          <w:rFonts w:ascii="Arial" w:cs="Arial" w:eastAsia="Arial" w:hAnsi="Arial"/>
          <w:sz w:val="20"/>
          <w:szCs w:val="20"/>
          <w:color w:val="auto"/>
        </w:rPr>
        <w:t>4.25</w:t>
      </w:r>
      <w:r>
        <w:rPr>
          <w:sz w:val="20"/>
          <w:szCs w:val="20"/>
          <w:color w:val="auto"/>
        </w:rPr>
        <w:tab/>
      </w:r>
      <w:r>
        <w:rPr>
          <w:rFonts w:ascii="Arial" w:cs="Arial" w:eastAsia="Arial" w:hAnsi="Arial"/>
          <w:sz w:val="20"/>
          <w:szCs w:val="20"/>
          <w:u w:val="single" w:color="auto"/>
          <w:color w:val="auto"/>
        </w:rPr>
        <w:t>Form of F&amp;G Annuities &amp; Life, Inc.’s 6.500% senior notes due 2029 (incorporated by reference to Exhibit 4.2 to Registrant's Current Report on Form 8-K filed on June 4, 2024).</w:t>
      </w:r>
    </w:p>
    <w:p>
      <w:pPr>
        <w:spacing w:after="0" w:line="35" w:lineRule="exact"/>
        <w:rPr>
          <w:sz w:val="20"/>
          <w:szCs w:val="20"/>
          <w:color w:val="auto"/>
        </w:rPr>
      </w:pPr>
    </w:p>
    <w:p>
      <w:pPr>
        <w:jc w:val="both"/>
        <w:ind w:left="680" w:hanging="549"/>
        <w:spacing w:after="0" w:line="219" w:lineRule="auto"/>
        <w:tabs>
          <w:tab w:leader="none" w:pos="660" w:val="left"/>
        </w:tabs>
        <w:rPr>
          <w:sz w:val="20"/>
          <w:szCs w:val="20"/>
          <w:color w:val="auto"/>
        </w:rPr>
      </w:pPr>
      <w:r>
        <w:rPr>
          <w:rFonts w:ascii="Arial" w:cs="Arial" w:eastAsia="Arial" w:hAnsi="Arial"/>
          <w:sz w:val="20"/>
          <w:szCs w:val="20"/>
          <w:color w:val="auto"/>
        </w:rPr>
        <w:t>4.26</w:t>
      </w:r>
      <w:r>
        <w:rPr>
          <w:sz w:val="20"/>
          <w:szCs w:val="20"/>
          <w:color w:val="auto"/>
        </w:rPr>
        <w:tab/>
      </w:r>
      <w:r>
        <w:rPr>
          <w:rFonts w:ascii="Arial" w:cs="Arial" w:eastAsia="Arial" w:hAnsi="Arial"/>
          <w:sz w:val="20"/>
          <w:szCs w:val="20"/>
          <w:u w:val="single" w:color="auto"/>
          <w:color w:val="auto"/>
        </w:rPr>
        <w:t>Underwriting Agreement, dated as of October 1, 2024, among F&amp;G Annuities &amp; Life, Inc., the guarantors party thereto and Wells Fargo Securities, LLC, BofA Securities, Inc., J.P. Morgan Securities LLC and RBC Capital Markets, LLC, as representatives of the several underwriters named therein. (incorporated by reference to Exhibit 1.1 to the Registrant's Current Report on Form 8-K filed on October 4, 2024).</w:t>
      </w:r>
    </w:p>
    <w:p>
      <w:pPr>
        <w:spacing w:after="0" w:line="31" w:lineRule="exact"/>
        <w:rPr>
          <w:sz w:val="20"/>
          <w:szCs w:val="20"/>
          <w:color w:val="auto"/>
        </w:rPr>
      </w:pPr>
    </w:p>
    <w:p>
      <w:pPr>
        <w:ind w:left="120"/>
        <w:spacing w:after="0"/>
        <w:tabs>
          <w:tab w:leader="none" w:pos="660" w:val="left"/>
        </w:tabs>
        <w:rPr>
          <w:sz w:val="20"/>
          <w:szCs w:val="20"/>
          <w:color w:val="auto"/>
        </w:rPr>
      </w:pPr>
      <w:r>
        <w:rPr>
          <w:rFonts w:ascii="Arial" w:cs="Arial" w:eastAsia="Arial" w:hAnsi="Arial"/>
          <w:sz w:val="20"/>
          <w:szCs w:val="20"/>
          <w:color w:val="auto"/>
        </w:rPr>
        <w:t>4.27</w:t>
      </w:r>
      <w:r>
        <w:rPr>
          <w:sz w:val="20"/>
          <w:szCs w:val="20"/>
          <w:color w:val="auto"/>
        </w:rPr>
        <w:tab/>
      </w:r>
      <w:r>
        <w:rPr>
          <w:rFonts w:ascii="Arial" w:cs="Arial" w:eastAsia="Arial" w:hAnsi="Arial"/>
          <w:sz w:val="19"/>
          <w:szCs w:val="19"/>
          <w:u w:val="single" w:color="auto"/>
          <w:color w:val="auto"/>
        </w:rPr>
        <w:t>Indenture, dated as of January 13, 2025, between F&amp;G Annuities &amp; Life, Inc. and Citibank, N.A., as trustee.</w:t>
      </w:r>
    </w:p>
    <w:p>
      <w:pPr>
        <w:ind w:left="680"/>
        <w:spacing w:after="0"/>
        <w:rPr>
          <w:sz w:val="20"/>
          <w:szCs w:val="20"/>
          <w:color w:val="auto"/>
        </w:rPr>
      </w:pPr>
      <w:r>
        <w:rPr>
          <w:rFonts w:ascii="Arial" w:cs="Arial" w:eastAsia="Arial" w:hAnsi="Arial"/>
          <w:sz w:val="17"/>
          <w:szCs w:val="17"/>
          <w:u w:val="single" w:color="auto"/>
          <w:color w:val="auto"/>
        </w:rPr>
        <w:t>(incorporated by reference to Exhibit 4.1 to the Registrant's Current Report on Form 8-K filed on January 13, 2025).</w:t>
      </w:r>
    </w:p>
    <w:p>
      <w:pPr>
        <w:spacing w:after="0" w:line="72" w:lineRule="exact"/>
        <w:rPr>
          <w:sz w:val="20"/>
          <w:szCs w:val="20"/>
          <w:color w:val="auto"/>
        </w:rPr>
      </w:pPr>
    </w:p>
    <w:p>
      <w:pPr>
        <w:jc w:val="both"/>
        <w:ind w:left="680" w:hanging="549"/>
        <w:spacing w:after="0" w:line="276" w:lineRule="auto"/>
        <w:tabs>
          <w:tab w:leader="none" w:pos="660" w:val="left"/>
        </w:tabs>
        <w:rPr>
          <w:sz w:val="20"/>
          <w:szCs w:val="20"/>
          <w:color w:val="auto"/>
        </w:rPr>
      </w:pPr>
      <w:r>
        <w:rPr>
          <w:rFonts w:ascii="Arial" w:cs="Arial" w:eastAsia="Arial" w:hAnsi="Arial"/>
          <w:sz w:val="20"/>
          <w:szCs w:val="20"/>
          <w:color w:val="auto"/>
        </w:rPr>
        <w:t>4.28</w:t>
      </w:r>
      <w:r>
        <w:rPr>
          <w:sz w:val="20"/>
          <w:szCs w:val="20"/>
          <w:color w:val="auto"/>
        </w:rPr>
        <w:tab/>
      </w:r>
      <w:r>
        <w:rPr>
          <w:rFonts w:ascii="Arial" w:cs="Arial" w:eastAsia="Arial" w:hAnsi="Arial"/>
          <w:sz w:val="17"/>
          <w:szCs w:val="17"/>
          <w:u w:val="single" w:color="auto"/>
          <w:color w:val="auto"/>
        </w:rPr>
        <w:t>First Supplemental Indenture relating to F&amp;G Annuities &amp; Life, Inc.’s 7.300% junior subordinated notes due 2065, dated as of January 13, 2025, between F&amp;G Annuities &amp; Life, Inc. and Citibank, N.A., as trustee (incorporated by reference to Exhibit 4.2 to the Registrant's Current Report on Form 8-K filed on January 13, 2025).</w:t>
      </w:r>
    </w:p>
    <w:p>
      <w:pPr>
        <w:spacing w:after="0" w:line="17" w:lineRule="exact"/>
        <w:rPr>
          <w:sz w:val="20"/>
          <w:szCs w:val="20"/>
          <w:color w:val="auto"/>
        </w:rPr>
      </w:pPr>
    </w:p>
    <w:p>
      <w:pPr>
        <w:jc w:val="both"/>
        <w:ind w:left="680" w:hanging="549"/>
        <w:spacing w:after="0" w:line="235" w:lineRule="auto"/>
        <w:tabs>
          <w:tab w:leader="none" w:pos="660" w:val="left"/>
        </w:tabs>
        <w:rPr>
          <w:sz w:val="20"/>
          <w:szCs w:val="20"/>
          <w:color w:val="auto"/>
        </w:rPr>
      </w:pPr>
      <w:r>
        <w:rPr>
          <w:rFonts w:ascii="Arial" w:cs="Arial" w:eastAsia="Arial" w:hAnsi="Arial"/>
          <w:sz w:val="20"/>
          <w:szCs w:val="20"/>
          <w:color w:val="auto"/>
        </w:rPr>
        <w:t>4.29</w:t>
      </w:r>
      <w:r>
        <w:rPr>
          <w:sz w:val="20"/>
          <w:szCs w:val="20"/>
          <w:color w:val="auto"/>
        </w:rPr>
        <w:tab/>
      </w:r>
      <w:r>
        <w:rPr>
          <w:rFonts w:ascii="Arial" w:cs="Arial" w:eastAsia="Arial" w:hAnsi="Arial"/>
          <w:sz w:val="20"/>
          <w:szCs w:val="20"/>
          <w:u w:val="single" w:color="auto"/>
          <w:color w:val="auto"/>
        </w:rPr>
        <w:t>Form of F&amp;G Annuities &amp; Life, Inc.’s 7.300% junior subordinated notes due 2065 (incorporated by reference to Exhibit 4.2 to the Registrant's Current Report on Form 8-K filed on January 13, 2025).</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20"/>
          <w:szCs w:val="20"/>
          <w:color w:val="auto"/>
        </w:rPr>
        <w:t>4.30</w:t>
      </w:r>
    </w:p>
    <w:p>
      <w:pPr>
        <w:ind w:left="680"/>
        <w:spacing w:after="0" w:line="223" w:lineRule="auto"/>
        <w:rPr>
          <w:sz w:val="20"/>
          <w:szCs w:val="20"/>
          <w:color w:val="auto"/>
        </w:rPr>
      </w:pPr>
      <w:r>
        <w:rPr>
          <w:rFonts w:ascii="Arial" w:cs="Arial" w:eastAsia="Arial" w:hAnsi="Arial"/>
          <w:sz w:val="20"/>
          <w:szCs w:val="20"/>
          <w:u w:val="single" w:color="auto"/>
          <w:color w:val="auto"/>
        </w:rPr>
        <w:t>Ninth Supplemental Indenture, dated as of June 4, 2025 (incorporated by reference to Exhibit No. 4.1 to the Company’s Current Report on Form 8-K filed with the Commission on June 4, 2025).</w:t>
      </w:r>
    </w:p>
    <w:p>
      <w:pPr>
        <w:spacing w:after="0" w:line="46" w:lineRule="exact"/>
        <w:rPr>
          <w:sz w:val="20"/>
          <w:szCs w:val="20"/>
          <w:color w:val="auto"/>
        </w:rPr>
      </w:pPr>
    </w:p>
    <w:p>
      <w:pPr>
        <w:ind w:left="680" w:hanging="549"/>
        <w:spacing w:after="0" w:line="235" w:lineRule="auto"/>
        <w:tabs>
          <w:tab w:leader="none" w:pos="660" w:val="left"/>
        </w:tabs>
        <w:rPr>
          <w:sz w:val="20"/>
          <w:szCs w:val="20"/>
          <w:color w:val="auto"/>
        </w:rPr>
      </w:pPr>
      <w:r>
        <w:rPr>
          <w:rFonts w:ascii="Arial" w:cs="Arial" w:eastAsia="Arial" w:hAnsi="Arial"/>
          <w:sz w:val="20"/>
          <w:szCs w:val="20"/>
          <w:color w:val="auto"/>
        </w:rPr>
        <w:t>10.1</w:t>
      </w:r>
      <w:r>
        <w:rPr>
          <w:sz w:val="20"/>
          <w:szCs w:val="20"/>
          <w:color w:val="auto"/>
        </w:rPr>
        <w:tab/>
      </w:r>
      <w:r>
        <w:rPr>
          <w:rFonts w:ascii="Arial" w:cs="Arial" w:eastAsia="Arial" w:hAnsi="Arial"/>
          <w:sz w:val="20"/>
          <w:szCs w:val="20"/>
          <w:u w:val="single" w:color="auto"/>
          <w:color w:val="auto"/>
        </w:rPr>
        <w:t>Amended and Restated Fidelity National Financial, Inc. 2005 Omnibus Incentive Plan (incorporated by reference to Annex A to the Registrant’s Schedule 14A filed on April 29, 2016) (1)</w:t>
      </w:r>
    </w:p>
    <w:p>
      <w:pPr>
        <w:sectPr>
          <w:pgSz w:w="11880" w:h="15480" w:orient="portrait"/>
          <w:cols w:equalWidth="0" w:num="1">
            <w:col w:w="9940"/>
          </w:cols>
          <w:pgMar w:left="980" w:top="841"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195</w:t>
      </w:r>
    </w:p>
    <w:p>
      <w:pPr>
        <w:sectPr>
          <w:pgSz w:w="11880" w:h="15480" w:orient="portrait"/>
          <w:cols w:equalWidth="0" w:num="1">
            <w:col w:w="9940"/>
          </w:cols>
          <w:pgMar w:left="980" w:top="841" w:right="960" w:bottom="0" w:gutter="0" w:footer="0" w:header="0"/>
          <w:type w:val="continuous"/>
        </w:sectPr>
      </w:pPr>
    </w:p>
    <w:bookmarkStart w:id="207" w:name="page208"/>
    <w:bookmarkEnd w:id="207"/>
    <w:p>
      <w:pPr>
        <w:jc w:val="both"/>
        <w:ind w:left="600" w:hanging="549"/>
        <w:spacing w:after="0" w:line="255" w:lineRule="auto"/>
        <w:tabs>
          <w:tab w:leader="none" w:pos="580" w:val="left"/>
        </w:tabs>
        <w:rPr>
          <w:sz w:val="20"/>
          <w:szCs w:val="20"/>
          <w:color w:val="auto"/>
        </w:rPr>
      </w:pPr>
      <w:r>
        <w:rPr>
          <w:rFonts w:ascii="Arial" w:cs="Arial" w:eastAsia="Arial" w:hAnsi="Arial"/>
          <w:sz w:val="20"/>
          <w:szCs w:val="20"/>
          <w:color w:val="auto"/>
        </w:rPr>
        <w:t>10.2</w:t>
      </w:r>
      <w:r>
        <w:rPr>
          <w:sz w:val="20"/>
          <w:szCs w:val="20"/>
          <w:color w:val="auto"/>
        </w:rPr>
        <w:tab/>
      </w:r>
      <w:r>
        <w:rPr>
          <w:rFonts w:ascii="Arial" w:cs="Arial" w:eastAsia="Arial" w:hAnsi="Arial"/>
          <w:sz w:val="19"/>
          <w:szCs w:val="19"/>
          <w:u w:val="single" w:color="auto"/>
          <w:color w:val="auto"/>
        </w:rPr>
        <w:t>Fidelity National Financial, Inc. Amended and Restated 2013 Employee Stock Purchase Plan (incorporated by reference to Exhibit 99.1 to the Registrant's Registration Statement on Form S-8 filed on August 19, 2022) (1)</w:t>
      </w:r>
    </w:p>
    <w:p>
      <w:pPr>
        <w:spacing w:after="0" w:line="21" w:lineRule="exact"/>
        <w:rPr>
          <w:sz w:val="20"/>
          <w:szCs w:val="20"/>
          <w:color w:val="auto"/>
        </w:rPr>
      </w:pPr>
    </w:p>
    <w:p>
      <w:pPr>
        <w:jc w:val="both"/>
        <w:ind w:left="600" w:hanging="549"/>
        <w:spacing w:after="0" w:line="235" w:lineRule="auto"/>
        <w:tabs>
          <w:tab w:leader="none" w:pos="580" w:val="left"/>
        </w:tabs>
        <w:rPr>
          <w:sz w:val="20"/>
          <w:szCs w:val="20"/>
          <w:color w:val="auto"/>
        </w:rPr>
      </w:pPr>
      <w:r>
        <w:rPr>
          <w:rFonts w:ascii="Arial" w:cs="Arial" w:eastAsia="Arial" w:hAnsi="Arial"/>
          <w:sz w:val="20"/>
          <w:szCs w:val="20"/>
          <w:color w:val="auto"/>
        </w:rPr>
        <w:t>10.3</w:t>
      </w:r>
      <w:r>
        <w:rPr>
          <w:sz w:val="20"/>
          <w:szCs w:val="20"/>
          <w:color w:val="auto"/>
        </w:rPr>
        <w:tab/>
      </w:r>
      <w:r>
        <w:rPr>
          <w:rFonts w:ascii="Arial" w:cs="Arial" w:eastAsia="Arial" w:hAnsi="Arial"/>
          <w:sz w:val="20"/>
          <w:szCs w:val="20"/>
          <w:u w:val="single" w:color="auto"/>
          <w:color w:val="auto"/>
        </w:rPr>
        <w:t>Fidelity National Financial, Inc. Annual Incentive Plan (incorporated by reference to Annex B to the Registrant's Schedule 14A filed on April 29, 2016) (1)</w:t>
      </w:r>
    </w:p>
    <w:p>
      <w:pPr>
        <w:spacing w:after="0" w:line="35" w:lineRule="exact"/>
        <w:rPr>
          <w:sz w:val="20"/>
          <w:szCs w:val="20"/>
          <w:color w:val="auto"/>
        </w:rPr>
      </w:pPr>
    </w:p>
    <w:p>
      <w:pPr>
        <w:jc w:val="both"/>
        <w:ind w:left="600" w:hanging="549"/>
        <w:spacing w:after="0" w:line="224" w:lineRule="auto"/>
        <w:tabs>
          <w:tab w:leader="none" w:pos="580" w:val="left"/>
        </w:tabs>
        <w:rPr>
          <w:sz w:val="20"/>
          <w:szCs w:val="20"/>
          <w:color w:val="auto"/>
        </w:rPr>
      </w:pPr>
      <w:r>
        <w:rPr>
          <w:rFonts w:ascii="Arial" w:cs="Arial" w:eastAsia="Arial" w:hAnsi="Arial"/>
          <w:sz w:val="20"/>
          <w:szCs w:val="20"/>
          <w:color w:val="auto"/>
        </w:rPr>
        <w:t>10.4</w:t>
      </w:r>
      <w:r>
        <w:rPr>
          <w:sz w:val="20"/>
          <w:szCs w:val="20"/>
          <w:color w:val="auto"/>
        </w:rPr>
        <w:tab/>
      </w:r>
      <w:r>
        <w:rPr>
          <w:rFonts w:ascii="Arial" w:cs="Arial" w:eastAsia="Arial" w:hAnsi="Arial"/>
          <w:sz w:val="20"/>
          <w:szCs w:val="20"/>
          <w:u w:val="single" w:color="auto"/>
          <w:color w:val="auto"/>
        </w:rPr>
        <w:t>Fidelity National Financial, Inc. Deferred Compensation Plan, as amended and restated, effective January 1, 2009 (incorporated by reference to Exhibit 10.18 to the Registrant’s Annual Report on Form 10-K for the year ended December 31, 2008) (1)</w:t>
      </w:r>
    </w:p>
    <w:p>
      <w:pPr>
        <w:spacing w:after="0" w:line="47" w:lineRule="exact"/>
        <w:rPr>
          <w:sz w:val="20"/>
          <w:szCs w:val="20"/>
          <w:color w:val="auto"/>
        </w:rPr>
      </w:pPr>
    </w:p>
    <w:p>
      <w:pPr>
        <w:jc w:val="both"/>
        <w:ind w:left="600" w:hanging="549"/>
        <w:spacing w:after="0" w:line="224" w:lineRule="auto"/>
        <w:tabs>
          <w:tab w:leader="none" w:pos="580" w:val="left"/>
        </w:tabs>
        <w:rPr>
          <w:sz w:val="20"/>
          <w:szCs w:val="20"/>
          <w:color w:val="auto"/>
        </w:rPr>
      </w:pPr>
      <w:r>
        <w:rPr>
          <w:rFonts w:ascii="Arial" w:cs="Arial" w:eastAsia="Arial" w:hAnsi="Arial"/>
          <w:sz w:val="20"/>
          <w:szCs w:val="20"/>
          <w:color w:val="auto"/>
        </w:rPr>
        <w:t>10.5</w:t>
      </w:r>
      <w:r>
        <w:rPr>
          <w:sz w:val="20"/>
          <w:szCs w:val="20"/>
          <w:color w:val="auto"/>
        </w:rPr>
        <w:tab/>
      </w:r>
      <w:r>
        <w:rPr>
          <w:rFonts w:ascii="Arial" w:cs="Arial" w:eastAsia="Arial" w:hAnsi="Arial"/>
          <w:sz w:val="20"/>
          <w:szCs w:val="20"/>
          <w:u w:val="single" w:color="auto"/>
          <w:color w:val="auto"/>
        </w:rPr>
        <w:t>Amended and Restated Employment Agreement between the Registrant and Anthony J. Park, effective as of October 10, 2008 (incorporated by reference to Exhibit 10.11 to Registrant’s Annual Report on Form 10-K for the year ended December 31, 2008) (1)</w:t>
      </w:r>
    </w:p>
    <w:p>
      <w:pPr>
        <w:spacing w:after="0" w:line="47" w:lineRule="exact"/>
        <w:rPr>
          <w:sz w:val="20"/>
          <w:szCs w:val="20"/>
          <w:color w:val="auto"/>
        </w:rPr>
      </w:pPr>
    </w:p>
    <w:p>
      <w:pPr>
        <w:jc w:val="both"/>
        <w:ind w:left="600" w:hanging="549"/>
        <w:spacing w:after="0" w:line="224" w:lineRule="auto"/>
        <w:tabs>
          <w:tab w:leader="none" w:pos="580" w:val="left"/>
        </w:tabs>
        <w:rPr>
          <w:sz w:val="20"/>
          <w:szCs w:val="20"/>
          <w:color w:val="auto"/>
        </w:rPr>
      </w:pPr>
      <w:r>
        <w:rPr>
          <w:rFonts w:ascii="Arial" w:cs="Arial" w:eastAsia="Arial" w:hAnsi="Arial"/>
          <w:sz w:val="20"/>
          <w:szCs w:val="20"/>
          <w:color w:val="auto"/>
        </w:rPr>
        <w:t>10.6</w:t>
      </w:r>
      <w:r>
        <w:rPr>
          <w:sz w:val="20"/>
          <w:szCs w:val="20"/>
          <w:color w:val="auto"/>
        </w:rPr>
        <w:tab/>
      </w:r>
      <w:r>
        <w:rPr>
          <w:rFonts w:ascii="Arial" w:cs="Arial" w:eastAsia="Arial" w:hAnsi="Arial"/>
          <w:sz w:val="20"/>
          <w:szCs w:val="20"/>
          <w:u w:val="single" w:color="auto"/>
          <w:color w:val="auto"/>
        </w:rPr>
        <w:t>Amendment effective February 4, 2010 to Amended and Restated Employment Agreement between the Registrant and Anthony J. Park, effective as of October 10, 2008 (incorporated by reference to Exhibit 10.13 to the Registrant's Annual Report on Form 10-K for the year ended December 31, 2009) (1)</w:t>
      </w:r>
    </w:p>
    <w:p>
      <w:pPr>
        <w:spacing w:after="0" w:line="47" w:lineRule="exact"/>
        <w:rPr>
          <w:sz w:val="20"/>
          <w:szCs w:val="20"/>
          <w:color w:val="auto"/>
        </w:rPr>
      </w:pPr>
    </w:p>
    <w:p>
      <w:pPr>
        <w:jc w:val="both"/>
        <w:ind w:left="600" w:hanging="549"/>
        <w:spacing w:after="0" w:line="297" w:lineRule="auto"/>
        <w:tabs>
          <w:tab w:leader="none" w:pos="580" w:val="left"/>
        </w:tabs>
        <w:rPr>
          <w:sz w:val="20"/>
          <w:szCs w:val="20"/>
          <w:color w:val="auto"/>
        </w:rPr>
      </w:pPr>
      <w:r>
        <w:rPr>
          <w:rFonts w:ascii="Arial" w:cs="Arial" w:eastAsia="Arial" w:hAnsi="Arial"/>
          <w:sz w:val="20"/>
          <w:szCs w:val="20"/>
          <w:color w:val="auto"/>
        </w:rPr>
        <w:t>10.7</w:t>
      </w:r>
      <w:r>
        <w:rPr>
          <w:sz w:val="20"/>
          <w:szCs w:val="20"/>
          <w:color w:val="auto"/>
        </w:rPr>
        <w:tab/>
      </w:r>
      <w:r>
        <w:rPr>
          <w:rFonts w:ascii="Arial" w:cs="Arial" w:eastAsia="Arial" w:hAnsi="Arial"/>
          <w:sz w:val="17"/>
          <w:szCs w:val="17"/>
          <w:u w:val="single" w:color="auto"/>
          <w:color w:val="auto"/>
        </w:rPr>
        <w:t>Director Services Agreement between Fidelity National Financial, Inc. and William P. Foley, II (incorporated by reference to Exhibit 10.27 to Registrant's Annual Report on Form 10-K for the year ended December 31, 2015) (1)</w:t>
      </w:r>
    </w:p>
    <w:p>
      <w:pPr>
        <w:spacing w:after="0" w:line="1" w:lineRule="exact"/>
        <w:rPr>
          <w:sz w:val="20"/>
          <w:szCs w:val="20"/>
          <w:color w:val="auto"/>
        </w:rPr>
      </w:pPr>
    </w:p>
    <w:p>
      <w:pPr>
        <w:jc w:val="both"/>
        <w:ind w:left="600" w:hanging="549"/>
        <w:spacing w:after="0" w:line="224" w:lineRule="auto"/>
        <w:tabs>
          <w:tab w:leader="none" w:pos="580" w:val="left"/>
        </w:tabs>
        <w:rPr>
          <w:sz w:val="20"/>
          <w:szCs w:val="20"/>
          <w:color w:val="auto"/>
        </w:rPr>
      </w:pPr>
      <w:r>
        <w:rPr>
          <w:rFonts w:ascii="Arial" w:cs="Arial" w:eastAsia="Arial" w:hAnsi="Arial"/>
          <w:sz w:val="20"/>
          <w:szCs w:val="20"/>
          <w:color w:val="auto"/>
        </w:rPr>
        <w:t>10.8</w:t>
      </w:r>
      <w:r>
        <w:rPr>
          <w:sz w:val="20"/>
          <w:szCs w:val="20"/>
          <w:color w:val="auto"/>
        </w:rPr>
        <w:tab/>
      </w:r>
      <w:r>
        <w:rPr>
          <w:rFonts w:ascii="Arial" w:cs="Arial" w:eastAsia="Arial" w:hAnsi="Arial"/>
          <w:sz w:val="20"/>
          <w:szCs w:val="20"/>
          <w:u w:val="single" w:color="auto"/>
          <w:color w:val="auto"/>
        </w:rPr>
        <w:t>Amended and Restated Employment Agreement between the Registrant and Raymond R. Quirk, effective as of February 1, 2022 (incorporated by reference to Exhibit 10.2 to the Registrant’s Current Report on Form 8-K filed on February 17, 2022)</w:t>
      </w:r>
    </w:p>
    <w:p>
      <w:pPr>
        <w:spacing w:after="0" w:line="47" w:lineRule="exact"/>
        <w:rPr>
          <w:sz w:val="20"/>
          <w:szCs w:val="20"/>
          <w:color w:val="auto"/>
        </w:rPr>
      </w:pPr>
    </w:p>
    <w:p>
      <w:pPr>
        <w:jc w:val="both"/>
        <w:ind w:left="600" w:hanging="549"/>
        <w:spacing w:after="0" w:line="224" w:lineRule="auto"/>
        <w:tabs>
          <w:tab w:leader="none" w:pos="580" w:val="left"/>
        </w:tabs>
        <w:rPr>
          <w:sz w:val="20"/>
          <w:szCs w:val="20"/>
          <w:color w:val="auto"/>
        </w:rPr>
      </w:pPr>
      <w:r>
        <w:rPr>
          <w:rFonts w:ascii="Arial" w:cs="Arial" w:eastAsia="Arial" w:hAnsi="Arial"/>
          <w:sz w:val="20"/>
          <w:szCs w:val="20"/>
          <w:color w:val="auto"/>
        </w:rPr>
        <w:t>10.9</w:t>
      </w:r>
      <w:r>
        <w:rPr>
          <w:sz w:val="20"/>
          <w:szCs w:val="20"/>
          <w:color w:val="auto"/>
        </w:rPr>
        <w:tab/>
      </w:r>
      <w:r>
        <w:rPr>
          <w:rFonts w:ascii="Arial" w:cs="Arial" w:eastAsia="Arial" w:hAnsi="Arial"/>
          <w:sz w:val="20"/>
          <w:szCs w:val="20"/>
          <w:u w:val="single" w:color="auto"/>
          <w:color w:val="auto"/>
        </w:rPr>
        <w:t>Amended and Restated Employment Agreement between the Registrant and Michael L. Gravelle, effective as of January 1, 2010 (incorporated by reference to Exhibit 10.22 to Registrant's Annual Report on Form 10-K for the year ended December 31, 2010) (1)</w:t>
      </w:r>
    </w:p>
    <w:p>
      <w:pPr>
        <w:spacing w:after="0" w:line="47" w:lineRule="exact"/>
        <w:rPr>
          <w:sz w:val="20"/>
          <w:szCs w:val="20"/>
          <w:color w:val="auto"/>
        </w:rPr>
      </w:pPr>
    </w:p>
    <w:p>
      <w:pPr>
        <w:jc w:val="both"/>
        <w:ind w:left="600" w:hanging="598"/>
        <w:spacing w:after="0" w:line="224" w:lineRule="auto"/>
        <w:tabs>
          <w:tab w:leader="none" w:pos="580" w:val="left"/>
        </w:tabs>
        <w:rPr>
          <w:sz w:val="20"/>
          <w:szCs w:val="20"/>
          <w:color w:val="auto"/>
        </w:rPr>
      </w:pPr>
      <w:r>
        <w:rPr>
          <w:rFonts w:ascii="Arial" w:cs="Arial" w:eastAsia="Arial" w:hAnsi="Arial"/>
          <w:sz w:val="20"/>
          <w:szCs w:val="20"/>
          <w:color w:val="auto"/>
        </w:rPr>
        <w:t>10.10</w:t>
      </w:r>
      <w:r>
        <w:rPr>
          <w:sz w:val="20"/>
          <w:szCs w:val="20"/>
          <w:color w:val="auto"/>
        </w:rPr>
        <w:tab/>
      </w:r>
      <w:r>
        <w:rPr>
          <w:rFonts w:ascii="Arial" w:cs="Arial" w:eastAsia="Arial" w:hAnsi="Arial"/>
          <w:sz w:val="20"/>
          <w:szCs w:val="20"/>
          <w:u w:val="single" w:color="auto"/>
          <w:color w:val="auto"/>
        </w:rPr>
        <w:t>Amendment No. 1 to Amended and Restated Employment Agreement between the Registrant and Michael L. Gravelle, effective as of January 30, 2013 (incorporated by reference to Exhibit 10.22 to the Registrant's Annual Report on Form 10-K for the year ended December 31, 2012) (1)</w:t>
      </w:r>
    </w:p>
    <w:p>
      <w:pPr>
        <w:spacing w:after="0" w:line="47" w:lineRule="exact"/>
        <w:rPr>
          <w:sz w:val="20"/>
          <w:szCs w:val="20"/>
          <w:color w:val="auto"/>
        </w:rPr>
      </w:pPr>
    </w:p>
    <w:p>
      <w:pPr>
        <w:jc w:val="both"/>
        <w:ind w:left="600" w:hanging="598"/>
        <w:spacing w:after="0" w:line="224" w:lineRule="auto"/>
        <w:tabs>
          <w:tab w:leader="none" w:pos="580" w:val="left"/>
        </w:tabs>
        <w:rPr>
          <w:sz w:val="20"/>
          <w:szCs w:val="20"/>
          <w:color w:val="auto"/>
        </w:rPr>
      </w:pPr>
      <w:r>
        <w:rPr>
          <w:rFonts w:ascii="Arial" w:cs="Arial" w:eastAsia="Arial" w:hAnsi="Arial"/>
          <w:sz w:val="20"/>
          <w:szCs w:val="20"/>
          <w:color w:val="auto"/>
        </w:rPr>
        <w:t>10.11</w:t>
      </w:r>
      <w:r>
        <w:rPr>
          <w:sz w:val="20"/>
          <w:szCs w:val="20"/>
          <w:color w:val="auto"/>
        </w:rPr>
        <w:tab/>
      </w:r>
      <w:r>
        <w:rPr>
          <w:rFonts w:ascii="Arial" w:cs="Arial" w:eastAsia="Arial" w:hAnsi="Arial"/>
          <w:sz w:val="20"/>
          <w:szCs w:val="20"/>
          <w:u w:val="single" w:color="auto"/>
          <w:color w:val="auto"/>
        </w:rPr>
        <w:t>Amendment No. 2 to Amended and Restated Employment Agreement between the Registrant and Michael L. Gravelle, effective as of March 1, 2015 (incorporated by reference to Exhibit 10.2 to the Registrant’s Quarterly Report on Form 10-Q for the quarter ended March 31, 2015) (1)</w:t>
      </w:r>
    </w:p>
    <w:p>
      <w:pPr>
        <w:spacing w:after="0" w:line="47" w:lineRule="exact"/>
        <w:rPr>
          <w:sz w:val="20"/>
          <w:szCs w:val="20"/>
          <w:color w:val="auto"/>
        </w:rPr>
      </w:pPr>
    </w:p>
    <w:p>
      <w:pPr>
        <w:jc w:val="both"/>
        <w:ind w:left="600" w:hanging="598"/>
        <w:spacing w:after="0" w:line="224" w:lineRule="auto"/>
        <w:tabs>
          <w:tab w:leader="none" w:pos="580" w:val="left"/>
        </w:tabs>
        <w:rPr>
          <w:sz w:val="20"/>
          <w:szCs w:val="20"/>
          <w:color w:val="auto"/>
        </w:rPr>
      </w:pPr>
      <w:r>
        <w:rPr>
          <w:rFonts w:ascii="Arial" w:cs="Arial" w:eastAsia="Arial" w:hAnsi="Arial"/>
          <w:sz w:val="20"/>
          <w:szCs w:val="20"/>
          <w:color w:val="auto"/>
        </w:rPr>
        <w:t>10.12</w:t>
      </w:r>
      <w:r>
        <w:rPr>
          <w:sz w:val="20"/>
          <w:szCs w:val="20"/>
          <w:color w:val="auto"/>
        </w:rPr>
        <w:tab/>
      </w:r>
      <w:r>
        <w:rPr>
          <w:rFonts w:ascii="Arial" w:cs="Arial" w:eastAsia="Arial" w:hAnsi="Arial"/>
          <w:sz w:val="20"/>
          <w:szCs w:val="20"/>
          <w:u w:val="single" w:color="auto"/>
          <w:color w:val="auto"/>
        </w:rPr>
        <w:t>Amended and Restated Employment Agreement between the Registrant and Peter T. Sadowski, effective as of February 4, 2010 (incorporated by reference to Exhibit 10.26 to the Registrant's Annual Report on Form 10-K for the year ended December 31, 2012) (1)</w:t>
      </w:r>
    </w:p>
    <w:p>
      <w:pPr>
        <w:spacing w:after="0" w:line="47" w:lineRule="exact"/>
        <w:rPr>
          <w:sz w:val="20"/>
          <w:szCs w:val="20"/>
          <w:color w:val="auto"/>
        </w:rPr>
      </w:pPr>
    </w:p>
    <w:p>
      <w:pPr>
        <w:jc w:val="both"/>
        <w:ind w:left="600" w:hanging="598"/>
        <w:spacing w:after="0" w:line="235" w:lineRule="auto"/>
        <w:tabs>
          <w:tab w:leader="none" w:pos="580" w:val="left"/>
        </w:tabs>
        <w:rPr>
          <w:sz w:val="20"/>
          <w:szCs w:val="20"/>
          <w:color w:val="auto"/>
        </w:rPr>
      </w:pPr>
      <w:r>
        <w:rPr>
          <w:rFonts w:ascii="Arial" w:cs="Arial" w:eastAsia="Arial" w:hAnsi="Arial"/>
          <w:sz w:val="20"/>
          <w:szCs w:val="20"/>
          <w:color w:val="auto"/>
        </w:rPr>
        <w:t>10.13</w:t>
      </w:r>
      <w:r>
        <w:rPr>
          <w:sz w:val="20"/>
          <w:szCs w:val="20"/>
          <w:color w:val="auto"/>
        </w:rPr>
        <w:tab/>
      </w:r>
      <w:r>
        <w:rPr>
          <w:rFonts w:ascii="Arial" w:cs="Arial" w:eastAsia="Arial" w:hAnsi="Arial"/>
          <w:sz w:val="20"/>
          <w:szCs w:val="20"/>
          <w:u w:val="single" w:color="auto"/>
          <w:color w:val="auto"/>
        </w:rPr>
        <w:t>ServiceLink Holdings, LLC 2013 Management Incentive Plan (incorporated by reference to Exhibit 10.2 to the Registrant’s Current Report on Form 8-K filed on January 15, 2014)(1)</w:t>
      </w:r>
    </w:p>
    <w:p>
      <w:pPr>
        <w:spacing w:after="0" w:line="94" w:lineRule="exact"/>
        <w:rPr>
          <w:sz w:val="20"/>
          <w:szCs w:val="20"/>
          <w:color w:val="auto"/>
        </w:rPr>
      </w:pPr>
    </w:p>
    <w:p>
      <w:pPr>
        <w:jc w:val="both"/>
        <w:ind w:left="600" w:hanging="598"/>
        <w:spacing w:after="0" w:line="235" w:lineRule="auto"/>
        <w:tabs>
          <w:tab w:leader="none" w:pos="580" w:val="left"/>
        </w:tabs>
        <w:rPr>
          <w:sz w:val="20"/>
          <w:szCs w:val="20"/>
          <w:color w:val="auto"/>
        </w:rPr>
      </w:pPr>
      <w:r>
        <w:rPr>
          <w:rFonts w:ascii="Arial" w:cs="Arial" w:eastAsia="Arial" w:hAnsi="Arial"/>
          <w:sz w:val="20"/>
          <w:szCs w:val="20"/>
          <w:color w:val="auto"/>
        </w:rPr>
        <w:t>10.14</w:t>
      </w:r>
      <w:r>
        <w:rPr>
          <w:sz w:val="20"/>
          <w:szCs w:val="20"/>
          <w:color w:val="auto"/>
        </w:rPr>
        <w:tab/>
      </w:r>
      <w:r>
        <w:rPr>
          <w:rFonts w:ascii="Arial" w:cs="Arial" w:eastAsia="Arial" w:hAnsi="Arial"/>
          <w:sz w:val="20"/>
          <w:szCs w:val="20"/>
          <w:u w:val="single" w:color="auto"/>
          <w:color w:val="auto"/>
        </w:rPr>
        <w:t>Form of ServiceLink Holdings, LLC Unit Grant Agreement (incorporated by reference to Exhibit 10.4 to the Registrant's Current Report on Form 8-K filed on January 15, 2014)(1)</w:t>
      </w:r>
    </w:p>
    <w:p>
      <w:pPr>
        <w:spacing w:after="0" w:line="94" w:lineRule="exact"/>
        <w:rPr>
          <w:sz w:val="20"/>
          <w:szCs w:val="20"/>
          <w:color w:val="auto"/>
        </w:rPr>
      </w:pPr>
    </w:p>
    <w:p>
      <w:pPr>
        <w:jc w:val="both"/>
        <w:ind w:left="600" w:hanging="598"/>
        <w:spacing w:after="0" w:line="224" w:lineRule="auto"/>
        <w:tabs>
          <w:tab w:leader="none" w:pos="580" w:val="left"/>
        </w:tabs>
        <w:rPr>
          <w:sz w:val="20"/>
          <w:szCs w:val="20"/>
          <w:color w:val="auto"/>
        </w:rPr>
      </w:pPr>
      <w:r>
        <w:rPr>
          <w:rFonts w:ascii="Arial" w:cs="Arial" w:eastAsia="Arial" w:hAnsi="Arial"/>
          <w:sz w:val="20"/>
          <w:szCs w:val="20"/>
          <w:color w:val="auto"/>
        </w:rPr>
        <w:t>10.15</w:t>
      </w:r>
      <w:r>
        <w:rPr>
          <w:sz w:val="20"/>
          <w:szCs w:val="20"/>
          <w:color w:val="auto"/>
        </w:rPr>
        <w:tab/>
      </w:r>
      <w:r>
        <w:rPr>
          <w:rFonts w:ascii="Arial" w:cs="Arial" w:eastAsia="Arial" w:hAnsi="Arial"/>
          <w:sz w:val="20"/>
          <w:szCs w:val="20"/>
          <w:u w:val="single" w:color="auto"/>
          <w:color w:val="auto"/>
        </w:rPr>
        <w:t>Amendment effective May 3, 2016 to Director Services Agreement between the Registrant and William P. Foley II (incorporated by reference to Exhibit 10.1 to Registrant's Quarterly Report on Form 10-Q for the quarter ended June 30, 2016) (1)</w:t>
      </w:r>
    </w:p>
    <w:p>
      <w:pPr>
        <w:spacing w:after="0" w:line="47" w:lineRule="exact"/>
        <w:rPr>
          <w:sz w:val="20"/>
          <w:szCs w:val="20"/>
          <w:color w:val="auto"/>
        </w:rPr>
      </w:pPr>
    </w:p>
    <w:p>
      <w:pPr>
        <w:jc w:val="both"/>
        <w:ind w:left="600" w:hanging="598"/>
        <w:spacing w:after="0" w:line="349" w:lineRule="auto"/>
        <w:tabs>
          <w:tab w:leader="none" w:pos="580" w:val="left"/>
        </w:tabs>
        <w:rPr>
          <w:sz w:val="20"/>
          <w:szCs w:val="20"/>
          <w:color w:val="auto"/>
        </w:rPr>
      </w:pPr>
      <w:r>
        <w:rPr>
          <w:rFonts w:ascii="Arial" w:cs="Arial" w:eastAsia="Arial" w:hAnsi="Arial"/>
          <w:sz w:val="20"/>
          <w:szCs w:val="20"/>
          <w:color w:val="auto"/>
        </w:rPr>
        <w:t>10.16</w:t>
      </w:r>
      <w:r>
        <w:rPr>
          <w:sz w:val="20"/>
          <w:szCs w:val="20"/>
          <w:color w:val="auto"/>
        </w:rPr>
        <w:tab/>
      </w:r>
      <w:r>
        <w:rPr>
          <w:rFonts w:ascii="Arial" w:cs="Arial" w:eastAsia="Arial" w:hAnsi="Arial"/>
          <w:sz w:val="17"/>
          <w:szCs w:val="17"/>
          <w:u w:val="single" w:color="auto"/>
          <w:color w:val="auto"/>
        </w:rPr>
        <w:t>Letter agreement between Fidelity National Financial, Inc. and William P. Foley, II dated May 28, 2020 (incorporated by reference to Exhibit 99.1 to the Registrant’s Current Report on Form 8-K filed on May 29, 2020) (1)</w:t>
      </w:r>
    </w:p>
    <w:p>
      <w:pPr>
        <w:spacing w:after="0" w:line="19" w:lineRule="exact"/>
        <w:rPr>
          <w:sz w:val="20"/>
          <w:szCs w:val="20"/>
          <w:color w:val="auto"/>
        </w:rPr>
      </w:pPr>
    </w:p>
    <w:p>
      <w:pPr>
        <w:jc w:val="both"/>
        <w:ind w:left="600" w:hanging="598"/>
        <w:spacing w:after="0" w:line="224" w:lineRule="auto"/>
        <w:tabs>
          <w:tab w:leader="none" w:pos="580" w:val="left"/>
        </w:tabs>
        <w:rPr>
          <w:sz w:val="20"/>
          <w:szCs w:val="20"/>
          <w:color w:val="auto"/>
        </w:rPr>
      </w:pPr>
      <w:r>
        <w:rPr>
          <w:rFonts w:ascii="Arial" w:cs="Arial" w:eastAsia="Arial" w:hAnsi="Arial"/>
          <w:sz w:val="20"/>
          <w:szCs w:val="20"/>
          <w:color w:val="auto"/>
        </w:rPr>
        <w:t>10.17</w:t>
      </w:r>
      <w:r>
        <w:rPr>
          <w:sz w:val="20"/>
          <w:szCs w:val="20"/>
          <w:color w:val="auto"/>
        </w:rPr>
        <w:tab/>
      </w:r>
      <w:r>
        <w:rPr>
          <w:rFonts w:ascii="Arial" w:cs="Arial" w:eastAsia="Arial" w:hAnsi="Arial"/>
          <w:sz w:val="20"/>
          <w:szCs w:val="20"/>
          <w:u w:val="single" w:color="auto"/>
          <w:color w:val="auto"/>
        </w:rPr>
        <w:t>Amendment effective May 3, 2016 to Amended and Restated Employment Agreement between the Registrant and Anthony J. Park (incorporated by reference to Exhibit 10.4 to the Registrant's Quarterly Report on Form 10-Q for the quarter ended June 30, 2016) (1)</w:t>
      </w:r>
    </w:p>
    <w:p>
      <w:pPr>
        <w:spacing w:after="0" w:line="47" w:lineRule="exact"/>
        <w:rPr>
          <w:sz w:val="20"/>
          <w:szCs w:val="20"/>
          <w:color w:val="auto"/>
        </w:rPr>
      </w:pPr>
    </w:p>
    <w:p>
      <w:pPr>
        <w:jc w:val="both"/>
        <w:ind w:left="600" w:hanging="598"/>
        <w:spacing w:after="0" w:line="224" w:lineRule="auto"/>
        <w:tabs>
          <w:tab w:leader="none" w:pos="580" w:val="left"/>
        </w:tabs>
        <w:rPr>
          <w:sz w:val="20"/>
          <w:szCs w:val="20"/>
          <w:color w:val="auto"/>
        </w:rPr>
      </w:pPr>
      <w:r>
        <w:rPr>
          <w:rFonts w:ascii="Arial" w:cs="Arial" w:eastAsia="Arial" w:hAnsi="Arial"/>
          <w:sz w:val="20"/>
          <w:szCs w:val="20"/>
          <w:color w:val="auto"/>
        </w:rPr>
        <w:t>10.18</w:t>
      </w:r>
      <w:r>
        <w:rPr>
          <w:sz w:val="20"/>
          <w:szCs w:val="20"/>
          <w:color w:val="auto"/>
        </w:rPr>
        <w:tab/>
      </w:r>
      <w:r>
        <w:rPr>
          <w:rFonts w:ascii="Arial" w:cs="Arial" w:eastAsia="Arial" w:hAnsi="Arial"/>
          <w:sz w:val="20"/>
          <w:szCs w:val="20"/>
          <w:u w:val="single" w:color="auto"/>
          <w:color w:val="auto"/>
        </w:rPr>
        <w:t>Amendment effective May 3, 2016 to Amended and Restated Employment Agreement between the Registrant and Michael L. Gravelle (incorporated by reference to Exhibit 10.5 to the Registrant's Quarterly Report on Form 10-Q for the quarter ended June 30, 2016) (1)</w:t>
      </w:r>
    </w:p>
    <w:p>
      <w:pPr>
        <w:spacing w:after="0" w:line="47" w:lineRule="exact"/>
        <w:rPr>
          <w:sz w:val="20"/>
          <w:szCs w:val="20"/>
          <w:color w:val="auto"/>
        </w:rPr>
      </w:pPr>
    </w:p>
    <w:p>
      <w:pPr>
        <w:jc w:val="both"/>
        <w:ind w:left="600" w:hanging="598"/>
        <w:spacing w:after="0" w:line="224" w:lineRule="auto"/>
        <w:tabs>
          <w:tab w:leader="none" w:pos="580" w:val="left"/>
        </w:tabs>
        <w:rPr>
          <w:sz w:val="20"/>
          <w:szCs w:val="20"/>
          <w:color w:val="auto"/>
        </w:rPr>
      </w:pPr>
      <w:r>
        <w:rPr>
          <w:rFonts w:ascii="Arial" w:cs="Arial" w:eastAsia="Arial" w:hAnsi="Arial"/>
          <w:sz w:val="20"/>
          <w:szCs w:val="20"/>
          <w:color w:val="auto"/>
        </w:rPr>
        <w:t>10.19</w:t>
      </w:r>
      <w:r>
        <w:rPr>
          <w:sz w:val="20"/>
          <w:szCs w:val="20"/>
          <w:color w:val="auto"/>
        </w:rPr>
        <w:tab/>
      </w:r>
      <w:r>
        <w:rPr>
          <w:rFonts w:ascii="Arial" w:cs="Arial" w:eastAsia="Arial" w:hAnsi="Arial"/>
          <w:sz w:val="20"/>
          <w:szCs w:val="20"/>
          <w:u w:val="single" w:color="auto"/>
          <w:color w:val="auto"/>
        </w:rPr>
        <w:t>Amendment effective May 3, 2016 to Amended and Restated Employment Agreement between the Registrant and Peter T. Sadowski (incorporated by reference to Exhibit 10.6 to the Registrant's Quarterly Report on Form 10-Q for the quarter ended June 30, 2016) (1)</w:t>
      </w:r>
    </w:p>
    <w:p>
      <w:pPr>
        <w:spacing w:after="0" w:line="35" w:lineRule="exact"/>
        <w:rPr>
          <w:sz w:val="20"/>
          <w:szCs w:val="20"/>
          <w:color w:val="auto"/>
        </w:rPr>
      </w:pPr>
    </w:p>
    <w:p>
      <w:pPr>
        <w:spacing w:after="0"/>
        <w:tabs>
          <w:tab w:leader="none" w:pos="580" w:val="left"/>
        </w:tabs>
        <w:rPr>
          <w:sz w:val="20"/>
          <w:szCs w:val="20"/>
          <w:color w:val="auto"/>
        </w:rPr>
      </w:pPr>
      <w:r>
        <w:rPr>
          <w:rFonts w:ascii="Arial" w:cs="Arial" w:eastAsia="Arial" w:hAnsi="Arial"/>
          <w:sz w:val="20"/>
          <w:szCs w:val="20"/>
          <w:color w:val="auto"/>
        </w:rPr>
        <w:t>10.20</w:t>
      </w:r>
      <w:r>
        <w:rPr>
          <w:sz w:val="20"/>
          <w:szCs w:val="20"/>
          <w:color w:val="auto"/>
        </w:rPr>
        <w:tab/>
      </w:r>
      <w:r>
        <w:rPr>
          <w:rFonts w:ascii="Arial" w:cs="Arial" w:eastAsia="Arial" w:hAnsi="Arial"/>
          <w:sz w:val="17"/>
          <w:szCs w:val="17"/>
          <w:u w:val="single" w:color="auto"/>
          <w:color w:val="auto"/>
        </w:rPr>
        <w:t>Amended and Restated Employment Agreement between the Registrant and Michael Nolan, effective as of February</w:t>
      </w:r>
    </w:p>
    <w:p>
      <w:pPr>
        <w:ind w:left="600"/>
        <w:spacing w:after="0"/>
        <w:rPr>
          <w:sz w:val="20"/>
          <w:szCs w:val="20"/>
          <w:color w:val="auto"/>
        </w:rPr>
      </w:pPr>
      <w:r>
        <w:rPr>
          <w:rFonts w:ascii="Arial" w:cs="Arial" w:eastAsia="Arial" w:hAnsi="Arial"/>
          <w:sz w:val="17"/>
          <w:szCs w:val="17"/>
          <w:u w:val="single" w:color="auto"/>
          <w:color w:val="auto"/>
        </w:rPr>
        <w:t>1, 2022 (incorporated by reference to Exhibit 10.1 to the Registrant's Current Report on Form 8-K filed on February</w:t>
      </w:r>
    </w:p>
    <w:p>
      <w:pPr>
        <w:spacing w:after="0" w:line="1" w:lineRule="exact"/>
        <w:rPr>
          <w:sz w:val="20"/>
          <w:szCs w:val="20"/>
          <w:color w:val="auto"/>
        </w:rPr>
      </w:pPr>
    </w:p>
    <w:p>
      <w:pPr>
        <w:ind w:left="600"/>
        <w:spacing w:after="0"/>
        <w:rPr>
          <w:sz w:val="20"/>
          <w:szCs w:val="20"/>
          <w:color w:val="auto"/>
        </w:rPr>
      </w:pPr>
      <w:r>
        <w:rPr>
          <w:rFonts w:ascii="Arial" w:cs="Arial" w:eastAsia="Arial" w:hAnsi="Arial"/>
          <w:sz w:val="20"/>
          <w:szCs w:val="20"/>
          <w:u w:val="single" w:color="auto"/>
          <w:color w:val="auto"/>
        </w:rPr>
        <w:t>17, 2022)</w:t>
      </w:r>
    </w:p>
    <w:p>
      <w:pPr>
        <w:spacing w:after="0" w:line="47" w:lineRule="exact"/>
        <w:rPr>
          <w:sz w:val="20"/>
          <w:szCs w:val="20"/>
          <w:color w:val="auto"/>
        </w:rPr>
      </w:pPr>
    </w:p>
    <w:p>
      <w:pPr>
        <w:jc w:val="both"/>
        <w:ind w:left="600" w:hanging="598"/>
        <w:spacing w:after="0" w:line="219" w:lineRule="auto"/>
        <w:tabs>
          <w:tab w:leader="none" w:pos="580" w:val="left"/>
        </w:tabs>
        <w:rPr>
          <w:sz w:val="20"/>
          <w:szCs w:val="20"/>
          <w:color w:val="auto"/>
        </w:rPr>
      </w:pPr>
      <w:r>
        <w:rPr>
          <w:rFonts w:ascii="Arial" w:cs="Arial" w:eastAsia="Arial" w:hAnsi="Arial"/>
          <w:sz w:val="20"/>
          <w:szCs w:val="20"/>
          <w:color w:val="auto"/>
        </w:rPr>
        <w:t>10.21</w:t>
      </w:r>
      <w:r>
        <w:rPr>
          <w:sz w:val="20"/>
          <w:szCs w:val="20"/>
          <w:color w:val="auto"/>
        </w:rPr>
        <w:tab/>
      </w:r>
      <w:r>
        <w:rPr>
          <w:rFonts w:ascii="Arial" w:cs="Arial" w:eastAsia="Arial" w:hAnsi="Arial"/>
          <w:sz w:val="20"/>
          <w:szCs w:val="20"/>
          <w:u w:val="single" w:color="auto"/>
          <w:color w:val="auto"/>
        </w:rPr>
        <w:t>Form of Notice of Restricted Stock Grant and FNF Employee Restricted Stock Award Agreement under Amended and Restated Fidelity National Financial, Inc. 2005 Omnibus Incentive Plan for November 2023 Awards (incorporated by reference to Exhibit 10.24 to the Registrant's Annual Report on Form 10-K for the year ended December 31, 2023)</w:t>
      </w:r>
    </w:p>
    <w:p>
      <w:pPr>
        <w:sectPr>
          <w:pgSz w:w="11880" w:h="15480" w:orient="portrait"/>
          <w:cols w:equalWidth="0" w:num="1">
            <w:col w:w="9860"/>
          </w:cols>
          <w:pgMar w:left="1060" w:top="846"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100"/>
        <w:spacing w:after="0"/>
        <w:rPr>
          <w:sz w:val="20"/>
          <w:szCs w:val="20"/>
          <w:color w:val="auto"/>
        </w:rPr>
      </w:pPr>
      <w:r>
        <w:rPr>
          <w:rFonts w:ascii="Arial" w:cs="Arial" w:eastAsia="Arial" w:hAnsi="Arial"/>
          <w:sz w:val="16"/>
          <w:szCs w:val="16"/>
          <w:color w:val="auto"/>
        </w:rPr>
        <w:t>196</w:t>
      </w:r>
    </w:p>
    <w:p>
      <w:pPr>
        <w:sectPr>
          <w:pgSz w:w="11880" w:h="15480" w:orient="portrait"/>
          <w:cols w:equalWidth="0" w:num="1">
            <w:col w:w="9860"/>
          </w:cols>
          <w:pgMar w:left="1060" w:top="846" w:right="960" w:bottom="0" w:gutter="0" w:footer="0" w:header="0"/>
          <w:type w:val="continuous"/>
        </w:sectPr>
      </w:pPr>
    </w:p>
    <w:bookmarkStart w:id="208" w:name="page209"/>
    <w:bookmarkEnd w:id="208"/>
    <w:p>
      <w:pPr>
        <w:jc w:val="both"/>
        <w:ind w:left="600" w:hanging="598"/>
        <w:spacing w:after="0" w:line="276" w:lineRule="auto"/>
        <w:tabs>
          <w:tab w:leader="none" w:pos="580" w:val="left"/>
        </w:tabs>
        <w:rPr>
          <w:sz w:val="20"/>
          <w:szCs w:val="20"/>
          <w:color w:val="auto"/>
        </w:rPr>
      </w:pPr>
      <w:r>
        <w:rPr>
          <w:rFonts w:ascii="Arial" w:cs="Arial" w:eastAsia="Arial" w:hAnsi="Arial"/>
          <w:sz w:val="20"/>
          <w:szCs w:val="20"/>
          <w:color w:val="auto"/>
        </w:rPr>
        <w:t>10.22</w:t>
      </w:r>
      <w:r>
        <w:rPr>
          <w:sz w:val="20"/>
          <w:szCs w:val="20"/>
          <w:color w:val="auto"/>
        </w:rPr>
        <w:tab/>
      </w:r>
      <w:r>
        <w:rPr>
          <w:rFonts w:ascii="Arial" w:cs="Arial" w:eastAsia="Arial" w:hAnsi="Arial"/>
          <w:sz w:val="17"/>
          <w:szCs w:val="17"/>
          <w:u w:val="single" w:color="auto"/>
          <w:color w:val="auto"/>
        </w:rPr>
        <w:t>Form of Notice of Restricted Stock Grant and FNF Director Restricted Stock Award Agreement under Amended and Restated Fidelity National Financial, Inc. 2005 Omnibus Incentive Plan for November 2023 Awards (incorporated by reference to Exhibit 10.24 to the Registrant's Annual Report on Form 10-K for the year ended December 31, 2024)</w:t>
      </w:r>
    </w:p>
    <w:p>
      <w:pPr>
        <w:spacing w:after="0" w:line="17" w:lineRule="exact"/>
        <w:rPr>
          <w:sz w:val="20"/>
          <w:szCs w:val="20"/>
          <w:color w:val="auto"/>
        </w:rPr>
      </w:pPr>
    </w:p>
    <w:p>
      <w:pPr>
        <w:jc w:val="both"/>
        <w:ind w:left="600" w:hanging="598"/>
        <w:spacing w:after="0" w:line="219" w:lineRule="auto"/>
        <w:tabs>
          <w:tab w:leader="none" w:pos="580" w:val="left"/>
        </w:tabs>
        <w:rPr>
          <w:sz w:val="20"/>
          <w:szCs w:val="20"/>
          <w:color w:val="auto"/>
        </w:rPr>
      </w:pPr>
      <w:r>
        <w:rPr>
          <w:rFonts w:ascii="Arial" w:cs="Arial" w:eastAsia="Arial" w:hAnsi="Arial"/>
          <w:sz w:val="20"/>
          <w:szCs w:val="20"/>
          <w:color w:val="auto"/>
        </w:rPr>
        <w:t>10.23</w:t>
      </w:r>
      <w:r>
        <w:rPr>
          <w:sz w:val="20"/>
          <w:szCs w:val="20"/>
          <w:color w:val="auto"/>
        </w:rPr>
        <w:tab/>
      </w:r>
      <w:r>
        <w:rPr>
          <w:rFonts w:ascii="Arial" w:cs="Arial" w:eastAsia="Arial" w:hAnsi="Arial"/>
          <w:sz w:val="20"/>
          <w:szCs w:val="20"/>
          <w:u w:val="single" w:color="auto"/>
          <w:color w:val="auto"/>
        </w:rPr>
        <w:t>Form of Notice of Restricted Stock Grant and FNF Employee Restricted Stock Award Agreement under Amended and Restated Fidelity National Financial, Inc. 2005 Omnibus Incentive Plan for November 2024 Awards (incorporated by reference to Exhibit 10.25 to the Registrant's Annual Report on Form 10-K for the year ended December 31, 2024)</w:t>
      </w:r>
    </w:p>
    <w:p>
      <w:pPr>
        <w:spacing w:after="0" w:line="43" w:lineRule="exact"/>
        <w:rPr>
          <w:sz w:val="20"/>
          <w:szCs w:val="20"/>
          <w:color w:val="auto"/>
        </w:rPr>
      </w:pPr>
    </w:p>
    <w:p>
      <w:pPr>
        <w:jc w:val="both"/>
        <w:ind w:left="600" w:hanging="598"/>
        <w:spacing w:after="0" w:line="276" w:lineRule="auto"/>
        <w:tabs>
          <w:tab w:leader="none" w:pos="580" w:val="left"/>
        </w:tabs>
        <w:rPr>
          <w:sz w:val="20"/>
          <w:szCs w:val="20"/>
          <w:color w:val="auto"/>
        </w:rPr>
      </w:pPr>
      <w:r>
        <w:rPr>
          <w:rFonts w:ascii="Arial" w:cs="Arial" w:eastAsia="Arial" w:hAnsi="Arial"/>
          <w:sz w:val="20"/>
          <w:szCs w:val="20"/>
          <w:color w:val="auto"/>
        </w:rPr>
        <w:t>10.24</w:t>
      </w:r>
      <w:r>
        <w:rPr>
          <w:sz w:val="20"/>
          <w:szCs w:val="20"/>
          <w:color w:val="auto"/>
        </w:rPr>
        <w:tab/>
      </w:r>
      <w:r>
        <w:rPr>
          <w:rFonts w:ascii="Arial" w:cs="Arial" w:eastAsia="Arial" w:hAnsi="Arial"/>
          <w:sz w:val="17"/>
          <w:szCs w:val="17"/>
          <w:u w:val="single" w:color="auto"/>
          <w:color w:val="auto"/>
        </w:rPr>
        <w:t>Form of Notice of Restricted Stock Grant and FNF Director Restricted Stock Award Agreement under Amended and Restated Fidelity National Financial, Inc. 2005 Omnibus Incentive Plan for November 2024 Awards (incorporated by reference to Exhibit 10.26 to the Registrant's Annual Report on Form 10-K for the year ended December 31, 2024)</w:t>
      </w:r>
    </w:p>
    <w:p>
      <w:pPr>
        <w:spacing w:after="0" w:line="17" w:lineRule="exact"/>
        <w:rPr>
          <w:sz w:val="20"/>
          <w:szCs w:val="20"/>
          <w:color w:val="auto"/>
        </w:rPr>
      </w:pPr>
    </w:p>
    <w:p>
      <w:pPr>
        <w:jc w:val="both"/>
        <w:ind w:left="600" w:hanging="598"/>
        <w:spacing w:after="0" w:line="219" w:lineRule="auto"/>
        <w:tabs>
          <w:tab w:leader="none" w:pos="580" w:val="left"/>
        </w:tabs>
        <w:rPr>
          <w:sz w:val="20"/>
          <w:szCs w:val="20"/>
          <w:color w:val="auto"/>
        </w:rPr>
      </w:pPr>
      <w:r>
        <w:rPr>
          <w:rFonts w:ascii="Arial" w:cs="Arial" w:eastAsia="Arial" w:hAnsi="Arial"/>
          <w:sz w:val="20"/>
          <w:szCs w:val="20"/>
          <w:color w:val="auto"/>
        </w:rPr>
        <w:t>10.25</w:t>
      </w:r>
      <w:r>
        <w:rPr>
          <w:sz w:val="20"/>
          <w:szCs w:val="20"/>
          <w:color w:val="auto"/>
        </w:rPr>
        <w:tab/>
      </w:r>
      <w:r>
        <w:rPr>
          <w:rFonts w:ascii="Arial" w:cs="Arial" w:eastAsia="Arial" w:hAnsi="Arial"/>
          <w:sz w:val="20"/>
          <w:szCs w:val="20"/>
          <w:u w:val="single" w:color="auto"/>
          <w:color w:val="auto"/>
        </w:rPr>
        <w:t>Form of Notice of Restricted Stock Grant and FNF Restricted Stock Award Agreement for William P. Foley, II under Amended and Restated Fidelity National Financial, Inc. 2005 Omnibus Incentive Plan for November 2024 Award (incorporated by reference to Exhibit 10.27 to the Registrant's Annual Report on Form 10-K for the year ended December 31, 2024)</w:t>
      </w:r>
    </w:p>
    <w:p>
      <w:pPr>
        <w:spacing w:after="0" w:line="43" w:lineRule="exact"/>
        <w:rPr>
          <w:sz w:val="20"/>
          <w:szCs w:val="20"/>
          <w:color w:val="auto"/>
        </w:rPr>
      </w:pPr>
    </w:p>
    <w:p>
      <w:pPr>
        <w:ind w:left="600" w:right="280" w:hanging="598"/>
        <w:spacing w:after="0" w:line="297" w:lineRule="auto"/>
        <w:tabs>
          <w:tab w:leader="none" w:pos="580" w:val="left"/>
        </w:tabs>
        <w:rPr>
          <w:sz w:val="20"/>
          <w:szCs w:val="20"/>
          <w:color w:val="auto"/>
        </w:rPr>
      </w:pPr>
      <w:r>
        <w:rPr>
          <w:rFonts w:ascii="Arial" w:cs="Arial" w:eastAsia="Arial" w:hAnsi="Arial"/>
          <w:sz w:val="20"/>
          <w:szCs w:val="20"/>
          <w:color w:val="auto"/>
        </w:rPr>
        <w:t>10.26</w:t>
      </w:r>
      <w:r>
        <w:rPr>
          <w:sz w:val="20"/>
          <w:szCs w:val="20"/>
          <w:color w:val="auto"/>
        </w:rPr>
        <w:tab/>
      </w:r>
      <w:r>
        <w:rPr>
          <w:rFonts w:ascii="Arial" w:cs="Arial" w:eastAsia="Arial" w:hAnsi="Arial"/>
          <w:sz w:val="17"/>
          <w:szCs w:val="17"/>
          <w:u w:val="single" w:color="auto"/>
          <w:color w:val="auto"/>
        </w:rPr>
        <w:t>Form of Notice of Restricted Stock Grant and FNF Employee Restricted Stock Award Agreement under Amended and Restated Fidelity National Financial, Inc. 2005 Omnibus Incentive Plan for November 2025 Awards</w:t>
      </w:r>
    </w:p>
    <w:p>
      <w:pPr>
        <w:spacing w:after="0" w:line="1" w:lineRule="exact"/>
        <w:rPr>
          <w:sz w:val="20"/>
          <w:szCs w:val="20"/>
          <w:color w:val="auto"/>
        </w:rPr>
      </w:pPr>
    </w:p>
    <w:p>
      <w:pPr>
        <w:ind w:left="600" w:right="100" w:hanging="598"/>
        <w:spacing w:after="0" w:line="297" w:lineRule="auto"/>
        <w:tabs>
          <w:tab w:leader="none" w:pos="580" w:val="left"/>
        </w:tabs>
        <w:rPr>
          <w:sz w:val="20"/>
          <w:szCs w:val="20"/>
          <w:color w:val="auto"/>
        </w:rPr>
      </w:pPr>
      <w:r>
        <w:rPr>
          <w:rFonts w:ascii="Arial" w:cs="Arial" w:eastAsia="Arial" w:hAnsi="Arial"/>
          <w:sz w:val="20"/>
          <w:szCs w:val="20"/>
          <w:color w:val="auto"/>
        </w:rPr>
        <w:t>10.27</w:t>
      </w:r>
      <w:r>
        <w:rPr>
          <w:sz w:val="20"/>
          <w:szCs w:val="20"/>
          <w:color w:val="auto"/>
        </w:rPr>
        <w:tab/>
      </w:r>
      <w:r>
        <w:rPr>
          <w:rFonts w:ascii="Arial" w:cs="Arial" w:eastAsia="Arial" w:hAnsi="Arial"/>
          <w:sz w:val="17"/>
          <w:szCs w:val="17"/>
          <w:u w:val="single" w:color="auto"/>
          <w:color w:val="auto"/>
        </w:rPr>
        <w:t>Form of Notice of Restricted Stock Grant and FNF Director Restricted Stock Award Agreement under Amended and Restated Fidelity National Financial, Inc. 2005 Omnibus Incentive Plan for November 2025 Awards</w:t>
      </w:r>
    </w:p>
    <w:p>
      <w:pPr>
        <w:jc w:val="center"/>
        <w:ind w:right="160"/>
        <w:spacing w:after="0"/>
        <w:tabs>
          <w:tab w:leader="none" w:pos="140" w:val="left"/>
        </w:tabs>
        <w:rPr>
          <w:sz w:val="20"/>
          <w:szCs w:val="20"/>
          <w:color w:val="auto"/>
        </w:rPr>
      </w:pPr>
      <w:r>
        <w:rPr>
          <w:rFonts w:ascii="Arial" w:cs="Arial" w:eastAsia="Arial" w:hAnsi="Arial"/>
          <w:sz w:val="20"/>
          <w:szCs w:val="20"/>
          <w:color w:val="auto"/>
        </w:rPr>
        <w:t>10.28</w:t>
      </w:r>
      <w:r>
        <w:rPr>
          <w:sz w:val="20"/>
          <w:szCs w:val="20"/>
          <w:color w:val="auto"/>
        </w:rPr>
        <w:tab/>
      </w:r>
      <w:r>
        <w:rPr>
          <w:rFonts w:ascii="Arial" w:cs="Arial" w:eastAsia="Arial" w:hAnsi="Arial"/>
          <w:sz w:val="17"/>
          <w:szCs w:val="17"/>
          <w:u w:val="single" w:color="auto"/>
          <w:color w:val="auto"/>
        </w:rPr>
        <w:t>Amendment effective November 1, 2019 to Amended and Restated Employment Agreement between the Registrant</w:t>
      </w:r>
    </w:p>
    <w:p>
      <w:pPr>
        <w:spacing w:after="0" w:line="1" w:lineRule="exact"/>
        <w:rPr>
          <w:sz w:val="20"/>
          <w:szCs w:val="20"/>
          <w:color w:val="auto"/>
        </w:rPr>
      </w:pPr>
    </w:p>
    <w:p>
      <w:pPr>
        <w:ind w:left="600" w:right="780"/>
        <w:spacing w:after="0" w:line="223" w:lineRule="auto"/>
        <w:rPr>
          <w:sz w:val="20"/>
          <w:szCs w:val="20"/>
          <w:color w:val="auto"/>
        </w:rPr>
      </w:pPr>
      <w:r>
        <w:rPr>
          <w:rFonts w:ascii="Arial" w:cs="Arial" w:eastAsia="Arial" w:hAnsi="Arial"/>
          <w:sz w:val="20"/>
          <w:szCs w:val="20"/>
          <w:u w:val="single" w:color="auto"/>
          <w:color w:val="auto"/>
        </w:rPr>
        <w:t>and Michael L. Gravelle effective May 3, 2016 (incorporated by reference to Exhibit 10.2 to the Registrant's Quarterly Report on Form 10-Q for the quarter ended September 30, 2019) (1)</w:t>
      </w:r>
    </w:p>
    <w:p>
      <w:pPr>
        <w:spacing w:after="0" w:line="46" w:lineRule="exact"/>
        <w:rPr>
          <w:sz w:val="20"/>
          <w:szCs w:val="20"/>
          <w:color w:val="auto"/>
        </w:rPr>
      </w:pPr>
    </w:p>
    <w:p>
      <w:pPr>
        <w:jc w:val="both"/>
        <w:ind w:left="600" w:hanging="598"/>
        <w:spacing w:after="0" w:line="255" w:lineRule="auto"/>
        <w:tabs>
          <w:tab w:leader="none" w:pos="580" w:val="left"/>
        </w:tabs>
        <w:rPr>
          <w:sz w:val="20"/>
          <w:szCs w:val="20"/>
          <w:color w:val="auto"/>
        </w:rPr>
      </w:pPr>
      <w:r>
        <w:rPr>
          <w:rFonts w:ascii="Arial" w:cs="Arial" w:eastAsia="Arial" w:hAnsi="Arial"/>
          <w:sz w:val="20"/>
          <w:szCs w:val="20"/>
          <w:color w:val="auto"/>
        </w:rPr>
        <w:t>10.29</w:t>
      </w:r>
      <w:r>
        <w:rPr>
          <w:sz w:val="20"/>
          <w:szCs w:val="20"/>
          <w:color w:val="auto"/>
        </w:rPr>
        <w:tab/>
      </w:r>
      <w:r>
        <w:rPr>
          <w:rFonts w:ascii="Arial" w:cs="Arial" w:eastAsia="Arial" w:hAnsi="Arial"/>
          <w:sz w:val="19"/>
          <w:szCs w:val="19"/>
          <w:u w:val="single" w:color="auto"/>
          <w:color w:val="auto"/>
        </w:rPr>
        <w:t>FGL Holdings 2017 Omnibus Incentive Plan, as amended and restated through June 1, 2020 (incorporated by reference to Exhibit 99.1 to the Registrant’s Registration Statement on Form S-8 filed on June 1, 2020) (1)</w:t>
      </w:r>
    </w:p>
    <w:p>
      <w:pPr>
        <w:spacing w:after="0" w:line="80" w:lineRule="exact"/>
        <w:rPr>
          <w:sz w:val="20"/>
          <w:szCs w:val="20"/>
          <w:color w:val="auto"/>
        </w:rPr>
      </w:pPr>
    </w:p>
    <w:p>
      <w:pPr>
        <w:jc w:val="both"/>
        <w:ind w:left="600" w:hanging="598"/>
        <w:spacing w:after="0" w:line="313" w:lineRule="auto"/>
        <w:tabs>
          <w:tab w:leader="none" w:pos="580" w:val="left"/>
        </w:tabs>
        <w:rPr>
          <w:sz w:val="20"/>
          <w:szCs w:val="20"/>
          <w:color w:val="auto"/>
        </w:rPr>
      </w:pPr>
      <w:r>
        <w:rPr>
          <w:rFonts w:ascii="Arial" w:cs="Arial" w:eastAsia="Arial" w:hAnsi="Arial"/>
          <w:sz w:val="20"/>
          <w:szCs w:val="20"/>
          <w:color w:val="auto"/>
        </w:rPr>
        <w:t>10.30</w:t>
      </w:r>
      <w:r>
        <w:rPr>
          <w:sz w:val="20"/>
          <w:szCs w:val="20"/>
          <w:color w:val="auto"/>
        </w:rPr>
        <w:tab/>
      </w:r>
      <w:r>
        <w:rPr>
          <w:rFonts w:ascii="Arial" w:cs="Arial" w:eastAsia="Arial" w:hAnsi="Arial"/>
          <w:sz w:val="17"/>
          <w:szCs w:val="17"/>
          <w:u w:val="single" w:color="auto"/>
          <w:color w:val="auto"/>
        </w:rPr>
        <w:t>F&amp;G Annuities &amp; Life, Inc. 2022 Omnibus Incentive Plan (incorporated by reference to Exhibit 10.4 to F&amp;G Annuities &amp; Life, Inc.’s Current Report on Form 8-K filed on December 1, 2022, SEC File Number 001-41490) (1)</w:t>
      </w:r>
    </w:p>
    <w:p>
      <w:pPr>
        <w:spacing w:after="0" w:line="34" w:lineRule="exact"/>
        <w:rPr>
          <w:sz w:val="20"/>
          <w:szCs w:val="20"/>
          <w:color w:val="auto"/>
        </w:rPr>
      </w:pPr>
    </w:p>
    <w:p>
      <w:pPr>
        <w:jc w:val="both"/>
        <w:ind w:left="600" w:hanging="598"/>
        <w:spacing w:after="0" w:line="224" w:lineRule="auto"/>
        <w:tabs>
          <w:tab w:leader="none" w:pos="580" w:val="left"/>
        </w:tabs>
        <w:rPr>
          <w:sz w:val="20"/>
          <w:szCs w:val="20"/>
          <w:color w:val="auto"/>
        </w:rPr>
      </w:pPr>
      <w:r>
        <w:rPr>
          <w:rFonts w:ascii="Arial" w:cs="Arial" w:eastAsia="Arial" w:hAnsi="Arial"/>
          <w:sz w:val="20"/>
          <w:szCs w:val="20"/>
          <w:color w:val="auto"/>
        </w:rPr>
        <w:t>10.31</w:t>
      </w:r>
      <w:r>
        <w:rPr>
          <w:sz w:val="20"/>
          <w:szCs w:val="20"/>
          <w:color w:val="auto"/>
        </w:rPr>
        <w:tab/>
      </w:r>
      <w:r>
        <w:rPr>
          <w:rFonts w:ascii="Arial" w:cs="Arial" w:eastAsia="Arial" w:hAnsi="Arial"/>
          <w:sz w:val="20"/>
          <w:szCs w:val="20"/>
          <w:u w:val="single" w:color="auto"/>
          <w:color w:val="auto"/>
        </w:rPr>
        <w:t>Form of Notice of F&amp;G Director Restricted Stock Grant dated November 8, 2024, under F&amp;G 2022 Omnibus Incentive Plan (incorporated by reference to Exhibit 10.31 to the Registrant's Annual Report on Form 10-K for the year ended December 31, 2024).</w:t>
      </w:r>
    </w:p>
    <w:p>
      <w:pPr>
        <w:spacing w:after="0" w:line="47" w:lineRule="exact"/>
        <w:rPr>
          <w:sz w:val="20"/>
          <w:szCs w:val="20"/>
          <w:color w:val="auto"/>
        </w:rPr>
      </w:pPr>
    </w:p>
    <w:p>
      <w:pPr>
        <w:jc w:val="both"/>
        <w:ind w:left="600" w:hanging="598"/>
        <w:spacing w:after="0" w:line="313" w:lineRule="auto"/>
        <w:tabs>
          <w:tab w:leader="none" w:pos="580" w:val="left"/>
        </w:tabs>
        <w:rPr>
          <w:sz w:val="20"/>
          <w:szCs w:val="20"/>
          <w:color w:val="auto"/>
        </w:rPr>
      </w:pPr>
      <w:r>
        <w:rPr>
          <w:rFonts w:ascii="Arial" w:cs="Arial" w:eastAsia="Arial" w:hAnsi="Arial"/>
          <w:sz w:val="20"/>
          <w:szCs w:val="20"/>
          <w:color w:val="auto"/>
        </w:rPr>
        <w:t>10.32</w:t>
      </w:r>
      <w:r>
        <w:rPr>
          <w:sz w:val="20"/>
          <w:szCs w:val="20"/>
          <w:color w:val="auto"/>
        </w:rPr>
        <w:tab/>
      </w:r>
      <w:r>
        <w:rPr>
          <w:rFonts w:ascii="Arial" w:cs="Arial" w:eastAsia="Arial" w:hAnsi="Arial"/>
          <w:sz w:val="17"/>
          <w:szCs w:val="17"/>
          <w:u w:val="single" w:color="auto"/>
          <w:color w:val="auto"/>
        </w:rPr>
        <w:t>F&amp;G Annuities &amp; Life, Inc. Employee Stock Purchase Plan (incorporated by reference to Exhibit 10.5 to F&amp;G Annuities &amp; Life, Inc.’s Current Report on Form 8-K filed on December 1, 2022, SEC File Number 001-41490) (1)</w:t>
      </w:r>
    </w:p>
    <w:p>
      <w:pPr>
        <w:spacing w:after="0" w:line="19" w:lineRule="exact"/>
        <w:rPr>
          <w:sz w:val="20"/>
          <w:szCs w:val="20"/>
          <w:color w:val="auto"/>
        </w:rPr>
      </w:pPr>
    </w:p>
    <w:p>
      <w:pPr>
        <w:jc w:val="both"/>
        <w:ind w:left="600" w:hanging="598"/>
        <w:spacing w:after="0" w:line="313" w:lineRule="auto"/>
        <w:tabs>
          <w:tab w:leader="none" w:pos="580" w:val="left"/>
        </w:tabs>
        <w:rPr>
          <w:sz w:val="20"/>
          <w:szCs w:val="20"/>
          <w:color w:val="auto"/>
        </w:rPr>
      </w:pPr>
      <w:r>
        <w:rPr>
          <w:rFonts w:ascii="Arial" w:cs="Arial" w:eastAsia="Arial" w:hAnsi="Arial"/>
          <w:sz w:val="20"/>
          <w:szCs w:val="20"/>
          <w:color w:val="auto"/>
        </w:rPr>
        <w:t>10.33</w:t>
      </w:r>
      <w:r>
        <w:rPr>
          <w:sz w:val="20"/>
          <w:szCs w:val="20"/>
          <w:color w:val="auto"/>
        </w:rPr>
        <w:tab/>
      </w:r>
      <w:r>
        <w:rPr>
          <w:rFonts w:ascii="Arial" w:cs="Arial" w:eastAsia="Arial" w:hAnsi="Arial"/>
          <w:sz w:val="17"/>
          <w:szCs w:val="17"/>
          <w:u w:val="single" w:color="auto"/>
          <w:color w:val="auto"/>
        </w:rPr>
        <w:t>F&amp;G Annuities &amp; Life, Inc. Deferred Compensation Plan (incorporated by reference to Exhibit 10.6 to F&amp;G Annuities &amp; Life, Inc.’s Current Report on Form 8-K filed on December 1, 2022, SEC File Number 001-41490) (1)</w:t>
      </w:r>
    </w:p>
    <w:p>
      <w:pPr>
        <w:spacing w:after="0" w:line="5" w:lineRule="exact"/>
        <w:rPr>
          <w:sz w:val="20"/>
          <w:szCs w:val="20"/>
          <w:color w:val="auto"/>
        </w:rPr>
      </w:pPr>
    </w:p>
    <w:p>
      <w:pPr>
        <w:jc w:val="both"/>
        <w:ind w:left="600" w:hanging="598"/>
        <w:spacing w:after="0" w:line="219" w:lineRule="auto"/>
        <w:tabs>
          <w:tab w:leader="none" w:pos="580" w:val="left"/>
        </w:tabs>
        <w:rPr>
          <w:sz w:val="20"/>
          <w:szCs w:val="20"/>
          <w:color w:val="auto"/>
        </w:rPr>
      </w:pPr>
      <w:r>
        <w:rPr>
          <w:rFonts w:ascii="Arial" w:cs="Arial" w:eastAsia="Arial" w:hAnsi="Arial"/>
          <w:sz w:val="20"/>
          <w:szCs w:val="20"/>
          <w:color w:val="auto"/>
        </w:rPr>
        <w:t>10.34</w:t>
      </w:r>
      <w:r>
        <w:rPr>
          <w:sz w:val="20"/>
          <w:szCs w:val="20"/>
          <w:color w:val="auto"/>
        </w:rPr>
        <w:tab/>
      </w:r>
      <w:r>
        <w:rPr>
          <w:rFonts w:ascii="Arial" w:cs="Arial" w:eastAsia="Arial" w:hAnsi="Arial"/>
          <w:sz w:val="20"/>
          <w:szCs w:val="20"/>
          <w:u w:val="single" w:color="auto"/>
          <w:color w:val="auto"/>
        </w:rPr>
        <w:t>Fifth Amended and Restated Credit Agreement, dated as of October 29, 2020, by and among Fidelity National Financial, Inc., as the Borrower, Bank of America, N.A., as administrative agent, and other agents party thereto (incorporated by reference to Exhibit 10.1 to the Registrant's Current Report on Form 8-K filed on November 4, 2020)</w:t>
      </w:r>
    </w:p>
    <w:p>
      <w:pPr>
        <w:spacing w:after="0" w:line="57" w:lineRule="exact"/>
        <w:rPr>
          <w:sz w:val="20"/>
          <w:szCs w:val="20"/>
          <w:color w:val="auto"/>
        </w:rPr>
      </w:pPr>
    </w:p>
    <w:p>
      <w:pPr>
        <w:jc w:val="both"/>
        <w:ind w:left="600" w:hanging="598"/>
        <w:spacing w:after="0" w:line="276" w:lineRule="auto"/>
        <w:tabs>
          <w:tab w:leader="none" w:pos="580" w:val="left"/>
        </w:tabs>
        <w:rPr>
          <w:sz w:val="20"/>
          <w:szCs w:val="20"/>
          <w:color w:val="auto"/>
        </w:rPr>
      </w:pPr>
      <w:r>
        <w:rPr>
          <w:rFonts w:ascii="Arial" w:cs="Arial" w:eastAsia="Arial" w:hAnsi="Arial"/>
          <w:sz w:val="20"/>
          <w:szCs w:val="20"/>
          <w:color w:val="auto"/>
        </w:rPr>
        <w:t>10.35</w:t>
      </w:r>
      <w:r>
        <w:rPr>
          <w:sz w:val="20"/>
          <w:szCs w:val="20"/>
          <w:color w:val="auto"/>
        </w:rPr>
        <w:tab/>
      </w:r>
      <w:r>
        <w:rPr>
          <w:rFonts w:ascii="Arial" w:cs="Arial" w:eastAsia="Arial" w:hAnsi="Arial"/>
          <w:sz w:val="17"/>
          <w:szCs w:val="17"/>
          <w:u w:val="single" w:color="auto"/>
          <w:color w:val="auto"/>
        </w:rPr>
        <w:t>Registration Rights Agreement, dated as of January 13, 2023, by and among F&amp;G Annuities &amp; Life, Inc., the guarantors named therein and BofA Securities, Inc., J.P. Morgan Securities LLC and RBC Capital Markets, LLC (incorporated by reference to Exhibit 10.1 to the Registrant's Current Report on Form 8-K filed on January 13, 2023)</w:t>
      </w:r>
    </w:p>
    <w:p>
      <w:pPr>
        <w:spacing w:after="0" w:line="17" w:lineRule="exact"/>
        <w:rPr>
          <w:sz w:val="20"/>
          <w:szCs w:val="20"/>
          <w:color w:val="auto"/>
        </w:rPr>
      </w:pPr>
    </w:p>
    <w:p>
      <w:pPr>
        <w:jc w:val="both"/>
        <w:ind w:left="600" w:hanging="598"/>
        <w:spacing w:after="0" w:line="224" w:lineRule="auto"/>
        <w:tabs>
          <w:tab w:leader="none" w:pos="580" w:val="left"/>
        </w:tabs>
        <w:rPr>
          <w:sz w:val="20"/>
          <w:szCs w:val="20"/>
          <w:color w:val="auto"/>
        </w:rPr>
      </w:pPr>
      <w:r>
        <w:rPr>
          <w:rFonts w:ascii="Arial" w:cs="Arial" w:eastAsia="Arial" w:hAnsi="Arial"/>
          <w:sz w:val="20"/>
          <w:szCs w:val="20"/>
          <w:color w:val="auto"/>
        </w:rPr>
        <w:t>10.36</w:t>
      </w:r>
      <w:r>
        <w:rPr>
          <w:sz w:val="20"/>
          <w:szCs w:val="20"/>
          <w:color w:val="auto"/>
        </w:rPr>
        <w:tab/>
      </w:r>
      <w:r>
        <w:rPr>
          <w:rFonts w:ascii="Arial" w:cs="Arial" w:eastAsia="Arial" w:hAnsi="Arial"/>
          <w:sz w:val="20"/>
          <w:szCs w:val="20"/>
          <w:u w:val="single" w:color="auto"/>
          <w:color w:val="auto"/>
        </w:rPr>
        <w:t>Investment Management Agreement, dated as of December 16, 2020, by and between F&amp;G Cayman Re Ltd. and Blackstone ISGI Advisors L.L.C. (incorporated by reference to Exhibit 10.1 to the Registrant's Quarterly Report on Form 10-Q for the quarter ended September 30, 2022)</w:t>
      </w:r>
    </w:p>
    <w:p>
      <w:pPr>
        <w:sectPr>
          <w:pgSz w:w="11880" w:h="15480" w:orient="portrait"/>
          <w:cols w:equalWidth="0" w:num="1">
            <w:col w:w="9860"/>
          </w:cols>
          <w:pgMar w:left="1060" w:top="846"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100"/>
        <w:spacing w:after="0"/>
        <w:rPr>
          <w:sz w:val="20"/>
          <w:szCs w:val="20"/>
          <w:color w:val="auto"/>
        </w:rPr>
      </w:pPr>
      <w:r>
        <w:rPr>
          <w:rFonts w:ascii="Arial" w:cs="Arial" w:eastAsia="Arial" w:hAnsi="Arial"/>
          <w:sz w:val="16"/>
          <w:szCs w:val="16"/>
          <w:color w:val="auto"/>
        </w:rPr>
        <w:t>197</w:t>
      </w:r>
    </w:p>
    <w:p>
      <w:pPr>
        <w:sectPr>
          <w:pgSz w:w="11880" w:h="15480" w:orient="portrait"/>
          <w:cols w:equalWidth="0" w:num="1">
            <w:col w:w="9860"/>
          </w:cols>
          <w:pgMar w:left="1060" w:top="846" w:right="960" w:bottom="0" w:gutter="0" w:footer="0" w:header="0"/>
          <w:type w:val="continuous"/>
        </w:sectPr>
      </w:pPr>
    </w:p>
    <w:bookmarkStart w:id="209" w:name="page210"/>
    <w:bookmarkEnd w:id="209"/>
    <w:tbl>
      <w:tblPr>
        <w:tblLayout w:type="fixed"/>
        <w:tblInd w:w="0" w:type="dxa"/>
        <w:tblCellMar>
          <w:top w:w="0" w:type="dxa"/>
          <w:left w:w="0" w:type="dxa"/>
          <w:bottom w:w="0" w:type="dxa"/>
          <w:right w:w="0" w:type="dxa"/>
        </w:tblCellMar>
      </w:tblPr>
      <w:tr>
        <w:trPr>
          <w:trHeight w:val="184"/>
        </w:trPr>
        <w:tc>
          <w:tcPr>
            <w:tcW w:w="2680" w:type="dxa"/>
            <w:vAlign w:val="bottom"/>
          </w:tcPr>
          <w:p>
            <w:pPr>
              <w:jc w:val="center"/>
              <w:ind w:right="2042"/>
              <w:spacing w:after="0"/>
              <w:rPr>
                <w:sz w:val="20"/>
                <w:szCs w:val="20"/>
                <w:color w:val="auto"/>
              </w:rPr>
            </w:pPr>
            <w:r>
              <w:rPr>
                <w:rFonts w:ascii="Arial" w:cs="Arial" w:eastAsia="Arial" w:hAnsi="Arial"/>
                <w:sz w:val="16"/>
                <w:szCs w:val="16"/>
                <w:b w:val="1"/>
                <w:bCs w:val="1"/>
                <w:color w:val="auto"/>
                <w:w w:val="89"/>
              </w:rPr>
              <w:t>Exhibit</w:t>
            </w:r>
          </w:p>
        </w:tc>
        <w:tc>
          <w:tcPr>
            <w:tcW w:w="3100" w:type="dxa"/>
            <w:vAlign w:val="bottom"/>
            <w:vMerge w:val="restart"/>
          </w:tcPr>
          <w:p>
            <w:pPr>
              <w:ind w:left="2140"/>
              <w:spacing w:after="0"/>
              <w:rPr>
                <w:sz w:val="20"/>
                <w:szCs w:val="20"/>
                <w:color w:val="auto"/>
              </w:rPr>
            </w:pPr>
            <w:r>
              <w:rPr>
                <w:rFonts w:ascii="Arial" w:cs="Arial" w:eastAsia="Arial" w:hAnsi="Arial"/>
                <w:sz w:val="20"/>
                <w:szCs w:val="20"/>
                <w:b w:val="1"/>
                <w:bCs w:val="1"/>
                <w:u w:val="single" w:color="auto"/>
                <w:color w:val="auto"/>
                <w:w w:val="85"/>
              </w:rPr>
              <w:t>Description</w:t>
            </w:r>
          </w:p>
        </w:tc>
        <w:tc>
          <w:tcPr>
            <w:tcW w:w="0" w:type="dxa"/>
            <w:vAlign w:val="bottom"/>
          </w:tcPr>
          <w:p>
            <w:pPr>
              <w:spacing w:after="0"/>
              <w:rPr>
                <w:sz w:val="1"/>
                <w:szCs w:val="1"/>
                <w:color w:val="auto"/>
              </w:rPr>
            </w:pPr>
          </w:p>
        </w:tc>
      </w:tr>
      <w:tr>
        <w:trPr>
          <w:trHeight w:val="206"/>
        </w:trPr>
        <w:tc>
          <w:tcPr>
            <w:tcW w:w="2680" w:type="dxa"/>
            <w:vAlign w:val="bottom"/>
          </w:tcPr>
          <w:p>
            <w:pPr>
              <w:jc w:val="center"/>
              <w:ind w:right="2042"/>
              <w:spacing w:after="0"/>
              <w:rPr>
                <w:sz w:val="20"/>
                <w:szCs w:val="20"/>
                <w:color w:val="auto"/>
              </w:rPr>
            </w:pPr>
            <w:r>
              <w:rPr>
                <w:rFonts w:ascii="Arial" w:cs="Arial" w:eastAsia="Arial" w:hAnsi="Arial"/>
                <w:sz w:val="16"/>
                <w:szCs w:val="16"/>
                <w:b w:val="1"/>
                <w:bCs w:val="1"/>
                <w:u w:val="single" w:color="auto"/>
                <w:color w:val="auto"/>
                <w:w w:val="92"/>
              </w:rPr>
              <w:t>Number</w:t>
            </w:r>
          </w:p>
        </w:tc>
        <w:tc>
          <w:tcPr>
            <w:tcW w:w="31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jc w:val="both"/>
        <w:ind w:left="680" w:hanging="598"/>
        <w:spacing w:after="0" w:line="224" w:lineRule="auto"/>
        <w:tabs>
          <w:tab w:leader="none" w:pos="660" w:val="left"/>
        </w:tabs>
        <w:rPr>
          <w:sz w:val="20"/>
          <w:szCs w:val="20"/>
          <w:color w:val="auto"/>
        </w:rPr>
      </w:pPr>
      <w:r>
        <w:rPr>
          <w:rFonts w:ascii="Arial" w:cs="Arial" w:eastAsia="Arial" w:hAnsi="Arial"/>
          <w:sz w:val="20"/>
          <w:szCs w:val="20"/>
          <w:color w:val="auto"/>
        </w:rPr>
        <w:t>10.37</w:t>
      </w:r>
      <w:r>
        <w:rPr>
          <w:sz w:val="20"/>
          <w:szCs w:val="20"/>
          <w:color w:val="auto"/>
        </w:rPr>
        <w:tab/>
      </w:r>
      <w:r>
        <w:rPr>
          <w:rFonts w:ascii="Arial" w:cs="Arial" w:eastAsia="Arial" w:hAnsi="Arial"/>
          <w:sz w:val="20"/>
          <w:szCs w:val="20"/>
          <w:u w:val="single" w:color="auto"/>
          <w:color w:val="auto"/>
        </w:rPr>
        <w:t>Investment Management Agreement, dated as of January 4, 2021, by and between F&amp;G Annuities &amp; Life, Inc. and Blackstone ISG-I Advisors L.L.C. (incorporated by reference to Exhibit 10.2 to the Registrant's Quarterly Report on Form 10-Q for the quarter ended September 30, 2022)</w:t>
      </w:r>
    </w:p>
    <w:p>
      <w:pPr>
        <w:spacing w:after="0" w:line="106" w:lineRule="exact"/>
        <w:rPr>
          <w:sz w:val="20"/>
          <w:szCs w:val="20"/>
          <w:color w:val="auto"/>
        </w:rPr>
      </w:pPr>
    </w:p>
    <w:p>
      <w:pPr>
        <w:jc w:val="both"/>
        <w:ind w:left="680" w:hanging="598"/>
        <w:spacing w:after="0" w:line="224" w:lineRule="auto"/>
        <w:tabs>
          <w:tab w:leader="none" w:pos="660" w:val="left"/>
        </w:tabs>
        <w:rPr>
          <w:sz w:val="20"/>
          <w:szCs w:val="20"/>
          <w:color w:val="auto"/>
        </w:rPr>
      </w:pPr>
      <w:r>
        <w:rPr>
          <w:rFonts w:ascii="Arial" w:cs="Arial" w:eastAsia="Arial" w:hAnsi="Arial"/>
          <w:sz w:val="20"/>
          <w:szCs w:val="20"/>
          <w:color w:val="auto"/>
        </w:rPr>
        <w:t>10.38</w:t>
      </w:r>
      <w:r>
        <w:rPr>
          <w:sz w:val="20"/>
          <w:szCs w:val="20"/>
          <w:color w:val="auto"/>
        </w:rPr>
        <w:tab/>
      </w:r>
      <w:r>
        <w:rPr>
          <w:rFonts w:ascii="Arial" w:cs="Arial" w:eastAsia="Arial" w:hAnsi="Arial"/>
          <w:sz w:val="20"/>
          <w:szCs w:val="20"/>
          <w:u w:val="single" w:color="auto"/>
          <w:color w:val="auto"/>
        </w:rPr>
        <w:t>Investment Management Agreement, dated as of July 29, 2021, by and between Fidelity &amp; Guaranty Life Insurance Company and Blackstone ISG-I Advisors L.L.C. (incorporated by reference to Exhibit 10.3 to the Registrant's Quarterly Report on Form 10-Q for the quarter ended September 30, 2022)</w:t>
      </w:r>
    </w:p>
    <w:p>
      <w:pPr>
        <w:spacing w:after="0" w:line="120" w:lineRule="exact"/>
        <w:rPr>
          <w:sz w:val="20"/>
          <w:szCs w:val="20"/>
          <w:color w:val="auto"/>
        </w:rPr>
      </w:pPr>
    </w:p>
    <w:p>
      <w:pPr>
        <w:jc w:val="both"/>
        <w:ind w:left="680" w:hanging="598"/>
        <w:spacing w:after="0" w:line="264" w:lineRule="auto"/>
        <w:tabs>
          <w:tab w:leader="none" w:pos="660" w:val="left"/>
        </w:tabs>
        <w:rPr>
          <w:sz w:val="20"/>
          <w:szCs w:val="20"/>
          <w:color w:val="auto"/>
        </w:rPr>
      </w:pPr>
      <w:r>
        <w:rPr>
          <w:rFonts w:ascii="Arial" w:cs="Arial" w:eastAsia="Arial" w:hAnsi="Arial"/>
          <w:sz w:val="20"/>
          <w:szCs w:val="20"/>
          <w:color w:val="auto"/>
        </w:rPr>
        <w:t>10.39</w:t>
      </w:r>
      <w:r>
        <w:rPr>
          <w:sz w:val="20"/>
          <w:szCs w:val="20"/>
          <w:color w:val="auto"/>
        </w:rPr>
        <w:tab/>
      </w:r>
      <w:r>
        <w:rPr>
          <w:rFonts w:ascii="Arial" w:cs="Arial" w:eastAsia="Arial" w:hAnsi="Arial"/>
          <w:sz w:val="17"/>
          <w:szCs w:val="17"/>
          <w:u w:val="single" w:color="auto"/>
          <w:color w:val="auto"/>
        </w:rPr>
        <w:t>Amended and Restated Amendment to Investment Management Agreements; IMA Omnibus Termination Side Letter; SMA Fee Agreement and Participation Fee Agreement, dated September 24, 2021, by and among F&amp;G Life &amp; Annuities, Inc., Fidelity National Financial, Inc. and Blackstone ISG-I Advisors L.L.C. (incorporated by reference to Exhibit 10.4 to the Registrant's Quarterly Report on Form 10-Q for the quarter ended September 30, 2022)</w:t>
      </w:r>
    </w:p>
    <w:p>
      <w:pPr>
        <w:spacing w:after="0" w:line="22" w:lineRule="exact"/>
        <w:rPr>
          <w:sz w:val="20"/>
          <w:szCs w:val="20"/>
          <w:color w:val="auto"/>
        </w:rPr>
      </w:pPr>
    </w:p>
    <w:p>
      <w:pPr>
        <w:jc w:val="both"/>
        <w:ind w:left="680" w:hanging="598"/>
        <w:spacing w:after="0" w:line="219" w:lineRule="auto"/>
        <w:tabs>
          <w:tab w:leader="none" w:pos="660" w:val="left"/>
        </w:tabs>
        <w:rPr>
          <w:sz w:val="20"/>
          <w:szCs w:val="20"/>
          <w:color w:val="auto"/>
        </w:rPr>
      </w:pPr>
      <w:r>
        <w:rPr>
          <w:rFonts w:ascii="Arial" w:cs="Arial" w:eastAsia="Arial" w:hAnsi="Arial"/>
          <w:sz w:val="20"/>
          <w:szCs w:val="20"/>
          <w:color w:val="auto"/>
        </w:rPr>
        <w:t>10.40</w:t>
      </w:r>
      <w:r>
        <w:rPr>
          <w:sz w:val="20"/>
          <w:szCs w:val="20"/>
          <w:color w:val="auto"/>
        </w:rPr>
        <w:tab/>
      </w:r>
      <w:r>
        <w:rPr>
          <w:rFonts w:ascii="Arial" w:cs="Arial" w:eastAsia="Arial" w:hAnsi="Arial"/>
          <w:sz w:val="20"/>
          <w:szCs w:val="20"/>
          <w:u w:val="single" w:color="auto"/>
          <w:color w:val="auto"/>
        </w:rPr>
        <w:t>Credit Agreement, dated as of November 22, 2022, by and among F&amp;G Annuities &amp; Life, Inc., a Delaware corporation, as the borrower, the guarantors party thereto, Bank of America, N.A., as administrative agent, and the financial institutions party thereto as lenders (incorporated by reference to Exhibit 10.1 to the Registrant's Current Report on Form 8-K filed on November 22, 2022)</w:t>
      </w:r>
    </w:p>
    <w:p>
      <w:pPr>
        <w:spacing w:after="0" w:line="43" w:lineRule="exact"/>
        <w:rPr>
          <w:sz w:val="20"/>
          <w:szCs w:val="20"/>
          <w:color w:val="auto"/>
        </w:rPr>
      </w:pPr>
    </w:p>
    <w:p>
      <w:pPr>
        <w:jc w:val="both"/>
        <w:ind w:left="680" w:hanging="598"/>
        <w:spacing w:after="0" w:line="224" w:lineRule="auto"/>
        <w:tabs>
          <w:tab w:leader="none" w:pos="660" w:val="left"/>
        </w:tabs>
        <w:rPr>
          <w:sz w:val="20"/>
          <w:szCs w:val="20"/>
          <w:color w:val="auto"/>
        </w:rPr>
      </w:pPr>
      <w:r>
        <w:rPr>
          <w:rFonts w:ascii="Arial" w:cs="Arial" w:eastAsia="Arial" w:hAnsi="Arial"/>
          <w:sz w:val="20"/>
          <w:szCs w:val="20"/>
          <w:color w:val="auto"/>
        </w:rPr>
        <w:t>10.41</w:t>
      </w:r>
      <w:r>
        <w:rPr>
          <w:sz w:val="20"/>
          <w:szCs w:val="20"/>
          <w:color w:val="auto"/>
        </w:rPr>
        <w:tab/>
      </w:r>
      <w:r>
        <w:rPr>
          <w:rFonts w:ascii="Arial" w:cs="Arial" w:eastAsia="Arial" w:hAnsi="Arial"/>
          <w:sz w:val="20"/>
          <w:szCs w:val="20"/>
          <w:u w:val="single" w:color="auto"/>
          <w:color w:val="auto"/>
        </w:rPr>
        <w:t>Corporate Services Agreement, dated as of November 30, 2022, between Fidelity National Financial, Inc. and F&amp;G Annuities &amp; Life, Inc. (incorporated by reference to Exhibit 99.2 to the Registrant's Current Report on Form 8-K filed on December 1, 2022)</w:t>
      </w:r>
    </w:p>
    <w:p>
      <w:pPr>
        <w:spacing w:after="0" w:line="76" w:lineRule="exact"/>
        <w:rPr>
          <w:sz w:val="20"/>
          <w:szCs w:val="20"/>
          <w:color w:val="auto"/>
        </w:rPr>
      </w:pPr>
    </w:p>
    <w:p>
      <w:pPr>
        <w:jc w:val="both"/>
        <w:ind w:left="680" w:hanging="598"/>
        <w:spacing w:after="0" w:line="224" w:lineRule="auto"/>
        <w:tabs>
          <w:tab w:leader="none" w:pos="660" w:val="left"/>
        </w:tabs>
        <w:rPr>
          <w:sz w:val="20"/>
          <w:szCs w:val="20"/>
          <w:color w:val="auto"/>
        </w:rPr>
      </w:pPr>
      <w:r>
        <w:rPr>
          <w:rFonts w:ascii="Arial" w:cs="Arial" w:eastAsia="Arial" w:hAnsi="Arial"/>
          <w:sz w:val="20"/>
          <w:szCs w:val="20"/>
          <w:color w:val="auto"/>
        </w:rPr>
        <w:t>10.42</w:t>
      </w:r>
      <w:r>
        <w:rPr>
          <w:sz w:val="20"/>
          <w:szCs w:val="20"/>
          <w:color w:val="auto"/>
        </w:rPr>
        <w:tab/>
      </w:r>
      <w:r>
        <w:rPr>
          <w:rFonts w:ascii="Arial" w:cs="Arial" w:eastAsia="Arial" w:hAnsi="Arial"/>
          <w:sz w:val="20"/>
          <w:szCs w:val="20"/>
          <w:u w:val="single" w:color="auto"/>
          <w:color w:val="auto"/>
        </w:rPr>
        <w:t>Reverse Corporate Services Agreement, dated as of November 30, 2022, between Fidelity National Financial, Inc. and F&amp;G Annuities &amp; Life, Inc. (incorporated by reference to Exhibit 99.3 to the Registrant's Current Report on Form 8-K filed on December 1, 2022)</w:t>
      </w:r>
    </w:p>
    <w:p>
      <w:pPr>
        <w:spacing w:after="0" w:line="76" w:lineRule="exact"/>
        <w:rPr>
          <w:sz w:val="20"/>
          <w:szCs w:val="20"/>
          <w:color w:val="auto"/>
        </w:rPr>
      </w:pPr>
    </w:p>
    <w:p>
      <w:pPr>
        <w:jc w:val="both"/>
        <w:ind w:left="680" w:hanging="598"/>
        <w:spacing w:after="0" w:line="224" w:lineRule="auto"/>
        <w:tabs>
          <w:tab w:leader="none" w:pos="660" w:val="left"/>
        </w:tabs>
        <w:rPr>
          <w:sz w:val="20"/>
          <w:szCs w:val="20"/>
          <w:color w:val="auto"/>
        </w:rPr>
      </w:pPr>
      <w:r>
        <w:rPr>
          <w:rFonts w:ascii="Arial" w:cs="Arial" w:eastAsia="Arial" w:hAnsi="Arial"/>
          <w:sz w:val="20"/>
          <w:szCs w:val="20"/>
          <w:color w:val="auto"/>
        </w:rPr>
        <w:t>10.43</w:t>
      </w:r>
      <w:r>
        <w:rPr>
          <w:sz w:val="20"/>
          <w:szCs w:val="20"/>
          <w:color w:val="auto"/>
        </w:rPr>
        <w:tab/>
      </w:r>
      <w:r>
        <w:rPr>
          <w:rFonts w:ascii="Arial" w:cs="Arial" w:eastAsia="Arial" w:hAnsi="Arial"/>
          <w:sz w:val="20"/>
          <w:szCs w:val="20"/>
          <w:u w:val="single" w:color="auto"/>
          <w:color w:val="auto"/>
        </w:rPr>
        <w:t>Tax Sharing Agreement, dated as of November 30, 2022, between Fidelity National Financial, Inc. and F&amp;G Annuities &amp; Life, Inc. (incorporated by reference to Exhibit 99.4 to the Registrant's Current Report on Form 8-K filed on December 1, 2022)</w:t>
      </w:r>
    </w:p>
    <w:p>
      <w:pPr>
        <w:spacing w:after="0" w:line="76" w:lineRule="exact"/>
        <w:rPr>
          <w:sz w:val="20"/>
          <w:szCs w:val="20"/>
          <w:color w:val="auto"/>
        </w:rPr>
      </w:pPr>
    </w:p>
    <w:p>
      <w:pPr>
        <w:jc w:val="both"/>
        <w:ind w:left="680" w:hanging="598"/>
        <w:spacing w:after="0" w:line="224" w:lineRule="auto"/>
        <w:tabs>
          <w:tab w:leader="none" w:pos="660" w:val="left"/>
        </w:tabs>
        <w:rPr>
          <w:sz w:val="20"/>
          <w:szCs w:val="20"/>
          <w:color w:val="auto"/>
        </w:rPr>
      </w:pPr>
      <w:r>
        <w:rPr>
          <w:rFonts w:ascii="Arial" w:cs="Arial" w:eastAsia="Arial" w:hAnsi="Arial"/>
          <w:sz w:val="20"/>
          <w:szCs w:val="20"/>
          <w:color w:val="auto"/>
        </w:rPr>
        <w:t>10.44</w:t>
      </w:r>
      <w:r>
        <w:rPr>
          <w:sz w:val="20"/>
          <w:szCs w:val="20"/>
          <w:color w:val="auto"/>
        </w:rPr>
        <w:tab/>
      </w:r>
      <w:r>
        <w:rPr>
          <w:rFonts w:ascii="Arial" w:cs="Arial" w:eastAsia="Arial" w:hAnsi="Arial"/>
          <w:sz w:val="20"/>
          <w:szCs w:val="20"/>
          <w:u w:val="single" w:color="auto"/>
          <w:color w:val="auto"/>
        </w:rPr>
        <w:t>First Amendment to Credit Agreement, dated as of February 21, 2023, among F&amp;G Annuities &amp; Life, Inc. and the Guarantor parties and Lender parties signatory thereto (incorporated by reference to Exhibit 10.41 to the Registrant's Annual Report on Form 10-K for the year ended December 31, 2023).</w:t>
      </w:r>
    </w:p>
    <w:p>
      <w:pPr>
        <w:spacing w:after="0" w:line="47" w:lineRule="exact"/>
        <w:rPr>
          <w:sz w:val="20"/>
          <w:szCs w:val="20"/>
          <w:color w:val="auto"/>
        </w:rPr>
      </w:pPr>
    </w:p>
    <w:p>
      <w:pPr>
        <w:jc w:val="both"/>
        <w:ind w:left="680" w:hanging="598"/>
        <w:spacing w:after="0" w:line="224" w:lineRule="auto"/>
        <w:tabs>
          <w:tab w:leader="none" w:pos="660" w:val="left"/>
        </w:tabs>
        <w:rPr>
          <w:sz w:val="20"/>
          <w:szCs w:val="20"/>
          <w:color w:val="auto"/>
        </w:rPr>
      </w:pPr>
      <w:r>
        <w:rPr>
          <w:rFonts w:ascii="Arial" w:cs="Arial" w:eastAsia="Arial" w:hAnsi="Arial"/>
          <w:sz w:val="20"/>
          <w:szCs w:val="20"/>
          <w:color w:val="auto"/>
        </w:rPr>
        <w:t>10.45</w:t>
      </w:r>
      <w:r>
        <w:rPr>
          <w:sz w:val="20"/>
          <w:szCs w:val="20"/>
          <w:color w:val="auto"/>
        </w:rPr>
        <w:tab/>
      </w:r>
      <w:r>
        <w:rPr>
          <w:rFonts w:ascii="Arial" w:cs="Arial" w:eastAsia="Arial" w:hAnsi="Arial"/>
          <w:sz w:val="20"/>
          <w:szCs w:val="20"/>
          <w:u w:val="single" w:color="auto"/>
          <w:color w:val="auto"/>
        </w:rPr>
        <w:t>Amended and Restated Employment Agreement between the Registrant and Michael L. Gravelle, effective as of January 1, 2010 (incorporated by reference to Exhibit 10.22 to the Registrant's Annual Report on Form 10-K for the year ended December 31, 2009)</w:t>
      </w:r>
    </w:p>
    <w:p>
      <w:pPr>
        <w:spacing w:after="0" w:line="165" w:lineRule="exact"/>
        <w:rPr>
          <w:sz w:val="20"/>
          <w:szCs w:val="20"/>
          <w:color w:val="auto"/>
        </w:rPr>
      </w:pPr>
    </w:p>
    <w:p>
      <w:pPr>
        <w:jc w:val="both"/>
        <w:ind w:left="680" w:hanging="598"/>
        <w:spacing w:after="0" w:line="224" w:lineRule="auto"/>
        <w:tabs>
          <w:tab w:leader="none" w:pos="660" w:val="left"/>
        </w:tabs>
        <w:rPr>
          <w:sz w:val="20"/>
          <w:szCs w:val="20"/>
          <w:color w:val="auto"/>
        </w:rPr>
      </w:pPr>
      <w:r>
        <w:rPr>
          <w:rFonts w:ascii="Arial" w:cs="Arial" w:eastAsia="Arial" w:hAnsi="Arial"/>
          <w:sz w:val="20"/>
          <w:szCs w:val="20"/>
          <w:color w:val="auto"/>
        </w:rPr>
        <w:t>10.46</w:t>
      </w:r>
      <w:r>
        <w:rPr>
          <w:sz w:val="20"/>
          <w:szCs w:val="20"/>
          <w:color w:val="auto"/>
        </w:rPr>
        <w:tab/>
      </w:r>
      <w:r>
        <w:rPr>
          <w:rFonts w:ascii="Arial" w:cs="Arial" w:eastAsia="Arial" w:hAnsi="Arial"/>
          <w:sz w:val="20"/>
          <w:szCs w:val="20"/>
          <w:u w:val="single" w:color="auto"/>
          <w:color w:val="auto"/>
        </w:rPr>
        <w:t>Eighth Supplemental Indenture, dated as of April 22, 2024, between Fidelity National Financial, Inc. and The Bank of New York Mellon Trust Company, N.A. (incorporated by reference to Exhibit 4.1 to Registrant's Current Report on Form 8-K filed on April 23, 2024).</w:t>
      </w:r>
    </w:p>
    <w:p>
      <w:pPr>
        <w:spacing w:after="0" w:line="165" w:lineRule="exact"/>
        <w:rPr>
          <w:sz w:val="20"/>
          <w:szCs w:val="20"/>
          <w:color w:val="auto"/>
        </w:rPr>
      </w:pPr>
    </w:p>
    <w:p>
      <w:pPr>
        <w:jc w:val="both"/>
        <w:ind w:left="680" w:hanging="598"/>
        <w:spacing w:after="0" w:line="219" w:lineRule="auto"/>
        <w:tabs>
          <w:tab w:leader="none" w:pos="660" w:val="left"/>
        </w:tabs>
        <w:rPr>
          <w:sz w:val="20"/>
          <w:szCs w:val="20"/>
          <w:color w:val="auto"/>
        </w:rPr>
      </w:pPr>
      <w:r>
        <w:rPr>
          <w:rFonts w:ascii="Arial" w:cs="Arial" w:eastAsia="Arial" w:hAnsi="Arial"/>
          <w:sz w:val="20"/>
          <w:szCs w:val="20"/>
          <w:color w:val="auto"/>
        </w:rPr>
        <w:t>10.47</w:t>
      </w:r>
      <w:r>
        <w:rPr>
          <w:sz w:val="20"/>
          <w:szCs w:val="20"/>
          <w:color w:val="auto"/>
        </w:rPr>
        <w:tab/>
      </w:r>
      <w:r>
        <w:rPr>
          <w:rFonts w:ascii="Arial" w:cs="Arial" w:eastAsia="Arial" w:hAnsi="Arial"/>
          <w:sz w:val="20"/>
          <w:szCs w:val="20"/>
          <w:u w:val="single" w:color="auto"/>
          <w:color w:val="auto"/>
        </w:rPr>
        <w:t>Sixth Amended and Restated Credit Agreement, dated as of February 16, 2024, by and among Fidelity National Financial, Inc., a Delaware corporation, as the borrower, Bank of America, N.A., as administrative agent, and the financial institutions party thereto as lenders (incorporated by reference to Exhibit 10.1 to the Registrant’s Current Report on Form 8-K filed on February 16, 2024).</w:t>
      </w:r>
    </w:p>
    <w:p>
      <w:pPr>
        <w:spacing w:after="0" w:line="43" w:lineRule="exact"/>
        <w:rPr>
          <w:sz w:val="20"/>
          <w:szCs w:val="20"/>
          <w:color w:val="auto"/>
        </w:rPr>
      </w:pPr>
    </w:p>
    <w:p>
      <w:pPr>
        <w:jc w:val="both"/>
        <w:ind w:left="680" w:hanging="598"/>
        <w:spacing w:after="0" w:line="219" w:lineRule="auto"/>
        <w:tabs>
          <w:tab w:leader="none" w:pos="660" w:val="left"/>
        </w:tabs>
        <w:rPr>
          <w:sz w:val="20"/>
          <w:szCs w:val="20"/>
          <w:color w:val="auto"/>
        </w:rPr>
      </w:pPr>
      <w:r>
        <w:rPr>
          <w:rFonts w:ascii="Arial" w:cs="Arial" w:eastAsia="Arial" w:hAnsi="Arial"/>
          <w:sz w:val="20"/>
          <w:szCs w:val="20"/>
          <w:color w:val="auto"/>
        </w:rPr>
        <w:t>10.48</w:t>
      </w:r>
      <w:r>
        <w:rPr>
          <w:sz w:val="20"/>
          <w:szCs w:val="20"/>
          <w:color w:val="auto"/>
        </w:rPr>
        <w:tab/>
      </w:r>
      <w:r>
        <w:rPr>
          <w:rFonts w:ascii="Arial" w:cs="Arial" w:eastAsia="Arial" w:hAnsi="Arial"/>
          <w:sz w:val="20"/>
          <w:szCs w:val="20"/>
          <w:u w:val="single" w:color="auto"/>
          <w:color w:val="auto"/>
        </w:rPr>
        <w:t>Amended and Restated Credit Agreement, dated as of February 16, 2024, by and among F&amp;G Annuities &amp; Life, Inc., a Delaware corporation, as the borrower, the guarantors party thereto, Bank of America, N.A., as administrative agent, and the financial institutions party thereto as lenders (incorporated by reference to Exhibit 10.2 to the Registrant’s Current Report on Form 8-K filed on February 16, 2024).</w:t>
      </w:r>
    </w:p>
    <w:p>
      <w:pPr>
        <w:spacing w:after="0" w:line="43" w:lineRule="exact"/>
        <w:rPr>
          <w:sz w:val="20"/>
          <w:szCs w:val="20"/>
          <w:color w:val="auto"/>
        </w:rPr>
      </w:pPr>
    </w:p>
    <w:p>
      <w:pPr>
        <w:jc w:val="both"/>
        <w:ind w:left="680" w:hanging="598"/>
        <w:spacing w:after="0" w:line="276" w:lineRule="auto"/>
        <w:tabs>
          <w:tab w:leader="none" w:pos="660" w:val="left"/>
        </w:tabs>
        <w:rPr>
          <w:sz w:val="20"/>
          <w:szCs w:val="20"/>
          <w:color w:val="auto"/>
        </w:rPr>
      </w:pPr>
      <w:r>
        <w:rPr>
          <w:rFonts w:ascii="Arial" w:cs="Arial" w:eastAsia="Arial" w:hAnsi="Arial"/>
          <w:sz w:val="20"/>
          <w:szCs w:val="20"/>
          <w:color w:val="auto"/>
        </w:rPr>
        <w:t>10.49</w:t>
      </w:r>
      <w:r>
        <w:rPr>
          <w:sz w:val="20"/>
          <w:szCs w:val="20"/>
          <w:color w:val="auto"/>
        </w:rPr>
        <w:tab/>
      </w:r>
      <w:r>
        <w:rPr>
          <w:rFonts w:ascii="Arial" w:cs="Arial" w:eastAsia="Arial" w:hAnsi="Arial"/>
          <w:sz w:val="17"/>
          <w:szCs w:val="17"/>
          <w:u w:val="single" w:color="auto"/>
          <w:color w:val="auto"/>
        </w:rPr>
        <w:t>Fourth Supplemental Indenture relating to F&amp;G Annuities &amp; Life, Inc.’s 6.500% senior notes due 2029, dated as of June 4, 2024, among F&amp;G Annuities &amp; Life, Inc., the guarantors named therein and Citibank, N.A., as trustee. (incorporated by reference to Exhibit 4.1 to Registrant's Current Report on Form 8-K filed on June 4, 2024).</w:t>
      </w:r>
    </w:p>
    <w:p>
      <w:pPr>
        <w:sectPr>
          <w:pgSz w:w="11880" w:h="15480" w:orient="portrait"/>
          <w:cols w:equalWidth="0" w:num="1">
            <w:col w:w="9940"/>
          </w:cols>
          <w:pgMar w:left="980" w:top="841"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198</w:t>
      </w:r>
    </w:p>
    <w:p>
      <w:pPr>
        <w:sectPr>
          <w:pgSz w:w="11880" w:h="15480" w:orient="portrait"/>
          <w:cols w:equalWidth="0" w:num="1">
            <w:col w:w="9940"/>
          </w:cols>
          <w:pgMar w:left="980" w:top="841" w:right="960" w:bottom="0" w:gutter="0" w:footer="0" w:header="0"/>
          <w:type w:val="continuous"/>
        </w:sectPr>
      </w:pPr>
    </w:p>
    <w:bookmarkStart w:id="210" w:name="page211"/>
    <w:bookmarkEnd w:id="210"/>
    <w:tbl>
      <w:tblPr>
        <w:tblLayout w:type="fixed"/>
        <w:tblInd w:w="87" w:type="dxa"/>
        <w:tblCellMar>
          <w:top w:w="0" w:type="dxa"/>
          <w:left w:w="0" w:type="dxa"/>
          <w:bottom w:w="0" w:type="dxa"/>
          <w:right w:w="0" w:type="dxa"/>
        </w:tblCellMar>
      </w:tblPr>
      <w:tr>
        <w:trPr>
          <w:trHeight w:val="184"/>
        </w:trPr>
        <w:tc>
          <w:tcPr>
            <w:tcW w:w="60" w:type="dxa"/>
            <w:vAlign w:val="bottom"/>
          </w:tcPr>
          <w:p>
            <w:pPr>
              <w:spacing w:after="0"/>
              <w:rPr>
                <w:sz w:val="16"/>
                <w:szCs w:val="16"/>
                <w:color w:val="auto"/>
              </w:rPr>
            </w:pPr>
          </w:p>
        </w:tc>
        <w:tc>
          <w:tcPr>
            <w:tcW w:w="78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3"/>
              </w:rPr>
              <w:t>Exhibit</w:t>
            </w:r>
          </w:p>
        </w:tc>
        <w:tc>
          <w:tcPr>
            <w:tcW w:w="23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700" w:type="dxa"/>
            <w:vAlign w:val="bottom"/>
            <w:gridSpan w:val="8"/>
            <w:vMerge w:val="restart"/>
          </w:tcPr>
          <w:p>
            <w:pPr>
              <w:ind w:left="640"/>
              <w:spacing w:after="0"/>
              <w:rPr>
                <w:sz w:val="20"/>
                <w:szCs w:val="20"/>
                <w:color w:val="auto"/>
              </w:rPr>
            </w:pPr>
            <w:r>
              <w:rPr>
                <w:rFonts w:ascii="Arial" w:cs="Arial" w:eastAsia="Arial" w:hAnsi="Arial"/>
                <w:sz w:val="20"/>
                <w:szCs w:val="20"/>
                <w:b w:val="1"/>
                <w:bCs w:val="1"/>
                <w:color w:val="auto"/>
              </w:rPr>
              <w:t>Description</w:t>
            </w:r>
          </w:p>
        </w:tc>
        <w:tc>
          <w:tcPr>
            <w:tcW w:w="0" w:type="dxa"/>
            <w:vAlign w:val="bottom"/>
          </w:tcPr>
          <w:p>
            <w:pPr>
              <w:spacing w:after="0"/>
              <w:rPr>
                <w:sz w:val="1"/>
                <w:szCs w:val="1"/>
                <w:color w:val="auto"/>
              </w:rPr>
            </w:pPr>
          </w:p>
        </w:tc>
      </w:tr>
      <w:tr>
        <w:trPr>
          <w:trHeight w:val="165"/>
        </w:trPr>
        <w:tc>
          <w:tcPr>
            <w:tcW w:w="60" w:type="dxa"/>
            <w:vAlign w:val="bottom"/>
          </w:tcPr>
          <w:p>
            <w:pPr>
              <w:spacing w:after="0"/>
              <w:rPr>
                <w:sz w:val="14"/>
                <w:szCs w:val="14"/>
                <w:color w:val="auto"/>
              </w:rPr>
            </w:pPr>
          </w:p>
        </w:tc>
        <w:tc>
          <w:tcPr>
            <w:tcW w:w="780" w:type="dxa"/>
            <w:vAlign w:val="bottom"/>
            <w:gridSpan w:val="2"/>
          </w:tcPr>
          <w:p>
            <w:pPr>
              <w:jc w:val="center"/>
              <w:ind w:right="220"/>
              <w:spacing w:after="0" w:line="165" w:lineRule="exact"/>
              <w:rPr>
                <w:sz w:val="20"/>
                <w:szCs w:val="20"/>
                <w:color w:val="auto"/>
              </w:rPr>
            </w:pPr>
            <w:r>
              <w:rPr>
                <w:rFonts w:ascii="Arial" w:cs="Arial" w:eastAsia="Arial" w:hAnsi="Arial"/>
                <w:sz w:val="16"/>
                <w:szCs w:val="16"/>
                <w:b w:val="1"/>
                <w:bCs w:val="1"/>
                <w:color w:val="auto"/>
                <w:w w:val="92"/>
              </w:rPr>
              <w:t>Number</w:t>
            </w:r>
          </w:p>
        </w:tc>
        <w:tc>
          <w:tcPr>
            <w:tcW w:w="23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700" w:type="dxa"/>
            <w:vAlign w:val="bottom"/>
            <w:gridSpan w:val="8"/>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1"/>
        </w:trPr>
        <w:tc>
          <w:tcPr>
            <w:tcW w:w="60" w:type="dxa"/>
            <w:vAlign w:val="bottom"/>
          </w:tcPr>
          <w:p>
            <w:pPr>
              <w:spacing w:after="0"/>
              <w:rPr>
                <w:sz w:val="22"/>
                <w:szCs w:val="22"/>
                <w:color w:val="auto"/>
              </w:rPr>
            </w:pPr>
          </w:p>
        </w:tc>
        <w:tc>
          <w:tcPr>
            <w:tcW w:w="560" w:type="dxa"/>
            <w:vAlign w:val="bottom"/>
            <w:tcBorders>
              <w:top w:val="single" w:sz="8" w:color="auto"/>
            </w:tcBorders>
          </w:tcPr>
          <w:p>
            <w:pPr>
              <w:jc w:val="center"/>
              <w:spacing w:after="0"/>
              <w:rPr>
                <w:sz w:val="20"/>
                <w:szCs w:val="20"/>
                <w:color w:val="auto"/>
              </w:rPr>
            </w:pPr>
            <w:r>
              <w:rPr>
                <w:rFonts w:ascii="Arial" w:cs="Arial" w:eastAsia="Arial" w:hAnsi="Arial"/>
                <w:sz w:val="20"/>
                <w:szCs w:val="20"/>
                <w:color w:val="auto"/>
                <w:w w:val="87"/>
              </w:rPr>
              <w:t>19.1</w:t>
            </w:r>
          </w:p>
        </w:tc>
        <w:tc>
          <w:tcPr>
            <w:tcW w:w="220" w:type="dxa"/>
            <w:vAlign w:val="bottom"/>
          </w:tcPr>
          <w:p>
            <w:pPr>
              <w:spacing w:after="0"/>
              <w:rPr>
                <w:sz w:val="22"/>
                <w:szCs w:val="22"/>
                <w:color w:val="auto"/>
              </w:rPr>
            </w:pPr>
          </w:p>
        </w:tc>
        <w:tc>
          <w:tcPr>
            <w:tcW w:w="2760" w:type="dxa"/>
            <w:vAlign w:val="bottom"/>
            <w:tcBorders>
              <w:bottom w:val="single" w:sz="8" w:color="auto"/>
            </w:tcBorders>
            <w:gridSpan w:val="2"/>
          </w:tcPr>
          <w:p>
            <w:pPr>
              <w:spacing w:after="0"/>
              <w:rPr>
                <w:sz w:val="20"/>
                <w:szCs w:val="20"/>
                <w:color w:val="auto"/>
              </w:rPr>
            </w:pPr>
            <w:r>
              <w:rPr>
                <w:rFonts w:ascii="Arial" w:cs="Arial" w:eastAsia="Arial" w:hAnsi="Arial"/>
                <w:sz w:val="20"/>
                <w:szCs w:val="20"/>
                <w:color w:val="auto"/>
                <w:w w:val="90"/>
              </w:rPr>
              <w:t>Insider Trading and Tipping Policy</w:t>
            </w:r>
          </w:p>
        </w:tc>
        <w:tc>
          <w:tcPr>
            <w:tcW w:w="1280" w:type="dxa"/>
            <w:vAlign w:val="bottom"/>
            <w:gridSpan w:val="2"/>
          </w:tcPr>
          <w:p>
            <w:pPr>
              <w:spacing w:after="0"/>
              <w:rPr>
                <w:sz w:val="22"/>
                <w:szCs w:val="22"/>
                <w:color w:val="auto"/>
              </w:rPr>
            </w:pPr>
          </w:p>
        </w:tc>
        <w:tc>
          <w:tcPr>
            <w:tcW w:w="980" w:type="dxa"/>
            <w:vAlign w:val="bottom"/>
            <w:tcBorders>
              <w:top w:val="single" w:sz="8" w:color="auto"/>
            </w:tcBorders>
          </w:tcPr>
          <w:p>
            <w:pPr>
              <w:spacing w:after="0"/>
              <w:rPr>
                <w:sz w:val="22"/>
                <w:szCs w:val="22"/>
                <w:color w:val="auto"/>
              </w:rPr>
            </w:pPr>
          </w:p>
        </w:tc>
        <w:tc>
          <w:tcPr>
            <w:tcW w:w="4080" w:type="dxa"/>
            <w:vAlign w:val="bottom"/>
            <w:gridSpan w:val="6"/>
          </w:tcPr>
          <w:p>
            <w:pPr>
              <w:spacing w:after="0"/>
              <w:rPr>
                <w:sz w:val="22"/>
                <w:szCs w:val="22"/>
                <w:color w:val="auto"/>
              </w:rPr>
            </w:pPr>
          </w:p>
        </w:tc>
        <w:tc>
          <w:tcPr>
            <w:tcW w:w="0" w:type="dxa"/>
            <w:vAlign w:val="bottom"/>
          </w:tcPr>
          <w:p>
            <w:pPr>
              <w:spacing w:after="0"/>
              <w:rPr>
                <w:sz w:val="1"/>
                <w:szCs w:val="1"/>
                <w:color w:val="auto"/>
              </w:rPr>
            </w:pPr>
          </w:p>
        </w:tc>
      </w:tr>
      <w:tr>
        <w:trPr>
          <w:trHeight w:val="274"/>
        </w:trPr>
        <w:tc>
          <w:tcPr>
            <w:tcW w:w="620" w:type="dxa"/>
            <w:vAlign w:val="bottom"/>
            <w:gridSpan w:val="2"/>
          </w:tcPr>
          <w:p>
            <w:pPr>
              <w:jc w:val="center"/>
              <w:spacing w:after="0"/>
              <w:rPr>
                <w:sz w:val="20"/>
                <w:szCs w:val="20"/>
                <w:color w:val="auto"/>
              </w:rPr>
            </w:pPr>
            <w:r>
              <w:rPr>
                <w:rFonts w:ascii="Arial" w:cs="Arial" w:eastAsia="Arial" w:hAnsi="Arial"/>
                <w:sz w:val="20"/>
                <w:szCs w:val="20"/>
                <w:color w:val="auto"/>
                <w:w w:val="87"/>
              </w:rPr>
              <w:t>21.1</w:t>
            </w:r>
          </w:p>
        </w:tc>
        <w:tc>
          <w:tcPr>
            <w:tcW w:w="220" w:type="dxa"/>
            <w:vAlign w:val="bottom"/>
          </w:tcPr>
          <w:p>
            <w:pPr>
              <w:spacing w:after="0"/>
              <w:rPr>
                <w:sz w:val="23"/>
                <w:szCs w:val="23"/>
                <w:color w:val="auto"/>
              </w:rPr>
            </w:pPr>
          </w:p>
        </w:tc>
        <w:tc>
          <w:tcPr>
            <w:tcW w:w="9100" w:type="dxa"/>
            <w:vAlign w:val="bottom"/>
            <w:gridSpan w:val="11"/>
          </w:tcPr>
          <w:p>
            <w:pPr>
              <w:spacing w:after="0"/>
              <w:rPr>
                <w:sz w:val="20"/>
                <w:szCs w:val="20"/>
                <w:color w:val="auto"/>
              </w:rPr>
            </w:pPr>
            <w:r>
              <w:rPr>
                <w:rFonts w:ascii="Arial" w:cs="Arial" w:eastAsia="Arial" w:hAnsi="Arial"/>
                <w:sz w:val="20"/>
                <w:szCs w:val="20"/>
                <w:color w:val="auto"/>
              </w:rPr>
              <w:t>Subsidiaries of the Registrant</w:t>
            </w:r>
          </w:p>
        </w:tc>
        <w:tc>
          <w:tcPr>
            <w:tcW w:w="0" w:type="dxa"/>
            <w:vAlign w:val="bottom"/>
          </w:tcPr>
          <w:p>
            <w:pPr>
              <w:spacing w:after="0"/>
              <w:rPr>
                <w:sz w:val="1"/>
                <w:szCs w:val="1"/>
                <w:color w:val="auto"/>
              </w:rPr>
            </w:pPr>
          </w:p>
        </w:tc>
      </w:tr>
      <w:tr>
        <w:trPr>
          <w:trHeight w:val="20"/>
        </w:trPr>
        <w:tc>
          <w:tcPr>
            <w:tcW w:w="6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300" w:type="dxa"/>
            <w:vAlign w:val="bottom"/>
            <w:shd w:val="clear" w:color="auto" w:fill="000000"/>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28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4"/>
        </w:trPr>
        <w:tc>
          <w:tcPr>
            <w:tcW w:w="620" w:type="dxa"/>
            <w:vAlign w:val="bottom"/>
            <w:gridSpan w:val="2"/>
          </w:tcPr>
          <w:p>
            <w:pPr>
              <w:jc w:val="center"/>
              <w:ind w:left="22"/>
              <w:spacing w:after="0"/>
              <w:rPr>
                <w:sz w:val="20"/>
                <w:szCs w:val="20"/>
                <w:color w:val="auto"/>
              </w:rPr>
            </w:pPr>
            <w:r>
              <w:rPr>
                <w:rFonts w:ascii="Arial" w:cs="Arial" w:eastAsia="Arial" w:hAnsi="Arial"/>
                <w:sz w:val="20"/>
                <w:szCs w:val="20"/>
                <w:color w:val="auto"/>
                <w:w w:val="87"/>
              </w:rPr>
              <w:t>23.1</w:t>
            </w:r>
          </w:p>
        </w:tc>
        <w:tc>
          <w:tcPr>
            <w:tcW w:w="220" w:type="dxa"/>
            <w:vAlign w:val="bottom"/>
          </w:tcPr>
          <w:p>
            <w:pPr>
              <w:spacing w:after="0"/>
              <w:rPr>
                <w:sz w:val="23"/>
                <w:szCs w:val="23"/>
                <w:color w:val="auto"/>
              </w:rPr>
            </w:pPr>
          </w:p>
        </w:tc>
        <w:tc>
          <w:tcPr>
            <w:tcW w:w="9100" w:type="dxa"/>
            <w:vAlign w:val="bottom"/>
            <w:gridSpan w:val="11"/>
          </w:tcPr>
          <w:p>
            <w:pPr>
              <w:spacing w:after="0"/>
              <w:rPr>
                <w:sz w:val="20"/>
                <w:szCs w:val="20"/>
                <w:color w:val="auto"/>
              </w:rPr>
            </w:pPr>
            <w:r>
              <w:rPr>
                <w:rFonts w:ascii="Arial" w:cs="Arial" w:eastAsia="Arial" w:hAnsi="Arial"/>
                <w:sz w:val="20"/>
                <w:szCs w:val="20"/>
                <w:color w:val="auto"/>
              </w:rPr>
              <w:t>Consent of Ernst &amp; Young LLP, Independent Registered Public Accounting Firm</w:t>
            </w:r>
          </w:p>
        </w:tc>
        <w:tc>
          <w:tcPr>
            <w:tcW w:w="0" w:type="dxa"/>
            <w:vAlign w:val="bottom"/>
          </w:tcPr>
          <w:p>
            <w:pPr>
              <w:spacing w:after="0"/>
              <w:rPr>
                <w:sz w:val="1"/>
                <w:szCs w:val="1"/>
                <w:color w:val="auto"/>
              </w:rPr>
            </w:pPr>
          </w:p>
        </w:tc>
      </w:tr>
      <w:tr>
        <w:trPr>
          <w:trHeight w:val="20"/>
        </w:trPr>
        <w:tc>
          <w:tcPr>
            <w:tcW w:w="6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0" w:type="dxa"/>
            <w:vAlign w:val="bottom"/>
            <w:gridSpan w:val="3"/>
            <w:shd w:val="clear" w:color="auto" w:fill="000000"/>
          </w:tcPr>
          <w:p>
            <w:pPr>
              <w:spacing w:after="0" w:line="20" w:lineRule="exact"/>
              <w:rPr>
                <w:sz w:val="1"/>
                <w:szCs w:val="1"/>
                <w:color w:val="auto"/>
              </w:rPr>
            </w:pPr>
          </w:p>
        </w:tc>
        <w:tc>
          <w:tcPr>
            <w:tcW w:w="2880" w:type="dxa"/>
            <w:vAlign w:val="bottom"/>
            <w:gridSpan w:val="3"/>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4"/>
        </w:trPr>
        <w:tc>
          <w:tcPr>
            <w:tcW w:w="620" w:type="dxa"/>
            <w:vAlign w:val="bottom"/>
            <w:gridSpan w:val="2"/>
          </w:tcPr>
          <w:p>
            <w:pPr>
              <w:jc w:val="center"/>
              <w:ind w:left="22"/>
              <w:spacing w:after="0"/>
              <w:rPr>
                <w:sz w:val="20"/>
                <w:szCs w:val="20"/>
                <w:color w:val="auto"/>
              </w:rPr>
            </w:pPr>
            <w:r>
              <w:rPr>
                <w:rFonts w:ascii="Arial" w:cs="Arial" w:eastAsia="Arial" w:hAnsi="Arial"/>
                <w:sz w:val="20"/>
                <w:szCs w:val="20"/>
                <w:color w:val="auto"/>
                <w:w w:val="87"/>
              </w:rPr>
              <w:t>31.1</w:t>
            </w:r>
          </w:p>
        </w:tc>
        <w:tc>
          <w:tcPr>
            <w:tcW w:w="220" w:type="dxa"/>
            <w:vAlign w:val="bottom"/>
          </w:tcPr>
          <w:p>
            <w:pPr>
              <w:spacing w:after="0"/>
              <w:rPr>
                <w:sz w:val="23"/>
                <w:szCs w:val="23"/>
                <w:color w:val="auto"/>
              </w:rPr>
            </w:pPr>
          </w:p>
        </w:tc>
        <w:tc>
          <w:tcPr>
            <w:tcW w:w="7820" w:type="dxa"/>
            <w:vAlign w:val="bottom"/>
            <w:tcBorders>
              <w:bottom w:val="single" w:sz="8" w:color="auto"/>
            </w:tcBorders>
            <w:gridSpan w:val="9"/>
          </w:tcPr>
          <w:p>
            <w:pPr>
              <w:spacing w:after="0"/>
              <w:rPr>
                <w:sz w:val="20"/>
                <w:szCs w:val="20"/>
                <w:color w:val="auto"/>
              </w:rPr>
            </w:pPr>
            <w:r>
              <w:rPr>
                <w:rFonts w:ascii="Arial" w:cs="Arial" w:eastAsia="Arial" w:hAnsi="Arial"/>
                <w:sz w:val="20"/>
                <w:szCs w:val="20"/>
                <w:color w:val="auto"/>
                <w:w w:val="90"/>
              </w:rPr>
              <w:t>Certification of Chief Executive Officer pursuant to Section 302 of the Sarbanes-Oxley Act of 2002</w:t>
            </w:r>
          </w:p>
        </w:tc>
        <w:tc>
          <w:tcPr>
            <w:tcW w:w="1280" w:type="dxa"/>
            <w:vAlign w:val="bottom"/>
            <w:gridSpan w:val="2"/>
          </w:tcPr>
          <w:p>
            <w:pPr>
              <w:spacing w:after="0"/>
              <w:rPr>
                <w:sz w:val="23"/>
                <w:szCs w:val="23"/>
                <w:color w:val="auto"/>
              </w:rPr>
            </w:pPr>
          </w:p>
        </w:tc>
        <w:tc>
          <w:tcPr>
            <w:tcW w:w="0" w:type="dxa"/>
            <w:vAlign w:val="bottom"/>
          </w:tcPr>
          <w:p>
            <w:pPr>
              <w:spacing w:after="0"/>
              <w:rPr>
                <w:sz w:val="1"/>
                <w:szCs w:val="1"/>
                <w:color w:val="auto"/>
              </w:rPr>
            </w:pPr>
          </w:p>
        </w:tc>
      </w:tr>
      <w:tr>
        <w:trPr>
          <w:trHeight w:val="274"/>
        </w:trPr>
        <w:tc>
          <w:tcPr>
            <w:tcW w:w="620" w:type="dxa"/>
            <w:vAlign w:val="bottom"/>
            <w:gridSpan w:val="2"/>
          </w:tcPr>
          <w:p>
            <w:pPr>
              <w:jc w:val="center"/>
              <w:ind w:left="22"/>
              <w:spacing w:after="0"/>
              <w:rPr>
                <w:sz w:val="20"/>
                <w:szCs w:val="20"/>
                <w:color w:val="auto"/>
              </w:rPr>
            </w:pPr>
            <w:r>
              <w:rPr>
                <w:rFonts w:ascii="Arial" w:cs="Arial" w:eastAsia="Arial" w:hAnsi="Arial"/>
                <w:sz w:val="20"/>
                <w:szCs w:val="20"/>
                <w:color w:val="auto"/>
                <w:w w:val="87"/>
              </w:rPr>
              <w:t>31.2</w:t>
            </w:r>
          </w:p>
        </w:tc>
        <w:tc>
          <w:tcPr>
            <w:tcW w:w="220" w:type="dxa"/>
            <w:vAlign w:val="bottom"/>
          </w:tcPr>
          <w:p>
            <w:pPr>
              <w:spacing w:after="0"/>
              <w:rPr>
                <w:sz w:val="23"/>
                <w:szCs w:val="23"/>
                <w:color w:val="auto"/>
              </w:rPr>
            </w:pPr>
          </w:p>
        </w:tc>
        <w:tc>
          <w:tcPr>
            <w:tcW w:w="7760" w:type="dxa"/>
            <w:vAlign w:val="bottom"/>
            <w:tcBorders>
              <w:bottom w:val="single" w:sz="8" w:color="auto"/>
            </w:tcBorders>
            <w:gridSpan w:val="8"/>
          </w:tcPr>
          <w:p>
            <w:pPr>
              <w:spacing w:after="0"/>
              <w:rPr>
                <w:sz w:val="20"/>
                <w:szCs w:val="20"/>
                <w:color w:val="auto"/>
              </w:rPr>
            </w:pPr>
            <w:r>
              <w:rPr>
                <w:rFonts w:ascii="Arial" w:cs="Arial" w:eastAsia="Arial" w:hAnsi="Arial"/>
                <w:sz w:val="20"/>
                <w:szCs w:val="20"/>
                <w:color w:val="auto"/>
                <w:w w:val="90"/>
              </w:rPr>
              <w:t>Certification of Chief Financial Officer pursuant to Section 302 of the Sarbanes-Oxley Act of 2002</w:t>
            </w:r>
          </w:p>
        </w:tc>
        <w:tc>
          <w:tcPr>
            <w:tcW w:w="1340" w:type="dxa"/>
            <w:vAlign w:val="bottom"/>
            <w:gridSpan w:val="3"/>
          </w:tcPr>
          <w:p>
            <w:pPr>
              <w:spacing w:after="0"/>
              <w:rPr>
                <w:sz w:val="23"/>
                <w:szCs w:val="23"/>
                <w:color w:val="auto"/>
              </w:rPr>
            </w:pPr>
          </w:p>
        </w:tc>
        <w:tc>
          <w:tcPr>
            <w:tcW w:w="0" w:type="dxa"/>
            <w:vAlign w:val="bottom"/>
          </w:tcPr>
          <w:p>
            <w:pPr>
              <w:spacing w:after="0"/>
              <w:rPr>
                <w:sz w:val="1"/>
                <w:szCs w:val="1"/>
                <w:color w:val="auto"/>
              </w:rPr>
            </w:pPr>
          </w:p>
        </w:tc>
      </w:tr>
      <w:tr>
        <w:trPr>
          <w:trHeight w:val="274"/>
        </w:trPr>
        <w:tc>
          <w:tcPr>
            <w:tcW w:w="620" w:type="dxa"/>
            <w:vAlign w:val="bottom"/>
            <w:gridSpan w:val="2"/>
          </w:tcPr>
          <w:p>
            <w:pPr>
              <w:jc w:val="center"/>
              <w:ind w:left="22"/>
              <w:spacing w:after="0"/>
              <w:rPr>
                <w:sz w:val="20"/>
                <w:szCs w:val="20"/>
                <w:color w:val="auto"/>
              </w:rPr>
            </w:pPr>
            <w:r>
              <w:rPr>
                <w:rFonts w:ascii="Arial" w:cs="Arial" w:eastAsia="Arial" w:hAnsi="Arial"/>
                <w:sz w:val="20"/>
                <w:szCs w:val="20"/>
                <w:color w:val="auto"/>
                <w:w w:val="87"/>
              </w:rPr>
              <w:t>32.1</w:t>
            </w:r>
          </w:p>
        </w:tc>
        <w:tc>
          <w:tcPr>
            <w:tcW w:w="220" w:type="dxa"/>
            <w:vAlign w:val="bottom"/>
          </w:tcPr>
          <w:p>
            <w:pPr>
              <w:spacing w:after="0"/>
              <w:rPr>
                <w:sz w:val="23"/>
                <w:szCs w:val="23"/>
                <w:color w:val="auto"/>
              </w:rPr>
            </w:pPr>
          </w:p>
        </w:tc>
        <w:tc>
          <w:tcPr>
            <w:tcW w:w="9100" w:type="dxa"/>
            <w:vAlign w:val="bottom"/>
            <w:gridSpan w:val="11"/>
          </w:tcPr>
          <w:p>
            <w:pPr>
              <w:spacing w:after="0"/>
              <w:rPr>
                <w:sz w:val="20"/>
                <w:szCs w:val="20"/>
                <w:color w:val="auto"/>
              </w:rPr>
            </w:pPr>
            <w:r>
              <w:rPr>
                <w:rFonts w:ascii="Arial" w:cs="Arial" w:eastAsia="Arial" w:hAnsi="Arial"/>
                <w:sz w:val="20"/>
                <w:szCs w:val="20"/>
                <w:color w:val="auto"/>
                <w:w w:val="93"/>
              </w:rPr>
              <w:t>Certification by Chief Executive Officer of Periodic Financial Reports pursuant to Section 906 of the Sarbanes-</w:t>
            </w:r>
          </w:p>
        </w:tc>
        <w:tc>
          <w:tcPr>
            <w:tcW w:w="0" w:type="dxa"/>
            <w:vAlign w:val="bottom"/>
          </w:tcPr>
          <w:p>
            <w:pPr>
              <w:spacing w:after="0"/>
              <w:rPr>
                <w:sz w:val="1"/>
                <w:szCs w:val="1"/>
                <w:color w:val="auto"/>
              </w:rPr>
            </w:pPr>
          </w:p>
        </w:tc>
      </w:tr>
      <w:tr>
        <w:trPr>
          <w:trHeight w:val="176"/>
        </w:trPr>
        <w:tc>
          <w:tcPr>
            <w:tcW w:w="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80" w:type="dxa"/>
            <w:vAlign w:val="bottom"/>
            <w:tcBorders>
              <w:top w:val="single" w:sz="8" w:color="auto"/>
            </w:tcBorders>
            <w:gridSpan w:val="10"/>
          </w:tcPr>
          <w:p>
            <w:pPr>
              <w:spacing w:after="0" w:line="176" w:lineRule="exact"/>
              <w:rPr>
                <w:sz w:val="20"/>
                <w:szCs w:val="20"/>
                <w:color w:val="auto"/>
              </w:rPr>
            </w:pPr>
            <w:r>
              <w:rPr>
                <w:rFonts w:ascii="Arial" w:cs="Arial" w:eastAsia="Arial" w:hAnsi="Arial"/>
                <w:sz w:val="20"/>
                <w:szCs w:val="20"/>
                <w:color w:val="auto"/>
              </w:rPr>
              <w:t>Oxley Act of 2002, 18 U.S.C. Section 1350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0" w:type="dxa"/>
            <w:vAlign w:val="bottom"/>
            <w:gridSpan w:val="3"/>
            <w:shd w:val="clear" w:color="auto" w:fill="000000"/>
          </w:tcPr>
          <w:p>
            <w:pPr>
              <w:spacing w:after="0" w:line="20" w:lineRule="exact"/>
              <w:rPr>
                <w:sz w:val="1"/>
                <w:szCs w:val="1"/>
                <w:color w:val="auto"/>
              </w:rPr>
            </w:pPr>
          </w:p>
        </w:tc>
        <w:tc>
          <w:tcPr>
            <w:tcW w:w="2880" w:type="dxa"/>
            <w:vAlign w:val="bottom"/>
            <w:gridSpan w:val="3"/>
          </w:tcPr>
          <w:p>
            <w:pPr>
              <w:spacing w:after="0" w:line="20" w:lineRule="exact"/>
              <w:rPr>
                <w:sz w:val="1"/>
                <w:szCs w:val="1"/>
                <w:color w:val="auto"/>
              </w:rPr>
            </w:pPr>
          </w:p>
        </w:tc>
        <w:tc>
          <w:tcPr>
            <w:tcW w:w="282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9"/>
        </w:trPr>
        <w:tc>
          <w:tcPr>
            <w:tcW w:w="620" w:type="dxa"/>
            <w:vAlign w:val="bottom"/>
            <w:gridSpan w:val="2"/>
          </w:tcPr>
          <w:p>
            <w:pPr>
              <w:jc w:val="center"/>
              <w:ind w:left="22"/>
              <w:spacing w:after="0"/>
              <w:rPr>
                <w:sz w:val="20"/>
                <w:szCs w:val="20"/>
                <w:color w:val="auto"/>
              </w:rPr>
            </w:pPr>
            <w:r>
              <w:rPr>
                <w:rFonts w:ascii="Arial" w:cs="Arial" w:eastAsia="Arial" w:hAnsi="Arial"/>
                <w:sz w:val="20"/>
                <w:szCs w:val="20"/>
                <w:color w:val="auto"/>
                <w:w w:val="87"/>
              </w:rPr>
              <w:t>32.2</w:t>
            </w:r>
          </w:p>
        </w:tc>
        <w:tc>
          <w:tcPr>
            <w:tcW w:w="220" w:type="dxa"/>
            <w:vAlign w:val="bottom"/>
          </w:tcPr>
          <w:p>
            <w:pPr>
              <w:spacing w:after="0"/>
              <w:rPr>
                <w:sz w:val="23"/>
                <w:szCs w:val="23"/>
                <w:color w:val="auto"/>
              </w:rPr>
            </w:pPr>
          </w:p>
        </w:tc>
        <w:tc>
          <w:tcPr>
            <w:tcW w:w="9100" w:type="dxa"/>
            <w:vAlign w:val="bottom"/>
            <w:tcBorders>
              <w:bottom w:val="single" w:sz="8" w:color="auto"/>
            </w:tcBorders>
            <w:gridSpan w:val="11"/>
          </w:tcPr>
          <w:p>
            <w:pPr>
              <w:spacing w:after="0"/>
              <w:rPr>
                <w:sz w:val="20"/>
                <w:szCs w:val="20"/>
                <w:color w:val="auto"/>
              </w:rPr>
            </w:pPr>
            <w:r>
              <w:rPr>
                <w:rFonts w:ascii="Arial" w:cs="Arial" w:eastAsia="Arial" w:hAnsi="Arial"/>
                <w:sz w:val="20"/>
                <w:szCs w:val="20"/>
                <w:color w:val="auto"/>
                <w:w w:val="93"/>
              </w:rPr>
              <w:t>Certification by Chief Financial Officer of Periodic Financial Reports pursuant to Section 906 of the Sarbanes-</w:t>
            </w:r>
          </w:p>
        </w:tc>
        <w:tc>
          <w:tcPr>
            <w:tcW w:w="0" w:type="dxa"/>
            <w:vAlign w:val="bottom"/>
          </w:tcPr>
          <w:p>
            <w:pPr>
              <w:spacing w:after="0"/>
              <w:rPr>
                <w:sz w:val="1"/>
                <w:szCs w:val="1"/>
                <w:color w:val="auto"/>
              </w:rPr>
            </w:pPr>
          </w:p>
        </w:tc>
      </w:tr>
      <w:tr>
        <w:trPr>
          <w:trHeight w:val="176"/>
        </w:trPr>
        <w:tc>
          <w:tcPr>
            <w:tcW w:w="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100" w:type="dxa"/>
            <w:vAlign w:val="bottom"/>
            <w:gridSpan w:val="11"/>
          </w:tcPr>
          <w:p>
            <w:pPr>
              <w:spacing w:after="0" w:line="176" w:lineRule="exact"/>
              <w:rPr>
                <w:sz w:val="20"/>
                <w:szCs w:val="20"/>
                <w:color w:val="auto"/>
              </w:rPr>
            </w:pPr>
            <w:r>
              <w:rPr>
                <w:rFonts w:ascii="Arial" w:cs="Arial" w:eastAsia="Arial" w:hAnsi="Arial"/>
                <w:sz w:val="20"/>
                <w:szCs w:val="20"/>
                <w:color w:val="auto"/>
              </w:rPr>
              <w:t>Oxley Act of 2002, 18 U.S.C. Section 1350</w:t>
            </w:r>
          </w:p>
        </w:tc>
        <w:tc>
          <w:tcPr>
            <w:tcW w:w="0" w:type="dxa"/>
            <w:vAlign w:val="bottom"/>
          </w:tcPr>
          <w:p>
            <w:pPr>
              <w:spacing w:after="0"/>
              <w:rPr>
                <w:sz w:val="1"/>
                <w:szCs w:val="1"/>
                <w:color w:val="auto"/>
              </w:rPr>
            </w:pPr>
          </w:p>
        </w:tc>
      </w:tr>
      <w:tr>
        <w:trPr>
          <w:trHeight w:val="20"/>
        </w:trPr>
        <w:tc>
          <w:tcPr>
            <w:tcW w:w="6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0" w:type="dxa"/>
            <w:vAlign w:val="bottom"/>
            <w:gridSpan w:val="3"/>
            <w:shd w:val="clear" w:color="auto" w:fill="000000"/>
          </w:tcPr>
          <w:p>
            <w:pPr>
              <w:spacing w:after="0" w:line="20" w:lineRule="exact"/>
              <w:rPr>
                <w:sz w:val="1"/>
                <w:szCs w:val="1"/>
                <w:color w:val="auto"/>
              </w:rPr>
            </w:pPr>
          </w:p>
        </w:tc>
        <w:tc>
          <w:tcPr>
            <w:tcW w:w="2880" w:type="dxa"/>
            <w:vAlign w:val="bottom"/>
            <w:gridSpan w:val="3"/>
          </w:tcPr>
          <w:p>
            <w:pPr>
              <w:spacing w:after="0" w:line="20" w:lineRule="exact"/>
              <w:rPr>
                <w:sz w:val="1"/>
                <w:szCs w:val="1"/>
                <w:color w:val="auto"/>
              </w:rPr>
            </w:pPr>
          </w:p>
        </w:tc>
        <w:tc>
          <w:tcPr>
            <w:tcW w:w="282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9"/>
        </w:trPr>
        <w:tc>
          <w:tcPr>
            <w:tcW w:w="620" w:type="dxa"/>
            <w:vAlign w:val="bottom"/>
            <w:gridSpan w:val="2"/>
          </w:tcPr>
          <w:p>
            <w:pPr>
              <w:jc w:val="center"/>
              <w:ind w:left="22"/>
              <w:spacing w:after="0"/>
              <w:rPr>
                <w:sz w:val="20"/>
                <w:szCs w:val="20"/>
                <w:color w:val="auto"/>
              </w:rPr>
            </w:pPr>
            <w:r>
              <w:rPr>
                <w:rFonts w:ascii="Arial" w:cs="Arial" w:eastAsia="Arial" w:hAnsi="Arial"/>
                <w:sz w:val="20"/>
                <w:szCs w:val="20"/>
                <w:color w:val="auto"/>
                <w:w w:val="87"/>
              </w:rPr>
              <w:t>97.1</w:t>
            </w:r>
          </w:p>
        </w:tc>
        <w:tc>
          <w:tcPr>
            <w:tcW w:w="220" w:type="dxa"/>
            <w:vAlign w:val="bottom"/>
          </w:tcPr>
          <w:p>
            <w:pPr>
              <w:spacing w:after="0"/>
              <w:rPr>
                <w:sz w:val="23"/>
                <w:szCs w:val="23"/>
                <w:color w:val="auto"/>
              </w:rPr>
            </w:pPr>
          </w:p>
        </w:tc>
        <w:tc>
          <w:tcPr>
            <w:tcW w:w="9100" w:type="dxa"/>
            <w:vAlign w:val="bottom"/>
            <w:gridSpan w:val="11"/>
          </w:tcPr>
          <w:p>
            <w:pPr>
              <w:spacing w:after="0"/>
              <w:rPr>
                <w:sz w:val="20"/>
                <w:szCs w:val="20"/>
                <w:color w:val="auto"/>
              </w:rPr>
            </w:pPr>
            <w:r>
              <w:rPr>
                <w:rFonts w:ascii="Arial" w:cs="Arial" w:eastAsia="Arial" w:hAnsi="Arial"/>
                <w:sz w:val="20"/>
                <w:szCs w:val="20"/>
                <w:color w:val="auto"/>
              </w:rPr>
              <w:t>Fidelity National Financial, Inc. Incentive-Based Executive Recoupment Policy</w:t>
            </w:r>
          </w:p>
        </w:tc>
        <w:tc>
          <w:tcPr>
            <w:tcW w:w="0" w:type="dxa"/>
            <w:vAlign w:val="bottom"/>
          </w:tcPr>
          <w:p>
            <w:pPr>
              <w:spacing w:after="0"/>
              <w:rPr>
                <w:sz w:val="1"/>
                <w:szCs w:val="1"/>
                <w:color w:val="auto"/>
              </w:rPr>
            </w:pPr>
          </w:p>
        </w:tc>
      </w:tr>
      <w:tr>
        <w:trPr>
          <w:trHeight w:val="316"/>
        </w:trPr>
        <w:tc>
          <w:tcPr>
            <w:tcW w:w="840" w:type="dxa"/>
            <w:vAlign w:val="bottom"/>
            <w:gridSpan w:val="3"/>
          </w:tcPr>
          <w:p>
            <w:pPr>
              <w:jc w:val="center"/>
              <w:ind w:right="100"/>
              <w:spacing w:after="0"/>
              <w:rPr>
                <w:sz w:val="20"/>
                <w:szCs w:val="20"/>
                <w:color w:val="auto"/>
              </w:rPr>
            </w:pPr>
            <w:r>
              <w:rPr>
                <w:rFonts w:ascii="Arial" w:cs="Arial" w:eastAsia="Arial" w:hAnsi="Arial"/>
                <w:sz w:val="20"/>
                <w:szCs w:val="20"/>
                <w:color w:val="auto"/>
                <w:w w:val="91"/>
              </w:rPr>
              <w:t>101.INS</w:t>
            </w:r>
          </w:p>
        </w:tc>
        <w:tc>
          <w:tcPr>
            <w:tcW w:w="6280" w:type="dxa"/>
            <w:vAlign w:val="bottom"/>
            <w:tcBorders>
              <w:top w:val="single" w:sz="8" w:color="auto"/>
            </w:tcBorders>
            <w:gridSpan w:val="6"/>
          </w:tcPr>
          <w:p>
            <w:pPr>
              <w:spacing w:after="0"/>
              <w:rPr>
                <w:sz w:val="20"/>
                <w:szCs w:val="20"/>
                <w:color w:val="auto"/>
              </w:rPr>
            </w:pPr>
            <w:r>
              <w:rPr>
                <w:rFonts w:ascii="Arial" w:cs="Arial" w:eastAsia="Arial" w:hAnsi="Arial"/>
                <w:sz w:val="20"/>
                <w:szCs w:val="20"/>
                <w:color w:val="auto"/>
              </w:rPr>
              <w:t>Inline XBRL Instance Document (2)</w:t>
            </w:r>
          </w:p>
        </w:tc>
        <w:tc>
          <w:tcPr>
            <w:tcW w:w="282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840" w:type="dxa"/>
            <w:vAlign w:val="bottom"/>
            <w:gridSpan w:val="3"/>
          </w:tcPr>
          <w:p>
            <w:pPr>
              <w:jc w:val="center"/>
              <w:ind w:right="120"/>
              <w:spacing w:after="0"/>
              <w:rPr>
                <w:sz w:val="20"/>
                <w:szCs w:val="20"/>
                <w:color w:val="auto"/>
              </w:rPr>
            </w:pPr>
            <w:r>
              <w:rPr>
                <w:rFonts w:ascii="Arial" w:cs="Arial" w:eastAsia="Arial" w:hAnsi="Arial"/>
                <w:sz w:val="20"/>
                <w:szCs w:val="20"/>
                <w:color w:val="auto"/>
                <w:w w:val="88"/>
              </w:rPr>
              <w:t>101.SCH</w:t>
            </w:r>
          </w:p>
        </w:tc>
        <w:tc>
          <w:tcPr>
            <w:tcW w:w="9100" w:type="dxa"/>
            <w:vAlign w:val="bottom"/>
            <w:gridSpan w:val="11"/>
          </w:tcPr>
          <w:p>
            <w:pPr>
              <w:spacing w:after="0"/>
              <w:rPr>
                <w:sz w:val="20"/>
                <w:szCs w:val="20"/>
                <w:color w:val="auto"/>
              </w:rPr>
            </w:pPr>
            <w:r>
              <w:rPr>
                <w:rFonts w:ascii="Arial" w:cs="Arial" w:eastAsia="Arial" w:hAnsi="Arial"/>
                <w:sz w:val="20"/>
                <w:szCs w:val="20"/>
                <w:color w:val="auto"/>
              </w:rPr>
              <w:t>Inline XBRL Taxonomy Extension Schema Document</w:t>
            </w:r>
          </w:p>
        </w:tc>
        <w:tc>
          <w:tcPr>
            <w:tcW w:w="0" w:type="dxa"/>
            <w:vAlign w:val="bottom"/>
          </w:tcPr>
          <w:p>
            <w:pPr>
              <w:spacing w:after="0"/>
              <w:rPr>
                <w:sz w:val="1"/>
                <w:szCs w:val="1"/>
                <w:color w:val="auto"/>
              </w:rPr>
            </w:pPr>
          </w:p>
        </w:tc>
      </w:tr>
      <w:tr>
        <w:trPr>
          <w:trHeight w:val="294"/>
        </w:trPr>
        <w:tc>
          <w:tcPr>
            <w:tcW w:w="840" w:type="dxa"/>
            <w:vAlign w:val="bottom"/>
            <w:gridSpan w:val="3"/>
          </w:tcPr>
          <w:p>
            <w:pPr>
              <w:jc w:val="center"/>
              <w:ind w:right="100"/>
              <w:spacing w:after="0"/>
              <w:rPr>
                <w:sz w:val="20"/>
                <w:szCs w:val="20"/>
                <w:color w:val="auto"/>
              </w:rPr>
            </w:pPr>
            <w:r>
              <w:rPr>
                <w:rFonts w:ascii="Arial" w:cs="Arial" w:eastAsia="Arial" w:hAnsi="Arial"/>
                <w:sz w:val="20"/>
                <w:szCs w:val="20"/>
                <w:color w:val="auto"/>
                <w:w w:val="95"/>
              </w:rPr>
              <w:t>101.CAL</w:t>
            </w:r>
          </w:p>
        </w:tc>
        <w:tc>
          <w:tcPr>
            <w:tcW w:w="9100" w:type="dxa"/>
            <w:vAlign w:val="bottom"/>
            <w:gridSpan w:val="11"/>
          </w:tcPr>
          <w:p>
            <w:pPr>
              <w:spacing w:after="0"/>
              <w:rPr>
                <w:sz w:val="20"/>
                <w:szCs w:val="20"/>
                <w:color w:val="auto"/>
              </w:rPr>
            </w:pPr>
            <w:r>
              <w:rPr>
                <w:rFonts w:ascii="Arial" w:cs="Arial" w:eastAsia="Arial" w:hAnsi="Arial"/>
                <w:sz w:val="20"/>
                <w:szCs w:val="20"/>
                <w:color w:val="auto"/>
              </w:rPr>
              <w:t>Inline XBRL Taxonomy Extension Calculation Linkbase Document</w:t>
            </w:r>
          </w:p>
        </w:tc>
        <w:tc>
          <w:tcPr>
            <w:tcW w:w="0" w:type="dxa"/>
            <w:vAlign w:val="bottom"/>
          </w:tcPr>
          <w:p>
            <w:pPr>
              <w:spacing w:after="0"/>
              <w:rPr>
                <w:sz w:val="1"/>
                <w:szCs w:val="1"/>
                <w:color w:val="auto"/>
              </w:rPr>
            </w:pPr>
          </w:p>
        </w:tc>
      </w:tr>
      <w:tr>
        <w:trPr>
          <w:trHeight w:val="294"/>
        </w:trPr>
        <w:tc>
          <w:tcPr>
            <w:tcW w:w="840" w:type="dxa"/>
            <w:vAlign w:val="bottom"/>
            <w:gridSpan w:val="3"/>
          </w:tcPr>
          <w:p>
            <w:pPr>
              <w:jc w:val="center"/>
              <w:ind w:right="120"/>
              <w:spacing w:after="0"/>
              <w:rPr>
                <w:sz w:val="20"/>
                <w:szCs w:val="20"/>
                <w:color w:val="auto"/>
              </w:rPr>
            </w:pPr>
            <w:r>
              <w:rPr>
                <w:rFonts w:ascii="Arial" w:cs="Arial" w:eastAsia="Arial" w:hAnsi="Arial"/>
                <w:sz w:val="20"/>
                <w:szCs w:val="20"/>
                <w:color w:val="auto"/>
                <w:w w:val="91"/>
              </w:rPr>
              <w:t>101.DEF</w:t>
            </w:r>
          </w:p>
        </w:tc>
        <w:tc>
          <w:tcPr>
            <w:tcW w:w="9100" w:type="dxa"/>
            <w:vAlign w:val="bottom"/>
            <w:gridSpan w:val="11"/>
          </w:tcPr>
          <w:p>
            <w:pPr>
              <w:spacing w:after="0"/>
              <w:rPr>
                <w:sz w:val="20"/>
                <w:szCs w:val="20"/>
                <w:color w:val="auto"/>
              </w:rPr>
            </w:pPr>
            <w:r>
              <w:rPr>
                <w:rFonts w:ascii="Arial" w:cs="Arial" w:eastAsia="Arial" w:hAnsi="Arial"/>
                <w:sz w:val="20"/>
                <w:szCs w:val="20"/>
                <w:color w:val="auto"/>
              </w:rPr>
              <w:t>Inline XBRL Taxonomy Extension Definition Linkbase Document</w:t>
            </w:r>
          </w:p>
        </w:tc>
        <w:tc>
          <w:tcPr>
            <w:tcW w:w="0" w:type="dxa"/>
            <w:vAlign w:val="bottom"/>
          </w:tcPr>
          <w:p>
            <w:pPr>
              <w:spacing w:after="0"/>
              <w:rPr>
                <w:sz w:val="1"/>
                <w:szCs w:val="1"/>
                <w:color w:val="auto"/>
              </w:rPr>
            </w:pPr>
          </w:p>
        </w:tc>
      </w:tr>
      <w:tr>
        <w:trPr>
          <w:trHeight w:val="294"/>
        </w:trPr>
        <w:tc>
          <w:tcPr>
            <w:tcW w:w="840" w:type="dxa"/>
            <w:vAlign w:val="bottom"/>
            <w:gridSpan w:val="3"/>
          </w:tcPr>
          <w:p>
            <w:pPr>
              <w:jc w:val="center"/>
              <w:ind w:right="100"/>
              <w:spacing w:after="0"/>
              <w:rPr>
                <w:sz w:val="20"/>
                <w:szCs w:val="20"/>
                <w:color w:val="auto"/>
              </w:rPr>
            </w:pPr>
            <w:r>
              <w:rPr>
                <w:rFonts w:ascii="Arial" w:cs="Arial" w:eastAsia="Arial" w:hAnsi="Arial"/>
                <w:sz w:val="20"/>
                <w:szCs w:val="20"/>
                <w:color w:val="auto"/>
                <w:w w:val="87"/>
              </w:rPr>
              <w:t>101.PRE</w:t>
            </w:r>
          </w:p>
        </w:tc>
        <w:tc>
          <w:tcPr>
            <w:tcW w:w="9100" w:type="dxa"/>
            <w:vAlign w:val="bottom"/>
            <w:gridSpan w:val="11"/>
          </w:tcPr>
          <w:p>
            <w:pPr>
              <w:spacing w:after="0"/>
              <w:rPr>
                <w:sz w:val="20"/>
                <w:szCs w:val="20"/>
                <w:color w:val="auto"/>
              </w:rPr>
            </w:pPr>
            <w:r>
              <w:rPr>
                <w:rFonts w:ascii="Arial" w:cs="Arial" w:eastAsia="Arial" w:hAnsi="Arial"/>
                <w:sz w:val="20"/>
                <w:szCs w:val="20"/>
                <w:color w:val="auto"/>
              </w:rPr>
              <w:t>Inline XBRL Taxonomy Extension Presentation Linkbase Document</w:t>
            </w:r>
          </w:p>
        </w:tc>
        <w:tc>
          <w:tcPr>
            <w:tcW w:w="0" w:type="dxa"/>
            <w:vAlign w:val="bottom"/>
          </w:tcPr>
          <w:p>
            <w:pPr>
              <w:spacing w:after="0"/>
              <w:rPr>
                <w:sz w:val="1"/>
                <w:szCs w:val="1"/>
                <w:color w:val="auto"/>
              </w:rPr>
            </w:pPr>
          </w:p>
        </w:tc>
      </w:tr>
      <w:tr>
        <w:trPr>
          <w:trHeight w:val="294"/>
        </w:trPr>
        <w:tc>
          <w:tcPr>
            <w:tcW w:w="840" w:type="dxa"/>
            <w:vAlign w:val="bottom"/>
            <w:gridSpan w:val="3"/>
          </w:tcPr>
          <w:p>
            <w:pPr>
              <w:jc w:val="center"/>
              <w:ind w:right="100"/>
              <w:spacing w:after="0"/>
              <w:rPr>
                <w:sz w:val="20"/>
                <w:szCs w:val="20"/>
                <w:color w:val="auto"/>
              </w:rPr>
            </w:pPr>
            <w:r>
              <w:rPr>
                <w:rFonts w:ascii="Arial" w:cs="Arial" w:eastAsia="Arial" w:hAnsi="Arial"/>
                <w:sz w:val="20"/>
                <w:szCs w:val="20"/>
                <w:color w:val="auto"/>
                <w:w w:val="96"/>
              </w:rPr>
              <w:t>101.LAB</w:t>
            </w:r>
          </w:p>
        </w:tc>
        <w:tc>
          <w:tcPr>
            <w:tcW w:w="9100" w:type="dxa"/>
            <w:vAlign w:val="bottom"/>
            <w:gridSpan w:val="11"/>
          </w:tcPr>
          <w:p>
            <w:pPr>
              <w:spacing w:after="0"/>
              <w:rPr>
                <w:sz w:val="20"/>
                <w:szCs w:val="20"/>
                <w:color w:val="auto"/>
              </w:rPr>
            </w:pPr>
            <w:r>
              <w:rPr>
                <w:rFonts w:ascii="Arial" w:cs="Arial" w:eastAsia="Arial" w:hAnsi="Arial"/>
                <w:sz w:val="20"/>
                <w:szCs w:val="20"/>
                <w:color w:val="auto"/>
              </w:rPr>
              <w:t>Inline XBRL Taxonomy Extension Label Linkbase Document</w:t>
            </w: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927" w:hanging="622"/>
        <w:spacing w:after="0"/>
        <w:tabs>
          <w:tab w:leader="none" w:pos="927" w:val="left"/>
        </w:tabs>
        <w:numPr>
          <w:ilvl w:val="1"/>
          <w:numId w:val="68"/>
        </w:numPr>
        <w:rPr>
          <w:rFonts w:ascii="Arial" w:cs="Arial" w:eastAsia="Arial" w:hAnsi="Arial"/>
          <w:sz w:val="20"/>
          <w:szCs w:val="20"/>
          <w:color w:val="auto"/>
        </w:rPr>
      </w:pPr>
      <w:r>
        <w:rPr>
          <w:rFonts w:ascii="Arial" w:cs="Arial" w:eastAsia="Arial" w:hAnsi="Arial"/>
          <w:sz w:val="20"/>
          <w:szCs w:val="20"/>
          <w:color w:val="auto"/>
        </w:rPr>
        <w:t>Cover Page Interactive Data File formatted in Inline XBRL and contained in Exhibit 101</w:t>
      </w:r>
    </w:p>
    <w:p>
      <w:pPr>
        <w:spacing w:after="0" w:line="88" w:lineRule="exact"/>
        <w:rPr>
          <w:rFonts w:ascii="Arial" w:cs="Arial" w:eastAsia="Arial" w:hAnsi="Arial"/>
          <w:sz w:val="20"/>
          <w:szCs w:val="20"/>
          <w:color w:val="auto"/>
        </w:rPr>
      </w:pPr>
    </w:p>
    <w:p>
      <w:pPr>
        <w:ind w:left="7" w:right="120" w:hanging="7"/>
        <w:spacing w:after="0" w:line="255" w:lineRule="auto"/>
        <w:tabs>
          <w:tab w:leader="none" w:pos="285" w:val="left"/>
        </w:tabs>
        <w:numPr>
          <w:ilvl w:val="0"/>
          <w:numId w:val="69"/>
        </w:numPr>
        <w:rPr>
          <w:rFonts w:ascii="Arial" w:cs="Arial" w:eastAsia="Arial" w:hAnsi="Arial"/>
          <w:sz w:val="20"/>
          <w:szCs w:val="20"/>
          <w:color w:val="auto"/>
        </w:rPr>
      </w:pPr>
      <w:r>
        <w:rPr>
          <w:rFonts w:ascii="Arial" w:cs="Arial" w:eastAsia="Arial" w:hAnsi="Arial"/>
          <w:sz w:val="20"/>
          <w:szCs w:val="20"/>
          <w:color w:val="auto"/>
        </w:rPr>
        <w:t>A management or compensatory plan or arrangement required to be filed as an exhibit to this report pursuant to Item 15(c) of Form 10-K</w:t>
      </w:r>
    </w:p>
    <w:p>
      <w:pPr>
        <w:spacing w:after="0" w:line="1" w:lineRule="exact"/>
        <w:rPr>
          <w:rFonts w:ascii="Arial" w:cs="Arial" w:eastAsia="Arial" w:hAnsi="Arial"/>
          <w:sz w:val="20"/>
          <w:szCs w:val="20"/>
          <w:color w:val="auto"/>
        </w:rPr>
      </w:pPr>
    </w:p>
    <w:p>
      <w:pPr>
        <w:ind w:left="7" w:right="280" w:hanging="7"/>
        <w:spacing w:after="0" w:line="250" w:lineRule="auto"/>
        <w:tabs>
          <w:tab w:leader="none" w:pos="285" w:val="left"/>
        </w:tabs>
        <w:numPr>
          <w:ilvl w:val="0"/>
          <w:numId w:val="69"/>
        </w:numPr>
        <w:rPr>
          <w:rFonts w:ascii="Arial" w:cs="Arial" w:eastAsia="Arial" w:hAnsi="Arial"/>
          <w:sz w:val="20"/>
          <w:szCs w:val="20"/>
          <w:color w:val="auto"/>
        </w:rPr>
      </w:pPr>
      <w:r>
        <w:rPr>
          <w:rFonts w:ascii="Arial" w:cs="Arial" w:eastAsia="Arial" w:hAnsi="Arial"/>
          <w:sz w:val="20"/>
          <w:szCs w:val="20"/>
          <w:color w:val="auto"/>
        </w:rPr>
        <w:t>The instance document does not appear in the interactive data file because its XBRL tags are embedded within the inline XBRL document.</w:t>
      </w:r>
    </w:p>
    <w:p>
      <w:pPr>
        <w:spacing w:after="0" w:line="318" w:lineRule="exact"/>
        <w:rPr>
          <w:sz w:val="20"/>
          <w:szCs w:val="20"/>
          <w:color w:val="auto"/>
        </w:rPr>
      </w:pPr>
    </w:p>
    <w:p>
      <w:pPr>
        <w:ind w:left="7"/>
        <w:spacing w:after="0"/>
        <w:tabs>
          <w:tab w:leader="none" w:pos="1387" w:val="left"/>
        </w:tabs>
        <w:rPr>
          <w:sz w:val="20"/>
          <w:szCs w:val="20"/>
          <w:color w:val="auto"/>
        </w:rPr>
      </w:pPr>
      <w:r>
        <w:rPr>
          <w:rFonts w:ascii="Arial" w:cs="Arial" w:eastAsia="Arial" w:hAnsi="Arial"/>
          <w:sz w:val="20"/>
          <w:szCs w:val="20"/>
          <w:b w:val="1"/>
          <w:bCs w:val="1"/>
          <w:color w:val="auto"/>
        </w:rPr>
        <w:t>Item 16.</w:t>
      </w:r>
      <w:r>
        <w:rPr>
          <w:sz w:val="20"/>
          <w:szCs w:val="20"/>
          <w:color w:val="auto"/>
        </w:rPr>
        <w:tab/>
      </w:r>
      <w:r>
        <w:rPr>
          <w:rFonts w:ascii="Arial" w:cs="Arial" w:eastAsia="Arial" w:hAnsi="Arial"/>
          <w:sz w:val="17"/>
          <w:szCs w:val="17"/>
          <w:b w:val="1"/>
          <w:bCs w:val="1"/>
          <w:i w:val="1"/>
          <w:iCs w:val="1"/>
          <w:color w:val="auto"/>
        </w:rPr>
        <w:t>Form 10-K Summary</w:t>
      </w:r>
    </w:p>
    <w:p>
      <w:pPr>
        <w:spacing w:after="0" w:line="248" w:lineRule="exact"/>
        <w:rPr>
          <w:sz w:val="20"/>
          <w:szCs w:val="20"/>
          <w:color w:val="auto"/>
        </w:rPr>
      </w:pPr>
    </w:p>
    <w:p>
      <w:pPr>
        <w:ind w:left="187"/>
        <w:spacing w:after="0"/>
        <w:rPr>
          <w:sz w:val="20"/>
          <w:szCs w:val="20"/>
          <w:color w:val="auto"/>
        </w:rPr>
      </w:pPr>
      <w:r>
        <w:rPr>
          <w:rFonts w:ascii="Arial" w:cs="Arial" w:eastAsia="Arial" w:hAnsi="Arial"/>
          <w:sz w:val="20"/>
          <w:szCs w:val="20"/>
          <w:color w:val="auto"/>
        </w:rPr>
        <w:t>None.</w:t>
      </w:r>
    </w:p>
    <w:p>
      <w:pPr>
        <w:sectPr>
          <w:pgSz w:w="11880" w:h="15480" w:orient="portrait"/>
          <w:cols w:equalWidth="0" w:num="1">
            <w:col w:w="10007"/>
          </w:cols>
          <w:pgMar w:left="913" w:top="841"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46"/>
        <w:spacing w:after="0"/>
        <w:rPr>
          <w:sz w:val="20"/>
          <w:szCs w:val="20"/>
          <w:color w:val="auto"/>
        </w:rPr>
      </w:pPr>
      <w:r>
        <w:rPr>
          <w:rFonts w:ascii="Arial" w:cs="Arial" w:eastAsia="Arial" w:hAnsi="Arial"/>
          <w:sz w:val="16"/>
          <w:szCs w:val="16"/>
          <w:color w:val="auto"/>
        </w:rPr>
        <w:t>199</w:t>
      </w:r>
    </w:p>
    <w:p>
      <w:pPr>
        <w:sectPr>
          <w:pgSz w:w="11880" w:h="15480" w:orient="portrait"/>
          <w:cols w:equalWidth="0" w:num="1">
            <w:col w:w="10007"/>
          </w:cols>
          <w:pgMar w:left="913" w:top="841" w:right="960" w:bottom="0" w:gutter="0" w:footer="0" w:header="0"/>
          <w:type w:val="continuous"/>
        </w:sectPr>
      </w:pPr>
    </w:p>
    <w:bookmarkStart w:id="211" w:name="page212"/>
    <w:bookmarkEnd w:id="211"/>
    <w:p>
      <w:pPr>
        <w:jc w:val="center"/>
        <w:ind w:right="-39"/>
        <w:spacing w:after="0"/>
        <w:rPr>
          <w:sz w:val="20"/>
          <w:szCs w:val="20"/>
          <w:color w:val="auto"/>
        </w:rPr>
      </w:pPr>
      <w:r>
        <w:rPr>
          <w:rFonts w:ascii="Arial" w:cs="Arial" w:eastAsia="Arial" w:hAnsi="Arial"/>
          <w:sz w:val="20"/>
          <w:szCs w:val="20"/>
          <w:color w:val="auto"/>
        </w:rPr>
        <w:t>SIGNATURES</w:t>
      </w:r>
    </w:p>
    <w:p>
      <w:pPr>
        <w:spacing w:after="0" w:line="123" w:lineRule="exact"/>
        <w:rPr>
          <w:sz w:val="20"/>
          <w:szCs w:val="20"/>
          <w:color w:val="auto"/>
        </w:rPr>
      </w:pPr>
    </w:p>
    <w:p>
      <w:pPr>
        <w:ind w:firstLine="372"/>
        <w:spacing w:after="0" w:line="271" w:lineRule="auto"/>
        <w:rPr>
          <w:sz w:val="20"/>
          <w:szCs w:val="20"/>
          <w:color w:val="auto"/>
        </w:rPr>
      </w:pPr>
      <w:r>
        <w:rPr>
          <w:rFonts w:ascii="Arial" w:cs="Arial" w:eastAsia="Arial" w:hAnsi="Arial"/>
          <w:sz w:val="20"/>
          <w:szCs w:val="20"/>
          <w:color w:val="auto"/>
        </w:rPr>
        <w:t>Pursuant to the requirements of Section 13 or 15(d) of the Securities Exchange Act of 1934, the Registrant has duly caused this report to be signed on its behalf by the undersigned, thereunto duly authorized.</w:t>
      </w:r>
    </w:p>
    <w:p>
      <w:pPr>
        <w:spacing w:after="0" w:line="61" w:lineRule="exact"/>
        <w:rPr>
          <w:sz w:val="20"/>
          <w:szCs w:val="20"/>
          <w:color w:val="auto"/>
        </w:rPr>
      </w:pPr>
    </w:p>
    <w:p>
      <w:pPr>
        <w:ind w:left="5560"/>
        <w:spacing w:after="0"/>
        <w:rPr>
          <w:sz w:val="20"/>
          <w:szCs w:val="20"/>
          <w:color w:val="auto"/>
        </w:rPr>
      </w:pPr>
      <w:r>
        <w:rPr>
          <w:rFonts w:ascii="Arial" w:cs="Arial" w:eastAsia="Arial" w:hAnsi="Arial"/>
          <w:sz w:val="20"/>
          <w:szCs w:val="20"/>
          <w:color w:val="auto"/>
        </w:rPr>
        <w:t>Fidelity National Financial, Inc.</w:t>
      </w:r>
    </w:p>
    <w:p>
      <w:pPr>
        <w:spacing w:after="0" w:line="62" w:lineRule="exact"/>
        <w:rPr>
          <w:sz w:val="20"/>
          <w:szCs w:val="20"/>
          <w:color w:val="auto"/>
        </w:rPr>
      </w:pPr>
    </w:p>
    <w:p>
      <w:pPr>
        <w:ind w:left="5560"/>
        <w:spacing w:after="0"/>
        <w:tabs>
          <w:tab w:leader="none" w:pos="676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20"/>
          <w:szCs w:val="20"/>
          <w:b w:val="1"/>
          <w:bCs w:val="1"/>
          <w:i w:val="1"/>
          <w:iCs w:val="1"/>
          <w:color w:val="auto"/>
        </w:rPr>
        <w:t>/s/ Michael J. Nolan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3784600</wp:posOffset>
                </wp:positionH>
                <wp:positionV relativeFrom="paragraph">
                  <wp:posOffset>25400</wp:posOffset>
                </wp:positionV>
                <wp:extent cx="2091055" cy="0"/>
                <wp:wrapNone/>
                <wp:docPr id="225" name="Shape 22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09105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225" o:spid="_x0000_s125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98pt,2pt" to="462.65pt,2pt" o:allowincell="f" strokecolor="#000000" strokeweight="1pt"/>
            </w:pict>
          </mc:Fallback>
        </mc:AlternateContent>
      </w:r>
    </w:p>
    <w:p>
      <w:pPr>
        <w:spacing w:after="0" w:line="46" w:lineRule="exact"/>
        <w:rPr>
          <w:sz w:val="20"/>
          <w:szCs w:val="20"/>
          <w:color w:val="auto"/>
        </w:rPr>
      </w:pPr>
    </w:p>
    <w:p>
      <w:pPr>
        <w:jc w:val="center"/>
        <w:ind w:left="5180"/>
        <w:spacing w:after="0"/>
        <w:rPr>
          <w:sz w:val="20"/>
          <w:szCs w:val="20"/>
          <w:color w:val="auto"/>
        </w:rPr>
      </w:pPr>
      <w:r>
        <w:rPr>
          <w:rFonts w:ascii="Arial" w:cs="Arial" w:eastAsia="Arial" w:hAnsi="Arial"/>
          <w:sz w:val="20"/>
          <w:szCs w:val="20"/>
          <w:color w:val="auto"/>
        </w:rPr>
        <w:t>Michael J. Nolan</w:t>
      </w:r>
    </w:p>
    <w:p>
      <w:pPr>
        <w:spacing w:after="0" w:line="64" w:lineRule="exact"/>
        <w:rPr>
          <w:sz w:val="20"/>
          <w:szCs w:val="20"/>
          <w:color w:val="auto"/>
        </w:rPr>
      </w:pPr>
    </w:p>
    <w:p>
      <w:pPr>
        <w:jc w:val="center"/>
        <w:ind w:left="5180"/>
        <w:spacing w:after="0"/>
        <w:rPr>
          <w:sz w:val="20"/>
          <w:szCs w:val="20"/>
          <w:color w:val="auto"/>
        </w:rPr>
      </w:pPr>
      <w:r>
        <w:rPr>
          <w:rFonts w:ascii="Arial" w:cs="Arial" w:eastAsia="Arial" w:hAnsi="Arial"/>
          <w:sz w:val="20"/>
          <w:szCs w:val="20"/>
          <w:color w:val="auto"/>
        </w:rPr>
        <w:t>Chief Executive Officer</w:t>
      </w:r>
    </w:p>
    <w:p>
      <w:pPr>
        <w:spacing w:after="0" w:line="95" w:lineRule="exact"/>
        <w:rPr>
          <w:sz w:val="20"/>
          <w:szCs w:val="20"/>
          <w:color w:val="auto"/>
        </w:rPr>
      </w:pPr>
    </w:p>
    <w:p>
      <w:pPr>
        <w:spacing w:after="0"/>
        <w:rPr>
          <w:sz w:val="20"/>
          <w:szCs w:val="20"/>
          <w:color w:val="auto"/>
        </w:rPr>
      </w:pPr>
      <w:r>
        <w:rPr>
          <w:rFonts w:ascii="Arial" w:cs="Arial" w:eastAsia="Arial" w:hAnsi="Arial"/>
          <w:sz w:val="20"/>
          <w:szCs w:val="20"/>
          <w:color w:val="auto"/>
        </w:rPr>
        <w:t>Date: February 26, 2026</w:t>
      </w:r>
    </w:p>
    <w:p>
      <w:pPr>
        <w:spacing w:after="0" w:line="307" w:lineRule="exact"/>
        <w:rPr>
          <w:sz w:val="20"/>
          <w:szCs w:val="20"/>
          <w:color w:val="auto"/>
        </w:rPr>
      </w:pPr>
    </w:p>
    <w:p>
      <w:pPr>
        <w:ind w:left="40" w:right="240" w:firstLine="294"/>
        <w:spacing w:after="0" w:line="235" w:lineRule="auto"/>
        <w:rPr>
          <w:sz w:val="20"/>
          <w:szCs w:val="20"/>
          <w:color w:val="auto"/>
        </w:rPr>
      </w:pPr>
      <w:r>
        <w:rPr>
          <w:rFonts w:ascii="Arial" w:cs="Arial" w:eastAsia="Arial" w:hAnsi="Arial"/>
          <w:sz w:val="20"/>
          <w:szCs w:val="20"/>
          <w:color w:val="auto"/>
        </w:rPr>
        <w:t>Pursuant to the requirements of the Securities Exchange Act of 1934, this report has been signed below by the following persons on behalf of the Registrant and in the capacities and on the dates indicated.</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200" w:type="dxa"/>
            <w:vAlign w:val="bottom"/>
          </w:tcPr>
          <w:p>
            <w:pPr>
              <w:spacing w:after="0"/>
              <w:rPr>
                <w:sz w:val="16"/>
                <w:szCs w:val="16"/>
                <w:color w:val="auto"/>
              </w:rPr>
            </w:pPr>
          </w:p>
        </w:tc>
        <w:tc>
          <w:tcPr>
            <w:tcW w:w="1860" w:type="dxa"/>
            <w:vAlign w:val="bottom"/>
            <w:gridSpan w:val="2"/>
          </w:tcPr>
          <w:p>
            <w:pPr>
              <w:jc w:val="center"/>
              <w:ind w:right="1220"/>
              <w:spacing w:after="0"/>
              <w:rPr>
                <w:sz w:val="20"/>
                <w:szCs w:val="20"/>
                <w:color w:val="auto"/>
              </w:rPr>
            </w:pPr>
            <w:r>
              <w:rPr>
                <w:rFonts w:ascii="Arial" w:cs="Arial" w:eastAsia="Arial" w:hAnsi="Arial"/>
                <w:sz w:val="16"/>
                <w:szCs w:val="16"/>
                <w:b w:val="1"/>
                <w:bCs w:val="1"/>
                <w:color w:val="auto"/>
                <w:w w:val="86"/>
              </w:rPr>
              <w:t>Signature</w:t>
            </w:r>
          </w:p>
        </w:tc>
        <w:tc>
          <w:tcPr>
            <w:tcW w:w="4560" w:type="dxa"/>
            <w:vAlign w:val="bottom"/>
            <w:gridSpan w:val="3"/>
          </w:tcPr>
          <w:p>
            <w:pPr>
              <w:jc w:val="center"/>
              <w:ind w:left="163"/>
              <w:spacing w:after="0"/>
              <w:rPr>
                <w:sz w:val="20"/>
                <w:szCs w:val="20"/>
                <w:color w:val="auto"/>
              </w:rPr>
            </w:pPr>
            <w:r>
              <w:rPr>
                <w:rFonts w:ascii="Arial" w:cs="Arial" w:eastAsia="Arial" w:hAnsi="Arial"/>
                <w:sz w:val="16"/>
                <w:szCs w:val="16"/>
                <w:b w:val="1"/>
                <w:bCs w:val="1"/>
                <w:color w:val="auto"/>
                <w:w w:val="91"/>
              </w:rPr>
              <w:t>Title</w:t>
            </w:r>
          </w:p>
        </w:tc>
        <w:tc>
          <w:tcPr>
            <w:tcW w:w="1060" w:type="dxa"/>
            <w:vAlign w:val="bottom"/>
          </w:tcPr>
          <w:p>
            <w:pPr>
              <w:spacing w:after="0"/>
              <w:rPr>
                <w:sz w:val="16"/>
                <w:szCs w:val="16"/>
                <w:color w:val="auto"/>
              </w:rPr>
            </w:pPr>
          </w:p>
        </w:tc>
        <w:tc>
          <w:tcPr>
            <w:tcW w:w="480" w:type="dxa"/>
            <w:vAlign w:val="bottom"/>
            <w:gridSpan w:val="2"/>
          </w:tcPr>
          <w:p>
            <w:pPr>
              <w:spacing w:after="0"/>
              <w:rPr>
                <w:sz w:val="20"/>
                <w:szCs w:val="20"/>
                <w:color w:val="auto"/>
              </w:rPr>
            </w:pPr>
            <w:r>
              <w:rPr>
                <w:rFonts w:ascii="Arial" w:cs="Arial" w:eastAsia="Arial" w:hAnsi="Arial"/>
                <w:sz w:val="16"/>
                <w:szCs w:val="16"/>
                <w:b w:val="1"/>
                <w:bCs w:val="1"/>
                <w:color w:val="auto"/>
              </w:rPr>
              <w:t>Date</w:t>
            </w:r>
          </w:p>
        </w:tc>
      </w:tr>
      <w:tr>
        <w:trPr>
          <w:trHeight w:val="20"/>
        </w:trPr>
        <w:tc>
          <w:tcPr>
            <w:tcW w:w="12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388"/>
        </w:trPr>
        <w:tc>
          <w:tcPr>
            <w:tcW w:w="306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20"/>
                <w:szCs w:val="20"/>
                <w:b w:val="1"/>
                <w:bCs w:val="1"/>
                <w:i w:val="1"/>
                <w:iCs w:val="1"/>
                <w:color w:val="auto"/>
                <w:w w:val="88"/>
              </w:rPr>
              <w:t>/s/ Michael J. Nolan</w:t>
            </w:r>
          </w:p>
        </w:tc>
        <w:tc>
          <w:tcPr>
            <w:tcW w:w="4560" w:type="dxa"/>
            <w:vAlign w:val="bottom"/>
            <w:gridSpan w:val="3"/>
          </w:tcPr>
          <w:p>
            <w:pPr>
              <w:jc w:val="center"/>
              <w:ind w:left="143"/>
              <w:spacing w:after="0"/>
              <w:rPr>
                <w:sz w:val="20"/>
                <w:szCs w:val="20"/>
                <w:color w:val="auto"/>
              </w:rPr>
            </w:pPr>
            <w:r>
              <w:rPr>
                <w:rFonts w:ascii="Arial" w:cs="Arial" w:eastAsia="Arial" w:hAnsi="Arial"/>
                <w:sz w:val="20"/>
                <w:szCs w:val="20"/>
                <w:color w:val="auto"/>
                <w:w w:val="92"/>
              </w:rPr>
              <w:t>Chief Executive Officer</w:t>
            </w:r>
          </w:p>
        </w:tc>
        <w:tc>
          <w:tcPr>
            <w:tcW w:w="1540" w:type="dxa"/>
            <w:vAlign w:val="bottom"/>
            <w:gridSpan w:val="3"/>
          </w:tcPr>
          <w:p>
            <w:pPr>
              <w:ind w:left="100"/>
              <w:spacing w:after="0"/>
              <w:rPr>
                <w:sz w:val="20"/>
                <w:szCs w:val="20"/>
                <w:color w:val="auto"/>
              </w:rPr>
            </w:pPr>
            <w:r>
              <w:rPr>
                <w:rFonts w:ascii="Arial" w:cs="Arial" w:eastAsia="Arial" w:hAnsi="Arial"/>
                <w:sz w:val="20"/>
                <w:szCs w:val="20"/>
                <w:color w:val="auto"/>
                <w:w w:val="86"/>
              </w:rPr>
              <w:t>February 26, 2026</w:t>
            </w:r>
          </w:p>
        </w:tc>
      </w:tr>
      <w:tr>
        <w:trPr>
          <w:trHeight w:val="270"/>
        </w:trPr>
        <w:tc>
          <w:tcPr>
            <w:tcW w:w="3060" w:type="dxa"/>
            <w:vAlign w:val="bottom"/>
            <w:gridSpan w:val="3"/>
          </w:tcPr>
          <w:p>
            <w:pPr>
              <w:jc w:val="center"/>
              <w:ind w:right="20"/>
              <w:spacing w:after="0"/>
              <w:rPr>
                <w:sz w:val="20"/>
                <w:szCs w:val="20"/>
                <w:color w:val="auto"/>
              </w:rPr>
            </w:pPr>
            <w:r>
              <w:rPr>
                <w:rFonts w:ascii="Arial" w:cs="Arial" w:eastAsia="Arial" w:hAnsi="Arial"/>
                <w:sz w:val="20"/>
                <w:szCs w:val="20"/>
                <w:color w:val="auto"/>
                <w:w w:val="91"/>
              </w:rPr>
              <w:t>Michael J. Nolan</w:t>
            </w:r>
          </w:p>
        </w:tc>
        <w:tc>
          <w:tcPr>
            <w:tcW w:w="4560" w:type="dxa"/>
            <w:vAlign w:val="bottom"/>
            <w:gridSpan w:val="3"/>
          </w:tcPr>
          <w:p>
            <w:pPr>
              <w:jc w:val="center"/>
              <w:ind w:left="163"/>
              <w:spacing w:after="0"/>
              <w:rPr>
                <w:sz w:val="20"/>
                <w:szCs w:val="20"/>
                <w:color w:val="auto"/>
              </w:rPr>
            </w:pPr>
            <w:r>
              <w:rPr>
                <w:rFonts w:ascii="Arial" w:cs="Arial" w:eastAsia="Arial" w:hAnsi="Arial"/>
                <w:sz w:val="20"/>
                <w:szCs w:val="20"/>
                <w:color w:val="auto"/>
                <w:w w:val="93"/>
              </w:rPr>
              <w:t>(Principal Executive Officer)</w:t>
            </w:r>
          </w:p>
        </w:tc>
        <w:tc>
          <w:tcPr>
            <w:tcW w:w="10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60" w:type="dxa"/>
            <w:vAlign w:val="bottom"/>
          </w:tcPr>
          <w:p>
            <w:pPr>
              <w:spacing w:after="0"/>
              <w:rPr>
                <w:sz w:val="23"/>
                <w:szCs w:val="23"/>
                <w:color w:val="auto"/>
              </w:rPr>
            </w:pPr>
          </w:p>
        </w:tc>
      </w:tr>
      <w:tr>
        <w:trPr>
          <w:trHeight w:val="371"/>
        </w:trPr>
        <w:tc>
          <w:tcPr>
            <w:tcW w:w="306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20"/>
                <w:szCs w:val="20"/>
                <w:b w:val="1"/>
                <w:bCs w:val="1"/>
                <w:i w:val="1"/>
                <w:iCs w:val="1"/>
                <w:color w:val="auto"/>
                <w:w w:val="86"/>
              </w:rPr>
              <w:t>/s/ Anthony J. Park</w:t>
            </w:r>
          </w:p>
        </w:tc>
        <w:tc>
          <w:tcPr>
            <w:tcW w:w="4560" w:type="dxa"/>
            <w:vAlign w:val="bottom"/>
            <w:gridSpan w:val="3"/>
          </w:tcPr>
          <w:p>
            <w:pPr>
              <w:jc w:val="center"/>
              <w:ind w:left="163"/>
              <w:spacing w:after="0"/>
              <w:rPr>
                <w:sz w:val="20"/>
                <w:szCs w:val="20"/>
                <w:color w:val="auto"/>
              </w:rPr>
            </w:pPr>
            <w:r>
              <w:rPr>
                <w:rFonts w:ascii="Arial" w:cs="Arial" w:eastAsia="Arial" w:hAnsi="Arial"/>
                <w:sz w:val="20"/>
                <w:szCs w:val="20"/>
                <w:color w:val="auto"/>
                <w:w w:val="92"/>
              </w:rPr>
              <w:t>Chief Financial Officer</w:t>
            </w:r>
          </w:p>
        </w:tc>
        <w:tc>
          <w:tcPr>
            <w:tcW w:w="1540" w:type="dxa"/>
            <w:vAlign w:val="bottom"/>
            <w:gridSpan w:val="3"/>
          </w:tcPr>
          <w:p>
            <w:pPr>
              <w:ind w:left="100"/>
              <w:spacing w:after="0"/>
              <w:rPr>
                <w:sz w:val="20"/>
                <w:szCs w:val="20"/>
                <w:color w:val="auto"/>
              </w:rPr>
            </w:pPr>
            <w:r>
              <w:rPr>
                <w:rFonts w:ascii="Arial" w:cs="Arial" w:eastAsia="Arial" w:hAnsi="Arial"/>
                <w:sz w:val="20"/>
                <w:szCs w:val="20"/>
                <w:color w:val="auto"/>
                <w:w w:val="86"/>
              </w:rPr>
              <w:t>February 26, 2026</w:t>
            </w:r>
          </w:p>
        </w:tc>
      </w:tr>
      <w:tr>
        <w:trPr>
          <w:trHeight w:val="270"/>
        </w:trPr>
        <w:tc>
          <w:tcPr>
            <w:tcW w:w="3060" w:type="dxa"/>
            <w:vAlign w:val="bottom"/>
            <w:gridSpan w:val="3"/>
          </w:tcPr>
          <w:p>
            <w:pPr>
              <w:jc w:val="center"/>
              <w:ind w:right="20"/>
              <w:spacing w:after="0"/>
              <w:rPr>
                <w:sz w:val="20"/>
                <w:szCs w:val="20"/>
                <w:color w:val="auto"/>
              </w:rPr>
            </w:pPr>
            <w:r>
              <w:rPr>
                <w:rFonts w:ascii="Arial" w:cs="Arial" w:eastAsia="Arial" w:hAnsi="Arial"/>
                <w:sz w:val="20"/>
                <w:szCs w:val="20"/>
                <w:color w:val="auto"/>
                <w:w w:val="90"/>
              </w:rPr>
              <w:t>Anthony J. Park</w:t>
            </w:r>
          </w:p>
        </w:tc>
        <w:tc>
          <w:tcPr>
            <w:tcW w:w="4560" w:type="dxa"/>
            <w:vAlign w:val="bottom"/>
            <w:gridSpan w:val="3"/>
          </w:tcPr>
          <w:p>
            <w:pPr>
              <w:jc w:val="center"/>
              <w:ind w:left="163"/>
              <w:spacing w:after="0"/>
              <w:rPr>
                <w:sz w:val="20"/>
                <w:szCs w:val="20"/>
                <w:color w:val="auto"/>
              </w:rPr>
            </w:pPr>
            <w:r>
              <w:rPr>
                <w:rFonts w:ascii="Arial" w:cs="Arial" w:eastAsia="Arial" w:hAnsi="Arial"/>
                <w:sz w:val="20"/>
                <w:szCs w:val="20"/>
                <w:color w:val="auto"/>
                <w:w w:val="92"/>
              </w:rPr>
              <w:t>(Principal Financial and Accounting Officer)</w:t>
            </w:r>
          </w:p>
        </w:tc>
        <w:tc>
          <w:tcPr>
            <w:tcW w:w="10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60" w:type="dxa"/>
            <w:vAlign w:val="bottom"/>
          </w:tcPr>
          <w:p>
            <w:pPr>
              <w:spacing w:after="0"/>
              <w:rPr>
                <w:sz w:val="23"/>
                <w:szCs w:val="23"/>
                <w:color w:val="auto"/>
              </w:rPr>
            </w:pPr>
          </w:p>
        </w:tc>
      </w:tr>
      <w:tr>
        <w:trPr>
          <w:trHeight w:val="371"/>
        </w:trPr>
        <w:tc>
          <w:tcPr>
            <w:tcW w:w="306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20"/>
                <w:szCs w:val="20"/>
                <w:b w:val="1"/>
                <w:bCs w:val="1"/>
                <w:i w:val="1"/>
                <w:iCs w:val="1"/>
                <w:color w:val="auto"/>
                <w:w w:val="90"/>
              </w:rPr>
              <w:t>/s/ William P. Foley, II</w:t>
            </w:r>
          </w:p>
        </w:tc>
        <w:tc>
          <w:tcPr>
            <w:tcW w:w="4560" w:type="dxa"/>
            <w:vAlign w:val="bottom"/>
            <w:gridSpan w:val="3"/>
          </w:tcPr>
          <w:p>
            <w:pPr>
              <w:jc w:val="center"/>
              <w:ind w:left="163"/>
              <w:spacing w:after="0"/>
              <w:rPr>
                <w:sz w:val="20"/>
                <w:szCs w:val="20"/>
                <w:color w:val="auto"/>
              </w:rPr>
            </w:pPr>
            <w:r>
              <w:rPr>
                <w:rFonts w:ascii="Arial" w:cs="Arial" w:eastAsia="Arial" w:hAnsi="Arial"/>
                <w:sz w:val="20"/>
                <w:szCs w:val="20"/>
                <w:color w:val="auto"/>
                <w:w w:val="89"/>
              </w:rPr>
              <w:t>Director and Chairman of the Board</w:t>
            </w:r>
          </w:p>
        </w:tc>
        <w:tc>
          <w:tcPr>
            <w:tcW w:w="1540" w:type="dxa"/>
            <w:vAlign w:val="bottom"/>
            <w:gridSpan w:val="3"/>
          </w:tcPr>
          <w:p>
            <w:pPr>
              <w:ind w:left="100"/>
              <w:spacing w:after="0"/>
              <w:rPr>
                <w:sz w:val="20"/>
                <w:szCs w:val="20"/>
                <w:color w:val="auto"/>
              </w:rPr>
            </w:pPr>
            <w:r>
              <w:rPr>
                <w:rFonts w:ascii="Arial" w:cs="Arial" w:eastAsia="Arial" w:hAnsi="Arial"/>
                <w:sz w:val="20"/>
                <w:szCs w:val="20"/>
                <w:color w:val="auto"/>
                <w:w w:val="86"/>
              </w:rPr>
              <w:t>February 26, 2026</w:t>
            </w:r>
          </w:p>
        </w:tc>
      </w:tr>
      <w:tr>
        <w:trPr>
          <w:trHeight w:val="257"/>
        </w:trPr>
        <w:tc>
          <w:tcPr>
            <w:tcW w:w="3060" w:type="dxa"/>
            <w:vAlign w:val="bottom"/>
            <w:gridSpan w:val="3"/>
          </w:tcPr>
          <w:p>
            <w:pPr>
              <w:jc w:val="center"/>
              <w:ind w:right="20"/>
              <w:spacing w:after="0"/>
              <w:rPr>
                <w:sz w:val="20"/>
                <w:szCs w:val="20"/>
                <w:color w:val="auto"/>
              </w:rPr>
            </w:pPr>
            <w:r>
              <w:rPr>
                <w:rFonts w:ascii="Arial" w:cs="Arial" w:eastAsia="Arial" w:hAnsi="Arial"/>
                <w:sz w:val="20"/>
                <w:szCs w:val="20"/>
                <w:color w:val="auto"/>
                <w:w w:val="94"/>
              </w:rPr>
              <w:t>William P. Foley, II</w:t>
            </w:r>
          </w:p>
        </w:tc>
        <w:tc>
          <w:tcPr>
            <w:tcW w:w="22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60" w:type="dxa"/>
            <w:vAlign w:val="bottom"/>
          </w:tcPr>
          <w:p>
            <w:pPr>
              <w:spacing w:after="0"/>
              <w:rPr>
                <w:sz w:val="22"/>
                <w:szCs w:val="22"/>
                <w:color w:val="auto"/>
              </w:rPr>
            </w:pPr>
          </w:p>
        </w:tc>
      </w:tr>
      <w:tr>
        <w:trPr>
          <w:trHeight w:val="384"/>
        </w:trPr>
        <w:tc>
          <w:tcPr>
            <w:tcW w:w="306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20"/>
                <w:szCs w:val="20"/>
                <w:b w:val="1"/>
                <w:bCs w:val="1"/>
                <w:i w:val="1"/>
                <w:iCs w:val="1"/>
                <w:color w:val="auto"/>
                <w:w w:val="86"/>
              </w:rPr>
              <w:t>/s/ Raymond R. Quirk</w:t>
            </w:r>
          </w:p>
        </w:tc>
        <w:tc>
          <w:tcPr>
            <w:tcW w:w="4560" w:type="dxa"/>
            <w:vAlign w:val="bottom"/>
            <w:gridSpan w:val="3"/>
          </w:tcPr>
          <w:p>
            <w:pPr>
              <w:jc w:val="center"/>
              <w:ind w:left="163"/>
              <w:spacing w:after="0"/>
              <w:rPr>
                <w:sz w:val="20"/>
                <w:szCs w:val="20"/>
                <w:color w:val="auto"/>
              </w:rPr>
            </w:pPr>
            <w:r>
              <w:rPr>
                <w:rFonts w:ascii="Arial" w:cs="Arial" w:eastAsia="Arial" w:hAnsi="Arial"/>
                <w:sz w:val="20"/>
                <w:szCs w:val="20"/>
                <w:color w:val="auto"/>
                <w:w w:val="90"/>
              </w:rPr>
              <w:t>Director and Executive Vice Chairman of the Board</w:t>
            </w:r>
          </w:p>
        </w:tc>
        <w:tc>
          <w:tcPr>
            <w:tcW w:w="1540" w:type="dxa"/>
            <w:vAlign w:val="bottom"/>
            <w:gridSpan w:val="3"/>
          </w:tcPr>
          <w:p>
            <w:pPr>
              <w:ind w:left="100"/>
              <w:spacing w:after="0"/>
              <w:rPr>
                <w:sz w:val="20"/>
                <w:szCs w:val="20"/>
                <w:color w:val="auto"/>
              </w:rPr>
            </w:pPr>
            <w:r>
              <w:rPr>
                <w:rFonts w:ascii="Arial" w:cs="Arial" w:eastAsia="Arial" w:hAnsi="Arial"/>
                <w:sz w:val="20"/>
                <w:szCs w:val="20"/>
                <w:color w:val="auto"/>
                <w:w w:val="86"/>
              </w:rPr>
              <w:t>February 26, 2026</w:t>
            </w:r>
          </w:p>
        </w:tc>
      </w:tr>
      <w:tr>
        <w:trPr>
          <w:trHeight w:val="270"/>
        </w:trPr>
        <w:tc>
          <w:tcPr>
            <w:tcW w:w="3060" w:type="dxa"/>
            <w:vAlign w:val="bottom"/>
            <w:gridSpan w:val="3"/>
          </w:tcPr>
          <w:p>
            <w:pPr>
              <w:jc w:val="center"/>
              <w:ind w:right="20"/>
              <w:spacing w:after="0"/>
              <w:rPr>
                <w:sz w:val="20"/>
                <w:szCs w:val="20"/>
                <w:color w:val="auto"/>
              </w:rPr>
            </w:pPr>
            <w:r>
              <w:rPr>
                <w:rFonts w:ascii="Arial" w:cs="Arial" w:eastAsia="Arial" w:hAnsi="Arial"/>
                <w:sz w:val="20"/>
                <w:szCs w:val="20"/>
                <w:color w:val="auto"/>
                <w:w w:val="89"/>
              </w:rPr>
              <w:t>Raymond R. Quirk</w:t>
            </w:r>
          </w:p>
        </w:tc>
        <w:tc>
          <w:tcPr>
            <w:tcW w:w="22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0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60" w:type="dxa"/>
            <w:vAlign w:val="bottom"/>
          </w:tcPr>
          <w:p>
            <w:pPr>
              <w:spacing w:after="0"/>
              <w:rPr>
                <w:sz w:val="23"/>
                <w:szCs w:val="23"/>
                <w:color w:val="auto"/>
              </w:rPr>
            </w:pPr>
          </w:p>
        </w:tc>
      </w:tr>
      <w:tr>
        <w:trPr>
          <w:trHeight w:val="400"/>
        </w:trPr>
        <w:tc>
          <w:tcPr>
            <w:tcW w:w="306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20"/>
                <w:szCs w:val="20"/>
                <w:b w:val="1"/>
                <w:bCs w:val="1"/>
                <w:i w:val="1"/>
                <w:iCs w:val="1"/>
                <w:color w:val="auto"/>
                <w:w w:val="85"/>
              </w:rPr>
              <w:t>/s/ Douglas K. Ammerman</w:t>
            </w:r>
          </w:p>
        </w:tc>
        <w:tc>
          <w:tcPr>
            <w:tcW w:w="4560" w:type="dxa"/>
            <w:vAlign w:val="bottom"/>
            <w:gridSpan w:val="3"/>
          </w:tcPr>
          <w:p>
            <w:pPr>
              <w:jc w:val="center"/>
              <w:ind w:left="163"/>
              <w:spacing w:after="0"/>
              <w:rPr>
                <w:sz w:val="20"/>
                <w:szCs w:val="20"/>
                <w:color w:val="auto"/>
              </w:rPr>
            </w:pPr>
            <w:r>
              <w:rPr>
                <w:rFonts w:ascii="Arial" w:cs="Arial" w:eastAsia="Arial" w:hAnsi="Arial"/>
                <w:sz w:val="20"/>
                <w:szCs w:val="20"/>
                <w:color w:val="auto"/>
                <w:w w:val="94"/>
              </w:rPr>
              <w:t>Director</w:t>
            </w:r>
          </w:p>
        </w:tc>
        <w:tc>
          <w:tcPr>
            <w:tcW w:w="1540" w:type="dxa"/>
            <w:vAlign w:val="bottom"/>
            <w:gridSpan w:val="3"/>
          </w:tcPr>
          <w:p>
            <w:pPr>
              <w:ind w:left="100"/>
              <w:spacing w:after="0"/>
              <w:rPr>
                <w:sz w:val="20"/>
                <w:szCs w:val="20"/>
                <w:color w:val="auto"/>
              </w:rPr>
            </w:pPr>
            <w:r>
              <w:rPr>
                <w:rFonts w:ascii="Arial" w:cs="Arial" w:eastAsia="Arial" w:hAnsi="Arial"/>
                <w:sz w:val="20"/>
                <w:szCs w:val="20"/>
                <w:color w:val="auto"/>
                <w:w w:val="86"/>
              </w:rPr>
              <w:t>February 26, 2026</w:t>
            </w:r>
          </w:p>
        </w:tc>
      </w:tr>
      <w:tr>
        <w:trPr>
          <w:trHeight w:val="257"/>
        </w:trPr>
        <w:tc>
          <w:tcPr>
            <w:tcW w:w="3060" w:type="dxa"/>
            <w:vAlign w:val="bottom"/>
            <w:gridSpan w:val="3"/>
          </w:tcPr>
          <w:p>
            <w:pPr>
              <w:jc w:val="center"/>
              <w:ind w:right="20"/>
              <w:spacing w:after="0"/>
              <w:rPr>
                <w:sz w:val="20"/>
                <w:szCs w:val="20"/>
                <w:color w:val="auto"/>
              </w:rPr>
            </w:pPr>
            <w:r>
              <w:rPr>
                <w:rFonts w:ascii="Arial" w:cs="Arial" w:eastAsia="Arial" w:hAnsi="Arial"/>
                <w:sz w:val="20"/>
                <w:szCs w:val="20"/>
                <w:color w:val="auto"/>
                <w:w w:val="90"/>
              </w:rPr>
              <w:t>Douglas K. Ammerman</w:t>
            </w:r>
          </w:p>
        </w:tc>
        <w:tc>
          <w:tcPr>
            <w:tcW w:w="22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60" w:type="dxa"/>
            <w:vAlign w:val="bottom"/>
          </w:tcPr>
          <w:p>
            <w:pPr>
              <w:spacing w:after="0"/>
              <w:rPr>
                <w:sz w:val="22"/>
                <w:szCs w:val="22"/>
                <w:color w:val="auto"/>
              </w:rPr>
            </w:pPr>
          </w:p>
        </w:tc>
      </w:tr>
      <w:tr>
        <w:trPr>
          <w:trHeight w:val="384"/>
        </w:trPr>
        <w:tc>
          <w:tcPr>
            <w:tcW w:w="3060" w:type="dxa"/>
            <w:vAlign w:val="bottom"/>
            <w:tcBorders>
              <w:bottom w:val="single" w:sz="8" w:color="auto"/>
            </w:tcBorders>
            <w:gridSpan w:val="3"/>
          </w:tcPr>
          <w:p>
            <w:pPr>
              <w:jc w:val="center"/>
              <w:spacing w:after="0"/>
              <w:rPr>
                <w:sz w:val="20"/>
                <w:szCs w:val="20"/>
                <w:color w:val="auto"/>
              </w:rPr>
            </w:pPr>
            <w:r>
              <w:rPr>
                <w:rFonts w:ascii="Arial" w:cs="Arial" w:eastAsia="Arial" w:hAnsi="Arial"/>
                <w:sz w:val="20"/>
                <w:szCs w:val="20"/>
                <w:b w:val="1"/>
                <w:bCs w:val="1"/>
                <w:i w:val="1"/>
                <w:iCs w:val="1"/>
                <w:color w:val="auto"/>
                <w:w w:val="89"/>
              </w:rPr>
              <w:t>/s/ Halim Dhanidina</w:t>
            </w:r>
          </w:p>
        </w:tc>
        <w:tc>
          <w:tcPr>
            <w:tcW w:w="4560" w:type="dxa"/>
            <w:vAlign w:val="bottom"/>
            <w:gridSpan w:val="3"/>
          </w:tcPr>
          <w:p>
            <w:pPr>
              <w:jc w:val="center"/>
              <w:ind w:left="163"/>
              <w:spacing w:after="0"/>
              <w:rPr>
                <w:sz w:val="20"/>
                <w:szCs w:val="20"/>
                <w:color w:val="auto"/>
              </w:rPr>
            </w:pPr>
            <w:r>
              <w:rPr>
                <w:rFonts w:ascii="Arial" w:cs="Arial" w:eastAsia="Arial" w:hAnsi="Arial"/>
                <w:sz w:val="20"/>
                <w:szCs w:val="20"/>
                <w:color w:val="auto"/>
                <w:w w:val="94"/>
              </w:rPr>
              <w:t>Director</w:t>
            </w:r>
          </w:p>
        </w:tc>
        <w:tc>
          <w:tcPr>
            <w:tcW w:w="1540" w:type="dxa"/>
            <w:vAlign w:val="bottom"/>
            <w:gridSpan w:val="3"/>
          </w:tcPr>
          <w:p>
            <w:pPr>
              <w:ind w:left="100"/>
              <w:spacing w:after="0"/>
              <w:rPr>
                <w:sz w:val="20"/>
                <w:szCs w:val="20"/>
                <w:color w:val="auto"/>
              </w:rPr>
            </w:pPr>
            <w:r>
              <w:rPr>
                <w:rFonts w:ascii="Arial" w:cs="Arial" w:eastAsia="Arial" w:hAnsi="Arial"/>
                <w:sz w:val="20"/>
                <w:szCs w:val="20"/>
                <w:color w:val="auto"/>
                <w:w w:val="86"/>
              </w:rPr>
              <w:t>February 26, 2026</w:t>
            </w:r>
          </w:p>
        </w:tc>
      </w:tr>
      <w:tr>
        <w:trPr>
          <w:trHeight w:val="257"/>
        </w:trPr>
        <w:tc>
          <w:tcPr>
            <w:tcW w:w="3060" w:type="dxa"/>
            <w:vAlign w:val="bottom"/>
            <w:gridSpan w:val="3"/>
          </w:tcPr>
          <w:p>
            <w:pPr>
              <w:jc w:val="center"/>
              <w:ind w:right="20"/>
              <w:spacing w:after="0"/>
              <w:rPr>
                <w:sz w:val="20"/>
                <w:szCs w:val="20"/>
                <w:color w:val="auto"/>
              </w:rPr>
            </w:pPr>
            <w:r>
              <w:rPr>
                <w:rFonts w:ascii="Arial" w:cs="Arial" w:eastAsia="Arial" w:hAnsi="Arial"/>
                <w:sz w:val="20"/>
                <w:szCs w:val="20"/>
                <w:color w:val="auto"/>
                <w:w w:val="92"/>
              </w:rPr>
              <w:t>Halim Dhanidina</w:t>
            </w:r>
          </w:p>
        </w:tc>
        <w:tc>
          <w:tcPr>
            <w:tcW w:w="22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60" w:type="dxa"/>
            <w:vAlign w:val="bottom"/>
          </w:tcPr>
          <w:p>
            <w:pPr>
              <w:spacing w:after="0"/>
              <w:rPr>
                <w:sz w:val="22"/>
                <w:szCs w:val="22"/>
                <w:color w:val="auto"/>
              </w:rPr>
            </w:pPr>
          </w:p>
        </w:tc>
      </w:tr>
      <w:tr>
        <w:trPr>
          <w:trHeight w:val="384"/>
        </w:trPr>
        <w:tc>
          <w:tcPr>
            <w:tcW w:w="306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20"/>
                <w:szCs w:val="20"/>
                <w:b w:val="1"/>
                <w:bCs w:val="1"/>
                <w:i w:val="1"/>
                <w:iCs w:val="1"/>
                <w:color w:val="auto"/>
                <w:w w:val="86"/>
              </w:rPr>
              <w:t>/s/ Thomas M. Hagerty</w:t>
            </w:r>
          </w:p>
        </w:tc>
        <w:tc>
          <w:tcPr>
            <w:tcW w:w="4560" w:type="dxa"/>
            <w:vAlign w:val="bottom"/>
            <w:gridSpan w:val="3"/>
          </w:tcPr>
          <w:p>
            <w:pPr>
              <w:jc w:val="center"/>
              <w:ind w:left="163"/>
              <w:spacing w:after="0"/>
              <w:rPr>
                <w:sz w:val="20"/>
                <w:szCs w:val="20"/>
                <w:color w:val="auto"/>
              </w:rPr>
            </w:pPr>
            <w:r>
              <w:rPr>
                <w:rFonts w:ascii="Arial" w:cs="Arial" w:eastAsia="Arial" w:hAnsi="Arial"/>
                <w:sz w:val="20"/>
                <w:szCs w:val="20"/>
                <w:color w:val="auto"/>
                <w:w w:val="94"/>
              </w:rPr>
              <w:t>Director</w:t>
            </w:r>
          </w:p>
        </w:tc>
        <w:tc>
          <w:tcPr>
            <w:tcW w:w="1540" w:type="dxa"/>
            <w:vAlign w:val="bottom"/>
            <w:gridSpan w:val="3"/>
          </w:tcPr>
          <w:p>
            <w:pPr>
              <w:ind w:left="100"/>
              <w:spacing w:after="0"/>
              <w:rPr>
                <w:sz w:val="20"/>
                <w:szCs w:val="20"/>
                <w:color w:val="auto"/>
              </w:rPr>
            </w:pPr>
            <w:r>
              <w:rPr>
                <w:rFonts w:ascii="Arial" w:cs="Arial" w:eastAsia="Arial" w:hAnsi="Arial"/>
                <w:sz w:val="20"/>
                <w:szCs w:val="20"/>
                <w:color w:val="auto"/>
                <w:w w:val="86"/>
              </w:rPr>
              <w:t>February 26, 2026</w:t>
            </w:r>
          </w:p>
        </w:tc>
      </w:tr>
      <w:tr>
        <w:trPr>
          <w:trHeight w:val="257"/>
        </w:trPr>
        <w:tc>
          <w:tcPr>
            <w:tcW w:w="3060" w:type="dxa"/>
            <w:vAlign w:val="bottom"/>
            <w:gridSpan w:val="3"/>
          </w:tcPr>
          <w:p>
            <w:pPr>
              <w:jc w:val="center"/>
              <w:spacing w:after="0"/>
              <w:rPr>
                <w:sz w:val="20"/>
                <w:szCs w:val="20"/>
                <w:color w:val="auto"/>
              </w:rPr>
            </w:pPr>
            <w:r>
              <w:rPr>
                <w:rFonts w:ascii="Arial" w:cs="Arial" w:eastAsia="Arial" w:hAnsi="Arial"/>
                <w:sz w:val="20"/>
                <w:szCs w:val="20"/>
                <w:color w:val="auto"/>
                <w:w w:val="89"/>
              </w:rPr>
              <w:t>Thomas M. Hagerty</w:t>
            </w:r>
          </w:p>
        </w:tc>
        <w:tc>
          <w:tcPr>
            <w:tcW w:w="22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60" w:type="dxa"/>
            <w:vAlign w:val="bottom"/>
          </w:tcPr>
          <w:p>
            <w:pPr>
              <w:spacing w:after="0"/>
              <w:rPr>
                <w:sz w:val="22"/>
                <w:szCs w:val="22"/>
                <w:color w:val="auto"/>
              </w:rPr>
            </w:pPr>
          </w:p>
        </w:tc>
      </w:tr>
      <w:tr>
        <w:trPr>
          <w:trHeight w:val="384"/>
        </w:trPr>
        <w:tc>
          <w:tcPr>
            <w:tcW w:w="306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20"/>
                <w:szCs w:val="20"/>
                <w:b w:val="1"/>
                <w:bCs w:val="1"/>
                <w:i w:val="1"/>
                <w:iCs w:val="1"/>
                <w:color w:val="auto"/>
                <w:w w:val="89"/>
              </w:rPr>
              <w:t>/s/ Daniel D. (Ron) Lane</w:t>
            </w:r>
          </w:p>
        </w:tc>
        <w:tc>
          <w:tcPr>
            <w:tcW w:w="4560" w:type="dxa"/>
            <w:vAlign w:val="bottom"/>
            <w:gridSpan w:val="3"/>
          </w:tcPr>
          <w:p>
            <w:pPr>
              <w:jc w:val="center"/>
              <w:ind w:left="163"/>
              <w:spacing w:after="0"/>
              <w:rPr>
                <w:sz w:val="20"/>
                <w:szCs w:val="20"/>
                <w:color w:val="auto"/>
              </w:rPr>
            </w:pPr>
            <w:r>
              <w:rPr>
                <w:rFonts w:ascii="Arial" w:cs="Arial" w:eastAsia="Arial" w:hAnsi="Arial"/>
                <w:sz w:val="20"/>
                <w:szCs w:val="20"/>
                <w:color w:val="auto"/>
                <w:w w:val="94"/>
              </w:rPr>
              <w:t>Director</w:t>
            </w:r>
          </w:p>
        </w:tc>
        <w:tc>
          <w:tcPr>
            <w:tcW w:w="1540" w:type="dxa"/>
            <w:vAlign w:val="bottom"/>
            <w:gridSpan w:val="3"/>
          </w:tcPr>
          <w:p>
            <w:pPr>
              <w:ind w:left="100"/>
              <w:spacing w:after="0"/>
              <w:rPr>
                <w:sz w:val="20"/>
                <w:szCs w:val="20"/>
                <w:color w:val="auto"/>
              </w:rPr>
            </w:pPr>
            <w:r>
              <w:rPr>
                <w:rFonts w:ascii="Arial" w:cs="Arial" w:eastAsia="Arial" w:hAnsi="Arial"/>
                <w:sz w:val="20"/>
                <w:szCs w:val="20"/>
                <w:color w:val="auto"/>
                <w:w w:val="86"/>
              </w:rPr>
              <w:t>February 26, 2026</w:t>
            </w:r>
          </w:p>
        </w:tc>
      </w:tr>
      <w:tr>
        <w:trPr>
          <w:trHeight w:val="257"/>
        </w:trPr>
        <w:tc>
          <w:tcPr>
            <w:tcW w:w="3060" w:type="dxa"/>
            <w:vAlign w:val="bottom"/>
            <w:gridSpan w:val="3"/>
          </w:tcPr>
          <w:p>
            <w:pPr>
              <w:jc w:val="center"/>
              <w:ind w:right="20"/>
              <w:spacing w:after="0"/>
              <w:rPr>
                <w:sz w:val="20"/>
                <w:szCs w:val="20"/>
                <w:color w:val="auto"/>
              </w:rPr>
            </w:pPr>
            <w:r>
              <w:rPr>
                <w:rFonts w:ascii="Arial" w:cs="Arial" w:eastAsia="Arial" w:hAnsi="Arial"/>
                <w:sz w:val="20"/>
                <w:szCs w:val="20"/>
                <w:color w:val="auto"/>
                <w:w w:val="91"/>
              </w:rPr>
              <w:t>Daniel D. (Ron) Lane</w:t>
            </w:r>
          </w:p>
        </w:tc>
        <w:tc>
          <w:tcPr>
            <w:tcW w:w="22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60" w:type="dxa"/>
            <w:vAlign w:val="bottom"/>
          </w:tcPr>
          <w:p>
            <w:pPr>
              <w:spacing w:after="0"/>
              <w:rPr>
                <w:sz w:val="22"/>
                <w:szCs w:val="22"/>
                <w:color w:val="auto"/>
              </w:rPr>
            </w:pPr>
          </w:p>
        </w:tc>
      </w:tr>
      <w:tr>
        <w:trPr>
          <w:trHeight w:val="384"/>
        </w:trPr>
        <w:tc>
          <w:tcPr>
            <w:tcW w:w="3060" w:type="dxa"/>
            <w:vAlign w:val="bottom"/>
            <w:tcBorders>
              <w:bottom w:val="single" w:sz="8" w:color="auto"/>
            </w:tcBorders>
            <w:gridSpan w:val="3"/>
          </w:tcPr>
          <w:p>
            <w:pPr>
              <w:jc w:val="center"/>
              <w:spacing w:after="0"/>
              <w:rPr>
                <w:sz w:val="20"/>
                <w:szCs w:val="20"/>
                <w:color w:val="auto"/>
              </w:rPr>
            </w:pPr>
            <w:r>
              <w:rPr>
                <w:rFonts w:ascii="Arial" w:cs="Arial" w:eastAsia="Arial" w:hAnsi="Arial"/>
                <w:sz w:val="20"/>
                <w:szCs w:val="20"/>
                <w:b w:val="1"/>
                <w:bCs w:val="1"/>
                <w:i w:val="1"/>
                <w:iCs w:val="1"/>
                <w:color w:val="auto"/>
                <w:w w:val="91"/>
              </w:rPr>
              <w:t>/s/ Sandra D. Morgan</w:t>
            </w:r>
          </w:p>
        </w:tc>
        <w:tc>
          <w:tcPr>
            <w:tcW w:w="4560" w:type="dxa"/>
            <w:vAlign w:val="bottom"/>
            <w:gridSpan w:val="3"/>
          </w:tcPr>
          <w:p>
            <w:pPr>
              <w:jc w:val="center"/>
              <w:ind w:left="163"/>
              <w:spacing w:after="0"/>
              <w:rPr>
                <w:sz w:val="20"/>
                <w:szCs w:val="20"/>
                <w:color w:val="auto"/>
              </w:rPr>
            </w:pPr>
            <w:r>
              <w:rPr>
                <w:rFonts w:ascii="Arial" w:cs="Arial" w:eastAsia="Arial" w:hAnsi="Arial"/>
                <w:sz w:val="20"/>
                <w:szCs w:val="20"/>
                <w:color w:val="auto"/>
                <w:w w:val="94"/>
              </w:rPr>
              <w:t>Director</w:t>
            </w:r>
          </w:p>
        </w:tc>
        <w:tc>
          <w:tcPr>
            <w:tcW w:w="1540" w:type="dxa"/>
            <w:vAlign w:val="bottom"/>
            <w:gridSpan w:val="3"/>
          </w:tcPr>
          <w:p>
            <w:pPr>
              <w:ind w:left="100"/>
              <w:spacing w:after="0"/>
              <w:rPr>
                <w:sz w:val="20"/>
                <w:szCs w:val="20"/>
                <w:color w:val="auto"/>
              </w:rPr>
            </w:pPr>
            <w:r>
              <w:rPr>
                <w:rFonts w:ascii="Arial" w:cs="Arial" w:eastAsia="Arial" w:hAnsi="Arial"/>
                <w:sz w:val="20"/>
                <w:szCs w:val="20"/>
                <w:color w:val="auto"/>
                <w:w w:val="86"/>
              </w:rPr>
              <w:t>February 26, 2026</w:t>
            </w:r>
          </w:p>
        </w:tc>
      </w:tr>
      <w:tr>
        <w:trPr>
          <w:trHeight w:val="270"/>
        </w:trPr>
        <w:tc>
          <w:tcPr>
            <w:tcW w:w="3060" w:type="dxa"/>
            <w:vAlign w:val="bottom"/>
            <w:gridSpan w:val="3"/>
          </w:tcPr>
          <w:p>
            <w:pPr>
              <w:jc w:val="center"/>
              <w:ind w:right="20"/>
              <w:spacing w:after="0"/>
              <w:rPr>
                <w:sz w:val="20"/>
                <w:szCs w:val="20"/>
                <w:color w:val="auto"/>
              </w:rPr>
            </w:pPr>
            <w:r>
              <w:rPr>
                <w:rFonts w:ascii="Arial" w:cs="Arial" w:eastAsia="Arial" w:hAnsi="Arial"/>
                <w:sz w:val="20"/>
                <w:szCs w:val="20"/>
                <w:color w:val="auto"/>
                <w:w w:val="88"/>
              </w:rPr>
              <w:t>Sandra D. Morgan</w:t>
            </w:r>
          </w:p>
        </w:tc>
        <w:tc>
          <w:tcPr>
            <w:tcW w:w="22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0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60" w:type="dxa"/>
            <w:vAlign w:val="bottom"/>
          </w:tcPr>
          <w:p>
            <w:pPr>
              <w:spacing w:after="0"/>
              <w:rPr>
                <w:sz w:val="23"/>
                <w:szCs w:val="23"/>
                <w:color w:val="auto"/>
              </w:rPr>
            </w:pPr>
          </w:p>
        </w:tc>
      </w:tr>
      <w:tr>
        <w:trPr>
          <w:trHeight w:val="356"/>
        </w:trPr>
        <w:tc>
          <w:tcPr>
            <w:tcW w:w="3060" w:type="dxa"/>
            <w:vAlign w:val="bottom"/>
            <w:tcBorders>
              <w:bottom w:val="single" w:sz="8" w:color="auto"/>
            </w:tcBorders>
            <w:gridSpan w:val="3"/>
          </w:tcPr>
          <w:p>
            <w:pPr>
              <w:jc w:val="center"/>
              <w:spacing w:after="0"/>
              <w:rPr>
                <w:sz w:val="20"/>
                <w:szCs w:val="20"/>
                <w:color w:val="auto"/>
              </w:rPr>
            </w:pPr>
            <w:r>
              <w:rPr>
                <w:rFonts w:ascii="Arial" w:cs="Arial" w:eastAsia="Arial" w:hAnsi="Arial"/>
                <w:sz w:val="20"/>
                <w:szCs w:val="20"/>
                <w:b w:val="1"/>
                <w:bCs w:val="1"/>
                <w:i w:val="1"/>
                <w:iCs w:val="1"/>
                <w:color w:val="auto"/>
                <w:w w:val="91"/>
              </w:rPr>
              <w:t>/s/ Heather H. Miller</w:t>
            </w:r>
          </w:p>
        </w:tc>
        <w:tc>
          <w:tcPr>
            <w:tcW w:w="4560" w:type="dxa"/>
            <w:vAlign w:val="bottom"/>
            <w:gridSpan w:val="3"/>
          </w:tcPr>
          <w:p>
            <w:pPr>
              <w:jc w:val="center"/>
              <w:ind w:left="163"/>
              <w:spacing w:after="0"/>
              <w:rPr>
                <w:sz w:val="20"/>
                <w:szCs w:val="20"/>
                <w:color w:val="auto"/>
              </w:rPr>
            </w:pPr>
            <w:r>
              <w:rPr>
                <w:rFonts w:ascii="Arial" w:cs="Arial" w:eastAsia="Arial" w:hAnsi="Arial"/>
                <w:sz w:val="20"/>
                <w:szCs w:val="20"/>
                <w:color w:val="auto"/>
                <w:w w:val="94"/>
              </w:rPr>
              <w:t>Director</w:t>
            </w:r>
          </w:p>
        </w:tc>
        <w:tc>
          <w:tcPr>
            <w:tcW w:w="1540" w:type="dxa"/>
            <w:vAlign w:val="bottom"/>
            <w:gridSpan w:val="3"/>
          </w:tcPr>
          <w:p>
            <w:pPr>
              <w:ind w:left="100"/>
              <w:spacing w:after="0"/>
              <w:rPr>
                <w:sz w:val="20"/>
                <w:szCs w:val="20"/>
                <w:color w:val="auto"/>
              </w:rPr>
            </w:pPr>
            <w:r>
              <w:rPr>
                <w:rFonts w:ascii="Arial" w:cs="Arial" w:eastAsia="Arial" w:hAnsi="Arial"/>
                <w:sz w:val="20"/>
                <w:szCs w:val="20"/>
                <w:color w:val="auto"/>
                <w:w w:val="86"/>
              </w:rPr>
              <w:t>February 26, 2026</w:t>
            </w:r>
          </w:p>
        </w:tc>
      </w:tr>
      <w:tr>
        <w:trPr>
          <w:trHeight w:val="257"/>
        </w:trPr>
        <w:tc>
          <w:tcPr>
            <w:tcW w:w="3060" w:type="dxa"/>
            <w:vAlign w:val="bottom"/>
            <w:gridSpan w:val="3"/>
          </w:tcPr>
          <w:p>
            <w:pPr>
              <w:jc w:val="center"/>
              <w:ind w:right="20"/>
              <w:spacing w:after="0"/>
              <w:rPr>
                <w:sz w:val="20"/>
                <w:szCs w:val="20"/>
                <w:color w:val="auto"/>
              </w:rPr>
            </w:pPr>
            <w:r>
              <w:rPr>
                <w:rFonts w:ascii="Arial" w:cs="Arial" w:eastAsia="Arial" w:hAnsi="Arial"/>
                <w:sz w:val="20"/>
                <w:szCs w:val="20"/>
                <w:color w:val="auto"/>
                <w:w w:val="93"/>
              </w:rPr>
              <w:t>Heather H. Miller</w:t>
            </w:r>
          </w:p>
        </w:tc>
        <w:tc>
          <w:tcPr>
            <w:tcW w:w="22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60" w:type="dxa"/>
            <w:vAlign w:val="bottom"/>
          </w:tcPr>
          <w:p>
            <w:pPr>
              <w:spacing w:after="0"/>
              <w:rPr>
                <w:sz w:val="22"/>
                <w:szCs w:val="22"/>
                <w:color w:val="auto"/>
              </w:rPr>
            </w:pPr>
          </w:p>
        </w:tc>
      </w:tr>
      <w:tr>
        <w:trPr>
          <w:trHeight w:val="384"/>
        </w:trPr>
        <w:tc>
          <w:tcPr>
            <w:tcW w:w="306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20"/>
                <w:szCs w:val="20"/>
                <w:b w:val="1"/>
                <w:bCs w:val="1"/>
                <w:i w:val="1"/>
                <w:iCs w:val="1"/>
                <w:color w:val="auto"/>
                <w:w w:val="86"/>
              </w:rPr>
              <w:t>/s/ John D. Rood</w:t>
            </w:r>
          </w:p>
        </w:tc>
        <w:tc>
          <w:tcPr>
            <w:tcW w:w="4560" w:type="dxa"/>
            <w:vAlign w:val="bottom"/>
            <w:gridSpan w:val="3"/>
          </w:tcPr>
          <w:p>
            <w:pPr>
              <w:jc w:val="center"/>
              <w:ind w:left="163"/>
              <w:spacing w:after="0"/>
              <w:rPr>
                <w:sz w:val="20"/>
                <w:szCs w:val="20"/>
                <w:color w:val="auto"/>
              </w:rPr>
            </w:pPr>
            <w:r>
              <w:rPr>
                <w:rFonts w:ascii="Arial" w:cs="Arial" w:eastAsia="Arial" w:hAnsi="Arial"/>
                <w:sz w:val="20"/>
                <w:szCs w:val="20"/>
                <w:color w:val="auto"/>
                <w:w w:val="94"/>
              </w:rPr>
              <w:t>Director</w:t>
            </w:r>
          </w:p>
        </w:tc>
        <w:tc>
          <w:tcPr>
            <w:tcW w:w="1540" w:type="dxa"/>
            <w:vAlign w:val="bottom"/>
            <w:gridSpan w:val="3"/>
          </w:tcPr>
          <w:p>
            <w:pPr>
              <w:ind w:left="100"/>
              <w:spacing w:after="0"/>
              <w:rPr>
                <w:sz w:val="20"/>
                <w:szCs w:val="20"/>
                <w:color w:val="auto"/>
              </w:rPr>
            </w:pPr>
            <w:r>
              <w:rPr>
                <w:rFonts w:ascii="Arial" w:cs="Arial" w:eastAsia="Arial" w:hAnsi="Arial"/>
                <w:sz w:val="20"/>
                <w:szCs w:val="20"/>
                <w:color w:val="auto"/>
                <w:w w:val="86"/>
              </w:rPr>
              <w:t>February 26, 2026</w:t>
            </w:r>
          </w:p>
        </w:tc>
      </w:tr>
      <w:tr>
        <w:trPr>
          <w:trHeight w:val="257"/>
        </w:trPr>
        <w:tc>
          <w:tcPr>
            <w:tcW w:w="3060" w:type="dxa"/>
            <w:vAlign w:val="bottom"/>
            <w:gridSpan w:val="3"/>
          </w:tcPr>
          <w:p>
            <w:pPr>
              <w:jc w:val="center"/>
              <w:ind w:right="20"/>
              <w:spacing w:after="0"/>
              <w:rPr>
                <w:sz w:val="20"/>
                <w:szCs w:val="20"/>
                <w:color w:val="auto"/>
              </w:rPr>
            </w:pPr>
            <w:r>
              <w:rPr>
                <w:rFonts w:ascii="Arial" w:cs="Arial" w:eastAsia="Arial" w:hAnsi="Arial"/>
                <w:sz w:val="20"/>
                <w:szCs w:val="20"/>
                <w:color w:val="auto"/>
                <w:w w:val="88"/>
              </w:rPr>
              <w:t>John D. Rood</w:t>
            </w:r>
          </w:p>
        </w:tc>
        <w:tc>
          <w:tcPr>
            <w:tcW w:w="22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60" w:type="dxa"/>
            <w:vAlign w:val="bottom"/>
          </w:tcPr>
          <w:p>
            <w:pPr>
              <w:spacing w:after="0"/>
              <w:rPr>
                <w:sz w:val="22"/>
                <w:szCs w:val="22"/>
                <w:color w:val="auto"/>
              </w:rPr>
            </w:pPr>
          </w:p>
        </w:tc>
      </w:tr>
      <w:tr>
        <w:trPr>
          <w:trHeight w:val="384"/>
        </w:trPr>
        <w:tc>
          <w:tcPr>
            <w:tcW w:w="306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20"/>
                <w:szCs w:val="20"/>
                <w:b w:val="1"/>
                <w:bCs w:val="1"/>
                <w:i w:val="1"/>
                <w:iCs w:val="1"/>
                <w:color w:val="auto"/>
                <w:w w:val="86"/>
              </w:rPr>
              <w:t>/s/ Peter O. Shea, Jr.</w:t>
            </w:r>
          </w:p>
        </w:tc>
        <w:tc>
          <w:tcPr>
            <w:tcW w:w="4560" w:type="dxa"/>
            <w:vAlign w:val="bottom"/>
            <w:gridSpan w:val="3"/>
          </w:tcPr>
          <w:p>
            <w:pPr>
              <w:jc w:val="center"/>
              <w:ind w:left="163"/>
              <w:spacing w:after="0"/>
              <w:rPr>
                <w:sz w:val="20"/>
                <w:szCs w:val="20"/>
                <w:color w:val="auto"/>
              </w:rPr>
            </w:pPr>
            <w:r>
              <w:rPr>
                <w:rFonts w:ascii="Arial" w:cs="Arial" w:eastAsia="Arial" w:hAnsi="Arial"/>
                <w:sz w:val="20"/>
                <w:szCs w:val="20"/>
                <w:color w:val="auto"/>
                <w:w w:val="94"/>
              </w:rPr>
              <w:t>Director</w:t>
            </w:r>
          </w:p>
        </w:tc>
        <w:tc>
          <w:tcPr>
            <w:tcW w:w="1540" w:type="dxa"/>
            <w:vAlign w:val="bottom"/>
            <w:gridSpan w:val="3"/>
          </w:tcPr>
          <w:p>
            <w:pPr>
              <w:ind w:left="100"/>
              <w:spacing w:after="0"/>
              <w:rPr>
                <w:sz w:val="20"/>
                <w:szCs w:val="20"/>
                <w:color w:val="auto"/>
              </w:rPr>
            </w:pPr>
            <w:r>
              <w:rPr>
                <w:rFonts w:ascii="Arial" w:cs="Arial" w:eastAsia="Arial" w:hAnsi="Arial"/>
                <w:sz w:val="20"/>
                <w:szCs w:val="20"/>
                <w:color w:val="auto"/>
                <w:w w:val="86"/>
              </w:rPr>
              <w:t>February 26, 2026</w:t>
            </w:r>
          </w:p>
        </w:tc>
      </w:tr>
      <w:tr>
        <w:trPr>
          <w:trHeight w:val="257"/>
        </w:trPr>
        <w:tc>
          <w:tcPr>
            <w:tcW w:w="3060" w:type="dxa"/>
            <w:vAlign w:val="bottom"/>
            <w:gridSpan w:val="3"/>
          </w:tcPr>
          <w:p>
            <w:pPr>
              <w:jc w:val="center"/>
              <w:ind w:right="20"/>
              <w:spacing w:after="0"/>
              <w:rPr>
                <w:sz w:val="20"/>
                <w:szCs w:val="20"/>
                <w:color w:val="auto"/>
              </w:rPr>
            </w:pPr>
            <w:r>
              <w:rPr>
                <w:rFonts w:ascii="Arial" w:cs="Arial" w:eastAsia="Arial" w:hAnsi="Arial"/>
                <w:sz w:val="20"/>
                <w:szCs w:val="20"/>
                <w:color w:val="auto"/>
                <w:w w:val="84"/>
              </w:rPr>
              <w:t>Peter O. Shea, Jr.</w:t>
            </w:r>
          </w:p>
        </w:tc>
        <w:tc>
          <w:tcPr>
            <w:tcW w:w="22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60" w:type="dxa"/>
            <w:vAlign w:val="bottom"/>
          </w:tcPr>
          <w:p>
            <w:pPr>
              <w:spacing w:after="0"/>
              <w:rPr>
                <w:sz w:val="22"/>
                <w:szCs w:val="22"/>
                <w:color w:val="auto"/>
              </w:rPr>
            </w:pPr>
          </w:p>
        </w:tc>
      </w:tr>
      <w:tr>
        <w:trPr>
          <w:trHeight w:val="384"/>
        </w:trPr>
        <w:tc>
          <w:tcPr>
            <w:tcW w:w="3060" w:type="dxa"/>
            <w:vAlign w:val="bottom"/>
            <w:tcBorders>
              <w:bottom w:val="single" w:sz="8" w:color="auto"/>
            </w:tcBorders>
            <w:gridSpan w:val="3"/>
          </w:tcPr>
          <w:p>
            <w:pPr>
              <w:jc w:val="center"/>
              <w:spacing w:after="0"/>
              <w:rPr>
                <w:sz w:val="20"/>
                <w:szCs w:val="20"/>
                <w:color w:val="auto"/>
              </w:rPr>
            </w:pPr>
            <w:r>
              <w:rPr>
                <w:rFonts w:ascii="Arial" w:cs="Arial" w:eastAsia="Arial" w:hAnsi="Arial"/>
                <w:sz w:val="20"/>
                <w:szCs w:val="20"/>
                <w:b w:val="1"/>
                <w:bCs w:val="1"/>
                <w:i w:val="1"/>
                <w:iCs w:val="1"/>
                <w:color w:val="auto"/>
                <w:w w:val="86"/>
              </w:rPr>
              <w:t>/s/ Cary H. Thompson</w:t>
            </w:r>
          </w:p>
        </w:tc>
        <w:tc>
          <w:tcPr>
            <w:tcW w:w="4560" w:type="dxa"/>
            <w:vAlign w:val="bottom"/>
            <w:gridSpan w:val="3"/>
          </w:tcPr>
          <w:p>
            <w:pPr>
              <w:jc w:val="center"/>
              <w:ind w:left="163"/>
              <w:spacing w:after="0"/>
              <w:rPr>
                <w:sz w:val="20"/>
                <w:szCs w:val="20"/>
                <w:color w:val="auto"/>
              </w:rPr>
            </w:pPr>
            <w:r>
              <w:rPr>
                <w:rFonts w:ascii="Arial" w:cs="Arial" w:eastAsia="Arial" w:hAnsi="Arial"/>
                <w:sz w:val="20"/>
                <w:szCs w:val="20"/>
                <w:color w:val="auto"/>
                <w:w w:val="94"/>
              </w:rPr>
              <w:t>Director</w:t>
            </w:r>
          </w:p>
        </w:tc>
        <w:tc>
          <w:tcPr>
            <w:tcW w:w="1540" w:type="dxa"/>
            <w:vAlign w:val="bottom"/>
            <w:gridSpan w:val="3"/>
          </w:tcPr>
          <w:p>
            <w:pPr>
              <w:ind w:left="100"/>
              <w:spacing w:after="0"/>
              <w:rPr>
                <w:sz w:val="20"/>
                <w:szCs w:val="20"/>
                <w:color w:val="auto"/>
              </w:rPr>
            </w:pPr>
            <w:r>
              <w:rPr>
                <w:rFonts w:ascii="Arial" w:cs="Arial" w:eastAsia="Arial" w:hAnsi="Arial"/>
                <w:sz w:val="20"/>
                <w:szCs w:val="20"/>
                <w:color w:val="auto"/>
                <w:w w:val="86"/>
              </w:rPr>
              <w:t>February 26, 2026</w:t>
            </w:r>
          </w:p>
        </w:tc>
      </w:tr>
      <w:tr>
        <w:trPr>
          <w:trHeight w:val="257"/>
        </w:trPr>
        <w:tc>
          <w:tcPr>
            <w:tcW w:w="3060" w:type="dxa"/>
            <w:vAlign w:val="bottom"/>
            <w:gridSpan w:val="3"/>
          </w:tcPr>
          <w:p>
            <w:pPr>
              <w:jc w:val="center"/>
              <w:ind w:right="20"/>
              <w:spacing w:after="0"/>
              <w:rPr>
                <w:sz w:val="20"/>
                <w:szCs w:val="20"/>
                <w:color w:val="auto"/>
              </w:rPr>
            </w:pPr>
            <w:r>
              <w:rPr>
                <w:rFonts w:ascii="Arial" w:cs="Arial" w:eastAsia="Arial" w:hAnsi="Arial"/>
                <w:sz w:val="20"/>
                <w:szCs w:val="20"/>
                <w:color w:val="auto"/>
                <w:w w:val="90"/>
              </w:rPr>
              <w:t>Cary H. Thompson</w:t>
            </w:r>
          </w:p>
        </w:tc>
        <w:tc>
          <w:tcPr>
            <w:tcW w:w="22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60" w:type="dxa"/>
            <w:vAlign w:val="bottom"/>
          </w:tcPr>
          <w:p>
            <w:pPr>
              <w:spacing w:after="0"/>
              <w:rPr>
                <w:sz w:val="22"/>
                <w:szCs w:val="22"/>
                <w:color w:val="auto"/>
              </w:rPr>
            </w:pPr>
          </w:p>
        </w:tc>
      </w:tr>
    </w:tbl>
    <w:p>
      <w:pPr>
        <w:spacing w:after="0" w:line="200" w:lineRule="exact"/>
        <w:rPr>
          <w:sz w:val="20"/>
          <w:szCs w:val="20"/>
          <w:color w:val="auto"/>
        </w:rPr>
      </w:pPr>
    </w:p>
    <w:p>
      <w:pPr>
        <w:sectPr>
          <w:pgSz w:w="11880" w:h="15480" w:orient="portrait"/>
          <w:cols w:equalWidth="0" w:num="1">
            <w:col w:w="10000"/>
          </w:cols>
          <w:pgMar w:left="920" w:top="772"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200</w:t>
      </w:r>
    </w:p>
    <w:p>
      <w:pPr>
        <w:sectPr>
          <w:pgSz w:w="11880" w:h="15480" w:orient="portrait"/>
          <w:cols w:equalWidth="0" w:num="1">
            <w:col w:w="10000"/>
          </w:cols>
          <w:pgMar w:left="920" w:top="772" w:right="960" w:bottom="0" w:gutter="0" w:footer="0" w:header="0"/>
          <w:type w:val="continuous"/>
        </w:sectPr>
      </w:pPr>
    </w:p>
    <w:bookmarkStart w:id="212" w:name="page213"/>
    <w:bookmarkEnd w:id="212"/>
    <w:p>
      <w:pPr>
        <w:jc w:val="right"/>
        <w:spacing w:after="0"/>
        <w:rPr>
          <w:sz w:val="20"/>
          <w:szCs w:val="20"/>
          <w:color w:val="auto"/>
        </w:rPr>
      </w:pPr>
      <w:r>
        <w:rPr>
          <w:rFonts w:ascii="Arial" w:cs="Arial" w:eastAsia="Arial" w:hAnsi="Arial"/>
          <w:sz w:val="20"/>
          <w:szCs w:val="20"/>
          <w:b w:val="1"/>
          <w:bCs w:val="1"/>
          <w:color w:val="auto"/>
        </w:rPr>
        <w:t>SCHEDULE II</w:t>
      </w:r>
    </w:p>
    <w:p>
      <w:pPr>
        <w:spacing w:after="0" w:line="29" w:lineRule="exact"/>
        <w:rPr>
          <w:sz w:val="20"/>
          <w:szCs w:val="20"/>
          <w:color w:val="auto"/>
        </w:rPr>
      </w:pPr>
    </w:p>
    <w:p>
      <w:pPr>
        <w:jc w:val="center"/>
        <w:ind w:right="40"/>
        <w:spacing w:after="0"/>
        <w:rPr>
          <w:sz w:val="20"/>
          <w:szCs w:val="20"/>
          <w:color w:val="auto"/>
        </w:rPr>
      </w:pPr>
      <w:r>
        <w:rPr>
          <w:rFonts w:ascii="Arial" w:cs="Arial" w:eastAsia="Arial" w:hAnsi="Arial"/>
          <w:sz w:val="20"/>
          <w:szCs w:val="20"/>
          <w:b w:val="1"/>
          <w:bCs w:val="1"/>
          <w:color w:val="auto"/>
        </w:rPr>
        <w:t>FIDELITY NATIONAL FINANCIAL, INC.</w:t>
      </w:r>
    </w:p>
    <w:p>
      <w:pPr>
        <w:spacing w:after="0" w:line="5" w:lineRule="exact"/>
        <w:rPr>
          <w:sz w:val="20"/>
          <w:szCs w:val="20"/>
          <w:color w:val="auto"/>
        </w:rPr>
      </w:pPr>
    </w:p>
    <w:p>
      <w:pPr>
        <w:jc w:val="center"/>
        <w:ind w:right="40"/>
        <w:spacing w:after="0"/>
        <w:rPr>
          <w:sz w:val="20"/>
          <w:szCs w:val="20"/>
          <w:color w:val="auto"/>
        </w:rPr>
      </w:pPr>
      <w:r>
        <w:rPr>
          <w:rFonts w:ascii="Arial" w:cs="Arial" w:eastAsia="Arial" w:hAnsi="Arial"/>
          <w:sz w:val="20"/>
          <w:szCs w:val="20"/>
          <w:b w:val="1"/>
          <w:bCs w:val="1"/>
          <w:color w:val="auto"/>
        </w:rPr>
        <w:t>(Parent Company)</w:t>
      </w:r>
    </w:p>
    <w:p>
      <w:pPr>
        <w:spacing w:after="0" w:line="217" w:lineRule="exact"/>
        <w:rPr>
          <w:sz w:val="20"/>
          <w:szCs w:val="20"/>
          <w:color w:val="auto"/>
        </w:rPr>
      </w:pPr>
    </w:p>
    <w:p>
      <w:pPr>
        <w:jc w:val="center"/>
        <w:ind w:right="40"/>
        <w:spacing w:after="0"/>
        <w:rPr>
          <w:sz w:val="20"/>
          <w:szCs w:val="20"/>
          <w:color w:val="auto"/>
        </w:rPr>
      </w:pPr>
      <w:r>
        <w:rPr>
          <w:rFonts w:ascii="Arial" w:cs="Arial" w:eastAsia="Arial" w:hAnsi="Arial"/>
          <w:sz w:val="20"/>
          <w:szCs w:val="20"/>
          <w:b w:val="1"/>
          <w:bCs w:val="1"/>
          <w:color w:val="auto"/>
        </w:rPr>
        <w:t>BALANCE SHEETS</w:t>
      </w:r>
    </w:p>
    <w:p>
      <w:pPr>
        <w:spacing w:after="0" w:line="2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(In millions)</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5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020" w:type="dxa"/>
            <w:vAlign w:val="bottom"/>
            <w:tcBorders>
              <w:bottom w:val="single" w:sz="8" w:color="auto"/>
            </w:tcBorders>
            <w:gridSpan w:val="4"/>
          </w:tcPr>
          <w:p>
            <w:pPr>
              <w:jc w:val="right"/>
              <w:ind w:right="602"/>
              <w:spacing w:after="0"/>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215"/>
        </w:trPr>
        <w:tc>
          <w:tcPr>
            <w:tcW w:w="75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22"/>
              <w:spacing w:after="0"/>
              <w:rPr>
                <w:sz w:val="20"/>
                <w:szCs w:val="20"/>
                <w:color w:val="auto"/>
              </w:rPr>
            </w:pPr>
            <w:r>
              <w:rPr>
                <w:rFonts w:ascii="Arial" w:cs="Arial" w:eastAsia="Arial" w:hAnsi="Arial"/>
                <w:sz w:val="16"/>
                <w:szCs w:val="16"/>
                <w:b w:val="1"/>
                <w:bCs w:val="1"/>
                <w:color w:val="auto"/>
              </w:rPr>
              <w:t>2025</w:t>
            </w:r>
          </w:p>
        </w:tc>
        <w:tc>
          <w:tcPr>
            <w:tcW w:w="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22"/>
              <w:spacing w:after="0"/>
              <w:rPr>
                <w:sz w:val="20"/>
                <w:szCs w:val="20"/>
                <w:color w:val="auto"/>
              </w:rPr>
            </w:pPr>
            <w:r>
              <w:rPr>
                <w:rFonts w:ascii="Arial" w:cs="Arial" w:eastAsia="Arial" w:hAnsi="Arial"/>
                <w:sz w:val="16"/>
                <w:szCs w:val="16"/>
                <w:b w:val="1"/>
                <w:bCs w:val="1"/>
                <w:color w:val="auto"/>
              </w:rPr>
              <w:t>2024</w:t>
            </w:r>
          </w:p>
        </w:tc>
        <w:tc>
          <w:tcPr>
            <w:tcW w:w="0" w:type="dxa"/>
            <w:vAlign w:val="bottom"/>
          </w:tcPr>
          <w:p>
            <w:pPr>
              <w:spacing w:after="0"/>
              <w:rPr>
                <w:sz w:val="1"/>
                <w:szCs w:val="1"/>
                <w:color w:val="auto"/>
              </w:rPr>
            </w:pPr>
          </w:p>
        </w:tc>
      </w:tr>
      <w:tr>
        <w:trPr>
          <w:trHeight w:val="223"/>
        </w:trPr>
        <w:tc>
          <w:tcPr>
            <w:tcW w:w="7540" w:type="dxa"/>
            <w:vAlign w:val="bottom"/>
          </w:tcPr>
          <w:p>
            <w:pPr>
              <w:ind w:left="4600"/>
              <w:spacing w:after="0"/>
              <w:rPr>
                <w:sz w:val="20"/>
                <w:szCs w:val="20"/>
                <w:color w:val="auto"/>
              </w:rPr>
            </w:pPr>
            <w:r>
              <w:rPr>
                <w:rFonts w:ascii="Arial" w:cs="Arial" w:eastAsia="Arial" w:hAnsi="Arial"/>
                <w:sz w:val="16"/>
                <w:szCs w:val="16"/>
                <w:b w:val="1"/>
                <w:bCs w:val="1"/>
                <w:color w:val="auto"/>
              </w:rPr>
              <w:t>ASSETS</w:t>
            </w: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7540" w:type="dxa"/>
            <w:vAlign w:val="bottom"/>
          </w:tcPr>
          <w:p>
            <w:pPr>
              <w:spacing w:after="0"/>
              <w:rPr>
                <w:sz w:val="20"/>
                <w:szCs w:val="20"/>
                <w:color w:val="auto"/>
              </w:rPr>
            </w:pPr>
            <w:r>
              <w:rPr>
                <w:rFonts w:ascii="Arial" w:cs="Arial" w:eastAsia="Arial" w:hAnsi="Arial"/>
                <w:sz w:val="16"/>
                <w:szCs w:val="16"/>
                <w:color w:val="auto"/>
              </w:rPr>
              <w:t>Cash</w:t>
            </w:r>
          </w:p>
        </w:tc>
        <w:tc>
          <w:tcPr>
            <w:tcW w:w="260" w:type="dxa"/>
            <w:vAlign w:val="bottom"/>
          </w:tcPr>
          <w:p>
            <w:pPr>
              <w:jc w:val="right"/>
              <w:ind w:right="62"/>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396</w:t>
            </w:r>
          </w:p>
        </w:tc>
        <w:tc>
          <w:tcPr>
            <w:tcW w:w="3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2"/>
              <w:spacing w:after="0"/>
              <w:rPr>
                <w:sz w:val="20"/>
                <w:szCs w:val="20"/>
                <w:color w:val="auto"/>
              </w:rPr>
            </w:pPr>
            <w:r>
              <w:rPr>
                <w:rFonts w:ascii="Arial" w:cs="Arial" w:eastAsia="Arial" w:hAnsi="Arial"/>
                <w:sz w:val="16"/>
                <w:szCs w:val="16"/>
                <w:color w:val="auto"/>
              </w:rPr>
              <w:t>534</w:t>
            </w:r>
          </w:p>
        </w:tc>
        <w:tc>
          <w:tcPr>
            <w:tcW w:w="0" w:type="dxa"/>
            <w:vAlign w:val="bottom"/>
          </w:tcPr>
          <w:p>
            <w:pPr>
              <w:spacing w:after="0"/>
              <w:rPr>
                <w:sz w:val="1"/>
                <w:szCs w:val="1"/>
                <w:color w:val="auto"/>
              </w:rPr>
            </w:pPr>
          </w:p>
        </w:tc>
      </w:tr>
      <w:tr>
        <w:trPr>
          <w:trHeight w:val="250"/>
        </w:trPr>
        <w:tc>
          <w:tcPr>
            <w:tcW w:w="7540" w:type="dxa"/>
            <w:vAlign w:val="bottom"/>
          </w:tcPr>
          <w:p>
            <w:pPr>
              <w:spacing w:after="0"/>
              <w:rPr>
                <w:sz w:val="20"/>
                <w:szCs w:val="20"/>
                <w:color w:val="auto"/>
              </w:rPr>
            </w:pPr>
            <w:r>
              <w:rPr>
                <w:rFonts w:ascii="Arial" w:cs="Arial" w:eastAsia="Arial" w:hAnsi="Arial"/>
                <w:sz w:val="16"/>
                <w:szCs w:val="16"/>
                <w:color w:val="auto"/>
              </w:rPr>
              <w:t>Short-term investments</w:t>
            </w:r>
          </w:p>
        </w:tc>
        <w:tc>
          <w:tcPr>
            <w:tcW w:w="2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262</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jc w:val="right"/>
              <w:ind w:right="2"/>
              <w:spacing w:after="0"/>
              <w:rPr>
                <w:sz w:val="20"/>
                <w:szCs w:val="20"/>
                <w:color w:val="auto"/>
              </w:rPr>
            </w:pPr>
            <w:r>
              <w:rPr>
                <w:rFonts w:ascii="Arial" w:cs="Arial" w:eastAsia="Arial" w:hAnsi="Arial"/>
                <w:sz w:val="16"/>
                <w:szCs w:val="16"/>
                <w:color w:val="auto"/>
              </w:rPr>
              <w:t>252</w:t>
            </w:r>
          </w:p>
        </w:tc>
        <w:tc>
          <w:tcPr>
            <w:tcW w:w="0" w:type="dxa"/>
            <w:vAlign w:val="bottom"/>
          </w:tcPr>
          <w:p>
            <w:pPr>
              <w:spacing w:after="0"/>
              <w:rPr>
                <w:sz w:val="1"/>
                <w:szCs w:val="1"/>
                <w:color w:val="auto"/>
              </w:rPr>
            </w:pPr>
          </w:p>
        </w:tc>
      </w:tr>
      <w:tr>
        <w:trPr>
          <w:trHeight w:val="235"/>
        </w:trPr>
        <w:tc>
          <w:tcPr>
            <w:tcW w:w="7540" w:type="dxa"/>
            <w:vAlign w:val="bottom"/>
          </w:tcPr>
          <w:p>
            <w:pPr>
              <w:spacing w:after="0"/>
              <w:rPr>
                <w:sz w:val="20"/>
                <w:szCs w:val="20"/>
                <w:color w:val="auto"/>
              </w:rPr>
            </w:pPr>
            <w:r>
              <w:rPr>
                <w:rFonts w:ascii="Arial" w:cs="Arial" w:eastAsia="Arial" w:hAnsi="Arial"/>
                <w:sz w:val="16"/>
                <w:szCs w:val="16"/>
                <w:color w:val="auto"/>
              </w:rPr>
              <w:t>Investment in unconsolidated affiliates</w:t>
            </w:r>
          </w:p>
        </w:tc>
        <w:tc>
          <w:tcPr>
            <w:tcW w:w="2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jc w:val="right"/>
              <w:ind w:right="2"/>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50"/>
        </w:trPr>
        <w:tc>
          <w:tcPr>
            <w:tcW w:w="7540" w:type="dxa"/>
            <w:vAlign w:val="bottom"/>
          </w:tcPr>
          <w:p>
            <w:pPr>
              <w:spacing w:after="0"/>
              <w:rPr>
                <w:sz w:val="20"/>
                <w:szCs w:val="20"/>
                <w:color w:val="auto"/>
              </w:rPr>
            </w:pPr>
            <w:r>
              <w:rPr>
                <w:rFonts w:ascii="Arial" w:cs="Arial" w:eastAsia="Arial" w:hAnsi="Arial"/>
                <w:sz w:val="16"/>
                <w:szCs w:val="16"/>
                <w:color w:val="auto"/>
              </w:rPr>
              <w:t>Notes receivable</w:t>
            </w:r>
          </w:p>
        </w:tc>
        <w:tc>
          <w:tcPr>
            <w:tcW w:w="2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142</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jc w:val="right"/>
              <w:ind w:right="2"/>
              <w:spacing w:after="0"/>
              <w:rPr>
                <w:sz w:val="20"/>
                <w:szCs w:val="20"/>
                <w:color w:val="auto"/>
              </w:rPr>
            </w:pPr>
            <w:r>
              <w:rPr>
                <w:rFonts w:ascii="Arial" w:cs="Arial" w:eastAsia="Arial" w:hAnsi="Arial"/>
                <w:sz w:val="16"/>
                <w:szCs w:val="16"/>
                <w:color w:val="auto"/>
              </w:rPr>
              <w:t>212</w:t>
            </w:r>
          </w:p>
        </w:tc>
        <w:tc>
          <w:tcPr>
            <w:tcW w:w="0" w:type="dxa"/>
            <w:vAlign w:val="bottom"/>
          </w:tcPr>
          <w:p>
            <w:pPr>
              <w:spacing w:after="0"/>
              <w:rPr>
                <w:sz w:val="1"/>
                <w:szCs w:val="1"/>
                <w:color w:val="auto"/>
              </w:rPr>
            </w:pPr>
          </w:p>
        </w:tc>
      </w:tr>
      <w:tr>
        <w:trPr>
          <w:trHeight w:val="250"/>
        </w:trPr>
        <w:tc>
          <w:tcPr>
            <w:tcW w:w="7540" w:type="dxa"/>
            <w:vAlign w:val="bottom"/>
          </w:tcPr>
          <w:p>
            <w:pPr>
              <w:spacing w:after="0"/>
              <w:rPr>
                <w:sz w:val="20"/>
                <w:szCs w:val="20"/>
                <w:color w:val="auto"/>
              </w:rPr>
            </w:pPr>
            <w:r>
              <w:rPr>
                <w:rFonts w:ascii="Arial" w:cs="Arial" w:eastAsia="Arial" w:hAnsi="Arial"/>
                <w:sz w:val="16"/>
                <w:szCs w:val="16"/>
                <w:color w:val="auto"/>
              </w:rPr>
              <w:t>Investments in and amounts due from subsidiaries</w:t>
            </w:r>
          </w:p>
        </w:tc>
        <w:tc>
          <w:tcPr>
            <w:tcW w:w="2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9,245</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jc w:val="right"/>
              <w:ind w:right="2"/>
              <w:spacing w:after="0"/>
              <w:rPr>
                <w:sz w:val="20"/>
                <w:szCs w:val="20"/>
                <w:color w:val="auto"/>
              </w:rPr>
            </w:pPr>
            <w:r>
              <w:rPr>
                <w:rFonts w:ascii="Arial" w:cs="Arial" w:eastAsia="Arial" w:hAnsi="Arial"/>
                <w:sz w:val="16"/>
                <w:szCs w:val="16"/>
                <w:color w:val="auto"/>
              </w:rPr>
              <w:t>8,882</w:t>
            </w:r>
          </w:p>
        </w:tc>
        <w:tc>
          <w:tcPr>
            <w:tcW w:w="0" w:type="dxa"/>
            <w:vAlign w:val="bottom"/>
          </w:tcPr>
          <w:p>
            <w:pPr>
              <w:spacing w:after="0"/>
              <w:rPr>
                <w:sz w:val="1"/>
                <w:szCs w:val="1"/>
                <w:color w:val="auto"/>
              </w:rPr>
            </w:pPr>
          </w:p>
        </w:tc>
      </w:tr>
      <w:tr>
        <w:trPr>
          <w:trHeight w:val="250"/>
        </w:trPr>
        <w:tc>
          <w:tcPr>
            <w:tcW w:w="7540" w:type="dxa"/>
            <w:vAlign w:val="bottom"/>
          </w:tcPr>
          <w:p>
            <w:pPr>
              <w:spacing w:after="0"/>
              <w:rPr>
                <w:sz w:val="20"/>
                <w:szCs w:val="20"/>
                <w:color w:val="auto"/>
              </w:rPr>
            </w:pPr>
            <w:r>
              <w:rPr>
                <w:rFonts w:ascii="Arial" w:cs="Arial" w:eastAsia="Arial" w:hAnsi="Arial"/>
                <w:sz w:val="16"/>
                <w:szCs w:val="16"/>
                <w:color w:val="auto"/>
              </w:rPr>
              <w:t>Property and equipment, net</w:t>
            </w:r>
          </w:p>
        </w:tc>
        <w:tc>
          <w:tcPr>
            <w:tcW w:w="2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15</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jc w:val="right"/>
              <w:ind w:right="2"/>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57"/>
        </w:trPr>
        <w:tc>
          <w:tcPr>
            <w:tcW w:w="7540" w:type="dxa"/>
            <w:vAlign w:val="bottom"/>
          </w:tcPr>
          <w:p>
            <w:pPr>
              <w:spacing w:after="0"/>
              <w:rPr>
                <w:sz w:val="20"/>
                <w:szCs w:val="20"/>
                <w:color w:val="auto"/>
              </w:rPr>
            </w:pPr>
            <w:r>
              <w:rPr>
                <w:rFonts w:ascii="Arial" w:cs="Arial" w:eastAsia="Arial" w:hAnsi="Arial"/>
                <w:sz w:val="16"/>
                <w:szCs w:val="16"/>
                <w:color w:val="auto"/>
              </w:rPr>
              <w:t>Prepaid expenses and other assets</w:t>
            </w:r>
          </w:p>
        </w:tc>
        <w:tc>
          <w:tcPr>
            <w:tcW w:w="2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358</w:t>
            </w:r>
          </w:p>
        </w:tc>
        <w:tc>
          <w:tcPr>
            <w:tcW w:w="8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433</w:t>
            </w:r>
          </w:p>
        </w:tc>
        <w:tc>
          <w:tcPr>
            <w:tcW w:w="0" w:type="dxa"/>
            <w:vAlign w:val="bottom"/>
          </w:tcPr>
          <w:p>
            <w:pPr>
              <w:spacing w:after="0"/>
              <w:rPr>
                <w:sz w:val="1"/>
                <w:szCs w:val="1"/>
                <w:color w:val="auto"/>
              </w:rPr>
            </w:pPr>
          </w:p>
        </w:tc>
      </w:tr>
      <w:tr>
        <w:trPr>
          <w:trHeight w:val="210"/>
        </w:trPr>
        <w:tc>
          <w:tcPr>
            <w:tcW w:w="7540" w:type="dxa"/>
            <w:vAlign w:val="bottom"/>
          </w:tcPr>
          <w:p>
            <w:pPr>
              <w:ind w:left="480"/>
              <w:spacing w:after="0"/>
              <w:rPr>
                <w:sz w:val="20"/>
                <w:szCs w:val="20"/>
                <w:color w:val="auto"/>
              </w:rPr>
            </w:pPr>
            <w:r>
              <w:rPr>
                <w:rFonts w:ascii="Arial" w:cs="Arial" w:eastAsia="Arial" w:hAnsi="Arial"/>
                <w:sz w:val="16"/>
                <w:szCs w:val="16"/>
                <w:color w:val="auto"/>
              </w:rPr>
              <w:t>Total assets</w:t>
            </w:r>
          </w:p>
        </w:tc>
        <w:tc>
          <w:tcPr>
            <w:tcW w:w="260" w:type="dxa"/>
            <w:vAlign w:val="bottom"/>
          </w:tcPr>
          <w:p>
            <w:pPr>
              <w:jc w:val="right"/>
              <w:ind w:right="62"/>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10,420</w:t>
            </w:r>
          </w:p>
        </w:tc>
        <w:tc>
          <w:tcPr>
            <w:tcW w:w="3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2"/>
              <w:spacing w:after="0"/>
              <w:rPr>
                <w:sz w:val="20"/>
                <w:szCs w:val="20"/>
                <w:color w:val="auto"/>
              </w:rPr>
            </w:pPr>
            <w:r>
              <w:rPr>
                <w:rFonts w:ascii="Arial" w:cs="Arial" w:eastAsia="Arial" w:hAnsi="Arial"/>
                <w:sz w:val="16"/>
                <w:szCs w:val="16"/>
                <w:color w:val="auto"/>
              </w:rPr>
              <w:t>10,318</w:t>
            </w:r>
          </w:p>
        </w:tc>
        <w:tc>
          <w:tcPr>
            <w:tcW w:w="0" w:type="dxa"/>
            <w:vAlign w:val="bottom"/>
          </w:tcPr>
          <w:p>
            <w:pPr>
              <w:spacing w:after="0"/>
              <w:rPr>
                <w:sz w:val="1"/>
                <w:szCs w:val="1"/>
                <w:color w:val="auto"/>
              </w:rPr>
            </w:pPr>
          </w:p>
        </w:tc>
      </w:tr>
      <w:tr>
        <w:trPr>
          <w:trHeight w:val="20"/>
        </w:trPr>
        <w:tc>
          <w:tcPr>
            <w:tcW w:w="7540" w:type="dxa"/>
            <w:vAlign w:val="bottom"/>
            <w:vMerge w:val="restart"/>
          </w:tcPr>
          <w:p>
            <w:pPr>
              <w:ind w:left="3880"/>
              <w:spacing w:after="0"/>
              <w:rPr>
                <w:sz w:val="20"/>
                <w:szCs w:val="20"/>
                <w:color w:val="auto"/>
              </w:rPr>
            </w:pPr>
            <w:r>
              <w:rPr>
                <w:rFonts w:ascii="Arial" w:cs="Arial" w:eastAsia="Arial" w:hAnsi="Arial"/>
                <w:sz w:val="16"/>
                <w:szCs w:val="16"/>
                <w:b w:val="1"/>
                <w:bCs w:val="1"/>
                <w:color w:val="auto"/>
              </w:rPr>
              <w:t>LIABILITIES AND EQUITY</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754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7540" w:type="dxa"/>
            <w:vAlign w:val="bottom"/>
          </w:tcPr>
          <w:p>
            <w:pPr>
              <w:spacing w:after="0"/>
              <w:rPr>
                <w:sz w:val="20"/>
                <w:szCs w:val="20"/>
                <w:color w:val="auto"/>
              </w:rPr>
            </w:pPr>
            <w:r>
              <w:rPr>
                <w:rFonts w:ascii="Arial" w:cs="Arial" w:eastAsia="Arial" w:hAnsi="Arial"/>
                <w:sz w:val="16"/>
                <w:szCs w:val="16"/>
                <w:color w:val="auto"/>
              </w:rPr>
              <w:t>Liabilities:</w:t>
            </w:r>
          </w:p>
        </w:tc>
        <w:tc>
          <w:tcPr>
            <w:tcW w:w="2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7540" w:type="dxa"/>
            <w:vAlign w:val="bottom"/>
          </w:tcPr>
          <w:p>
            <w:pPr>
              <w:spacing w:after="0"/>
              <w:rPr>
                <w:sz w:val="20"/>
                <w:szCs w:val="20"/>
                <w:color w:val="auto"/>
              </w:rPr>
            </w:pPr>
            <w:r>
              <w:rPr>
                <w:rFonts w:ascii="Arial" w:cs="Arial" w:eastAsia="Arial" w:hAnsi="Arial"/>
                <w:sz w:val="16"/>
                <w:szCs w:val="16"/>
                <w:color w:val="auto"/>
              </w:rPr>
              <w:t>Accounts payable and other accrued liabilities</w:t>
            </w:r>
          </w:p>
        </w:tc>
        <w:tc>
          <w:tcPr>
            <w:tcW w:w="260" w:type="dxa"/>
            <w:vAlign w:val="bottom"/>
          </w:tcPr>
          <w:p>
            <w:pPr>
              <w:jc w:val="right"/>
              <w:ind w:right="62"/>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424</w:t>
            </w:r>
          </w:p>
        </w:tc>
        <w:tc>
          <w:tcPr>
            <w:tcW w:w="3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2"/>
              <w:spacing w:after="0"/>
              <w:rPr>
                <w:sz w:val="20"/>
                <w:szCs w:val="20"/>
                <w:color w:val="auto"/>
              </w:rPr>
            </w:pPr>
            <w:r>
              <w:rPr>
                <w:rFonts w:ascii="Arial" w:cs="Arial" w:eastAsia="Arial" w:hAnsi="Arial"/>
                <w:sz w:val="16"/>
                <w:szCs w:val="16"/>
                <w:color w:val="auto"/>
              </w:rPr>
              <w:t>385</w:t>
            </w:r>
          </w:p>
        </w:tc>
        <w:tc>
          <w:tcPr>
            <w:tcW w:w="0" w:type="dxa"/>
            <w:vAlign w:val="bottom"/>
          </w:tcPr>
          <w:p>
            <w:pPr>
              <w:spacing w:after="0"/>
              <w:rPr>
                <w:sz w:val="1"/>
                <w:szCs w:val="1"/>
                <w:color w:val="auto"/>
              </w:rPr>
            </w:pPr>
          </w:p>
        </w:tc>
      </w:tr>
      <w:tr>
        <w:trPr>
          <w:trHeight w:val="250"/>
        </w:trPr>
        <w:tc>
          <w:tcPr>
            <w:tcW w:w="7540" w:type="dxa"/>
            <w:vAlign w:val="bottom"/>
          </w:tcPr>
          <w:p>
            <w:pPr>
              <w:spacing w:after="0"/>
              <w:rPr>
                <w:sz w:val="20"/>
                <w:szCs w:val="20"/>
                <w:color w:val="auto"/>
              </w:rPr>
            </w:pPr>
            <w:r>
              <w:rPr>
                <w:rFonts w:ascii="Arial" w:cs="Arial" w:eastAsia="Arial" w:hAnsi="Arial"/>
                <w:sz w:val="16"/>
                <w:szCs w:val="16"/>
                <w:color w:val="auto"/>
              </w:rPr>
              <w:t>Income taxes payable</w:t>
            </w:r>
          </w:p>
        </w:tc>
        <w:tc>
          <w:tcPr>
            <w:tcW w:w="2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jc w:val="right"/>
              <w:ind w:right="2"/>
              <w:spacing w:after="0"/>
              <w:rPr>
                <w:sz w:val="20"/>
                <w:szCs w:val="20"/>
                <w:color w:val="auto"/>
              </w:rPr>
            </w:pPr>
            <w:r>
              <w:rPr>
                <w:rFonts w:ascii="Arial" w:cs="Arial" w:eastAsia="Arial" w:hAnsi="Arial"/>
                <w:sz w:val="16"/>
                <w:szCs w:val="16"/>
                <w:color w:val="auto"/>
              </w:rPr>
              <w:t>51</w:t>
            </w:r>
          </w:p>
        </w:tc>
        <w:tc>
          <w:tcPr>
            <w:tcW w:w="0" w:type="dxa"/>
            <w:vAlign w:val="bottom"/>
          </w:tcPr>
          <w:p>
            <w:pPr>
              <w:spacing w:after="0"/>
              <w:rPr>
                <w:sz w:val="1"/>
                <w:szCs w:val="1"/>
                <w:color w:val="auto"/>
              </w:rPr>
            </w:pPr>
          </w:p>
        </w:tc>
      </w:tr>
      <w:tr>
        <w:trPr>
          <w:trHeight w:val="250"/>
        </w:trPr>
        <w:tc>
          <w:tcPr>
            <w:tcW w:w="7540" w:type="dxa"/>
            <w:vAlign w:val="bottom"/>
          </w:tcPr>
          <w:p>
            <w:pPr>
              <w:spacing w:after="0"/>
              <w:rPr>
                <w:sz w:val="20"/>
                <w:szCs w:val="20"/>
                <w:color w:val="auto"/>
              </w:rPr>
            </w:pPr>
            <w:r>
              <w:rPr>
                <w:rFonts w:ascii="Arial" w:cs="Arial" w:eastAsia="Arial" w:hAnsi="Arial"/>
                <w:sz w:val="16"/>
                <w:szCs w:val="16"/>
                <w:color w:val="auto"/>
              </w:rPr>
              <w:t>Deferred tax liability</w:t>
            </w:r>
          </w:p>
        </w:tc>
        <w:tc>
          <w:tcPr>
            <w:tcW w:w="2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439</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7"/>
        </w:trPr>
        <w:tc>
          <w:tcPr>
            <w:tcW w:w="7540" w:type="dxa"/>
            <w:vAlign w:val="bottom"/>
          </w:tcPr>
          <w:p>
            <w:pPr>
              <w:spacing w:after="0"/>
              <w:rPr>
                <w:sz w:val="20"/>
                <w:szCs w:val="20"/>
                <w:color w:val="auto"/>
              </w:rPr>
            </w:pPr>
            <w:r>
              <w:rPr>
                <w:rFonts w:ascii="Arial" w:cs="Arial" w:eastAsia="Arial" w:hAnsi="Arial"/>
                <w:sz w:val="16"/>
                <w:szCs w:val="16"/>
                <w:color w:val="auto"/>
              </w:rPr>
              <w:t>Notes payable</w:t>
            </w:r>
          </w:p>
        </w:tc>
        <w:tc>
          <w:tcPr>
            <w:tcW w:w="2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2,132</w:t>
            </w:r>
          </w:p>
        </w:tc>
        <w:tc>
          <w:tcPr>
            <w:tcW w:w="8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2,128</w:t>
            </w:r>
          </w:p>
        </w:tc>
        <w:tc>
          <w:tcPr>
            <w:tcW w:w="0" w:type="dxa"/>
            <w:vAlign w:val="bottom"/>
          </w:tcPr>
          <w:p>
            <w:pPr>
              <w:spacing w:after="0"/>
              <w:rPr>
                <w:sz w:val="1"/>
                <w:szCs w:val="1"/>
                <w:color w:val="auto"/>
              </w:rPr>
            </w:pPr>
          </w:p>
        </w:tc>
      </w:tr>
      <w:tr>
        <w:trPr>
          <w:trHeight w:val="223"/>
        </w:trPr>
        <w:tc>
          <w:tcPr>
            <w:tcW w:w="7540" w:type="dxa"/>
            <w:vAlign w:val="bottom"/>
          </w:tcPr>
          <w:p>
            <w:pPr>
              <w:ind w:left="480"/>
              <w:spacing w:after="0"/>
              <w:rPr>
                <w:sz w:val="20"/>
                <w:szCs w:val="20"/>
                <w:color w:val="auto"/>
              </w:rPr>
            </w:pPr>
            <w:r>
              <w:rPr>
                <w:rFonts w:ascii="Arial" w:cs="Arial" w:eastAsia="Arial" w:hAnsi="Arial"/>
                <w:sz w:val="16"/>
                <w:szCs w:val="16"/>
                <w:color w:val="auto"/>
              </w:rPr>
              <w:t>Total liabilities</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2,996</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ind w:right="2"/>
              <w:spacing w:after="0"/>
              <w:rPr>
                <w:sz w:val="20"/>
                <w:szCs w:val="20"/>
                <w:color w:val="auto"/>
              </w:rPr>
            </w:pPr>
            <w:r>
              <w:rPr>
                <w:rFonts w:ascii="Arial" w:cs="Arial" w:eastAsia="Arial" w:hAnsi="Arial"/>
                <w:sz w:val="16"/>
                <w:szCs w:val="16"/>
                <w:color w:val="auto"/>
              </w:rPr>
              <w:t>2,564</w:t>
            </w:r>
          </w:p>
        </w:tc>
        <w:tc>
          <w:tcPr>
            <w:tcW w:w="0" w:type="dxa"/>
            <w:vAlign w:val="bottom"/>
          </w:tcPr>
          <w:p>
            <w:pPr>
              <w:spacing w:after="0"/>
              <w:rPr>
                <w:sz w:val="1"/>
                <w:szCs w:val="1"/>
                <w:color w:val="auto"/>
              </w:rPr>
            </w:pPr>
          </w:p>
        </w:tc>
      </w:tr>
      <w:tr>
        <w:trPr>
          <w:trHeight w:val="250"/>
        </w:trPr>
        <w:tc>
          <w:tcPr>
            <w:tcW w:w="7540" w:type="dxa"/>
            <w:vAlign w:val="bottom"/>
          </w:tcPr>
          <w:p>
            <w:pPr>
              <w:spacing w:after="0"/>
              <w:rPr>
                <w:sz w:val="20"/>
                <w:szCs w:val="20"/>
                <w:color w:val="auto"/>
              </w:rPr>
            </w:pPr>
            <w:r>
              <w:rPr>
                <w:rFonts w:ascii="Arial" w:cs="Arial" w:eastAsia="Arial" w:hAnsi="Arial"/>
                <w:sz w:val="16"/>
                <w:szCs w:val="16"/>
                <w:color w:val="auto"/>
              </w:rPr>
              <w:t>Equity:</w:t>
            </w:r>
          </w:p>
        </w:tc>
        <w:tc>
          <w:tcPr>
            <w:tcW w:w="2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4"/>
        </w:trPr>
        <w:tc>
          <w:tcPr>
            <w:tcW w:w="7540" w:type="dxa"/>
            <w:vAlign w:val="bottom"/>
          </w:tcPr>
          <w:p>
            <w:pPr>
              <w:ind w:left="140"/>
              <w:spacing w:after="0"/>
              <w:rPr>
                <w:sz w:val="20"/>
                <w:szCs w:val="20"/>
                <w:color w:val="auto"/>
              </w:rPr>
            </w:pPr>
            <w:r>
              <w:rPr>
                <w:rFonts w:ascii="Arial" w:cs="Arial" w:eastAsia="Arial" w:hAnsi="Arial"/>
                <w:sz w:val="16"/>
                <w:szCs w:val="16"/>
                <w:color w:val="auto"/>
                <w:w w:val="91"/>
              </w:rPr>
              <w:t>FNF common stock, $0.0001 par value; authorized 600 shares as of December 31, 2025 and 2024; outstanding of</w:t>
            </w: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7"/>
        </w:trPr>
        <w:tc>
          <w:tcPr>
            <w:tcW w:w="7540" w:type="dxa"/>
            <w:vAlign w:val="bottom"/>
          </w:tcPr>
          <w:p>
            <w:pPr>
              <w:ind w:left="140"/>
              <w:spacing w:after="0" w:line="157" w:lineRule="exact"/>
              <w:rPr>
                <w:sz w:val="20"/>
                <w:szCs w:val="20"/>
                <w:color w:val="auto"/>
              </w:rPr>
            </w:pPr>
            <w:r>
              <w:rPr>
                <w:rFonts w:ascii="Arial" w:cs="Arial" w:eastAsia="Arial" w:hAnsi="Arial"/>
                <w:sz w:val="16"/>
                <w:szCs w:val="16"/>
                <w:color w:val="auto"/>
                <w:w w:val="90"/>
              </w:rPr>
              <w:t>271 and 275 as of December 31, 2025 and 2024, respectively, and issued of 332 and 331 as of December 31, 2025</w:t>
            </w:r>
          </w:p>
        </w:tc>
        <w:tc>
          <w:tcPr>
            <w:tcW w:w="260" w:type="dxa"/>
            <w:vAlign w:val="bottom"/>
          </w:tcPr>
          <w:p>
            <w:pPr>
              <w:spacing w:after="0"/>
              <w:rPr>
                <w:sz w:val="13"/>
                <w:szCs w:val="13"/>
                <w:color w:val="auto"/>
              </w:rPr>
            </w:pP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vMerge w:val="restart"/>
          </w:tcPr>
          <w:p>
            <w:pPr>
              <w:jc w:val="right"/>
              <w:ind w:right="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4"/>
        </w:trPr>
        <w:tc>
          <w:tcPr>
            <w:tcW w:w="7540" w:type="dxa"/>
            <w:vAlign w:val="bottom"/>
          </w:tcPr>
          <w:p>
            <w:pPr>
              <w:ind w:left="140"/>
              <w:spacing w:after="0"/>
              <w:rPr>
                <w:sz w:val="20"/>
                <w:szCs w:val="20"/>
                <w:color w:val="auto"/>
              </w:rPr>
            </w:pPr>
            <w:r>
              <w:rPr>
                <w:rFonts w:ascii="Arial" w:cs="Arial" w:eastAsia="Arial" w:hAnsi="Arial"/>
                <w:sz w:val="16"/>
                <w:szCs w:val="16"/>
                <w:color w:val="auto"/>
              </w:rPr>
              <w:t>and 2024, respectively</w:t>
            </w:r>
          </w:p>
        </w:tc>
        <w:tc>
          <w:tcPr>
            <w:tcW w:w="260" w:type="dxa"/>
            <w:vAlign w:val="bottom"/>
          </w:tcPr>
          <w:p>
            <w:pPr>
              <w:spacing w:after="0"/>
              <w:rPr>
                <w:sz w:val="17"/>
                <w:szCs w:val="17"/>
                <w:color w:val="auto"/>
              </w:rPr>
            </w:pPr>
          </w:p>
        </w:tc>
        <w:tc>
          <w:tcPr>
            <w:tcW w:w="84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49"/>
        </w:trPr>
        <w:tc>
          <w:tcPr>
            <w:tcW w:w="7540" w:type="dxa"/>
            <w:vAlign w:val="bottom"/>
          </w:tcPr>
          <w:p>
            <w:pPr>
              <w:spacing w:after="0"/>
              <w:rPr>
                <w:sz w:val="20"/>
                <w:szCs w:val="20"/>
                <w:color w:val="auto"/>
              </w:rPr>
            </w:pPr>
            <w:r>
              <w:rPr>
                <w:rFonts w:ascii="Arial" w:cs="Arial" w:eastAsia="Arial" w:hAnsi="Arial"/>
                <w:sz w:val="16"/>
                <w:szCs w:val="16"/>
                <w:color w:val="auto"/>
              </w:rPr>
              <w:t>Preferred stock, $0.0001 par value; authorized 50,000,000 shares; issued and outstanding, none</w:t>
            </w:r>
          </w:p>
        </w:tc>
        <w:tc>
          <w:tcPr>
            <w:tcW w:w="2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0"/>
        </w:trPr>
        <w:tc>
          <w:tcPr>
            <w:tcW w:w="7540" w:type="dxa"/>
            <w:vAlign w:val="bottom"/>
          </w:tcPr>
          <w:p>
            <w:pPr>
              <w:spacing w:after="0"/>
              <w:rPr>
                <w:sz w:val="20"/>
                <w:szCs w:val="20"/>
                <w:color w:val="auto"/>
              </w:rPr>
            </w:pPr>
            <w:r>
              <w:rPr>
                <w:rFonts w:ascii="Arial" w:cs="Arial" w:eastAsia="Arial" w:hAnsi="Arial"/>
                <w:sz w:val="16"/>
                <w:szCs w:val="16"/>
                <w:color w:val="auto"/>
              </w:rPr>
              <w:t>Additional paid-in capital</w:t>
            </w:r>
          </w:p>
        </w:tc>
        <w:tc>
          <w:tcPr>
            <w:tcW w:w="2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6,042</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jc w:val="right"/>
              <w:ind w:right="2"/>
              <w:spacing w:after="0"/>
              <w:rPr>
                <w:sz w:val="20"/>
                <w:szCs w:val="20"/>
                <w:color w:val="auto"/>
              </w:rPr>
            </w:pPr>
            <w:r>
              <w:rPr>
                <w:rFonts w:ascii="Arial" w:cs="Arial" w:eastAsia="Arial" w:hAnsi="Arial"/>
                <w:sz w:val="16"/>
                <w:szCs w:val="16"/>
                <w:color w:val="auto"/>
              </w:rPr>
              <w:t>5,976</w:t>
            </w:r>
          </w:p>
        </w:tc>
        <w:tc>
          <w:tcPr>
            <w:tcW w:w="0" w:type="dxa"/>
            <w:vAlign w:val="bottom"/>
          </w:tcPr>
          <w:p>
            <w:pPr>
              <w:spacing w:after="0"/>
              <w:rPr>
                <w:sz w:val="1"/>
                <w:szCs w:val="1"/>
                <w:color w:val="auto"/>
              </w:rPr>
            </w:pPr>
          </w:p>
        </w:tc>
      </w:tr>
      <w:tr>
        <w:trPr>
          <w:trHeight w:val="250"/>
        </w:trPr>
        <w:tc>
          <w:tcPr>
            <w:tcW w:w="7540" w:type="dxa"/>
            <w:vAlign w:val="bottom"/>
          </w:tcPr>
          <w:p>
            <w:pPr>
              <w:spacing w:after="0"/>
              <w:rPr>
                <w:sz w:val="20"/>
                <w:szCs w:val="20"/>
                <w:color w:val="auto"/>
              </w:rPr>
            </w:pPr>
            <w:r>
              <w:rPr>
                <w:rFonts w:ascii="Arial" w:cs="Arial" w:eastAsia="Arial" w:hAnsi="Arial"/>
                <w:sz w:val="16"/>
                <w:szCs w:val="16"/>
                <w:color w:val="auto"/>
              </w:rPr>
              <w:t>Retained earnings</w:t>
            </w:r>
          </w:p>
        </w:tc>
        <w:tc>
          <w:tcPr>
            <w:tcW w:w="2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5,484</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jc w:val="right"/>
              <w:ind w:right="2"/>
              <w:spacing w:after="0"/>
              <w:rPr>
                <w:sz w:val="20"/>
                <w:szCs w:val="20"/>
                <w:color w:val="auto"/>
              </w:rPr>
            </w:pPr>
            <w:r>
              <w:rPr>
                <w:rFonts w:ascii="Arial" w:cs="Arial" w:eastAsia="Arial" w:hAnsi="Arial"/>
                <w:sz w:val="16"/>
                <w:szCs w:val="16"/>
                <w:color w:val="auto"/>
              </w:rPr>
              <w:t>5,982</w:t>
            </w:r>
          </w:p>
        </w:tc>
        <w:tc>
          <w:tcPr>
            <w:tcW w:w="0" w:type="dxa"/>
            <w:vAlign w:val="bottom"/>
          </w:tcPr>
          <w:p>
            <w:pPr>
              <w:spacing w:after="0"/>
              <w:rPr>
                <w:sz w:val="1"/>
                <w:szCs w:val="1"/>
                <w:color w:val="auto"/>
              </w:rPr>
            </w:pPr>
          </w:p>
        </w:tc>
      </w:tr>
      <w:tr>
        <w:trPr>
          <w:trHeight w:val="250"/>
        </w:trPr>
        <w:tc>
          <w:tcPr>
            <w:tcW w:w="7540" w:type="dxa"/>
            <w:vAlign w:val="bottom"/>
          </w:tcPr>
          <w:p>
            <w:pPr>
              <w:spacing w:after="0"/>
              <w:rPr>
                <w:sz w:val="20"/>
                <w:szCs w:val="20"/>
                <w:color w:val="auto"/>
              </w:rPr>
            </w:pPr>
            <w:r>
              <w:rPr>
                <w:rFonts w:ascii="Arial" w:cs="Arial" w:eastAsia="Arial" w:hAnsi="Arial"/>
                <w:sz w:val="16"/>
                <w:szCs w:val="16"/>
                <w:color w:val="auto"/>
              </w:rPr>
              <w:t>Accumulated other comprehensive earnings</w:t>
            </w:r>
          </w:p>
        </w:tc>
        <w:tc>
          <w:tcPr>
            <w:tcW w:w="2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(1,678)</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(2,052)</w:t>
            </w:r>
          </w:p>
        </w:tc>
        <w:tc>
          <w:tcPr>
            <w:tcW w:w="0" w:type="dxa"/>
            <w:vAlign w:val="bottom"/>
          </w:tcPr>
          <w:p>
            <w:pPr>
              <w:spacing w:after="0"/>
              <w:rPr>
                <w:sz w:val="1"/>
                <w:szCs w:val="1"/>
                <w:color w:val="auto"/>
              </w:rPr>
            </w:pPr>
          </w:p>
        </w:tc>
      </w:tr>
      <w:tr>
        <w:trPr>
          <w:trHeight w:val="242"/>
        </w:trPr>
        <w:tc>
          <w:tcPr>
            <w:tcW w:w="7540" w:type="dxa"/>
            <w:vAlign w:val="bottom"/>
          </w:tcPr>
          <w:p>
            <w:pPr>
              <w:ind w:left="140"/>
              <w:spacing w:after="0"/>
              <w:rPr>
                <w:sz w:val="20"/>
                <w:szCs w:val="20"/>
                <w:color w:val="auto"/>
              </w:rPr>
            </w:pPr>
            <w:r>
              <w:rPr>
                <w:rFonts w:ascii="Arial" w:cs="Arial" w:eastAsia="Arial" w:hAnsi="Arial"/>
                <w:sz w:val="16"/>
                <w:szCs w:val="16"/>
                <w:color w:val="auto"/>
              </w:rPr>
              <w:t>Less: Treasury stock, 61 and 56 shares as of December 31, 2025 and 2024, at cost</w:t>
            </w:r>
          </w:p>
        </w:tc>
        <w:tc>
          <w:tcPr>
            <w:tcW w:w="26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(2,424)</w:t>
            </w:r>
          </w:p>
        </w:tc>
        <w:tc>
          <w:tcPr>
            <w:tcW w:w="8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(2,152)</w:t>
            </w:r>
          </w:p>
        </w:tc>
        <w:tc>
          <w:tcPr>
            <w:tcW w:w="0" w:type="dxa"/>
            <w:vAlign w:val="bottom"/>
          </w:tcPr>
          <w:p>
            <w:pPr>
              <w:spacing w:after="0"/>
              <w:rPr>
                <w:sz w:val="1"/>
                <w:szCs w:val="1"/>
                <w:color w:val="auto"/>
              </w:rPr>
            </w:pPr>
          </w:p>
        </w:tc>
      </w:tr>
      <w:tr>
        <w:trPr>
          <w:trHeight w:val="230"/>
        </w:trPr>
        <w:tc>
          <w:tcPr>
            <w:tcW w:w="7540" w:type="dxa"/>
            <w:vAlign w:val="bottom"/>
          </w:tcPr>
          <w:p>
            <w:pPr>
              <w:ind w:left="480"/>
              <w:spacing w:after="0"/>
              <w:rPr>
                <w:sz w:val="20"/>
                <w:szCs w:val="20"/>
                <w:color w:val="auto"/>
              </w:rPr>
            </w:pPr>
            <w:r>
              <w:rPr>
                <w:rFonts w:ascii="Arial" w:cs="Arial" w:eastAsia="Arial" w:hAnsi="Arial"/>
                <w:sz w:val="16"/>
                <w:szCs w:val="16"/>
                <w:color w:val="auto"/>
              </w:rPr>
              <w:t>Total equity of Fidelity National Financial, Inc. common shareholders</w:t>
            </w: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7,424</w:t>
            </w:r>
          </w:p>
        </w:tc>
        <w:tc>
          <w:tcPr>
            <w:tcW w:w="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7,754</w:t>
            </w:r>
          </w:p>
        </w:tc>
        <w:tc>
          <w:tcPr>
            <w:tcW w:w="0" w:type="dxa"/>
            <w:vAlign w:val="bottom"/>
          </w:tcPr>
          <w:p>
            <w:pPr>
              <w:spacing w:after="0"/>
              <w:rPr>
                <w:sz w:val="1"/>
                <w:szCs w:val="1"/>
                <w:color w:val="auto"/>
              </w:rPr>
            </w:pPr>
          </w:p>
        </w:tc>
      </w:tr>
      <w:tr>
        <w:trPr>
          <w:trHeight w:val="210"/>
        </w:trPr>
        <w:tc>
          <w:tcPr>
            <w:tcW w:w="7540" w:type="dxa"/>
            <w:vAlign w:val="bottom"/>
          </w:tcPr>
          <w:p>
            <w:pPr>
              <w:ind w:left="480"/>
              <w:spacing w:after="0"/>
              <w:rPr>
                <w:sz w:val="20"/>
                <w:szCs w:val="20"/>
                <w:color w:val="auto"/>
              </w:rPr>
            </w:pPr>
            <w:r>
              <w:rPr>
                <w:rFonts w:ascii="Arial" w:cs="Arial" w:eastAsia="Arial" w:hAnsi="Arial"/>
                <w:sz w:val="16"/>
                <w:szCs w:val="16"/>
                <w:color w:val="auto"/>
              </w:rPr>
              <w:t>Total liabilities and equity</w:t>
            </w:r>
          </w:p>
        </w:tc>
        <w:tc>
          <w:tcPr>
            <w:tcW w:w="260" w:type="dxa"/>
            <w:vAlign w:val="bottom"/>
          </w:tcPr>
          <w:p>
            <w:pPr>
              <w:jc w:val="right"/>
              <w:ind w:right="62"/>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10,420</w:t>
            </w:r>
          </w:p>
        </w:tc>
        <w:tc>
          <w:tcPr>
            <w:tcW w:w="3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2"/>
              <w:spacing w:after="0"/>
              <w:rPr>
                <w:sz w:val="20"/>
                <w:szCs w:val="20"/>
                <w:color w:val="auto"/>
              </w:rPr>
            </w:pPr>
            <w:r>
              <w:rPr>
                <w:rFonts w:ascii="Arial" w:cs="Arial" w:eastAsia="Arial" w:hAnsi="Arial"/>
                <w:sz w:val="16"/>
                <w:szCs w:val="16"/>
                <w:color w:val="auto"/>
              </w:rPr>
              <w:t>10,318</w:t>
            </w:r>
          </w:p>
        </w:tc>
        <w:tc>
          <w:tcPr>
            <w:tcW w:w="0" w:type="dxa"/>
            <w:vAlign w:val="bottom"/>
          </w:tcPr>
          <w:p>
            <w:pPr>
              <w:spacing w:after="0"/>
              <w:rPr>
                <w:sz w:val="1"/>
                <w:szCs w:val="1"/>
                <w:color w:val="auto"/>
              </w:rPr>
            </w:pPr>
          </w:p>
        </w:tc>
      </w:tr>
      <w:tr>
        <w:trPr>
          <w:trHeight w:val="20"/>
        </w:trPr>
        <w:tc>
          <w:tcPr>
            <w:tcW w:w="75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wp:posOffset>
            </wp:positionH>
            <wp:positionV relativeFrom="paragraph">
              <wp:posOffset>-4025900</wp:posOffset>
            </wp:positionV>
            <wp:extent cx="6289040" cy="403288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182">
                      <a:extLst>
                        <a:ext uri="{28A0092B-C50C-407E-A947-70E740481C1C}"/>
                      </a:extLst>
                    </a:blip>
                    <a:srcRect/>
                    <a:stretch>
                      <a:fillRect/>
                    </a:stretch>
                  </pic:blipFill>
                  <pic:spPr bwMode="auto">
                    <a:xfrm>
                      <a:off x="0" y="0"/>
                      <a:ext cx="6289040" cy="4032885"/>
                    </a:xfrm>
                    <a:prstGeom prst="rect">
                      <a:avLst/>
                    </a:prstGeom>
                    <a:noFill/>
                  </pic:spPr>
                </pic:pic>
              </a:graphicData>
            </a:graphic>
          </wp:anchor>
        </w:drawing>
      </w:r>
    </w:p>
    <w:p>
      <w:pPr>
        <w:spacing w:after="0" w:line="7" w:lineRule="exact"/>
        <w:rPr>
          <w:sz w:val="20"/>
          <w:szCs w:val="20"/>
          <w:color w:val="auto"/>
        </w:rPr>
      </w:pPr>
    </w:p>
    <w:p>
      <w:pPr>
        <w:jc w:val="center"/>
        <w:ind w:right="40"/>
        <w:spacing w:after="0"/>
        <w:rPr>
          <w:sz w:val="20"/>
          <w:szCs w:val="20"/>
          <w:color w:val="auto"/>
        </w:rPr>
      </w:pPr>
      <w:r>
        <w:rPr>
          <w:rFonts w:ascii="Arial" w:cs="Arial" w:eastAsia="Arial" w:hAnsi="Arial"/>
          <w:sz w:val="20"/>
          <w:szCs w:val="20"/>
          <w:color w:val="auto"/>
        </w:rPr>
        <w:t>See Notes to Financial Statements</w:t>
      </w:r>
    </w:p>
    <w:p>
      <w:pPr>
        <w:sectPr>
          <w:pgSz w:w="11880" w:h="15480" w:orient="portrait"/>
          <w:cols w:equalWidth="0" w:num="1">
            <w:col w:w="10000"/>
          </w:cols>
          <w:pgMar w:left="960" w:top="1000"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201</w:t>
      </w:r>
    </w:p>
    <w:p>
      <w:pPr>
        <w:sectPr>
          <w:pgSz w:w="11880" w:h="15480" w:orient="portrait"/>
          <w:cols w:equalWidth="0" w:num="1">
            <w:col w:w="10000"/>
          </w:cols>
          <w:pgMar w:left="960" w:top="1000" w:right="920" w:bottom="0" w:gutter="0" w:footer="0" w:header="0"/>
          <w:type w:val="continuous"/>
        </w:sectPr>
      </w:pPr>
    </w:p>
    <w:bookmarkStart w:id="213" w:name="page214"/>
    <w:bookmarkEnd w:id="213"/>
    <w:p>
      <w:pPr>
        <w:jc w:val="right"/>
        <w:spacing w:after="0"/>
        <w:rPr>
          <w:sz w:val="20"/>
          <w:szCs w:val="20"/>
          <w:color w:val="auto"/>
        </w:rPr>
      </w:pPr>
      <w:r>
        <w:rPr>
          <w:rFonts w:ascii="Arial" w:cs="Arial" w:eastAsia="Arial" w:hAnsi="Arial"/>
          <w:sz w:val="20"/>
          <w:szCs w:val="20"/>
          <w:b w:val="1"/>
          <w:bCs w:val="1"/>
          <w:color w:val="auto"/>
        </w:rPr>
        <w:t>SCHEDULE II</w:t>
      </w:r>
    </w:p>
    <w:p>
      <w:pPr>
        <w:spacing w:after="0" w:line="240" w:lineRule="exact"/>
        <w:rPr>
          <w:sz w:val="20"/>
          <w:szCs w:val="20"/>
          <w:color w:val="auto"/>
        </w:rPr>
      </w:pPr>
    </w:p>
    <w:p>
      <w:pPr>
        <w:jc w:val="center"/>
        <w:ind w:right="40"/>
        <w:spacing w:after="0"/>
        <w:rPr>
          <w:sz w:val="20"/>
          <w:szCs w:val="20"/>
          <w:color w:val="auto"/>
        </w:rPr>
      </w:pPr>
      <w:r>
        <w:rPr>
          <w:rFonts w:ascii="Arial" w:cs="Arial" w:eastAsia="Arial" w:hAnsi="Arial"/>
          <w:sz w:val="20"/>
          <w:szCs w:val="20"/>
          <w:b w:val="1"/>
          <w:bCs w:val="1"/>
          <w:color w:val="auto"/>
        </w:rPr>
        <w:t>FIDELITY NATIONAL FINANCIAL, INC.</w:t>
      </w:r>
    </w:p>
    <w:p>
      <w:pPr>
        <w:spacing w:after="0" w:line="29" w:lineRule="exact"/>
        <w:rPr>
          <w:sz w:val="20"/>
          <w:szCs w:val="20"/>
          <w:color w:val="auto"/>
        </w:rPr>
      </w:pPr>
    </w:p>
    <w:p>
      <w:pPr>
        <w:jc w:val="center"/>
        <w:ind w:right="40"/>
        <w:spacing w:after="0"/>
        <w:rPr>
          <w:sz w:val="20"/>
          <w:szCs w:val="20"/>
          <w:color w:val="auto"/>
        </w:rPr>
      </w:pPr>
      <w:r>
        <w:rPr>
          <w:rFonts w:ascii="Arial" w:cs="Arial" w:eastAsia="Arial" w:hAnsi="Arial"/>
          <w:sz w:val="20"/>
          <w:szCs w:val="20"/>
          <w:b w:val="1"/>
          <w:bCs w:val="1"/>
          <w:color w:val="auto"/>
        </w:rPr>
        <w:t>(Parent Company)</w:t>
      </w:r>
    </w:p>
    <w:p>
      <w:pPr>
        <w:spacing w:after="0" w:line="217" w:lineRule="exact"/>
        <w:rPr>
          <w:sz w:val="20"/>
          <w:szCs w:val="20"/>
          <w:color w:val="auto"/>
        </w:rPr>
      </w:pPr>
    </w:p>
    <w:p>
      <w:pPr>
        <w:jc w:val="center"/>
        <w:ind w:right="40"/>
        <w:spacing w:after="0"/>
        <w:rPr>
          <w:sz w:val="20"/>
          <w:szCs w:val="20"/>
          <w:color w:val="auto"/>
        </w:rPr>
      </w:pPr>
      <w:r>
        <w:rPr>
          <w:rFonts w:ascii="Arial" w:cs="Arial" w:eastAsia="Arial" w:hAnsi="Arial"/>
          <w:sz w:val="20"/>
          <w:szCs w:val="20"/>
          <w:b w:val="1"/>
          <w:bCs w:val="1"/>
          <w:color w:val="auto"/>
        </w:rPr>
        <w:t>STATEMENTS OF EARNINGS AND RETAINED EARNINGS</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6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340" w:type="dxa"/>
            <w:vAlign w:val="bottom"/>
            <w:tcBorders>
              <w:bottom w:val="single" w:sz="8" w:color="auto"/>
            </w:tcBorders>
            <w:gridSpan w:val="6"/>
          </w:tcPr>
          <w:p>
            <w:pPr>
              <w:jc w:val="center"/>
              <w:ind w:left="422"/>
              <w:spacing w:after="0"/>
              <w:rPr>
                <w:sz w:val="20"/>
                <w:szCs w:val="20"/>
                <w:color w:val="auto"/>
              </w:rPr>
            </w:pPr>
            <w:r>
              <w:rPr>
                <w:rFonts w:ascii="Arial" w:cs="Arial" w:eastAsia="Arial" w:hAnsi="Arial"/>
                <w:sz w:val="16"/>
                <w:szCs w:val="16"/>
                <w:b w:val="1"/>
                <w:bCs w:val="1"/>
                <w:color w:val="auto"/>
                <w:w w:val="89"/>
              </w:rPr>
              <w:t>Year Ended December 31,</w:t>
            </w:r>
          </w:p>
        </w:tc>
        <w:tc>
          <w:tcPr>
            <w:tcW w:w="740" w:type="dxa"/>
            <w:vAlign w:val="bottom"/>
            <w:tcBorders>
              <w:bottom w:val="single" w:sz="8" w:color="auto"/>
            </w:tcBorders>
          </w:tcPr>
          <w:p>
            <w:pPr>
              <w:spacing w:after="0"/>
              <w:rPr>
                <w:sz w:val="18"/>
                <w:szCs w:val="18"/>
                <w:color w:val="auto"/>
              </w:rPr>
            </w:pPr>
          </w:p>
        </w:tc>
      </w:tr>
      <w:tr>
        <w:trPr>
          <w:trHeight w:val="215"/>
        </w:trPr>
        <w:tc>
          <w:tcPr>
            <w:tcW w:w="66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02"/>
              <w:spacing w:after="0"/>
              <w:rPr>
                <w:sz w:val="20"/>
                <w:szCs w:val="20"/>
                <w:color w:val="auto"/>
              </w:rPr>
            </w:pPr>
            <w:r>
              <w:rPr>
                <w:rFonts w:ascii="Arial" w:cs="Arial" w:eastAsia="Arial" w:hAnsi="Arial"/>
                <w:sz w:val="16"/>
                <w:szCs w:val="16"/>
                <w:b w:val="1"/>
                <w:bCs w:val="1"/>
                <w:color w:val="auto"/>
              </w:rPr>
              <w:t>2025</w:t>
            </w:r>
          </w:p>
        </w:tc>
        <w:tc>
          <w:tcPr>
            <w:tcW w:w="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center"/>
              <w:ind w:right="162"/>
              <w:spacing w:after="0"/>
              <w:rPr>
                <w:sz w:val="20"/>
                <w:szCs w:val="20"/>
                <w:color w:val="auto"/>
              </w:rPr>
            </w:pPr>
            <w:r>
              <w:rPr>
                <w:rFonts w:ascii="Arial" w:cs="Arial" w:eastAsia="Arial" w:hAnsi="Arial"/>
                <w:sz w:val="16"/>
                <w:szCs w:val="16"/>
                <w:b w:val="1"/>
                <w:bCs w:val="1"/>
                <w:color w:val="auto"/>
                <w:w w:val="89"/>
              </w:rPr>
              <w:t>2024</w:t>
            </w:r>
          </w:p>
        </w:tc>
        <w:tc>
          <w:tcPr>
            <w:tcW w:w="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302"/>
              <w:spacing w:after="0"/>
              <w:rPr>
                <w:sz w:val="20"/>
                <w:szCs w:val="20"/>
                <w:color w:val="auto"/>
              </w:rPr>
            </w:pPr>
            <w:r>
              <w:rPr>
                <w:rFonts w:ascii="Arial" w:cs="Arial" w:eastAsia="Arial" w:hAnsi="Arial"/>
                <w:sz w:val="16"/>
                <w:szCs w:val="16"/>
                <w:b w:val="1"/>
                <w:bCs w:val="1"/>
                <w:color w:val="auto"/>
                <w:w w:val="95"/>
              </w:rPr>
              <w:t>2023</w:t>
            </w:r>
          </w:p>
        </w:tc>
      </w:tr>
      <w:tr>
        <w:trPr>
          <w:trHeight w:val="223"/>
        </w:trPr>
        <w:tc>
          <w:tcPr>
            <w:tcW w:w="66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80" w:type="dxa"/>
            <w:vAlign w:val="bottom"/>
            <w:gridSpan w:val="7"/>
          </w:tcPr>
          <w:p>
            <w:pPr>
              <w:jc w:val="center"/>
              <w:ind w:right="162"/>
              <w:spacing w:after="0"/>
              <w:rPr>
                <w:sz w:val="20"/>
                <w:szCs w:val="20"/>
                <w:color w:val="auto"/>
              </w:rPr>
            </w:pPr>
            <w:r>
              <w:rPr>
                <w:rFonts w:ascii="Arial" w:cs="Arial" w:eastAsia="Arial" w:hAnsi="Arial"/>
                <w:sz w:val="16"/>
                <w:szCs w:val="16"/>
                <w:b w:val="1"/>
                <w:bCs w:val="1"/>
                <w:color w:val="auto"/>
                <w:w w:val="88"/>
              </w:rPr>
              <w:t>(In millions, except per share data)</w:t>
            </w:r>
          </w:p>
        </w:tc>
      </w:tr>
      <w:tr>
        <w:trPr>
          <w:trHeight w:val="279"/>
        </w:trPr>
        <w:tc>
          <w:tcPr>
            <w:tcW w:w="6660" w:type="dxa"/>
            <w:vAlign w:val="bottom"/>
          </w:tcPr>
          <w:p>
            <w:pPr>
              <w:spacing w:after="0"/>
              <w:rPr>
                <w:sz w:val="20"/>
                <w:szCs w:val="20"/>
                <w:color w:val="auto"/>
              </w:rPr>
            </w:pPr>
            <w:r>
              <w:rPr>
                <w:rFonts w:ascii="Arial" w:cs="Arial" w:eastAsia="Arial" w:hAnsi="Arial"/>
                <w:sz w:val="16"/>
                <w:szCs w:val="16"/>
                <w:b w:val="1"/>
                <w:bCs w:val="1"/>
                <w:color w:val="auto"/>
              </w:rPr>
              <w:t>Revenues:</w:t>
            </w: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94"/>
        </w:trPr>
        <w:tc>
          <w:tcPr>
            <w:tcW w:w="6660" w:type="dxa"/>
            <w:vAlign w:val="bottom"/>
          </w:tcPr>
          <w:p>
            <w:pPr>
              <w:spacing w:after="0"/>
              <w:rPr>
                <w:sz w:val="20"/>
                <w:szCs w:val="20"/>
                <w:color w:val="auto"/>
              </w:rPr>
            </w:pPr>
            <w:r>
              <w:rPr>
                <w:rFonts w:ascii="Arial" w:cs="Arial" w:eastAsia="Arial" w:hAnsi="Arial"/>
                <w:sz w:val="16"/>
                <w:szCs w:val="16"/>
                <w:color w:val="auto"/>
              </w:rPr>
              <w:t>Other fees and revenue</w:t>
            </w:r>
          </w:p>
        </w:tc>
        <w:tc>
          <w:tcPr>
            <w:tcW w:w="24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2"/>
              <w:spacing w:after="0"/>
              <w:rPr>
                <w:sz w:val="20"/>
                <w:szCs w:val="20"/>
                <w:color w:val="auto"/>
              </w:rPr>
            </w:pPr>
            <w:r>
              <w:rPr>
                <w:rFonts w:ascii="Arial" w:cs="Arial" w:eastAsia="Arial" w:hAnsi="Arial"/>
                <w:sz w:val="16"/>
                <w:szCs w:val="16"/>
                <w:color w:val="auto"/>
              </w:rPr>
              <w:t>39</w:t>
            </w:r>
          </w:p>
        </w:tc>
        <w:tc>
          <w:tcPr>
            <w:tcW w:w="320" w:type="dxa"/>
            <w:vAlign w:val="bottom"/>
            <w:gridSpan w:val="2"/>
          </w:tcPr>
          <w:p>
            <w:pPr>
              <w:jc w:val="right"/>
              <w:ind w:right="42"/>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38</w:t>
            </w:r>
          </w:p>
        </w:tc>
        <w:tc>
          <w:tcPr>
            <w:tcW w:w="400" w:type="dxa"/>
            <w:vAlign w:val="bottom"/>
            <w:gridSpan w:val="2"/>
          </w:tcPr>
          <w:p>
            <w:pPr>
              <w:jc w:val="right"/>
              <w:ind w:right="122"/>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33</w:t>
            </w:r>
          </w:p>
        </w:tc>
      </w:tr>
      <w:tr>
        <w:trPr>
          <w:trHeight w:val="294"/>
        </w:trPr>
        <w:tc>
          <w:tcPr>
            <w:tcW w:w="6660" w:type="dxa"/>
            <w:vAlign w:val="bottom"/>
          </w:tcPr>
          <w:p>
            <w:pPr>
              <w:spacing w:after="0"/>
              <w:rPr>
                <w:sz w:val="20"/>
                <w:szCs w:val="20"/>
                <w:color w:val="auto"/>
              </w:rPr>
            </w:pPr>
            <w:r>
              <w:rPr>
                <w:rFonts w:ascii="Arial" w:cs="Arial" w:eastAsia="Arial" w:hAnsi="Arial"/>
                <w:sz w:val="16"/>
                <w:szCs w:val="16"/>
                <w:color w:val="auto"/>
              </w:rPr>
              <w:t>Interest and investment income and realized gains</w:t>
            </w:r>
          </w:p>
        </w:tc>
        <w:tc>
          <w:tcPr>
            <w:tcW w:w="240" w:type="dxa"/>
            <w:vAlign w:val="bottom"/>
          </w:tcPr>
          <w:p>
            <w:pPr>
              <w:spacing w:after="0"/>
              <w:rPr>
                <w:sz w:val="24"/>
                <w:szCs w:val="24"/>
                <w:color w:val="auto"/>
              </w:rPr>
            </w:pPr>
          </w:p>
        </w:tc>
        <w:tc>
          <w:tcPr>
            <w:tcW w:w="820" w:type="dxa"/>
            <w:vAlign w:val="bottom"/>
          </w:tcPr>
          <w:p>
            <w:pPr>
              <w:jc w:val="right"/>
              <w:ind w:right="2"/>
              <w:spacing w:after="0"/>
              <w:rPr>
                <w:sz w:val="20"/>
                <w:szCs w:val="20"/>
                <w:color w:val="auto"/>
              </w:rPr>
            </w:pPr>
            <w:r>
              <w:rPr>
                <w:rFonts w:ascii="Arial" w:cs="Arial" w:eastAsia="Arial" w:hAnsi="Arial"/>
                <w:sz w:val="16"/>
                <w:szCs w:val="16"/>
                <w:color w:val="auto"/>
              </w:rPr>
              <w:t>64</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76</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74</w:t>
            </w:r>
          </w:p>
        </w:tc>
      </w:tr>
      <w:tr>
        <w:trPr>
          <w:trHeight w:val="301"/>
        </w:trPr>
        <w:tc>
          <w:tcPr>
            <w:tcW w:w="6660" w:type="dxa"/>
            <w:vAlign w:val="bottom"/>
          </w:tcPr>
          <w:p>
            <w:pPr>
              <w:spacing w:after="0"/>
              <w:rPr>
                <w:sz w:val="20"/>
                <w:szCs w:val="20"/>
                <w:color w:val="auto"/>
              </w:rPr>
            </w:pPr>
            <w:r>
              <w:rPr>
                <w:rFonts w:ascii="Arial" w:cs="Arial" w:eastAsia="Arial" w:hAnsi="Arial"/>
                <w:sz w:val="16"/>
                <w:szCs w:val="16"/>
                <w:color w:val="auto"/>
              </w:rPr>
              <w:t>Recognized gains and losses, net</w:t>
            </w:r>
          </w:p>
        </w:tc>
        <w:tc>
          <w:tcPr>
            <w:tcW w:w="2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7</w:t>
            </w:r>
          </w:p>
        </w:tc>
        <w:tc>
          <w:tcPr>
            <w:tcW w:w="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8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w:t>
            </w:r>
          </w:p>
        </w:tc>
      </w:tr>
      <w:tr>
        <w:trPr>
          <w:trHeight w:val="274"/>
        </w:trPr>
        <w:tc>
          <w:tcPr>
            <w:tcW w:w="6660" w:type="dxa"/>
            <w:vAlign w:val="bottom"/>
          </w:tcPr>
          <w:p>
            <w:pPr>
              <w:ind w:left="220"/>
              <w:spacing w:after="0"/>
              <w:rPr>
                <w:sz w:val="20"/>
                <w:szCs w:val="20"/>
                <w:color w:val="auto"/>
              </w:rPr>
            </w:pPr>
            <w:r>
              <w:rPr>
                <w:rFonts w:ascii="Arial" w:cs="Arial" w:eastAsia="Arial" w:hAnsi="Arial"/>
                <w:sz w:val="16"/>
                <w:szCs w:val="16"/>
                <w:color w:val="auto"/>
              </w:rPr>
              <w:t>Total revenues</w:t>
            </w:r>
          </w:p>
        </w:tc>
        <w:tc>
          <w:tcPr>
            <w:tcW w:w="24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110</w:t>
            </w:r>
          </w:p>
        </w:tc>
        <w:tc>
          <w:tcPr>
            <w:tcW w:w="6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116</w:t>
            </w:r>
          </w:p>
        </w:tc>
        <w:tc>
          <w:tcPr>
            <w:tcW w:w="8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w:t>
            </w:r>
          </w:p>
        </w:tc>
      </w:tr>
      <w:tr>
        <w:trPr>
          <w:trHeight w:val="252"/>
        </w:trPr>
        <w:tc>
          <w:tcPr>
            <w:tcW w:w="6660" w:type="dxa"/>
            <w:vAlign w:val="bottom"/>
          </w:tcPr>
          <w:p>
            <w:pPr>
              <w:spacing w:after="0"/>
              <w:rPr>
                <w:sz w:val="20"/>
                <w:szCs w:val="20"/>
                <w:color w:val="auto"/>
              </w:rPr>
            </w:pPr>
            <w:r>
              <w:rPr>
                <w:rFonts w:ascii="Arial" w:cs="Arial" w:eastAsia="Arial" w:hAnsi="Arial"/>
                <w:sz w:val="16"/>
                <w:szCs w:val="16"/>
                <w:b w:val="1"/>
                <w:bCs w:val="1"/>
                <w:color w:val="auto"/>
              </w:rPr>
              <w:t>Expenses:</w:t>
            </w:r>
          </w:p>
        </w:tc>
        <w:tc>
          <w:tcPr>
            <w:tcW w:w="2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40" w:type="dxa"/>
            <w:vAlign w:val="bottom"/>
          </w:tcPr>
          <w:p>
            <w:pPr>
              <w:spacing w:after="0"/>
              <w:rPr>
                <w:sz w:val="21"/>
                <w:szCs w:val="21"/>
                <w:color w:val="auto"/>
              </w:rPr>
            </w:pPr>
          </w:p>
        </w:tc>
      </w:tr>
      <w:tr>
        <w:trPr>
          <w:trHeight w:val="279"/>
        </w:trPr>
        <w:tc>
          <w:tcPr>
            <w:tcW w:w="6660" w:type="dxa"/>
            <w:vAlign w:val="bottom"/>
          </w:tcPr>
          <w:p>
            <w:pPr>
              <w:spacing w:after="0"/>
              <w:rPr>
                <w:sz w:val="20"/>
                <w:szCs w:val="20"/>
                <w:color w:val="auto"/>
              </w:rPr>
            </w:pPr>
            <w:r>
              <w:rPr>
                <w:rFonts w:ascii="Arial" w:cs="Arial" w:eastAsia="Arial" w:hAnsi="Arial"/>
                <w:sz w:val="16"/>
                <w:szCs w:val="16"/>
                <w:color w:val="auto"/>
              </w:rPr>
              <w:t>Personnel expenses</w:t>
            </w:r>
          </w:p>
        </w:tc>
        <w:tc>
          <w:tcPr>
            <w:tcW w:w="240" w:type="dxa"/>
            <w:vAlign w:val="bottom"/>
          </w:tcPr>
          <w:p>
            <w:pPr>
              <w:spacing w:after="0"/>
              <w:rPr>
                <w:sz w:val="24"/>
                <w:szCs w:val="24"/>
                <w:color w:val="auto"/>
              </w:rPr>
            </w:pPr>
          </w:p>
        </w:tc>
        <w:tc>
          <w:tcPr>
            <w:tcW w:w="820" w:type="dxa"/>
            <w:vAlign w:val="bottom"/>
          </w:tcPr>
          <w:p>
            <w:pPr>
              <w:jc w:val="right"/>
              <w:ind w:right="2"/>
              <w:spacing w:after="0"/>
              <w:rPr>
                <w:sz w:val="20"/>
                <w:szCs w:val="20"/>
                <w:color w:val="auto"/>
              </w:rPr>
            </w:pPr>
            <w:r>
              <w:rPr>
                <w:rFonts w:ascii="Arial" w:cs="Arial" w:eastAsia="Arial" w:hAnsi="Arial"/>
                <w:sz w:val="16"/>
                <w:szCs w:val="16"/>
                <w:color w:val="auto"/>
              </w:rPr>
              <w:t>100</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94</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70</w:t>
            </w:r>
          </w:p>
        </w:tc>
      </w:tr>
      <w:tr>
        <w:trPr>
          <w:trHeight w:val="279"/>
        </w:trPr>
        <w:tc>
          <w:tcPr>
            <w:tcW w:w="6660" w:type="dxa"/>
            <w:vAlign w:val="bottom"/>
          </w:tcPr>
          <w:p>
            <w:pPr>
              <w:spacing w:after="0"/>
              <w:rPr>
                <w:sz w:val="20"/>
                <w:szCs w:val="20"/>
                <w:color w:val="auto"/>
              </w:rPr>
            </w:pPr>
            <w:r>
              <w:rPr>
                <w:rFonts w:ascii="Arial" w:cs="Arial" w:eastAsia="Arial" w:hAnsi="Arial"/>
                <w:sz w:val="16"/>
                <w:szCs w:val="16"/>
                <w:color w:val="auto"/>
              </w:rPr>
              <w:t>Other operating expenses</w:t>
            </w:r>
          </w:p>
        </w:tc>
        <w:tc>
          <w:tcPr>
            <w:tcW w:w="240" w:type="dxa"/>
            <w:vAlign w:val="bottom"/>
          </w:tcPr>
          <w:p>
            <w:pPr>
              <w:spacing w:after="0"/>
              <w:rPr>
                <w:sz w:val="24"/>
                <w:szCs w:val="24"/>
                <w:color w:val="auto"/>
              </w:rPr>
            </w:pPr>
          </w:p>
        </w:tc>
        <w:tc>
          <w:tcPr>
            <w:tcW w:w="820" w:type="dxa"/>
            <w:vAlign w:val="bottom"/>
          </w:tcPr>
          <w:p>
            <w:pPr>
              <w:jc w:val="right"/>
              <w:ind w:right="2"/>
              <w:spacing w:after="0"/>
              <w:rPr>
                <w:sz w:val="20"/>
                <w:szCs w:val="20"/>
                <w:color w:val="auto"/>
              </w:rPr>
            </w:pPr>
            <w:r>
              <w:rPr>
                <w:rFonts w:ascii="Arial" w:cs="Arial" w:eastAsia="Arial" w:hAnsi="Arial"/>
                <w:sz w:val="16"/>
                <w:szCs w:val="16"/>
                <w:color w:val="auto"/>
              </w:rPr>
              <w:t>38</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28</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47</w:t>
            </w:r>
          </w:p>
        </w:tc>
      </w:tr>
      <w:tr>
        <w:trPr>
          <w:trHeight w:val="286"/>
        </w:trPr>
        <w:tc>
          <w:tcPr>
            <w:tcW w:w="6660" w:type="dxa"/>
            <w:vAlign w:val="bottom"/>
          </w:tcPr>
          <w:p>
            <w:pPr>
              <w:spacing w:after="0"/>
              <w:rPr>
                <w:sz w:val="20"/>
                <w:szCs w:val="20"/>
                <w:color w:val="auto"/>
              </w:rPr>
            </w:pPr>
            <w:r>
              <w:rPr>
                <w:rFonts w:ascii="Arial" w:cs="Arial" w:eastAsia="Arial" w:hAnsi="Arial"/>
                <w:sz w:val="16"/>
                <w:szCs w:val="16"/>
                <w:color w:val="auto"/>
              </w:rPr>
              <w:t>Interest expense</w:t>
            </w:r>
          </w:p>
        </w:tc>
        <w:tc>
          <w:tcPr>
            <w:tcW w:w="2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77</w:t>
            </w:r>
          </w:p>
        </w:tc>
        <w:tc>
          <w:tcPr>
            <w:tcW w:w="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w:t>
            </w:r>
          </w:p>
        </w:tc>
        <w:tc>
          <w:tcPr>
            <w:tcW w:w="8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w:t>
            </w:r>
          </w:p>
        </w:tc>
      </w:tr>
      <w:tr>
        <w:trPr>
          <w:trHeight w:val="259"/>
        </w:trPr>
        <w:tc>
          <w:tcPr>
            <w:tcW w:w="6660" w:type="dxa"/>
            <w:vAlign w:val="bottom"/>
          </w:tcPr>
          <w:p>
            <w:pPr>
              <w:ind w:left="220"/>
              <w:spacing w:after="0"/>
              <w:rPr>
                <w:sz w:val="20"/>
                <w:szCs w:val="20"/>
                <w:color w:val="auto"/>
              </w:rPr>
            </w:pPr>
            <w:r>
              <w:rPr>
                <w:rFonts w:ascii="Arial" w:cs="Arial" w:eastAsia="Arial" w:hAnsi="Arial"/>
                <w:sz w:val="16"/>
                <w:szCs w:val="16"/>
                <w:color w:val="auto"/>
              </w:rPr>
              <w:t>Total expenses</w:t>
            </w:r>
          </w:p>
        </w:tc>
        <w:tc>
          <w:tcPr>
            <w:tcW w:w="2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215</w:t>
            </w:r>
          </w:p>
        </w:tc>
        <w:tc>
          <w:tcPr>
            <w:tcW w:w="6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198</w:t>
            </w:r>
          </w:p>
        </w:tc>
        <w:tc>
          <w:tcPr>
            <w:tcW w:w="8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194</w:t>
            </w:r>
          </w:p>
        </w:tc>
      </w:tr>
      <w:tr>
        <w:trPr>
          <w:trHeight w:val="267"/>
        </w:trPr>
        <w:tc>
          <w:tcPr>
            <w:tcW w:w="6660" w:type="dxa"/>
            <w:vAlign w:val="bottom"/>
          </w:tcPr>
          <w:p>
            <w:pPr>
              <w:spacing w:after="0"/>
              <w:rPr>
                <w:sz w:val="20"/>
                <w:szCs w:val="20"/>
                <w:color w:val="auto"/>
              </w:rPr>
            </w:pPr>
            <w:r>
              <w:rPr>
                <w:rFonts w:ascii="Arial" w:cs="Arial" w:eastAsia="Arial" w:hAnsi="Arial"/>
                <w:sz w:val="16"/>
                <w:szCs w:val="16"/>
                <w:color w:val="auto"/>
              </w:rPr>
              <w:t>Losses before income tax benefit and equity in earnings of subsidiaries</w:t>
            </w:r>
          </w:p>
        </w:tc>
        <w:tc>
          <w:tcPr>
            <w:tcW w:w="24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(105)</w:t>
            </w:r>
          </w:p>
        </w:tc>
        <w:tc>
          <w:tcPr>
            <w:tcW w:w="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(82)</w:t>
            </w:r>
          </w:p>
        </w:tc>
        <w:tc>
          <w:tcPr>
            <w:tcW w:w="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(118)</w:t>
            </w:r>
          </w:p>
        </w:tc>
      </w:tr>
      <w:tr>
        <w:trPr>
          <w:trHeight w:val="301"/>
        </w:trPr>
        <w:tc>
          <w:tcPr>
            <w:tcW w:w="6660" w:type="dxa"/>
            <w:vAlign w:val="bottom"/>
          </w:tcPr>
          <w:p>
            <w:pPr>
              <w:spacing w:after="0"/>
              <w:rPr>
                <w:sz w:val="20"/>
                <w:szCs w:val="20"/>
                <w:color w:val="auto"/>
              </w:rPr>
            </w:pPr>
            <w:r>
              <w:rPr>
                <w:rFonts w:ascii="Arial" w:cs="Arial" w:eastAsia="Arial" w:hAnsi="Arial"/>
                <w:sz w:val="16"/>
                <w:szCs w:val="16"/>
                <w:color w:val="auto"/>
              </w:rPr>
              <w:t>Income tax expense (benefit)</w:t>
            </w:r>
          </w:p>
        </w:tc>
        <w:tc>
          <w:tcPr>
            <w:tcW w:w="2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419</w:t>
            </w:r>
          </w:p>
        </w:tc>
        <w:tc>
          <w:tcPr>
            <w:tcW w:w="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w:t>
            </w:r>
          </w:p>
        </w:tc>
        <w:tc>
          <w:tcPr>
            <w:tcW w:w="8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w:t>
            </w:r>
          </w:p>
        </w:tc>
      </w:tr>
      <w:tr>
        <w:trPr>
          <w:trHeight w:val="267"/>
        </w:trPr>
        <w:tc>
          <w:tcPr>
            <w:tcW w:w="6660" w:type="dxa"/>
            <w:vAlign w:val="bottom"/>
          </w:tcPr>
          <w:p>
            <w:pPr>
              <w:spacing w:after="0"/>
              <w:rPr>
                <w:sz w:val="20"/>
                <w:szCs w:val="20"/>
                <w:color w:val="auto"/>
              </w:rPr>
            </w:pPr>
            <w:r>
              <w:rPr>
                <w:rFonts w:ascii="Arial" w:cs="Arial" w:eastAsia="Arial" w:hAnsi="Arial"/>
                <w:sz w:val="16"/>
                <w:szCs w:val="16"/>
                <w:color w:val="auto"/>
              </w:rPr>
              <w:t>Losses before equity in earnings of subsidiaries</w:t>
            </w:r>
          </w:p>
        </w:tc>
        <w:tc>
          <w:tcPr>
            <w:tcW w:w="24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(524)</w:t>
            </w:r>
          </w:p>
        </w:tc>
        <w:tc>
          <w:tcPr>
            <w:tcW w:w="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(62)</w:t>
            </w:r>
          </w:p>
        </w:tc>
        <w:tc>
          <w:tcPr>
            <w:tcW w:w="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(89)</w:t>
            </w:r>
          </w:p>
        </w:tc>
      </w:tr>
      <w:tr>
        <w:trPr>
          <w:trHeight w:val="301"/>
        </w:trPr>
        <w:tc>
          <w:tcPr>
            <w:tcW w:w="6660" w:type="dxa"/>
            <w:vAlign w:val="bottom"/>
          </w:tcPr>
          <w:p>
            <w:pPr>
              <w:spacing w:after="0"/>
              <w:rPr>
                <w:sz w:val="20"/>
                <w:szCs w:val="20"/>
                <w:color w:val="auto"/>
              </w:rPr>
            </w:pPr>
            <w:r>
              <w:rPr>
                <w:rFonts w:ascii="Arial" w:cs="Arial" w:eastAsia="Arial" w:hAnsi="Arial"/>
                <w:sz w:val="16"/>
                <w:szCs w:val="16"/>
                <w:color w:val="auto"/>
              </w:rPr>
              <w:t>Equity in earnings of subsidiaries</w:t>
            </w:r>
          </w:p>
        </w:tc>
        <w:tc>
          <w:tcPr>
            <w:tcW w:w="2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1,126</w:t>
            </w:r>
          </w:p>
        </w:tc>
        <w:tc>
          <w:tcPr>
            <w:tcW w:w="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1,332</w:t>
            </w:r>
          </w:p>
        </w:tc>
        <w:tc>
          <w:tcPr>
            <w:tcW w:w="8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606</w:t>
            </w:r>
          </w:p>
        </w:tc>
      </w:tr>
      <w:tr>
        <w:trPr>
          <w:trHeight w:val="254"/>
        </w:trPr>
        <w:tc>
          <w:tcPr>
            <w:tcW w:w="6660" w:type="dxa"/>
            <w:vAlign w:val="bottom"/>
          </w:tcPr>
          <w:p>
            <w:pPr>
              <w:spacing w:after="0"/>
              <w:rPr>
                <w:sz w:val="20"/>
                <w:szCs w:val="20"/>
                <w:color w:val="auto"/>
              </w:rPr>
            </w:pPr>
            <w:r>
              <w:rPr>
                <w:rFonts w:ascii="Arial" w:cs="Arial" w:eastAsia="Arial" w:hAnsi="Arial"/>
                <w:sz w:val="16"/>
                <w:szCs w:val="16"/>
                <w:color w:val="auto"/>
              </w:rPr>
              <w:t>Net earnings attributable to Fidelity National Financial, Inc. common shareholders</w:t>
            </w:r>
          </w:p>
        </w:tc>
        <w:tc>
          <w:tcPr>
            <w:tcW w:w="24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602</w:t>
            </w:r>
          </w:p>
        </w:tc>
        <w:tc>
          <w:tcPr>
            <w:tcW w:w="60" w:type="dxa"/>
            <w:vAlign w:val="bottom"/>
          </w:tcPr>
          <w:p>
            <w:pPr>
              <w:spacing w:after="0"/>
              <w:rPr>
                <w:sz w:val="22"/>
                <w:szCs w:val="22"/>
                <w:color w:val="auto"/>
              </w:rPr>
            </w:pPr>
          </w:p>
        </w:tc>
        <w:tc>
          <w:tcPr>
            <w:tcW w:w="26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1,270</w:t>
            </w:r>
          </w:p>
        </w:tc>
        <w:tc>
          <w:tcPr>
            <w:tcW w:w="80" w:type="dxa"/>
            <w:vAlign w:val="bottom"/>
          </w:tcPr>
          <w:p>
            <w:pPr>
              <w:spacing w:after="0"/>
              <w:rPr>
                <w:sz w:val="22"/>
                <w:szCs w:val="22"/>
                <w:color w:val="auto"/>
              </w:rPr>
            </w:pPr>
          </w:p>
        </w:tc>
        <w:tc>
          <w:tcPr>
            <w:tcW w:w="320" w:type="dxa"/>
            <w:vAlign w:val="bottom"/>
            <w:tcBorders>
              <w:bottom w:val="single" w:sz="8" w:color="auto"/>
            </w:tcBorders>
          </w:tcPr>
          <w:p>
            <w:pPr>
              <w:jc w:val="right"/>
              <w:ind w:right="122"/>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517</w:t>
            </w:r>
          </w:p>
        </w:tc>
      </w:tr>
      <w:tr>
        <w:trPr>
          <w:trHeight w:val="20"/>
        </w:trPr>
        <w:tc>
          <w:tcPr>
            <w:tcW w:w="66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r>
        <w:trPr>
          <w:trHeight w:val="467"/>
        </w:trPr>
        <w:tc>
          <w:tcPr>
            <w:tcW w:w="6660" w:type="dxa"/>
            <w:vAlign w:val="bottom"/>
          </w:tcPr>
          <w:p>
            <w:pPr>
              <w:spacing w:after="0"/>
              <w:rPr>
                <w:sz w:val="20"/>
                <w:szCs w:val="20"/>
                <w:color w:val="auto"/>
              </w:rPr>
            </w:pPr>
            <w:r>
              <w:rPr>
                <w:rFonts w:ascii="Arial" w:cs="Arial" w:eastAsia="Arial" w:hAnsi="Arial"/>
                <w:sz w:val="16"/>
                <w:szCs w:val="16"/>
                <w:color w:val="auto"/>
              </w:rPr>
              <w:t>Retained earnings, beginning of year</w:t>
            </w:r>
          </w:p>
        </w:tc>
        <w:tc>
          <w:tcPr>
            <w:tcW w:w="24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2"/>
              <w:spacing w:after="0"/>
              <w:rPr>
                <w:sz w:val="20"/>
                <w:szCs w:val="20"/>
                <w:color w:val="auto"/>
              </w:rPr>
            </w:pPr>
            <w:r>
              <w:rPr>
                <w:rFonts w:ascii="Arial" w:cs="Arial" w:eastAsia="Arial" w:hAnsi="Arial"/>
                <w:sz w:val="16"/>
                <w:szCs w:val="16"/>
                <w:color w:val="auto"/>
              </w:rPr>
              <w:t>5,982</w:t>
            </w:r>
          </w:p>
        </w:tc>
        <w:tc>
          <w:tcPr>
            <w:tcW w:w="320" w:type="dxa"/>
            <w:vAlign w:val="bottom"/>
            <w:gridSpan w:val="2"/>
          </w:tcPr>
          <w:p>
            <w:pPr>
              <w:jc w:val="right"/>
              <w:ind w:right="42"/>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5,244</w:t>
            </w:r>
          </w:p>
        </w:tc>
        <w:tc>
          <w:tcPr>
            <w:tcW w:w="400" w:type="dxa"/>
            <w:vAlign w:val="bottom"/>
            <w:gridSpan w:val="2"/>
          </w:tcPr>
          <w:p>
            <w:pPr>
              <w:jc w:val="right"/>
              <w:ind w:right="122"/>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5,225</w:t>
            </w:r>
          </w:p>
        </w:tc>
      </w:tr>
      <w:tr>
        <w:trPr>
          <w:trHeight w:val="294"/>
        </w:trPr>
        <w:tc>
          <w:tcPr>
            <w:tcW w:w="6660" w:type="dxa"/>
            <w:vAlign w:val="bottom"/>
          </w:tcPr>
          <w:p>
            <w:pPr>
              <w:spacing w:after="0"/>
              <w:rPr>
                <w:sz w:val="20"/>
                <w:szCs w:val="20"/>
                <w:color w:val="auto"/>
              </w:rPr>
            </w:pPr>
            <w:r>
              <w:rPr>
                <w:rFonts w:ascii="Arial" w:cs="Arial" w:eastAsia="Arial" w:hAnsi="Arial"/>
                <w:sz w:val="16"/>
                <w:szCs w:val="16"/>
                <w:color w:val="auto"/>
              </w:rPr>
              <w:t>Dividends declared</w:t>
            </w:r>
          </w:p>
        </w:tc>
        <w:tc>
          <w:tcPr>
            <w:tcW w:w="2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(549)</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(532)</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(498)</w:t>
            </w:r>
          </w:p>
        </w:tc>
      </w:tr>
      <w:tr>
        <w:trPr>
          <w:trHeight w:val="294"/>
        </w:trPr>
        <w:tc>
          <w:tcPr>
            <w:tcW w:w="6660" w:type="dxa"/>
            <w:vAlign w:val="bottom"/>
          </w:tcPr>
          <w:p>
            <w:pPr>
              <w:spacing w:after="0"/>
              <w:rPr>
                <w:sz w:val="20"/>
                <w:szCs w:val="20"/>
                <w:color w:val="auto"/>
              </w:rPr>
            </w:pPr>
            <w:r>
              <w:rPr>
                <w:rFonts w:ascii="Arial" w:cs="Arial" w:eastAsia="Arial" w:hAnsi="Arial"/>
                <w:sz w:val="16"/>
                <w:szCs w:val="16"/>
                <w:color w:val="auto"/>
              </w:rPr>
              <w:t>Distribution of F&amp;G to FNF common shareholders</w:t>
            </w:r>
          </w:p>
        </w:tc>
        <w:tc>
          <w:tcPr>
            <w:tcW w:w="2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(551)</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301"/>
        </w:trPr>
        <w:tc>
          <w:tcPr>
            <w:tcW w:w="6660" w:type="dxa"/>
            <w:vAlign w:val="bottom"/>
          </w:tcPr>
          <w:p>
            <w:pPr>
              <w:spacing w:after="0"/>
              <w:rPr>
                <w:sz w:val="20"/>
                <w:szCs w:val="20"/>
                <w:color w:val="auto"/>
              </w:rPr>
            </w:pPr>
            <w:r>
              <w:rPr>
                <w:rFonts w:ascii="Arial" w:cs="Arial" w:eastAsia="Arial" w:hAnsi="Arial"/>
                <w:sz w:val="16"/>
                <w:szCs w:val="16"/>
                <w:color w:val="auto"/>
              </w:rPr>
              <w:t>Net earnings attributable to Fidelity National Financial, Inc. common shareholders</w:t>
            </w:r>
          </w:p>
        </w:tc>
        <w:tc>
          <w:tcPr>
            <w:tcW w:w="2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602</w:t>
            </w:r>
          </w:p>
        </w:tc>
        <w:tc>
          <w:tcPr>
            <w:tcW w:w="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1,270</w:t>
            </w:r>
          </w:p>
        </w:tc>
        <w:tc>
          <w:tcPr>
            <w:tcW w:w="8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517</w:t>
            </w:r>
          </w:p>
        </w:tc>
      </w:tr>
      <w:tr>
        <w:trPr>
          <w:trHeight w:val="254"/>
        </w:trPr>
        <w:tc>
          <w:tcPr>
            <w:tcW w:w="6660" w:type="dxa"/>
            <w:vAlign w:val="bottom"/>
          </w:tcPr>
          <w:p>
            <w:pPr>
              <w:spacing w:after="0"/>
              <w:rPr>
                <w:sz w:val="20"/>
                <w:szCs w:val="20"/>
                <w:color w:val="auto"/>
              </w:rPr>
            </w:pPr>
            <w:r>
              <w:rPr>
                <w:rFonts w:ascii="Arial" w:cs="Arial" w:eastAsia="Arial" w:hAnsi="Arial"/>
                <w:sz w:val="16"/>
                <w:szCs w:val="16"/>
                <w:color w:val="auto"/>
              </w:rPr>
              <w:t>Retained earnings, end of year</w:t>
            </w:r>
          </w:p>
        </w:tc>
        <w:tc>
          <w:tcPr>
            <w:tcW w:w="24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2"/>
              <w:spacing w:after="0"/>
              <w:rPr>
                <w:sz w:val="20"/>
                <w:szCs w:val="20"/>
                <w:color w:val="auto"/>
              </w:rPr>
            </w:pPr>
            <w:r>
              <w:rPr>
                <w:rFonts w:ascii="Arial" w:cs="Arial" w:eastAsia="Arial" w:hAnsi="Arial"/>
                <w:sz w:val="16"/>
                <w:szCs w:val="16"/>
                <w:color w:val="auto"/>
              </w:rPr>
              <w:t>5,484</w:t>
            </w:r>
          </w:p>
        </w:tc>
        <w:tc>
          <w:tcPr>
            <w:tcW w:w="320" w:type="dxa"/>
            <w:vAlign w:val="bottom"/>
            <w:gridSpan w:val="2"/>
          </w:tcPr>
          <w:p>
            <w:pPr>
              <w:jc w:val="right"/>
              <w:ind w:right="42"/>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5,982</w:t>
            </w:r>
          </w:p>
        </w:tc>
        <w:tc>
          <w:tcPr>
            <w:tcW w:w="400" w:type="dxa"/>
            <w:vAlign w:val="bottom"/>
            <w:gridSpan w:val="2"/>
          </w:tcPr>
          <w:p>
            <w:pPr>
              <w:jc w:val="right"/>
              <w:ind w:right="122"/>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5,244</w:t>
            </w:r>
          </w:p>
        </w:tc>
      </w:tr>
      <w:tr>
        <w:trPr>
          <w:trHeight w:val="20"/>
        </w:trPr>
        <w:tc>
          <w:tcPr>
            <w:tcW w:w="66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wp:posOffset>
            </wp:positionH>
            <wp:positionV relativeFrom="paragraph">
              <wp:posOffset>-3848735</wp:posOffset>
            </wp:positionV>
            <wp:extent cx="6391275" cy="385572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183">
                      <a:extLst>
                        <a:ext uri="{28A0092B-C50C-407E-A947-70E740481C1C}"/>
                      </a:extLst>
                    </a:blip>
                    <a:srcRect/>
                    <a:stretch>
                      <a:fillRect/>
                    </a:stretch>
                  </pic:blipFill>
                  <pic:spPr bwMode="auto">
                    <a:xfrm>
                      <a:off x="0" y="0"/>
                      <a:ext cx="6391275" cy="3855720"/>
                    </a:xfrm>
                    <a:prstGeom prst="rect">
                      <a:avLst/>
                    </a:prstGeom>
                    <a:noFill/>
                  </pic:spPr>
                </pic:pic>
              </a:graphicData>
            </a:graphic>
          </wp:anchor>
        </w:drawing>
      </w:r>
    </w:p>
    <w:p>
      <w:pPr>
        <w:spacing w:after="0" w:line="7" w:lineRule="exact"/>
        <w:rPr>
          <w:sz w:val="20"/>
          <w:szCs w:val="20"/>
          <w:color w:val="auto"/>
        </w:rPr>
      </w:pPr>
    </w:p>
    <w:p>
      <w:pPr>
        <w:jc w:val="center"/>
        <w:ind w:right="40"/>
        <w:spacing w:after="0"/>
        <w:rPr>
          <w:sz w:val="20"/>
          <w:szCs w:val="20"/>
          <w:color w:val="auto"/>
        </w:rPr>
      </w:pPr>
      <w:r>
        <w:rPr>
          <w:rFonts w:ascii="Arial" w:cs="Arial" w:eastAsia="Arial" w:hAnsi="Arial"/>
          <w:sz w:val="20"/>
          <w:szCs w:val="20"/>
          <w:color w:val="auto"/>
        </w:rPr>
        <w:t>See Notes to Financial Statements</w:t>
      </w:r>
    </w:p>
    <w:p>
      <w:pPr>
        <w:sectPr>
          <w:pgSz w:w="11880" w:h="15480" w:orient="portrait"/>
          <w:cols w:equalWidth="0" w:num="1">
            <w:col w:w="10000"/>
          </w:cols>
          <w:pgMar w:left="960" w:top="765"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202</w:t>
      </w:r>
    </w:p>
    <w:p>
      <w:pPr>
        <w:sectPr>
          <w:pgSz w:w="11880" w:h="15480" w:orient="portrait"/>
          <w:cols w:equalWidth="0" w:num="1">
            <w:col w:w="10000"/>
          </w:cols>
          <w:pgMar w:left="960" w:top="765" w:right="920" w:bottom="0" w:gutter="0" w:footer="0" w:header="0"/>
          <w:type w:val="continuous"/>
        </w:sectPr>
      </w:pPr>
    </w:p>
    <w:bookmarkStart w:id="214" w:name="page215"/>
    <w:bookmarkEnd w:id="214"/>
    <w:p>
      <w:pPr>
        <w:ind w:left="9160"/>
        <w:spacing w:after="0"/>
        <w:rPr>
          <w:sz w:val="20"/>
          <w:szCs w:val="20"/>
          <w:color w:val="auto"/>
        </w:rPr>
      </w:pPr>
      <w:r>
        <w:rPr>
          <w:rFonts w:ascii="Arial" w:cs="Arial" w:eastAsia="Arial" w:hAnsi="Arial"/>
          <w:sz w:val="20"/>
          <w:szCs w:val="20"/>
          <w:b w:val="1"/>
          <w:bCs w:val="1"/>
          <w:color w:val="auto"/>
        </w:rPr>
        <w:t>SCHEDULE II</w:t>
      </w:r>
    </w:p>
    <w:p>
      <w:pPr>
        <w:spacing w:after="0" w:line="29" w:lineRule="exact"/>
        <w:rPr>
          <w:sz w:val="20"/>
          <w:szCs w:val="20"/>
          <w:color w:val="auto"/>
        </w:rPr>
      </w:pPr>
    </w:p>
    <w:p>
      <w:pPr>
        <w:jc w:val="center"/>
        <w:ind w:right="60"/>
        <w:spacing w:after="0"/>
        <w:rPr>
          <w:sz w:val="20"/>
          <w:szCs w:val="20"/>
          <w:color w:val="auto"/>
        </w:rPr>
      </w:pPr>
      <w:r>
        <w:rPr>
          <w:rFonts w:ascii="Arial" w:cs="Arial" w:eastAsia="Arial" w:hAnsi="Arial"/>
          <w:sz w:val="20"/>
          <w:szCs w:val="20"/>
          <w:b w:val="1"/>
          <w:bCs w:val="1"/>
          <w:color w:val="auto"/>
        </w:rPr>
        <w:t>FIDELITY NATIONAL FINANCIAL, INC.</w:t>
      </w:r>
    </w:p>
    <w:p>
      <w:pPr>
        <w:spacing w:after="0" w:line="5" w:lineRule="exact"/>
        <w:rPr>
          <w:sz w:val="20"/>
          <w:szCs w:val="20"/>
          <w:color w:val="auto"/>
        </w:rPr>
      </w:pPr>
    </w:p>
    <w:p>
      <w:pPr>
        <w:jc w:val="center"/>
        <w:ind w:right="60"/>
        <w:spacing w:after="0"/>
        <w:rPr>
          <w:sz w:val="20"/>
          <w:szCs w:val="20"/>
          <w:color w:val="auto"/>
        </w:rPr>
      </w:pPr>
      <w:r>
        <w:rPr>
          <w:rFonts w:ascii="Arial" w:cs="Arial" w:eastAsia="Arial" w:hAnsi="Arial"/>
          <w:sz w:val="20"/>
          <w:szCs w:val="20"/>
          <w:b w:val="1"/>
          <w:bCs w:val="1"/>
          <w:color w:val="auto"/>
        </w:rPr>
        <w:t>(Parent Company)</w:t>
      </w:r>
    </w:p>
    <w:p>
      <w:pPr>
        <w:spacing w:after="0" w:line="217" w:lineRule="exact"/>
        <w:rPr>
          <w:sz w:val="20"/>
          <w:szCs w:val="20"/>
          <w:color w:val="auto"/>
        </w:rPr>
      </w:pPr>
    </w:p>
    <w:p>
      <w:pPr>
        <w:ind w:left="4080"/>
        <w:spacing w:after="0"/>
        <w:rPr>
          <w:sz w:val="20"/>
          <w:szCs w:val="20"/>
          <w:color w:val="auto"/>
        </w:rPr>
      </w:pPr>
      <w:r>
        <w:rPr>
          <w:rFonts w:ascii="Arial" w:cs="Arial" w:eastAsia="Arial" w:hAnsi="Arial"/>
          <w:sz w:val="20"/>
          <w:szCs w:val="20"/>
          <w:b w:val="1"/>
          <w:bCs w:val="1"/>
          <w:color w:val="auto"/>
        </w:rPr>
        <w:t>STATEMENTS OF CASH FLOWS</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6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220" w:type="dxa"/>
            <w:vAlign w:val="bottom"/>
            <w:tcBorders>
              <w:bottom w:val="single" w:sz="8" w:color="auto"/>
            </w:tcBorders>
            <w:gridSpan w:val="6"/>
          </w:tcPr>
          <w:p>
            <w:pPr>
              <w:jc w:val="center"/>
              <w:ind w:left="342"/>
              <w:spacing w:after="0"/>
              <w:rPr>
                <w:sz w:val="20"/>
                <w:szCs w:val="20"/>
                <w:color w:val="auto"/>
              </w:rPr>
            </w:pPr>
            <w:r>
              <w:rPr>
                <w:rFonts w:ascii="Arial" w:cs="Arial" w:eastAsia="Arial" w:hAnsi="Arial"/>
                <w:sz w:val="16"/>
                <w:szCs w:val="16"/>
                <w:b w:val="1"/>
                <w:bCs w:val="1"/>
                <w:color w:val="auto"/>
                <w:w w:val="89"/>
              </w:rPr>
              <w:t>Year Ended December 31,</w:t>
            </w:r>
          </w:p>
        </w:tc>
        <w:tc>
          <w:tcPr>
            <w:tcW w:w="660" w:type="dxa"/>
            <w:vAlign w:val="bottom"/>
            <w:tcBorders>
              <w:bottom w:val="single" w:sz="8" w:color="auto"/>
            </w:tcBorders>
          </w:tcPr>
          <w:p>
            <w:pPr>
              <w:spacing w:after="0"/>
              <w:rPr>
                <w:sz w:val="18"/>
                <w:szCs w:val="18"/>
                <w:color w:val="auto"/>
              </w:rPr>
            </w:pPr>
          </w:p>
        </w:tc>
      </w:tr>
      <w:tr>
        <w:trPr>
          <w:trHeight w:val="230"/>
        </w:trPr>
        <w:tc>
          <w:tcPr>
            <w:tcW w:w="76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262"/>
              <w:spacing w:after="0"/>
              <w:rPr>
                <w:sz w:val="20"/>
                <w:szCs w:val="20"/>
                <w:color w:val="auto"/>
              </w:rPr>
            </w:pPr>
            <w:r>
              <w:rPr>
                <w:rFonts w:ascii="Arial" w:cs="Arial" w:eastAsia="Arial" w:hAnsi="Arial"/>
                <w:sz w:val="16"/>
                <w:szCs w:val="16"/>
                <w:b w:val="1"/>
                <w:bCs w:val="1"/>
                <w:color w:val="auto"/>
              </w:rPr>
              <w:t>2025</w:t>
            </w:r>
          </w:p>
        </w:tc>
        <w:tc>
          <w:tcPr>
            <w:tcW w:w="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center"/>
              <w:ind w:right="142"/>
              <w:spacing w:after="0"/>
              <w:rPr>
                <w:sz w:val="20"/>
                <w:szCs w:val="20"/>
                <w:color w:val="auto"/>
              </w:rPr>
            </w:pPr>
            <w:r>
              <w:rPr>
                <w:rFonts w:ascii="Arial" w:cs="Arial" w:eastAsia="Arial" w:hAnsi="Arial"/>
                <w:sz w:val="16"/>
                <w:szCs w:val="16"/>
                <w:b w:val="1"/>
                <w:bCs w:val="1"/>
                <w:color w:val="auto"/>
                <w:w w:val="84"/>
              </w:rPr>
              <w:t>2024</w:t>
            </w:r>
          </w:p>
        </w:tc>
        <w:tc>
          <w:tcPr>
            <w:tcW w:w="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262"/>
              <w:spacing w:after="0"/>
              <w:rPr>
                <w:sz w:val="20"/>
                <w:szCs w:val="20"/>
                <w:color w:val="auto"/>
              </w:rPr>
            </w:pPr>
            <w:r>
              <w:rPr>
                <w:rFonts w:ascii="Arial" w:cs="Arial" w:eastAsia="Arial" w:hAnsi="Arial"/>
                <w:sz w:val="16"/>
                <w:szCs w:val="16"/>
                <w:b w:val="1"/>
                <w:bCs w:val="1"/>
                <w:color w:val="auto"/>
                <w:w w:val="84"/>
              </w:rPr>
              <w:t>2023</w:t>
            </w:r>
          </w:p>
        </w:tc>
      </w:tr>
      <w:tr>
        <w:trPr>
          <w:trHeight w:val="223"/>
        </w:trPr>
        <w:tc>
          <w:tcPr>
            <w:tcW w:w="7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gridSpan w:val="2"/>
          </w:tcPr>
          <w:p>
            <w:pPr>
              <w:jc w:val="center"/>
              <w:spacing w:after="0"/>
              <w:rPr>
                <w:sz w:val="20"/>
                <w:szCs w:val="20"/>
                <w:color w:val="auto"/>
              </w:rPr>
            </w:pPr>
            <w:r>
              <w:rPr>
                <w:rFonts w:ascii="Arial" w:cs="Arial" w:eastAsia="Arial" w:hAnsi="Arial"/>
                <w:sz w:val="16"/>
                <w:szCs w:val="16"/>
                <w:b w:val="1"/>
                <w:bCs w:val="1"/>
                <w:color w:val="auto"/>
                <w:w w:val="91"/>
              </w:rPr>
              <w:t>(In millions)</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r>
      <w:tr>
        <w:trPr>
          <w:trHeight w:val="294"/>
        </w:trPr>
        <w:tc>
          <w:tcPr>
            <w:tcW w:w="7600" w:type="dxa"/>
            <w:vAlign w:val="bottom"/>
          </w:tcPr>
          <w:p>
            <w:pPr>
              <w:spacing w:after="0"/>
              <w:rPr>
                <w:sz w:val="20"/>
                <w:szCs w:val="20"/>
                <w:color w:val="auto"/>
              </w:rPr>
            </w:pPr>
            <w:r>
              <w:rPr>
                <w:rFonts w:ascii="Arial" w:cs="Arial" w:eastAsia="Arial" w:hAnsi="Arial"/>
                <w:sz w:val="16"/>
                <w:szCs w:val="16"/>
                <w:b w:val="1"/>
                <w:bCs w:val="1"/>
                <w:color w:val="auto"/>
              </w:rPr>
              <w:t>Cash Flows From Operating Activities:</w:t>
            </w: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221"/>
        </w:trPr>
        <w:tc>
          <w:tcPr>
            <w:tcW w:w="7600" w:type="dxa"/>
            <w:vAlign w:val="bottom"/>
          </w:tcPr>
          <w:p>
            <w:pPr>
              <w:spacing w:after="0"/>
              <w:rPr>
                <w:sz w:val="20"/>
                <w:szCs w:val="20"/>
                <w:color w:val="auto"/>
              </w:rPr>
            </w:pPr>
            <w:r>
              <w:rPr>
                <w:rFonts w:ascii="Arial" w:cs="Arial" w:eastAsia="Arial" w:hAnsi="Arial"/>
                <w:sz w:val="16"/>
                <w:szCs w:val="16"/>
                <w:color w:val="auto"/>
              </w:rPr>
              <w:t>Net earnings</w:t>
            </w:r>
          </w:p>
        </w:tc>
        <w:tc>
          <w:tcPr>
            <w:tcW w:w="22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602</w:t>
            </w:r>
          </w:p>
        </w:tc>
        <w:tc>
          <w:tcPr>
            <w:tcW w:w="300" w:type="dxa"/>
            <w:vAlign w:val="bottom"/>
            <w:gridSpan w:val="2"/>
          </w:tcPr>
          <w:p>
            <w:pPr>
              <w:jc w:val="right"/>
              <w:ind w:right="22"/>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1,270</w:t>
            </w:r>
          </w:p>
        </w:tc>
        <w:tc>
          <w:tcPr>
            <w:tcW w:w="4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517</w:t>
            </w:r>
          </w:p>
        </w:tc>
      </w:tr>
      <w:tr>
        <w:trPr>
          <w:trHeight w:val="220"/>
        </w:trPr>
        <w:tc>
          <w:tcPr>
            <w:tcW w:w="7600" w:type="dxa"/>
            <w:vAlign w:val="bottom"/>
          </w:tcPr>
          <w:p>
            <w:pPr>
              <w:spacing w:after="0"/>
              <w:rPr>
                <w:sz w:val="20"/>
                <w:szCs w:val="20"/>
                <w:color w:val="auto"/>
              </w:rPr>
            </w:pPr>
            <w:r>
              <w:rPr>
                <w:rFonts w:ascii="Arial" w:cs="Arial" w:eastAsia="Arial" w:hAnsi="Arial"/>
                <w:sz w:val="16"/>
                <w:szCs w:val="16"/>
                <w:color w:val="auto"/>
              </w:rPr>
              <w:t>Adjustments to reconcile net earnings to net cash provided by operating activities:</w:t>
            </w: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r>
      <w:tr>
        <w:trPr>
          <w:trHeight w:val="235"/>
        </w:trPr>
        <w:tc>
          <w:tcPr>
            <w:tcW w:w="7600" w:type="dxa"/>
            <w:vAlign w:val="bottom"/>
          </w:tcPr>
          <w:p>
            <w:pPr>
              <w:ind w:left="220"/>
              <w:spacing w:after="0"/>
              <w:rPr>
                <w:sz w:val="20"/>
                <w:szCs w:val="20"/>
                <w:color w:val="auto"/>
              </w:rPr>
            </w:pPr>
            <w:r>
              <w:rPr>
                <w:rFonts w:ascii="Arial" w:cs="Arial" w:eastAsia="Arial" w:hAnsi="Arial"/>
                <w:sz w:val="16"/>
                <w:szCs w:val="16"/>
                <w:color w:val="auto"/>
              </w:rPr>
              <w:t>Equity in earnings of subsidiaries</w:t>
            </w: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(1,126)</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(1,332)</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(606)</w:t>
            </w:r>
          </w:p>
        </w:tc>
      </w:tr>
      <w:tr>
        <w:trPr>
          <w:trHeight w:val="235"/>
        </w:trPr>
        <w:tc>
          <w:tcPr>
            <w:tcW w:w="7600" w:type="dxa"/>
            <w:vAlign w:val="bottom"/>
          </w:tcPr>
          <w:p>
            <w:pPr>
              <w:ind w:left="220"/>
              <w:spacing w:after="0"/>
              <w:rPr>
                <w:sz w:val="20"/>
                <w:szCs w:val="20"/>
                <w:color w:val="auto"/>
              </w:rPr>
            </w:pPr>
            <w:r>
              <w:rPr>
                <w:rFonts w:ascii="Arial" w:cs="Arial" w:eastAsia="Arial" w:hAnsi="Arial"/>
                <w:sz w:val="16"/>
                <w:szCs w:val="16"/>
                <w:color w:val="auto"/>
              </w:rPr>
              <w:t>Depreciation and amortization</w:t>
            </w: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235"/>
        </w:trPr>
        <w:tc>
          <w:tcPr>
            <w:tcW w:w="7600" w:type="dxa"/>
            <w:vAlign w:val="bottom"/>
          </w:tcPr>
          <w:p>
            <w:pPr>
              <w:ind w:left="220"/>
              <w:spacing w:after="0"/>
              <w:rPr>
                <w:sz w:val="20"/>
                <w:szCs w:val="20"/>
                <w:color w:val="auto"/>
              </w:rPr>
            </w:pPr>
            <w:r>
              <w:rPr>
                <w:rFonts w:ascii="Arial" w:cs="Arial" w:eastAsia="Arial" w:hAnsi="Arial"/>
                <w:sz w:val="16"/>
                <w:szCs w:val="16"/>
                <w:color w:val="auto"/>
              </w:rPr>
              <w:t>Stock-based compensation</w:t>
            </w: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83</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82</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57</w:t>
            </w:r>
          </w:p>
        </w:tc>
      </w:tr>
      <w:tr>
        <w:trPr>
          <w:trHeight w:val="235"/>
        </w:trPr>
        <w:tc>
          <w:tcPr>
            <w:tcW w:w="7600" w:type="dxa"/>
            <w:vAlign w:val="bottom"/>
          </w:tcPr>
          <w:p>
            <w:pPr>
              <w:ind w:left="220"/>
              <w:spacing w:after="0"/>
              <w:rPr>
                <w:sz w:val="20"/>
                <w:szCs w:val="20"/>
                <w:color w:val="auto"/>
              </w:rPr>
            </w:pPr>
            <w:r>
              <w:rPr>
                <w:rFonts w:ascii="Arial" w:cs="Arial" w:eastAsia="Arial" w:hAnsi="Arial"/>
                <w:sz w:val="16"/>
                <w:szCs w:val="16"/>
                <w:color w:val="auto"/>
              </w:rPr>
              <w:t>Net change in income taxes</w:t>
            </w: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415</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5</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(262)</w:t>
            </w:r>
          </w:p>
        </w:tc>
      </w:tr>
      <w:tr>
        <w:trPr>
          <w:trHeight w:val="235"/>
        </w:trPr>
        <w:tc>
          <w:tcPr>
            <w:tcW w:w="7600" w:type="dxa"/>
            <w:vAlign w:val="bottom"/>
          </w:tcPr>
          <w:p>
            <w:pPr>
              <w:ind w:left="220"/>
              <w:spacing w:after="0"/>
              <w:rPr>
                <w:sz w:val="20"/>
                <w:szCs w:val="20"/>
                <w:color w:val="auto"/>
              </w:rPr>
            </w:pPr>
            <w:r>
              <w:rPr>
                <w:rFonts w:ascii="Arial" w:cs="Arial" w:eastAsia="Arial" w:hAnsi="Arial"/>
                <w:sz w:val="16"/>
                <w:szCs w:val="16"/>
                <w:color w:val="auto"/>
              </w:rPr>
              <w:t>Net increase in prepaid expenses and other assets</w:t>
            </w: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(113)</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(72)</w:t>
            </w:r>
          </w:p>
        </w:tc>
      </w:tr>
      <w:tr>
        <w:trPr>
          <w:trHeight w:val="242"/>
        </w:trPr>
        <w:tc>
          <w:tcPr>
            <w:tcW w:w="7600" w:type="dxa"/>
            <w:vAlign w:val="bottom"/>
          </w:tcPr>
          <w:p>
            <w:pPr>
              <w:ind w:left="220"/>
              <w:spacing w:after="0"/>
              <w:rPr>
                <w:sz w:val="20"/>
                <w:szCs w:val="20"/>
                <w:color w:val="auto"/>
              </w:rPr>
            </w:pPr>
            <w:r>
              <w:rPr>
                <w:rFonts w:ascii="Arial" w:cs="Arial" w:eastAsia="Arial" w:hAnsi="Arial"/>
                <w:sz w:val="16"/>
                <w:szCs w:val="16"/>
                <w:color w:val="auto"/>
              </w:rPr>
              <w:t>Net increase in accounts payable and other accrued liabilities</w:t>
            </w:r>
          </w:p>
        </w:tc>
        <w:tc>
          <w:tcPr>
            <w:tcW w:w="22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w:t>
            </w:r>
          </w:p>
        </w:tc>
        <w:tc>
          <w:tcPr>
            <w:tcW w:w="8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w:t>
            </w:r>
          </w:p>
        </w:tc>
        <w:tc>
          <w:tcPr>
            <w:tcW w:w="8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w:t>
            </w:r>
          </w:p>
        </w:tc>
      </w:tr>
      <w:tr>
        <w:trPr>
          <w:trHeight w:val="200"/>
        </w:trPr>
        <w:tc>
          <w:tcPr>
            <w:tcW w:w="7600" w:type="dxa"/>
            <w:vAlign w:val="bottom"/>
          </w:tcPr>
          <w:p>
            <w:pPr>
              <w:ind w:left="480"/>
              <w:spacing w:after="0"/>
              <w:rPr>
                <w:sz w:val="20"/>
                <w:szCs w:val="20"/>
                <w:color w:val="auto"/>
              </w:rPr>
            </w:pPr>
            <w:r>
              <w:rPr>
                <w:rFonts w:ascii="Arial" w:cs="Arial" w:eastAsia="Arial" w:hAnsi="Arial"/>
                <w:sz w:val="16"/>
                <w:szCs w:val="16"/>
                <w:color w:val="auto"/>
              </w:rPr>
              <w:t>Net cash provided by (used in) operating activities</w:t>
            </w: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w:t>
            </w:r>
          </w:p>
        </w:tc>
        <w:tc>
          <w:tcPr>
            <w:tcW w:w="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w:t>
            </w:r>
          </w:p>
        </w:tc>
        <w:tc>
          <w:tcPr>
            <w:tcW w:w="8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(295)</w:t>
            </w:r>
          </w:p>
        </w:tc>
      </w:tr>
      <w:tr>
        <w:trPr>
          <w:trHeight w:val="267"/>
        </w:trPr>
        <w:tc>
          <w:tcPr>
            <w:tcW w:w="7600" w:type="dxa"/>
            <w:vAlign w:val="bottom"/>
          </w:tcPr>
          <w:p>
            <w:pPr>
              <w:spacing w:after="0"/>
              <w:rPr>
                <w:sz w:val="20"/>
                <w:szCs w:val="20"/>
                <w:color w:val="auto"/>
              </w:rPr>
            </w:pPr>
            <w:r>
              <w:rPr>
                <w:rFonts w:ascii="Arial" w:cs="Arial" w:eastAsia="Arial" w:hAnsi="Arial"/>
                <w:sz w:val="16"/>
                <w:szCs w:val="16"/>
                <w:b w:val="1"/>
                <w:bCs w:val="1"/>
                <w:color w:val="auto"/>
              </w:rPr>
              <w:t>Cash Flows From Investing Activities:</w:t>
            </w:r>
          </w:p>
        </w:tc>
        <w:tc>
          <w:tcPr>
            <w:tcW w:w="2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60" w:type="dxa"/>
            <w:vAlign w:val="bottom"/>
          </w:tcPr>
          <w:p>
            <w:pPr>
              <w:spacing w:after="0"/>
              <w:rPr>
                <w:sz w:val="23"/>
                <w:szCs w:val="23"/>
                <w:color w:val="auto"/>
              </w:rPr>
            </w:pPr>
          </w:p>
        </w:tc>
      </w:tr>
      <w:tr>
        <w:trPr>
          <w:trHeight w:val="220"/>
        </w:trPr>
        <w:tc>
          <w:tcPr>
            <w:tcW w:w="7600" w:type="dxa"/>
            <w:vAlign w:val="bottom"/>
          </w:tcPr>
          <w:p>
            <w:pPr>
              <w:spacing w:after="0"/>
              <w:rPr>
                <w:sz w:val="20"/>
                <w:szCs w:val="20"/>
                <w:color w:val="auto"/>
              </w:rPr>
            </w:pPr>
            <w:r>
              <w:rPr>
                <w:rFonts w:ascii="Arial" w:cs="Arial" w:eastAsia="Arial" w:hAnsi="Arial"/>
                <w:sz w:val="16"/>
                <w:szCs w:val="16"/>
                <w:color w:val="auto"/>
              </w:rPr>
              <w:t>Purchase of F&amp;G preferred stock</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(250)</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20"/>
        </w:trPr>
        <w:tc>
          <w:tcPr>
            <w:tcW w:w="7600" w:type="dxa"/>
            <w:vAlign w:val="bottom"/>
          </w:tcPr>
          <w:p>
            <w:pPr>
              <w:spacing w:after="0"/>
              <w:rPr>
                <w:sz w:val="20"/>
                <w:szCs w:val="20"/>
                <w:color w:val="auto"/>
              </w:rPr>
            </w:pPr>
            <w:r>
              <w:rPr>
                <w:rFonts w:ascii="Arial" w:cs="Arial" w:eastAsia="Arial" w:hAnsi="Arial"/>
                <w:sz w:val="16"/>
                <w:szCs w:val="16"/>
                <w:color w:val="auto"/>
              </w:rPr>
              <w:t>Net (purchases of) proceeds from short-term investment activities</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(10)</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235</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82</w:t>
            </w:r>
          </w:p>
        </w:tc>
      </w:tr>
      <w:tr>
        <w:trPr>
          <w:trHeight w:val="220"/>
        </w:trPr>
        <w:tc>
          <w:tcPr>
            <w:tcW w:w="7600" w:type="dxa"/>
            <w:vAlign w:val="bottom"/>
          </w:tcPr>
          <w:p>
            <w:pPr>
              <w:spacing w:after="0"/>
              <w:rPr>
                <w:sz w:val="20"/>
                <w:szCs w:val="20"/>
                <w:color w:val="auto"/>
              </w:rPr>
            </w:pPr>
            <w:r>
              <w:rPr>
                <w:rFonts w:ascii="Arial" w:cs="Arial" w:eastAsia="Arial" w:hAnsi="Arial"/>
                <w:sz w:val="16"/>
                <w:szCs w:val="16"/>
                <w:color w:val="auto"/>
              </w:rPr>
              <w:t>Purchase of F&amp;G common stock</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(151)</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21"/>
        </w:trPr>
        <w:tc>
          <w:tcPr>
            <w:tcW w:w="7600" w:type="dxa"/>
            <w:vAlign w:val="bottom"/>
          </w:tcPr>
          <w:p>
            <w:pPr>
              <w:spacing w:after="0"/>
              <w:rPr>
                <w:sz w:val="20"/>
                <w:szCs w:val="20"/>
                <w:color w:val="auto"/>
              </w:rPr>
            </w:pPr>
            <w:r>
              <w:rPr>
                <w:rFonts w:ascii="Arial" w:cs="Arial" w:eastAsia="Arial" w:hAnsi="Arial"/>
                <w:sz w:val="16"/>
                <w:szCs w:val="16"/>
                <w:color w:val="auto"/>
              </w:rPr>
              <w:t>Additions to notes receivable</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(12)</w:t>
            </w:r>
          </w:p>
        </w:tc>
      </w:tr>
      <w:tr>
        <w:trPr>
          <w:trHeight w:val="235"/>
        </w:trPr>
        <w:tc>
          <w:tcPr>
            <w:tcW w:w="7600" w:type="dxa"/>
            <w:vAlign w:val="bottom"/>
          </w:tcPr>
          <w:p>
            <w:pPr>
              <w:spacing w:after="0"/>
              <w:rPr>
                <w:sz w:val="20"/>
                <w:szCs w:val="20"/>
                <w:color w:val="auto"/>
              </w:rPr>
            </w:pPr>
            <w:r>
              <w:rPr>
                <w:rFonts w:ascii="Arial" w:cs="Arial" w:eastAsia="Arial" w:hAnsi="Arial"/>
                <w:sz w:val="16"/>
                <w:szCs w:val="16"/>
                <w:color w:val="auto"/>
              </w:rPr>
              <w:t>Collection of notes receivable</w:t>
            </w: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40</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55</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47</w:t>
            </w:r>
          </w:p>
        </w:tc>
      </w:tr>
      <w:tr>
        <w:trPr>
          <w:trHeight w:val="242"/>
        </w:trPr>
        <w:tc>
          <w:tcPr>
            <w:tcW w:w="7600" w:type="dxa"/>
            <w:vAlign w:val="bottom"/>
          </w:tcPr>
          <w:p>
            <w:pPr>
              <w:spacing w:after="0"/>
              <w:rPr>
                <w:sz w:val="20"/>
                <w:szCs w:val="20"/>
                <w:color w:val="auto"/>
              </w:rPr>
            </w:pPr>
            <w:r>
              <w:rPr>
                <w:rFonts w:ascii="Arial" w:cs="Arial" w:eastAsia="Arial" w:hAnsi="Arial"/>
                <w:sz w:val="16"/>
                <w:szCs w:val="16"/>
                <w:color w:val="auto"/>
              </w:rPr>
              <w:t>Investments in subsidiaries</w:t>
            </w:r>
          </w:p>
        </w:tc>
        <w:tc>
          <w:tcPr>
            <w:tcW w:w="22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(95)</w:t>
            </w:r>
          </w:p>
        </w:tc>
        <w:tc>
          <w:tcPr>
            <w:tcW w:w="8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15"/>
        </w:trPr>
        <w:tc>
          <w:tcPr>
            <w:tcW w:w="7600" w:type="dxa"/>
            <w:vAlign w:val="bottom"/>
          </w:tcPr>
          <w:p>
            <w:pPr>
              <w:ind w:left="360"/>
              <w:spacing w:after="0"/>
              <w:rPr>
                <w:sz w:val="20"/>
                <w:szCs w:val="20"/>
                <w:color w:val="auto"/>
              </w:rPr>
            </w:pPr>
            <w:r>
              <w:rPr>
                <w:rFonts w:ascii="Arial" w:cs="Arial" w:eastAsia="Arial" w:hAnsi="Arial"/>
                <w:sz w:val="16"/>
                <w:szCs w:val="16"/>
                <w:color w:val="auto"/>
              </w:rPr>
              <w:t>Net cash provided by (used in) investing activities</w:t>
            </w: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(217)</w:t>
            </w: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w:t>
            </w:r>
          </w:p>
        </w:tc>
        <w:tc>
          <w:tcPr>
            <w:tcW w:w="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117</w:t>
            </w:r>
          </w:p>
        </w:tc>
      </w:tr>
      <w:tr>
        <w:trPr>
          <w:trHeight w:val="267"/>
        </w:trPr>
        <w:tc>
          <w:tcPr>
            <w:tcW w:w="7600" w:type="dxa"/>
            <w:vAlign w:val="bottom"/>
          </w:tcPr>
          <w:p>
            <w:pPr>
              <w:spacing w:after="0"/>
              <w:rPr>
                <w:sz w:val="20"/>
                <w:szCs w:val="20"/>
                <w:color w:val="auto"/>
              </w:rPr>
            </w:pPr>
            <w:r>
              <w:rPr>
                <w:rFonts w:ascii="Arial" w:cs="Arial" w:eastAsia="Arial" w:hAnsi="Arial"/>
                <w:sz w:val="16"/>
                <w:szCs w:val="16"/>
                <w:b w:val="1"/>
                <w:bCs w:val="1"/>
                <w:color w:val="auto"/>
              </w:rPr>
              <w:t>Cash Flows From Financing Activities:</w:t>
            </w:r>
          </w:p>
        </w:tc>
        <w:tc>
          <w:tcPr>
            <w:tcW w:w="2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60" w:type="dxa"/>
            <w:vAlign w:val="bottom"/>
          </w:tcPr>
          <w:p>
            <w:pPr>
              <w:spacing w:after="0"/>
              <w:rPr>
                <w:sz w:val="23"/>
                <w:szCs w:val="23"/>
                <w:color w:val="auto"/>
              </w:rPr>
            </w:pPr>
          </w:p>
        </w:tc>
      </w:tr>
      <w:tr>
        <w:trPr>
          <w:trHeight w:val="235"/>
        </w:trPr>
        <w:tc>
          <w:tcPr>
            <w:tcW w:w="7600" w:type="dxa"/>
            <w:vAlign w:val="bottom"/>
          </w:tcPr>
          <w:p>
            <w:pPr>
              <w:spacing w:after="0"/>
              <w:rPr>
                <w:sz w:val="20"/>
                <w:szCs w:val="20"/>
                <w:color w:val="auto"/>
              </w:rPr>
            </w:pPr>
            <w:r>
              <w:rPr>
                <w:rFonts w:ascii="Arial" w:cs="Arial" w:eastAsia="Arial" w:hAnsi="Arial"/>
                <w:sz w:val="16"/>
                <w:szCs w:val="16"/>
                <w:color w:val="auto"/>
              </w:rPr>
              <w:t>Dividends paid</w:t>
            </w: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(546)</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(532)</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(500)</w:t>
            </w:r>
          </w:p>
        </w:tc>
      </w:tr>
      <w:tr>
        <w:trPr>
          <w:trHeight w:val="235"/>
        </w:trPr>
        <w:tc>
          <w:tcPr>
            <w:tcW w:w="7600" w:type="dxa"/>
            <w:vAlign w:val="bottom"/>
          </w:tcPr>
          <w:p>
            <w:pPr>
              <w:spacing w:after="0"/>
              <w:rPr>
                <w:sz w:val="20"/>
                <w:szCs w:val="20"/>
                <w:color w:val="auto"/>
              </w:rPr>
            </w:pPr>
            <w:r>
              <w:rPr>
                <w:rFonts w:ascii="Arial" w:cs="Arial" w:eastAsia="Arial" w:hAnsi="Arial"/>
                <w:sz w:val="16"/>
                <w:szCs w:val="16"/>
                <w:color w:val="auto"/>
              </w:rPr>
              <w:t>Purchases of treasury stock</w:t>
            </w: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(251)</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(6)</w:t>
            </w:r>
          </w:p>
        </w:tc>
      </w:tr>
      <w:tr>
        <w:trPr>
          <w:trHeight w:val="235"/>
        </w:trPr>
        <w:tc>
          <w:tcPr>
            <w:tcW w:w="7600" w:type="dxa"/>
            <w:vAlign w:val="bottom"/>
          </w:tcPr>
          <w:p>
            <w:pPr>
              <w:spacing w:after="0"/>
              <w:rPr>
                <w:sz w:val="20"/>
                <w:szCs w:val="20"/>
                <w:color w:val="auto"/>
              </w:rPr>
            </w:pPr>
            <w:r>
              <w:rPr>
                <w:rFonts w:ascii="Arial" w:cs="Arial" w:eastAsia="Arial" w:hAnsi="Arial"/>
                <w:sz w:val="16"/>
                <w:szCs w:val="16"/>
                <w:color w:val="auto"/>
              </w:rPr>
              <w:t>Exercise of stock options</w:t>
            </w: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21</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15</w:t>
            </w:r>
          </w:p>
        </w:tc>
      </w:tr>
      <w:tr>
        <w:trPr>
          <w:trHeight w:val="235"/>
        </w:trPr>
        <w:tc>
          <w:tcPr>
            <w:tcW w:w="7600" w:type="dxa"/>
            <w:vAlign w:val="bottom"/>
          </w:tcPr>
          <w:p>
            <w:pPr>
              <w:spacing w:after="0"/>
              <w:rPr>
                <w:sz w:val="20"/>
                <w:szCs w:val="20"/>
                <w:color w:val="auto"/>
              </w:rPr>
            </w:pPr>
            <w:r>
              <w:rPr>
                <w:rFonts w:ascii="Arial" w:cs="Arial" w:eastAsia="Arial" w:hAnsi="Arial"/>
                <w:sz w:val="16"/>
                <w:szCs w:val="16"/>
                <w:color w:val="auto"/>
              </w:rPr>
              <w:t>Payment for shares withheld for taxes and in treasury</w:t>
            </w: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(18)</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(22)</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(17)</w:t>
            </w:r>
          </w:p>
        </w:tc>
      </w:tr>
      <w:tr>
        <w:trPr>
          <w:trHeight w:val="235"/>
        </w:trPr>
        <w:tc>
          <w:tcPr>
            <w:tcW w:w="7600" w:type="dxa"/>
            <w:vAlign w:val="bottom"/>
          </w:tcPr>
          <w:p>
            <w:pPr>
              <w:spacing w:after="0"/>
              <w:rPr>
                <w:sz w:val="20"/>
                <w:szCs w:val="20"/>
                <w:color w:val="auto"/>
              </w:rPr>
            </w:pPr>
            <w:r>
              <w:rPr>
                <w:rFonts w:ascii="Arial" w:cs="Arial" w:eastAsia="Arial" w:hAnsi="Arial"/>
                <w:sz w:val="16"/>
                <w:szCs w:val="16"/>
                <w:color w:val="auto"/>
              </w:rPr>
              <w:t>Additional investments in non-controlling interests</w:t>
            </w: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(6)</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(12)</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(12)</w:t>
            </w:r>
          </w:p>
        </w:tc>
      </w:tr>
      <w:tr>
        <w:trPr>
          <w:trHeight w:val="242"/>
        </w:trPr>
        <w:tc>
          <w:tcPr>
            <w:tcW w:w="7600" w:type="dxa"/>
            <w:vAlign w:val="bottom"/>
          </w:tcPr>
          <w:p>
            <w:pPr>
              <w:spacing w:after="0"/>
              <w:rPr>
                <w:sz w:val="20"/>
                <w:szCs w:val="20"/>
                <w:color w:val="auto"/>
              </w:rPr>
            </w:pPr>
            <w:r>
              <w:rPr>
                <w:rFonts w:ascii="Arial" w:cs="Arial" w:eastAsia="Arial" w:hAnsi="Arial"/>
                <w:sz w:val="16"/>
                <w:szCs w:val="16"/>
                <w:color w:val="auto"/>
              </w:rPr>
              <w:t>Net cash transfers from subsidiaries</w:t>
            </w:r>
          </w:p>
        </w:tc>
        <w:tc>
          <w:tcPr>
            <w:tcW w:w="22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888</w:t>
            </w:r>
          </w:p>
        </w:tc>
        <w:tc>
          <w:tcPr>
            <w:tcW w:w="8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703</w:t>
            </w:r>
          </w:p>
        </w:tc>
        <w:tc>
          <w:tcPr>
            <w:tcW w:w="8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689</w:t>
            </w:r>
          </w:p>
        </w:tc>
      </w:tr>
      <w:tr>
        <w:trPr>
          <w:trHeight w:val="230"/>
        </w:trPr>
        <w:tc>
          <w:tcPr>
            <w:tcW w:w="7600" w:type="dxa"/>
            <w:vAlign w:val="bottom"/>
          </w:tcPr>
          <w:p>
            <w:pPr>
              <w:ind w:left="220"/>
              <w:spacing w:after="0"/>
              <w:rPr>
                <w:sz w:val="20"/>
                <w:szCs w:val="20"/>
                <w:color w:val="auto"/>
              </w:rPr>
            </w:pPr>
            <w:r>
              <w:rPr>
                <w:rFonts w:ascii="Arial" w:cs="Arial" w:eastAsia="Arial" w:hAnsi="Arial"/>
                <w:sz w:val="16"/>
                <w:szCs w:val="16"/>
                <w:color w:val="auto"/>
              </w:rPr>
              <w:t>Net cash provided by (used in) financing activities</w:t>
            </w: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w:t>
            </w:r>
          </w:p>
        </w:tc>
        <w:tc>
          <w:tcPr>
            <w:tcW w:w="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158</w:t>
            </w:r>
          </w:p>
        </w:tc>
        <w:tc>
          <w:tcPr>
            <w:tcW w:w="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169</w:t>
            </w:r>
          </w:p>
        </w:tc>
      </w:tr>
      <w:tr>
        <w:trPr>
          <w:trHeight w:val="223"/>
        </w:trPr>
        <w:tc>
          <w:tcPr>
            <w:tcW w:w="7600" w:type="dxa"/>
            <w:vAlign w:val="bottom"/>
          </w:tcPr>
          <w:p>
            <w:pPr>
              <w:spacing w:after="0"/>
              <w:rPr>
                <w:sz w:val="20"/>
                <w:szCs w:val="20"/>
                <w:color w:val="auto"/>
              </w:rPr>
            </w:pPr>
            <w:r>
              <w:rPr>
                <w:rFonts w:ascii="Arial" w:cs="Arial" w:eastAsia="Arial" w:hAnsi="Arial"/>
                <w:sz w:val="16"/>
                <w:szCs w:val="16"/>
                <w:color w:val="auto"/>
              </w:rPr>
              <w:t>Net change in cash and cash equivalents</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(138)</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137</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(9)</w:t>
            </w:r>
          </w:p>
        </w:tc>
      </w:tr>
      <w:tr>
        <w:trPr>
          <w:trHeight w:val="257"/>
        </w:trPr>
        <w:tc>
          <w:tcPr>
            <w:tcW w:w="7600" w:type="dxa"/>
            <w:vAlign w:val="bottom"/>
          </w:tcPr>
          <w:p>
            <w:pPr>
              <w:spacing w:after="0"/>
              <w:rPr>
                <w:sz w:val="20"/>
                <w:szCs w:val="20"/>
                <w:color w:val="auto"/>
              </w:rPr>
            </w:pPr>
            <w:r>
              <w:rPr>
                <w:rFonts w:ascii="Arial" w:cs="Arial" w:eastAsia="Arial" w:hAnsi="Arial"/>
                <w:sz w:val="16"/>
                <w:szCs w:val="16"/>
                <w:color w:val="auto"/>
              </w:rPr>
              <w:t>Cash at beginning of year</w:t>
            </w:r>
          </w:p>
        </w:tc>
        <w:tc>
          <w:tcPr>
            <w:tcW w:w="22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534</w:t>
            </w:r>
          </w:p>
        </w:tc>
        <w:tc>
          <w:tcPr>
            <w:tcW w:w="8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397</w:t>
            </w:r>
          </w:p>
        </w:tc>
        <w:tc>
          <w:tcPr>
            <w:tcW w:w="8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406</w:t>
            </w:r>
          </w:p>
        </w:tc>
      </w:tr>
      <w:tr>
        <w:trPr>
          <w:trHeight w:val="210"/>
        </w:trPr>
        <w:tc>
          <w:tcPr>
            <w:tcW w:w="7600" w:type="dxa"/>
            <w:vAlign w:val="bottom"/>
          </w:tcPr>
          <w:p>
            <w:pPr>
              <w:spacing w:after="0"/>
              <w:rPr>
                <w:sz w:val="20"/>
                <w:szCs w:val="20"/>
                <w:color w:val="auto"/>
              </w:rPr>
            </w:pPr>
            <w:r>
              <w:rPr>
                <w:rFonts w:ascii="Arial" w:cs="Arial" w:eastAsia="Arial" w:hAnsi="Arial"/>
                <w:sz w:val="16"/>
                <w:szCs w:val="16"/>
                <w:color w:val="auto"/>
              </w:rPr>
              <w:t>Cash at end of year</w:t>
            </w:r>
          </w:p>
        </w:tc>
        <w:tc>
          <w:tcPr>
            <w:tcW w:w="22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396</w:t>
            </w:r>
          </w:p>
        </w:tc>
        <w:tc>
          <w:tcPr>
            <w:tcW w:w="300" w:type="dxa"/>
            <w:vAlign w:val="bottom"/>
            <w:gridSpan w:val="2"/>
          </w:tcPr>
          <w:p>
            <w:pPr>
              <w:jc w:val="right"/>
              <w:ind w:right="22"/>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534</w:t>
            </w:r>
          </w:p>
        </w:tc>
        <w:tc>
          <w:tcPr>
            <w:tcW w:w="4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397</w:t>
            </w:r>
          </w:p>
        </w:tc>
      </w:tr>
      <w:tr>
        <w:trPr>
          <w:trHeight w:val="20"/>
        </w:trPr>
        <w:tc>
          <w:tcPr>
            <w:tcW w:w="76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wp:posOffset>
            </wp:positionH>
            <wp:positionV relativeFrom="paragraph">
              <wp:posOffset>-4446270</wp:posOffset>
            </wp:positionV>
            <wp:extent cx="6849110" cy="46272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184">
                      <a:extLst>
                        <a:ext uri="{28A0092B-C50C-407E-A947-70E740481C1C}"/>
                      </a:extLst>
                    </a:blip>
                    <a:srcRect/>
                    <a:stretch>
                      <a:fillRect/>
                    </a:stretch>
                  </pic:blipFill>
                  <pic:spPr bwMode="auto">
                    <a:xfrm>
                      <a:off x="0" y="0"/>
                      <a:ext cx="6849110" cy="4627245"/>
                    </a:xfrm>
                    <a:prstGeom prst="rect">
                      <a:avLst/>
                    </a:prstGeom>
                    <a:noFill/>
                  </pic:spPr>
                </pic:pic>
              </a:graphicData>
            </a:graphic>
          </wp:anchor>
        </w:drawing>
      </w:r>
    </w:p>
    <w:p>
      <w:pPr>
        <w:jc w:val="center"/>
        <w:ind w:right="100"/>
        <w:spacing w:after="0"/>
        <w:rPr>
          <w:sz w:val="20"/>
          <w:szCs w:val="20"/>
          <w:color w:val="auto"/>
        </w:rPr>
      </w:pPr>
      <w:r>
        <w:rPr>
          <w:rFonts w:ascii="Arial" w:cs="Arial" w:eastAsia="Arial" w:hAnsi="Arial"/>
          <w:sz w:val="20"/>
          <w:szCs w:val="20"/>
          <w:color w:val="auto"/>
        </w:rPr>
        <w:t>See Notes to Financial Statements</w:t>
      </w:r>
    </w:p>
    <w:p>
      <w:pPr>
        <w:sectPr>
          <w:pgSz w:w="11880" w:h="15480" w:orient="portrait"/>
          <w:cols w:equalWidth="0" w:num="1">
            <w:col w:w="10700"/>
          </w:cols>
          <w:pgMar w:left="620" w:top="589" w:right="5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60"/>
        <w:spacing w:after="0"/>
        <w:rPr>
          <w:sz w:val="20"/>
          <w:szCs w:val="20"/>
          <w:color w:val="auto"/>
        </w:rPr>
      </w:pPr>
      <w:r>
        <w:rPr>
          <w:rFonts w:ascii="Arial" w:cs="Arial" w:eastAsia="Arial" w:hAnsi="Arial"/>
          <w:sz w:val="16"/>
          <w:szCs w:val="16"/>
          <w:color w:val="auto"/>
        </w:rPr>
        <w:t>203</w:t>
      </w:r>
    </w:p>
    <w:p>
      <w:pPr>
        <w:sectPr>
          <w:pgSz w:w="11880" w:h="15480" w:orient="portrait"/>
          <w:cols w:equalWidth="0" w:num="1">
            <w:col w:w="10700"/>
          </w:cols>
          <w:pgMar w:left="620" w:top="589" w:right="560" w:bottom="0" w:gutter="0" w:footer="0" w:header="0"/>
          <w:type w:val="continuous"/>
        </w:sectPr>
      </w:pPr>
    </w:p>
    <w:bookmarkStart w:id="215" w:name="page216"/>
    <w:bookmarkEnd w:id="215"/>
    <w:p>
      <w:pPr>
        <w:jc w:val="right"/>
        <w:spacing w:after="0"/>
        <w:rPr>
          <w:sz w:val="20"/>
          <w:szCs w:val="20"/>
          <w:color w:val="auto"/>
        </w:rPr>
      </w:pPr>
      <w:r>
        <w:rPr>
          <w:rFonts w:ascii="Arial" w:cs="Arial" w:eastAsia="Arial" w:hAnsi="Arial"/>
          <w:sz w:val="20"/>
          <w:szCs w:val="20"/>
          <w:b w:val="1"/>
          <w:bCs w:val="1"/>
          <w:color w:val="auto"/>
        </w:rPr>
        <w:t>SCHEDULE II</w:t>
      </w:r>
    </w:p>
    <w:p>
      <w:pPr>
        <w:spacing w:after="0" w:line="240" w:lineRule="exact"/>
        <w:rPr>
          <w:sz w:val="20"/>
          <w:szCs w:val="20"/>
          <w:color w:val="auto"/>
        </w:rPr>
      </w:pPr>
    </w:p>
    <w:p>
      <w:pPr>
        <w:jc w:val="center"/>
        <w:ind w:right="-6"/>
        <w:spacing w:after="0"/>
        <w:rPr>
          <w:sz w:val="20"/>
          <w:szCs w:val="20"/>
          <w:color w:val="auto"/>
        </w:rPr>
      </w:pPr>
      <w:r>
        <w:rPr>
          <w:rFonts w:ascii="Arial" w:cs="Arial" w:eastAsia="Arial" w:hAnsi="Arial"/>
          <w:sz w:val="20"/>
          <w:szCs w:val="20"/>
          <w:b w:val="1"/>
          <w:bCs w:val="1"/>
          <w:color w:val="auto"/>
        </w:rPr>
        <w:t>FIDELITY NATIONAL FINANCIAL, INC.</w:t>
      </w:r>
    </w:p>
    <w:p>
      <w:pPr>
        <w:spacing w:after="0" w:line="29" w:lineRule="exact"/>
        <w:rPr>
          <w:sz w:val="20"/>
          <w:szCs w:val="20"/>
          <w:color w:val="auto"/>
        </w:rPr>
      </w:pPr>
    </w:p>
    <w:p>
      <w:pPr>
        <w:jc w:val="center"/>
        <w:ind w:right="-6"/>
        <w:spacing w:after="0"/>
        <w:rPr>
          <w:sz w:val="20"/>
          <w:szCs w:val="20"/>
          <w:color w:val="auto"/>
        </w:rPr>
      </w:pPr>
      <w:r>
        <w:rPr>
          <w:rFonts w:ascii="Arial" w:cs="Arial" w:eastAsia="Arial" w:hAnsi="Arial"/>
          <w:sz w:val="20"/>
          <w:szCs w:val="20"/>
          <w:b w:val="1"/>
          <w:bCs w:val="1"/>
          <w:color w:val="auto"/>
        </w:rPr>
        <w:t>(Parent Company)</w:t>
      </w:r>
    </w:p>
    <w:p>
      <w:pPr>
        <w:spacing w:after="0" w:line="217" w:lineRule="exact"/>
        <w:rPr>
          <w:sz w:val="20"/>
          <w:szCs w:val="20"/>
          <w:color w:val="auto"/>
        </w:rPr>
      </w:pPr>
    </w:p>
    <w:p>
      <w:pPr>
        <w:jc w:val="center"/>
        <w:ind w:right="-6"/>
        <w:spacing w:after="0"/>
        <w:rPr>
          <w:sz w:val="20"/>
          <w:szCs w:val="20"/>
          <w:color w:val="auto"/>
        </w:rPr>
      </w:pPr>
      <w:r>
        <w:rPr>
          <w:rFonts w:ascii="Arial" w:cs="Arial" w:eastAsia="Arial" w:hAnsi="Arial"/>
          <w:sz w:val="20"/>
          <w:szCs w:val="20"/>
          <w:b w:val="1"/>
          <w:bCs w:val="1"/>
          <w:color w:val="auto"/>
        </w:rPr>
        <w:t>NOTES TO FINANCIAL STATEMENTS</w:t>
      </w:r>
    </w:p>
    <w:p>
      <w:pPr>
        <w:spacing w:after="0" w:line="240" w:lineRule="exact"/>
        <w:rPr>
          <w:sz w:val="20"/>
          <w:szCs w:val="20"/>
          <w:color w:val="auto"/>
        </w:rPr>
      </w:pPr>
    </w:p>
    <w:p>
      <w:pPr>
        <w:ind w:left="707" w:hanging="707"/>
        <w:spacing w:after="0"/>
        <w:tabs>
          <w:tab w:leader="none" w:pos="707" w:val="left"/>
        </w:tabs>
        <w:numPr>
          <w:ilvl w:val="0"/>
          <w:numId w:val="70"/>
        </w:numPr>
        <w:rPr>
          <w:rFonts w:ascii="Arial" w:cs="Arial" w:eastAsia="Arial" w:hAnsi="Arial"/>
          <w:sz w:val="20"/>
          <w:szCs w:val="20"/>
          <w:b w:val="1"/>
          <w:bCs w:val="1"/>
          <w:color w:val="auto"/>
        </w:rPr>
      </w:pPr>
      <w:r>
        <w:rPr>
          <w:rFonts w:ascii="Arial" w:cs="Arial" w:eastAsia="Arial" w:hAnsi="Arial"/>
          <w:sz w:val="20"/>
          <w:szCs w:val="20"/>
          <w:b w:val="1"/>
          <w:bCs w:val="1"/>
          <w:color w:val="auto"/>
        </w:rPr>
        <w:t>Summary of Significant Accounting Policies</w:t>
      </w:r>
    </w:p>
    <w:p>
      <w:pPr>
        <w:spacing w:after="0" w:line="110" w:lineRule="exact"/>
        <w:rPr>
          <w:sz w:val="20"/>
          <w:szCs w:val="20"/>
          <w:color w:val="auto"/>
        </w:rPr>
      </w:pPr>
    </w:p>
    <w:p>
      <w:pPr>
        <w:jc w:val="both"/>
        <w:ind w:left="7" w:firstLine="309"/>
        <w:spacing w:after="0" w:line="258" w:lineRule="auto"/>
        <w:rPr>
          <w:sz w:val="20"/>
          <w:szCs w:val="20"/>
          <w:color w:val="auto"/>
        </w:rPr>
      </w:pPr>
      <w:r>
        <w:rPr>
          <w:rFonts w:ascii="Arial" w:cs="Arial" w:eastAsia="Arial" w:hAnsi="Arial"/>
          <w:sz w:val="20"/>
          <w:szCs w:val="20"/>
          <w:color w:val="auto"/>
        </w:rPr>
        <w:t>Fidelity National Financial, Inc. transacts substantially all of its business through its subsidiaries. The Parent Company Financial Statements should be read in connection with the aforementioned Consolidated Financial Statements and Notes thereto included elsewhere herein.</w:t>
      </w:r>
    </w:p>
    <w:p>
      <w:pPr>
        <w:spacing w:after="0" w:line="55" w:lineRule="exact"/>
        <w:rPr>
          <w:sz w:val="20"/>
          <w:szCs w:val="20"/>
          <w:color w:val="auto"/>
        </w:rPr>
      </w:pPr>
    </w:p>
    <w:tbl>
      <w:tblPr>
        <w:tblLayout w:type="fixed"/>
        <w:tblInd w:w="7" w:type="dxa"/>
        <w:tblCellMar>
          <w:top w:w="0" w:type="dxa"/>
          <w:left w:w="0" w:type="dxa"/>
          <w:bottom w:w="0" w:type="dxa"/>
          <w:right w:w="0" w:type="dxa"/>
        </w:tblCellMar>
      </w:tblPr>
      <w:tr>
        <w:trPr>
          <w:trHeight w:val="259"/>
        </w:trPr>
        <w:tc>
          <w:tcPr>
            <w:tcW w:w="240" w:type="dxa"/>
            <w:vAlign w:val="bottom"/>
          </w:tcPr>
          <w:p>
            <w:pPr>
              <w:spacing w:after="0"/>
              <w:rPr>
                <w:sz w:val="20"/>
                <w:szCs w:val="20"/>
                <w:color w:val="auto"/>
              </w:rPr>
            </w:pPr>
            <w:r>
              <w:rPr>
                <w:rFonts w:ascii="Arial" w:cs="Arial" w:eastAsia="Arial" w:hAnsi="Arial"/>
                <w:sz w:val="20"/>
                <w:szCs w:val="20"/>
                <w:b w:val="1"/>
                <w:bCs w:val="1"/>
                <w:color w:val="auto"/>
              </w:rPr>
              <w:t>B.</w:t>
            </w:r>
          </w:p>
        </w:tc>
        <w:tc>
          <w:tcPr>
            <w:tcW w:w="7740" w:type="dxa"/>
            <w:vAlign w:val="bottom"/>
          </w:tcPr>
          <w:p>
            <w:pPr>
              <w:ind w:left="460"/>
              <w:spacing w:after="0"/>
              <w:rPr>
                <w:sz w:val="20"/>
                <w:szCs w:val="20"/>
                <w:color w:val="auto"/>
              </w:rPr>
            </w:pPr>
            <w:r>
              <w:rPr>
                <w:rFonts w:ascii="Arial" w:cs="Arial" w:eastAsia="Arial" w:hAnsi="Arial"/>
                <w:sz w:val="20"/>
                <w:szCs w:val="20"/>
                <w:b w:val="1"/>
                <w:bCs w:val="1"/>
                <w:color w:val="auto"/>
              </w:rPr>
              <w:t>Notes Payable</w:t>
            </w:r>
          </w:p>
        </w:tc>
        <w:tc>
          <w:tcPr>
            <w:tcW w:w="2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60" w:type="dxa"/>
            <w:vAlign w:val="bottom"/>
          </w:tcPr>
          <w:p>
            <w:pPr>
              <w:spacing w:after="0"/>
              <w:rPr>
                <w:sz w:val="22"/>
                <w:szCs w:val="22"/>
                <w:color w:val="auto"/>
              </w:rPr>
            </w:pPr>
          </w:p>
        </w:tc>
      </w:tr>
      <w:tr>
        <w:trPr>
          <w:trHeight w:val="336"/>
        </w:trPr>
        <w:tc>
          <w:tcPr>
            <w:tcW w:w="240" w:type="dxa"/>
            <w:vAlign w:val="bottom"/>
          </w:tcPr>
          <w:p>
            <w:pPr>
              <w:spacing w:after="0"/>
              <w:rPr>
                <w:sz w:val="24"/>
                <w:szCs w:val="24"/>
                <w:color w:val="auto"/>
              </w:rPr>
            </w:pPr>
          </w:p>
        </w:tc>
        <w:tc>
          <w:tcPr>
            <w:tcW w:w="7740" w:type="dxa"/>
            <w:vAlign w:val="bottom"/>
          </w:tcPr>
          <w:p>
            <w:pPr>
              <w:ind w:left="60"/>
              <w:spacing w:after="0"/>
              <w:rPr>
                <w:sz w:val="20"/>
                <w:szCs w:val="20"/>
                <w:color w:val="auto"/>
              </w:rPr>
            </w:pPr>
            <w:r>
              <w:rPr>
                <w:rFonts w:ascii="Arial" w:cs="Arial" w:eastAsia="Arial" w:hAnsi="Arial"/>
                <w:sz w:val="20"/>
                <w:szCs w:val="20"/>
                <w:color w:val="auto"/>
              </w:rPr>
              <w:t>Notes payable consist of the following:</w:t>
            </w: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281"/>
        </w:trPr>
        <w:tc>
          <w:tcPr>
            <w:tcW w:w="240" w:type="dxa"/>
            <w:vAlign w:val="bottom"/>
          </w:tcPr>
          <w:p>
            <w:pPr>
              <w:spacing w:after="0"/>
              <w:rPr>
                <w:sz w:val="24"/>
                <w:szCs w:val="24"/>
                <w:color w:val="auto"/>
              </w:rPr>
            </w:pPr>
          </w:p>
        </w:tc>
        <w:tc>
          <w:tcPr>
            <w:tcW w:w="77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gridSpan w:val="4"/>
          </w:tcPr>
          <w:p>
            <w:pPr>
              <w:jc w:val="right"/>
              <w:ind w:right="482"/>
              <w:spacing w:after="0"/>
              <w:rPr>
                <w:sz w:val="20"/>
                <w:szCs w:val="20"/>
                <w:color w:val="auto"/>
              </w:rPr>
            </w:pPr>
            <w:r>
              <w:rPr>
                <w:rFonts w:ascii="Arial" w:cs="Arial" w:eastAsia="Arial" w:hAnsi="Arial"/>
                <w:sz w:val="16"/>
                <w:szCs w:val="16"/>
                <w:b w:val="1"/>
                <w:bCs w:val="1"/>
                <w:color w:val="auto"/>
              </w:rPr>
              <w:t>December 31,</w:t>
            </w:r>
          </w:p>
        </w:tc>
      </w:tr>
      <w:tr>
        <w:trPr>
          <w:trHeight w:val="230"/>
        </w:trPr>
        <w:tc>
          <w:tcPr>
            <w:tcW w:w="240" w:type="dxa"/>
            <w:vAlign w:val="bottom"/>
          </w:tcPr>
          <w:p>
            <w:pPr>
              <w:spacing w:after="0"/>
              <w:rPr>
                <w:sz w:val="19"/>
                <w:szCs w:val="19"/>
                <w:color w:val="auto"/>
              </w:rPr>
            </w:pPr>
          </w:p>
        </w:tc>
        <w:tc>
          <w:tcPr>
            <w:tcW w:w="77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262"/>
              <w:spacing w:after="0"/>
              <w:rPr>
                <w:sz w:val="20"/>
                <w:szCs w:val="20"/>
                <w:color w:val="auto"/>
              </w:rPr>
            </w:pPr>
            <w:r>
              <w:rPr>
                <w:rFonts w:ascii="Arial" w:cs="Arial" w:eastAsia="Arial" w:hAnsi="Arial"/>
                <w:sz w:val="16"/>
                <w:szCs w:val="16"/>
                <w:b w:val="1"/>
                <w:bCs w:val="1"/>
                <w:color w:val="auto"/>
              </w:rPr>
              <w:t>2025</w:t>
            </w:r>
          </w:p>
        </w:tc>
        <w:tc>
          <w:tcPr>
            <w:tcW w:w="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262"/>
              <w:spacing w:after="0"/>
              <w:rPr>
                <w:sz w:val="20"/>
                <w:szCs w:val="20"/>
                <w:color w:val="auto"/>
              </w:rPr>
            </w:pPr>
            <w:r>
              <w:rPr>
                <w:rFonts w:ascii="Arial" w:cs="Arial" w:eastAsia="Arial" w:hAnsi="Arial"/>
                <w:sz w:val="16"/>
                <w:szCs w:val="16"/>
                <w:b w:val="1"/>
                <w:bCs w:val="1"/>
                <w:color w:val="auto"/>
              </w:rPr>
              <w:t>2024</w:t>
            </w:r>
          </w:p>
        </w:tc>
      </w:tr>
      <w:tr>
        <w:trPr>
          <w:trHeight w:val="223"/>
        </w:trPr>
        <w:tc>
          <w:tcPr>
            <w:tcW w:w="240" w:type="dxa"/>
            <w:vAlign w:val="bottom"/>
          </w:tcPr>
          <w:p>
            <w:pPr>
              <w:spacing w:after="0"/>
              <w:rPr>
                <w:sz w:val="19"/>
                <w:szCs w:val="19"/>
                <w:color w:val="auto"/>
              </w:rPr>
            </w:pPr>
          </w:p>
        </w:tc>
        <w:tc>
          <w:tcPr>
            <w:tcW w:w="7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20" w:type="dxa"/>
            <w:vAlign w:val="bottom"/>
            <w:gridSpan w:val="4"/>
          </w:tcPr>
          <w:p>
            <w:pPr>
              <w:jc w:val="right"/>
              <w:ind w:right="542"/>
              <w:spacing w:after="0"/>
              <w:rPr>
                <w:sz w:val="20"/>
                <w:szCs w:val="20"/>
                <w:color w:val="auto"/>
              </w:rPr>
            </w:pPr>
            <w:r>
              <w:rPr>
                <w:rFonts w:ascii="Arial" w:cs="Arial" w:eastAsia="Arial" w:hAnsi="Arial"/>
                <w:sz w:val="16"/>
                <w:szCs w:val="16"/>
                <w:b w:val="1"/>
                <w:bCs w:val="1"/>
                <w:color w:val="auto"/>
              </w:rPr>
              <w:t>(In millions)</w:t>
            </w:r>
          </w:p>
        </w:tc>
      </w:tr>
      <w:tr>
        <w:trPr>
          <w:trHeight w:val="294"/>
        </w:trPr>
        <w:tc>
          <w:tcPr>
            <w:tcW w:w="7980" w:type="dxa"/>
            <w:vAlign w:val="bottom"/>
            <w:gridSpan w:val="2"/>
          </w:tcPr>
          <w:p>
            <w:pPr>
              <w:ind w:left="40"/>
              <w:spacing w:after="0"/>
              <w:rPr>
                <w:sz w:val="20"/>
                <w:szCs w:val="20"/>
                <w:color w:val="auto"/>
              </w:rPr>
            </w:pPr>
            <w:r>
              <w:rPr>
                <w:rFonts w:ascii="Arial" w:cs="Arial" w:eastAsia="Arial" w:hAnsi="Arial"/>
                <w:sz w:val="16"/>
                <w:szCs w:val="16"/>
                <w:color w:val="auto"/>
              </w:rPr>
              <w:t>4.50% Notes, net of discount</w:t>
            </w:r>
          </w:p>
        </w:tc>
        <w:tc>
          <w:tcPr>
            <w:tcW w:w="24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2"/>
              <w:spacing w:after="0"/>
              <w:rPr>
                <w:sz w:val="20"/>
                <w:szCs w:val="20"/>
                <w:color w:val="auto"/>
              </w:rPr>
            </w:pPr>
            <w:r>
              <w:rPr>
                <w:rFonts w:ascii="Arial" w:cs="Arial" w:eastAsia="Arial" w:hAnsi="Arial"/>
                <w:sz w:val="16"/>
                <w:szCs w:val="16"/>
                <w:color w:val="auto"/>
              </w:rPr>
              <w:t>448</w:t>
            </w:r>
          </w:p>
        </w:tc>
        <w:tc>
          <w:tcPr>
            <w:tcW w:w="3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2"/>
              <w:spacing w:after="0"/>
              <w:rPr>
                <w:sz w:val="20"/>
                <w:szCs w:val="20"/>
                <w:color w:val="auto"/>
              </w:rPr>
            </w:pPr>
            <w:r>
              <w:rPr>
                <w:rFonts w:ascii="Arial" w:cs="Arial" w:eastAsia="Arial" w:hAnsi="Arial"/>
                <w:sz w:val="16"/>
                <w:szCs w:val="16"/>
                <w:color w:val="auto"/>
              </w:rPr>
              <w:t>447</w:t>
            </w:r>
          </w:p>
        </w:tc>
      </w:tr>
      <w:tr>
        <w:trPr>
          <w:trHeight w:val="309"/>
        </w:trPr>
        <w:tc>
          <w:tcPr>
            <w:tcW w:w="7980" w:type="dxa"/>
            <w:vAlign w:val="bottom"/>
            <w:gridSpan w:val="2"/>
          </w:tcPr>
          <w:p>
            <w:pPr>
              <w:ind w:left="40"/>
              <w:spacing w:after="0"/>
              <w:rPr>
                <w:sz w:val="20"/>
                <w:szCs w:val="20"/>
                <w:color w:val="auto"/>
              </w:rPr>
            </w:pPr>
            <w:r>
              <w:rPr>
                <w:rFonts w:ascii="Arial" w:cs="Arial" w:eastAsia="Arial" w:hAnsi="Arial"/>
                <w:sz w:val="16"/>
                <w:szCs w:val="16"/>
                <w:color w:val="auto"/>
              </w:rPr>
              <w:t>3.40% Notes, net of discount</w:t>
            </w:r>
          </w:p>
        </w:tc>
        <w:tc>
          <w:tcPr>
            <w:tcW w:w="240" w:type="dxa"/>
            <w:vAlign w:val="bottom"/>
          </w:tcPr>
          <w:p>
            <w:pPr>
              <w:spacing w:after="0"/>
              <w:rPr>
                <w:sz w:val="24"/>
                <w:szCs w:val="24"/>
                <w:color w:val="auto"/>
              </w:rPr>
            </w:pPr>
          </w:p>
        </w:tc>
        <w:tc>
          <w:tcPr>
            <w:tcW w:w="760" w:type="dxa"/>
            <w:vAlign w:val="bottom"/>
          </w:tcPr>
          <w:p>
            <w:pPr>
              <w:jc w:val="right"/>
              <w:ind w:right="2"/>
              <w:spacing w:after="0"/>
              <w:rPr>
                <w:sz w:val="20"/>
                <w:szCs w:val="20"/>
                <w:color w:val="auto"/>
              </w:rPr>
            </w:pPr>
            <w:r>
              <w:rPr>
                <w:rFonts w:ascii="Arial" w:cs="Arial" w:eastAsia="Arial" w:hAnsi="Arial"/>
                <w:sz w:val="16"/>
                <w:szCs w:val="16"/>
                <w:color w:val="auto"/>
              </w:rPr>
              <w:t>646</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jc w:val="right"/>
              <w:ind w:right="2"/>
              <w:spacing w:after="0"/>
              <w:rPr>
                <w:sz w:val="20"/>
                <w:szCs w:val="20"/>
                <w:color w:val="auto"/>
              </w:rPr>
            </w:pPr>
            <w:r>
              <w:rPr>
                <w:rFonts w:ascii="Arial" w:cs="Arial" w:eastAsia="Arial" w:hAnsi="Arial"/>
                <w:sz w:val="16"/>
                <w:szCs w:val="16"/>
                <w:color w:val="auto"/>
              </w:rPr>
              <w:t>646</w:t>
            </w:r>
          </w:p>
        </w:tc>
      </w:tr>
      <w:tr>
        <w:trPr>
          <w:trHeight w:val="294"/>
        </w:trPr>
        <w:tc>
          <w:tcPr>
            <w:tcW w:w="7980" w:type="dxa"/>
            <w:vAlign w:val="bottom"/>
            <w:gridSpan w:val="2"/>
          </w:tcPr>
          <w:p>
            <w:pPr>
              <w:ind w:left="40"/>
              <w:spacing w:after="0"/>
              <w:rPr>
                <w:sz w:val="20"/>
                <w:szCs w:val="20"/>
                <w:color w:val="auto"/>
              </w:rPr>
            </w:pPr>
            <w:r>
              <w:rPr>
                <w:rFonts w:ascii="Arial" w:cs="Arial" w:eastAsia="Arial" w:hAnsi="Arial"/>
                <w:sz w:val="16"/>
                <w:szCs w:val="16"/>
                <w:color w:val="auto"/>
              </w:rPr>
              <w:t>2.45% Notes, net of discount</w:t>
            </w:r>
          </w:p>
        </w:tc>
        <w:tc>
          <w:tcPr>
            <w:tcW w:w="240" w:type="dxa"/>
            <w:vAlign w:val="bottom"/>
          </w:tcPr>
          <w:p>
            <w:pPr>
              <w:spacing w:after="0"/>
              <w:rPr>
                <w:sz w:val="24"/>
                <w:szCs w:val="24"/>
                <w:color w:val="auto"/>
              </w:rPr>
            </w:pPr>
          </w:p>
        </w:tc>
        <w:tc>
          <w:tcPr>
            <w:tcW w:w="760" w:type="dxa"/>
            <w:vAlign w:val="bottom"/>
          </w:tcPr>
          <w:p>
            <w:pPr>
              <w:jc w:val="right"/>
              <w:ind w:right="2"/>
              <w:spacing w:after="0"/>
              <w:rPr>
                <w:sz w:val="20"/>
                <w:szCs w:val="20"/>
                <w:color w:val="auto"/>
              </w:rPr>
            </w:pPr>
            <w:r>
              <w:rPr>
                <w:rFonts w:ascii="Arial" w:cs="Arial" w:eastAsia="Arial" w:hAnsi="Arial"/>
                <w:sz w:val="16"/>
                <w:szCs w:val="16"/>
                <w:color w:val="auto"/>
              </w:rPr>
              <w:t>596</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jc w:val="right"/>
              <w:ind w:right="2"/>
              <w:spacing w:after="0"/>
              <w:rPr>
                <w:sz w:val="20"/>
                <w:szCs w:val="20"/>
                <w:color w:val="auto"/>
              </w:rPr>
            </w:pPr>
            <w:r>
              <w:rPr>
                <w:rFonts w:ascii="Arial" w:cs="Arial" w:eastAsia="Arial" w:hAnsi="Arial"/>
                <w:sz w:val="16"/>
                <w:szCs w:val="16"/>
                <w:color w:val="auto"/>
              </w:rPr>
              <w:t>595</w:t>
            </w:r>
          </w:p>
        </w:tc>
      </w:tr>
      <w:tr>
        <w:trPr>
          <w:trHeight w:val="294"/>
        </w:trPr>
        <w:tc>
          <w:tcPr>
            <w:tcW w:w="7980" w:type="dxa"/>
            <w:vAlign w:val="bottom"/>
            <w:gridSpan w:val="2"/>
          </w:tcPr>
          <w:p>
            <w:pPr>
              <w:ind w:left="40"/>
              <w:spacing w:after="0"/>
              <w:rPr>
                <w:sz w:val="20"/>
                <w:szCs w:val="20"/>
                <w:color w:val="auto"/>
              </w:rPr>
            </w:pPr>
            <w:r>
              <w:rPr>
                <w:rFonts w:ascii="Arial" w:cs="Arial" w:eastAsia="Arial" w:hAnsi="Arial"/>
                <w:sz w:val="16"/>
                <w:szCs w:val="16"/>
                <w:color w:val="auto"/>
              </w:rPr>
              <w:t>3.20% Notes, net of discount</w:t>
            </w:r>
          </w:p>
        </w:tc>
        <w:tc>
          <w:tcPr>
            <w:tcW w:w="240" w:type="dxa"/>
            <w:vAlign w:val="bottom"/>
          </w:tcPr>
          <w:p>
            <w:pPr>
              <w:spacing w:after="0"/>
              <w:rPr>
                <w:sz w:val="24"/>
                <w:szCs w:val="24"/>
                <w:color w:val="auto"/>
              </w:rPr>
            </w:pPr>
          </w:p>
        </w:tc>
        <w:tc>
          <w:tcPr>
            <w:tcW w:w="760" w:type="dxa"/>
            <w:vAlign w:val="bottom"/>
          </w:tcPr>
          <w:p>
            <w:pPr>
              <w:jc w:val="right"/>
              <w:ind w:right="2"/>
              <w:spacing w:after="0"/>
              <w:rPr>
                <w:sz w:val="20"/>
                <w:szCs w:val="20"/>
                <w:color w:val="auto"/>
              </w:rPr>
            </w:pPr>
            <w:r>
              <w:rPr>
                <w:rFonts w:ascii="Arial" w:cs="Arial" w:eastAsia="Arial" w:hAnsi="Arial"/>
                <w:sz w:val="16"/>
                <w:szCs w:val="16"/>
                <w:color w:val="auto"/>
              </w:rPr>
              <w:t>445</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jc w:val="right"/>
              <w:ind w:right="2"/>
              <w:spacing w:after="0"/>
              <w:rPr>
                <w:sz w:val="20"/>
                <w:szCs w:val="20"/>
                <w:color w:val="auto"/>
              </w:rPr>
            </w:pPr>
            <w:r>
              <w:rPr>
                <w:rFonts w:ascii="Arial" w:cs="Arial" w:eastAsia="Arial" w:hAnsi="Arial"/>
                <w:sz w:val="16"/>
                <w:szCs w:val="16"/>
                <w:color w:val="auto"/>
              </w:rPr>
              <w:t>444</w:t>
            </w:r>
          </w:p>
        </w:tc>
      </w:tr>
      <w:tr>
        <w:trPr>
          <w:trHeight w:val="301"/>
        </w:trPr>
        <w:tc>
          <w:tcPr>
            <w:tcW w:w="7980" w:type="dxa"/>
            <w:vAlign w:val="bottom"/>
            <w:gridSpan w:val="2"/>
          </w:tcPr>
          <w:p>
            <w:pPr>
              <w:ind w:left="40"/>
              <w:spacing w:after="0"/>
              <w:rPr>
                <w:sz w:val="20"/>
                <w:szCs w:val="20"/>
                <w:color w:val="auto"/>
              </w:rPr>
            </w:pPr>
            <w:r>
              <w:rPr>
                <w:rFonts w:ascii="Arial" w:cs="Arial" w:eastAsia="Arial" w:hAnsi="Arial"/>
                <w:sz w:val="16"/>
                <w:szCs w:val="16"/>
                <w:color w:val="auto"/>
              </w:rPr>
              <w:t>Revolving credit facility</w:t>
            </w:r>
          </w:p>
        </w:tc>
        <w:tc>
          <w:tcPr>
            <w:tcW w:w="2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r>
      <w:tr>
        <w:trPr>
          <w:trHeight w:val="254"/>
        </w:trPr>
        <w:tc>
          <w:tcPr>
            <w:tcW w:w="240" w:type="dxa"/>
            <w:vAlign w:val="bottom"/>
          </w:tcPr>
          <w:p>
            <w:pPr>
              <w:spacing w:after="0"/>
              <w:rPr>
                <w:sz w:val="22"/>
                <w:szCs w:val="22"/>
                <w:color w:val="auto"/>
              </w:rPr>
            </w:pPr>
          </w:p>
        </w:tc>
        <w:tc>
          <w:tcPr>
            <w:tcW w:w="7740" w:type="dxa"/>
            <w:vAlign w:val="bottom"/>
          </w:tcPr>
          <w:p>
            <w:pPr>
              <w:spacing w:after="0"/>
              <w:rPr>
                <w:sz w:val="22"/>
                <w:szCs w:val="22"/>
                <w:color w:val="auto"/>
              </w:rPr>
            </w:pPr>
          </w:p>
        </w:tc>
        <w:tc>
          <w:tcPr>
            <w:tcW w:w="24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2"/>
              <w:spacing w:after="0"/>
              <w:rPr>
                <w:sz w:val="20"/>
                <w:szCs w:val="20"/>
                <w:color w:val="auto"/>
              </w:rPr>
            </w:pPr>
            <w:r>
              <w:rPr>
                <w:rFonts w:ascii="Arial" w:cs="Arial" w:eastAsia="Arial" w:hAnsi="Arial"/>
                <w:sz w:val="16"/>
                <w:szCs w:val="16"/>
                <w:color w:val="auto"/>
              </w:rPr>
              <w:t>2,132</w:t>
            </w:r>
          </w:p>
        </w:tc>
        <w:tc>
          <w:tcPr>
            <w:tcW w:w="3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2"/>
              <w:spacing w:after="0"/>
              <w:rPr>
                <w:sz w:val="20"/>
                <w:szCs w:val="20"/>
                <w:color w:val="auto"/>
              </w:rPr>
            </w:pPr>
            <w:r>
              <w:rPr>
                <w:rFonts w:ascii="Arial" w:cs="Arial" w:eastAsia="Arial" w:hAnsi="Arial"/>
                <w:sz w:val="16"/>
                <w:szCs w:val="16"/>
                <w:color w:val="auto"/>
              </w:rPr>
              <w:t>2,128</w:t>
            </w:r>
          </w:p>
        </w:tc>
      </w:tr>
      <w:tr>
        <w:trPr>
          <w:trHeight w:val="20"/>
        </w:trPr>
        <w:tc>
          <w:tcPr>
            <w:tcW w:w="240" w:type="dxa"/>
            <w:vAlign w:val="bottom"/>
          </w:tcPr>
          <w:p>
            <w:pPr>
              <w:spacing w:after="0" w:line="20" w:lineRule="exact"/>
              <w:rPr>
                <w:sz w:val="1"/>
                <w:szCs w:val="1"/>
                <w:color w:val="auto"/>
              </w:rPr>
            </w:pPr>
          </w:p>
        </w:tc>
        <w:tc>
          <w:tcPr>
            <w:tcW w:w="77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-1160145</wp:posOffset>
            </wp:positionV>
            <wp:extent cx="6400800" cy="116713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185">
                      <a:extLst>
                        <a:ext uri="{28A0092B-C50C-407E-A947-70E740481C1C}"/>
                      </a:extLst>
                    </a:blip>
                    <a:srcRect/>
                    <a:stretch>
                      <a:fillRect/>
                    </a:stretch>
                  </pic:blipFill>
                  <pic:spPr bwMode="auto">
                    <a:xfrm>
                      <a:off x="0" y="0"/>
                      <a:ext cx="6400800" cy="1167130"/>
                    </a:xfrm>
                    <a:prstGeom prst="rect">
                      <a:avLst/>
                    </a:prstGeom>
                    <a:noFill/>
                  </pic:spPr>
                </pic:pic>
              </a:graphicData>
            </a:graphic>
          </wp:anchor>
        </w:drawing>
      </w:r>
    </w:p>
    <w:p>
      <w:pPr>
        <w:ind w:left="707" w:hanging="707"/>
        <w:spacing w:after="0"/>
        <w:tabs>
          <w:tab w:leader="none" w:pos="707" w:val="left"/>
        </w:tabs>
        <w:numPr>
          <w:ilvl w:val="0"/>
          <w:numId w:val="71"/>
        </w:numPr>
        <w:rPr>
          <w:rFonts w:ascii="Arial" w:cs="Arial" w:eastAsia="Arial" w:hAnsi="Arial"/>
          <w:sz w:val="20"/>
          <w:szCs w:val="20"/>
          <w:b w:val="1"/>
          <w:bCs w:val="1"/>
          <w:color w:val="auto"/>
        </w:rPr>
      </w:pPr>
      <w:r>
        <w:rPr>
          <w:rFonts w:ascii="Arial" w:cs="Arial" w:eastAsia="Arial" w:hAnsi="Arial"/>
          <w:sz w:val="20"/>
          <w:szCs w:val="20"/>
          <w:b w:val="1"/>
          <w:bCs w:val="1"/>
          <w:color w:val="auto"/>
        </w:rPr>
        <w:t>Supplemental Cash Flow Information</w:t>
      </w:r>
    </w:p>
    <w:p>
      <w:pPr>
        <w:spacing w:after="0" w:line="100" w:lineRule="exact"/>
        <w:rPr>
          <w:sz w:val="20"/>
          <w:szCs w:val="20"/>
          <w:color w:val="auto"/>
        </w:rPr>
      </w:pPr>
    </w:p>
    <w:tbl>
      <w:tblPr>
        <w:tblLayout w:type="fixed"/>
        <w:tblInd w:w="47" w:type="dxa"/>
        <w:tblCellMar>
          <w:top w:w="0" w:type="dxa"/>
          <w:left w:w="0" w:type="dxa"/>
          <w:bottom w:w="0" w:type="dxa"/>
          <w:right w:w="0" w:type="dxa"/>
        </w:tblCellMar>
      </w:tblPr>
      <w:tr>
        <w:trPr>
          <w:trHeight w:val="213"/>
        </w:trPr>
        <w:tc>
          <w:tcPr>
            <w:tcW w:w="6900" w:type="dxa"/>
            <w:vAlign w:val="bottom"/>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gridSpan w:val="6"/>
          </w:tcPr>
          <w:p>
            <w:pPr>
              <w:jc w:val="center"/>
              <w:ind w:right="20"/>
              <w:spacing w:after="0"/>
              <w:rPr>
                <w:sz w:val="20"/>
                <w:szCs w:val="20"/>
                <w:color w:val="auto"/>
              </w:rPr>
            </w:pPr>
            <w:r>
              <w:rPr>
                <w:rFonts w:ascii="Arial" w:cs="Arial" w:eastAsia="Arial" w:hAnsi="Arial"/>
                <w:sz w:val="16"/>
                <w:szCs w:val="16"/>
                <w:b w:val="1"/>
                <w:bCs w:val="1"/>
                <w:color w:val="auto"/>
                <w:w w:val="89"/>
              </w:rPr>
              <w:t>Year Ended December 31,</w:t>
            </w:r>
          </w:p>
        </w:tc>
        <w:tc>
          <w:tcPr>
            <w:tcW w:w="660" w:type="dxa"/>
            <w:vAlign w:val="bottom"/>
            <w:tcBorders>
              <w:bottom w:val="single" w:sz="8" w:color="auto"/>
            </w:tcBorders>
          </w:tcPr>
          <w:p>
            <w:pPr>
              <w:spacing w:after="0"/>
              <w:rPr>
                <w:sz w:val="18"/>
                <w:szCs w:val="18"/>
                <w:color w:val="auto"/>
              </w:rPr>
            </w:pPr>
          </w:p>
        </w:tc>
      </w:tr>
      <w:tr>
        <w:trPr>
          <w:trHeight w:val="230"/>
        </w:trPr>
        <w:tc>
          <w:tcPr>
            <w:tcW w:w="690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2025</w:t>
            </w:r>
          </w:p>
        </w:tc>
        <w:tc>
          <w:tcPr>
            <w:tcW w:w="32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center"/>
              <w:ind w:right="162"/>
              <w:spacing w:after="0"/>
              <w:rPr>
                <w:sz w:val="20"/>
                <w:szCs w:val="20"/>
                <w:color w:val="auto"/>
              </w:rPr>
            </w:pPr>
            <w:r>
              <w:rPr>
                <w:rFonts w:ascii="Arial" w:cs="Arial" w:eastAsia="Arial" w:hAnsi="Arial"/>
                <w:sz w:val="16"/>
                <w:szCs w:val="16"/>
                <w:b w:val="1"/>
                <w:bCs w:val="1"/>
                <w:color w:val="auto"/>
                <w:w w:val="89"/>
              </w:rPr>
              <w:t>2024</w:t>
            </w:r>
          </w:p>
        </w:tc>
        <w:tc>
          <w:tcPr>
            <w:tcW w:w="6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262"/>
              <w:spacing w:after="0"/>
              <w:rPr>
                <w:sz w:val="20"/>
                <w:szCs w:val="20"/>
                <w:color w:val="auto"/>
              </w:rPr>
            </w:pPr>
            <w:r>
              <w:rPr>
                <w:rFonts w:ascii="Arial" w:cs="Arial" w:eastAsia="Arial" w:hAnsi="Arial"/>
                <w:sz w:val="16"/>
                <w:szCs w:val="16"/>
                <w:b w:val="1"/>
                <w:bCs w:val="1"/>
                <w:color w:val="auto"/>
                <w:w w:val="84"/>
              </w:rPr>
              <w:t>2023</w:t>
            </w:r>
          </w:p>
        </w:tc>
      </w:tr>
      <w:tr>
        <w:trPr>
          <w:trHeight w:val="223"/>
        </w:trPr>
        <w:tc>
          <w:tcPr>
            <w:tcW w:w="69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0" w:type="dxa"/>
            <w:vAlign w:val="bottom"/>
            <w:gridSpan w:val="2"/>
          </w:tcPr>
          <w:p>
            <w:pPr>
              <w:jc w:val="center"/>
              <w:spacing w:after="0"/>
              <w:rPr>
                <w:sz w:val="20"/>
                <w:szCs w:val="20"/>
                <w:color w:val="auto"/>
              </w:rPr>
            </w:pPr>
            <w:r>
              <w:rPr>
                <w:rFonts w:ascii="Arial" w:cs="Arial" w:eastAsia="Arial" w:hAnsi="Arial"/>
                <w:sz w:val="16"/>
                <w:szCs w:val="16"/>
                <w:b w:val="1"/>
                <w:bCs w:val="1"/>
                <w:color w:val="auto"/>
                <w:w w:val="91"/>
              </w:rPr>
              <w:t>(In millions)</w:t>
            </w: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60" w:type="dxa"/>
            <w:vAlign w:val="bottom"/>
          </w:tcPr>
          <w:p>
            <w:pPr>
              <w:spacing w:after="0"/>
              <w:rPr>
                <w:sz w:val="19"/>
                <w:szCs w:val="19"/>
                <w:color w:val="auto"/>
              </w:rPr>
            </w:pPr>
          </w:p>
        </w:tc>
      </w:tr>
      <w:tr>
        <w:trPr>
          <w:trHeight w:val="294"/>
        </w:trPr>
        <w:tc>
          <w:tcPr>
            <w:tcW w:w="6900" w:type="dxa"/>
            <w:vAlign w:val="bottom"/>
          </w:tcPr>
          <w:p>
            <w:pPr>
              <w:spacing w:after="0"/>
              <w:rPr>
                <w:sz w:val="20"/>
                <w:szCs w:val="20"/>
                <w:color w:val="auto"/>
              </w:rPr>
            </w:pPr>
            <w:r>
              <w:rPr>
                <w:rFonts w:ascii="Arial" w:cs="Arial" w:eastAsia="Arial" w:hAnsi="Arial"/>
                <w:sz w:val="16"/>
                <w:szCs w:val="16"/>
                <w:color w:val="auto"/>
              </w:rPr>
              <w:t>Cash paid during the year:</w:t>
            </w:r>
          </w:p>
        </w:tc>
        <w:tc>
          <w:tcPr>
            <w:tcW w:w="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294"/>
        </w:trPr>
        <w:tc>
          <w:tcPr>
            <w:tcW w:w="6900" w:type="dxa"/>
            <w:vAlign w:val="bottom"/>
          </w:tcPr>
          <w:p>
            <w:pPr>
              <w:spacing w:after="0"/>
              <w:rPr>
                <w:sz w:val="20"/>
                <w:szCs w:val="20"/>
                <w:color w:val="auto"/>
              </w:rPr>
            </w:pPr>
            <w:r>
              <w:rPr>
                <w:rFonts w:ascii="Arial" w:cs="Arial" w:eastAsia="Arial" w:hAnsi="Arial"/>
                <w:sz w:val="16"/>
                <w:szCs w:val="16"/>
                <w:color w:val="auto"/>
              </w:rPr>
              <w:t>Interest paid</w:t>
            </w:r>
          </w:p>
        </w:tc>
        <w:tc>
          <w:tcPr>
            <w:tcW w:w="660" w:type="dxa"/>
            <w:vAlign w:val="bottom"/>
          </w:tcPr>
          <w:p>
            <w:pPr>
              <w:jc w:val="right"/>
              <w:ind w:right="462"/>
              <w:spacing w:after="0"/>
              <w:rPr>
                <w:sz w:val="20"/>
                <w:szCs w:val="20"/>
                <w:color w:val="auto"/>
              </w:rPr>
            </w:pPr>
            <w:r>
              <w:rPr>
                <w:rFonts w:ascii="Arial" w:cs="Arial" w:eastAsia="Arial" w:hAnsi="Arial"/>
                <w:sz w:val="16"/>
                <w:szCs w:val="16"/>
                <w:color w:val="auto"/>
              </w:rPr>
              <w:t>$</w:t>
            </w:r>
          </w:p>
        </w:tc>
        <w:tc>
          <w:tcPr>
            <w:tcW w:w="320" w:type="dxa"/>
            <w:vAlign w:val="bottom"/>
          </w:tcPr>
          <w:p>
            <w:pPr>
              <w:jc w:val="right"/>
              <w:ind w:right="2"/>
              <w:spacing w:after="0"/>
              <w:rPr>
                <w:sz w:val="20"/>
                <w:szCs w:val="20"/>
                <w:color w:val="auto"/>
              </w:rPr>
            </w:pPr>
            <w:r>
              <w:rPr>
                <w:rFonts w:ascii="Arial" w:cs="Arial" w:eastAsia="Arial" w:hAnsi="Arial"/>
                <w:sz w:val="16"/>
                <w:szCs w:val="16"/>
                <w:color w:val="auto"/>
              </w:rPr>
              <w:t>73</w:t>
            </w:r>
          </w:p>
        </w:tc>
        <w:tc>
          <w:tcPr>
            <w:tcW w:w="300" w:type="dxa"/>
            <w:vAlign w:val="bottom"/>
            <w:gridSpan w:val="2"/>
          </w:tcPr>
          <w:p>
            <w:pPr>
              <w:jc w:val="right"/>
              <w:ind w:right="22"/>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2"/>
              <w:spacing w:after="0"/>
              <w:rPr>
                <w:sz w:val="20"/>
                <w:szCs w:val="20"/>
                <w:color w:val="auto"/>
              </w:rPr>
            </w:pPr>
            <w:r>
              <w:rPr>
                <w:rFonts w:ascii="Arial" w:cs="Arial" w:eastAsia="Arial" w:hAnsi="Arial"/>
                <w:sz w:val="16"/>
                <w:szCs w:val="16"/>
                <w:color w:val="auto"/>
              </w:rPr>
              <w:t>73</w:t>
            </w:r>
          </w:p>
        </w:tc>
        <w:tc>
          <w:tcPr>
            <w:tcW w:w="4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660" w:type="dxa"/>
            <w:vAlign w:val="bottom"/>
          </w:tcPr>
          <w:p>
            <w:pPr>
              <w:jc w:val="right"/>
              <w:ind w:right="2"/>
              <w:spacing w:after="0"/>
              <w:rPr>
                <w:sz w:val="20"/>
                <w:szCs w:val="20"/>
                <w:color w:val="auto"/>
              </w:rPr>
            </w:pPr>
            <w:r>
              <w:rPr>
                <w:rFonts w:ascii="Arial" w:cs="Arial" w:eastAsia="Arial" w:hAnsi="Arial"/>
                <w:sz w:val="16"/>
                <w:szCs w:val="16"/>
                <w:color w:val="auto"/>
              </w:rPr>
              <w:t>73</w:t>
            </w:r>
          </w:p>
        </w:tc>
      </w:tr>
      <w:tr>
        <w:trPr>
          <w:trHeight w:val="294"/>
        </w:trPr>
        <w:tc>
          <w:tcPr>
            <w:tcW w:w="6900" w:type="dxa"/>
            <w:vAlign w:val="bottom"/>
          </w:tcPr>
          <w:p>
            <w:pPr>
              <w:spacing w:after="0"/>
              <w:rPr>
                <w:sz w:val="20"/>
                <w:szCs w:val="20"/>
                <w:color w:val="auto"/>
              </w:rPr>
            </w:pPr>
            <w:r>
              <w:rPr>
                <w:rFonts w:ascii="Arial" w:cs="Arial" w:eastAsia="Arial" w:hAnsi="Arial"/>
                <w:sz w:val="16"/>
                <w:szCs w:val="16"/>
                <w:color w:val="auto"/>
              </w:rPr>
              <w:t>Income tax payments</w:t>
            </w:r>
          </w:p>
        </w:tc>
        <w:tc>
          <w:tcPr>
            <w:tcW w:w="660" w:type="dxa"/>
            <w:vAlign w:val="bottom"/>
          </w:tcPr>
          <w:p>
            <w:pPr>
              <w:spacing w:after="0"/>
              <w:rPr>
                <w:sz w:val="24"/>
                <w:szCs w:val="24"/>
                <w:color w:val="auto"/>
              </w:rPr>
            </w:pPr>
          </w:p>
        </w:tc>
        <w:tc>
          <w:tcPr>
            <w:tcW w:w="320" w:type="dxa"/>
            <w:vAlign w:val="bottom"/>
          </w:tcPr>
          <w:p>
            <w:pPr>
              <w:jc w:val="right"/>
              <w:ind w:right="2"/>
              <w:spacing w:after="0"/>
              <w:rPr>
                <w:sz w:val="20"/>
                <w:szCs w:val="20"/>
                <w:color w:val="auto"/>
              </w:rPr>
            </w:pPr>
            <w:r>
              <w:rPr>
                <w:rFonts w:ascii="Arial" w:cs="Arial" w:eastAsia="Arial" w:hAnsi="Arial"/>
                <w:sz w:val="16"/>
                <w:szCs w:val="16"/>
                <w:color w:val="auto"/>
                <w:w w:val="82"/>
              </w:rPr>
              <w:t>241</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jc w:val="right"/>
              <w:ind w:right="2"/>
              <w:spacing w:after="0"/>
              <w:rPr>
                <w:sz w:val="20"/>
                <w:szCs w:val="20"/>
                <w:color w:val="auto"/>
              </w:rPr>
            </w:pPr>
            <w:r>
              <w:rPr>
                <w:rFonts w:ascii="Arial" w:cs="Arial" w:eastAsia="Arial" w:hAnsi="Arial"/>
                <w:sz w:val="16"/>
                <w:szCs w:val="16"/>
                <w:color w:val="auto"/>
              </w:rPr>
              <w:t>229</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Pr>
          <w:p>
            <w:pPr>
              <w:jc w:val="right"/>
              <w:ind w:right="2"/>
              <w:spacing w:after="0"/>
              <w:rPr>
                <w:sz w:val="20"/>
                <w:szCs w:val="20"/>
                <w:color w:val="auto"/>
              </w:rPr>
            </w:pPr>
            <w:r>
              <w:rPr>
                <w:rFonts w:ascii="Arial" w:cs="Arial" w:eastAsia="Arial" w:hAnsi="Arial"/>
                <w:sz w:val="16"/>
                <w:szCs w:val="16"/>
                <w:color w:val="auto"/>
              </w:rPr>
              <w:t>213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-374650</wp:posOffset>
            </wp:positionV>
            <wp:extent cx="6400800" cy="39878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186">
                      <a:extLst>
                        <a:ext uri="{28A0092B-C50C-407E-A947-70E740481C1C}"/>
                      </a:extLst>
                    </a:blip>
                    <a:srcRect/>
                    <a:stretch>
                      <a:fillRect/>
                    </a:stretch>
                  </pic:blipFill>
                  <pic:spPr bwMode="auto">
                    <a:xfrm>
                      <a:off x="0" y="0"/>
                      <a:ext cx="6400800" cy="398780"/>
                    </a:xfrm>
                    <a:prstGeom prst="rect">
                      <a:avLst/>
                    </a:prstGeom>
                    <a:noFill/>
                  </pic:spPr>
                </pic:pic>
              </a:graphicData>
            </a:graphic>
          </wp:anchor>
        </w:drawing>
      </w:r>
    </w:p>
    <w:p>
      <w:pPr>
        <w:spacing w:after="0" w:line="47" w:lineRule="exact"/>
        <w:rPr>
          <w:sz w:val="20"/>
          <w:szCs w:val="20"/>
          <w:color w:val="auto"/>
        </w:rPr>
      </w:pPr>
    </w:p>
    <w:p>
      <w:pPr>
        <w:ind w:left="707" w:hanging="707"/>
        <w:spacing w:after="0"/>
        <w:tabs>
          <w:tab w:leader="none" w:pos="707" w:val="left"/>
        </w:tabs>
        <w:numPr>
          <w:ilvl w:val="0"/>
          <w:numId w:val="72"/>
        </w:numPr>
        <w:rPr>
          <w:rFonts w:ascii="Arial" w:cs="Arial" w:eastAsia="Arial" w:hAnsi="Arial"/>
          <w:sz w:val="20"/>
          <w:szCs w:val="20"/>
          <w:b w:val="1"/>
          <w:bCs w:val="1"/>
          <w:color w:val="auto"/>
        </w:rPr>
      </w:pPr>
      <w:r>
        <w:rPr>
          <w:rFonts w:ascii="Arial" w:cs="Arial" w:eastAsia="Arial" w:hAnsi="Arial"/>
          <w:sz w:val="20"/>
          <w:szCs w:val="20"/>
          <w:b w:val="1"/>
          <w:bCs w:val="1"/>
          <w:color w:val="auto"/>
        </w:rPr>
        <w:t>Cash Dividends Received</w:t>
      </w:r>
    </w:p>
    <w:p>
      <w:pPr>
        <w:spacing w:after="0" w:line="110" w:lineRule="exact"/>
        <w:rPr>
          <w:sz w:val="20"/>
          <w:szCs w:val="20"/>
          <w:color w:val="auto"/>
        </w:rPr>
      </w:pPr>
    </w:p>
    <w:p>
      <w:pPr>
        <w:ind w:left="7" w:firstLine="309"/>
        <w:spacing w:after="0" w:line="271" w:lineRule="auto"/>
        <w:rPr>
          <w:sz w:val="20"/>
          <w:szCs w:val="20"/>
          <w:color w:val="auto"/>
        </w:rPr>
      </w:pPr>
      <w:r>
        <w:rPr>
          <w:rFonts w:ascii="Arial" w:cs="Arial" w:eastAsia="Arial" w:hAnsi="Arial"/>
          <w:sz w:val="20"/>
          <w:szCs w:val="20"/>
          <w:color w:val="auto"/>
        </w:rPr>
        <w:t>We have received cash dividends from our title insurance underwriters and F&amp;G of $0.6 billion, $0.6 billion, and $0.4 billion during the years ended December 31, 2025, 2024, and 2023, respectively.</w:t>
      </w:r>
    </w:p>
    <w:p>
      <w:pPr>
        <w:sectPr>
          <w:pgSz w:w="11880" w:h="15480" w:orient="portrait"/>
          <w:cols w:equalWidth="0" w:num="1">
            <w:col w:w="10047"/>
          </w:cols>
          <w:pgMar w:left="913" w:top="765"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6"/>
        <w:spacing w:after="0"/>
        <w:rPr>
          <w:sz w:val="20"/>
          <w:szCs w:val="20"/>
          <w:color w:val="auto"/>
        </w:rPr>
      </w:pPr>
      <w:r>
        <w:rPr>
          <w:rFonts w:ascii="Arial" w:cs="Arial" w:eastAsia="Arial" w:hAnsi="Arial"/>
          <w:sz w:val="16"/>
          <w:szCs w:val="16"/>
          <w:color w:val="auto"/>
        </w:rPr>
        <w:t>204</w:t>
      </w:r>
    </w:p>
    <w:p>
      <w:pPr>
        <w:sectPr>
          <w:pgSz w:w="11880" w:h="15480" w:orient="portrait"/>
          <w:cols w:equalWidth="0" w:num="1">
            <w:col w:w="10047"/>
          </w:cols>
          <w:pgMar w:left="913" w:top="765" w:right="920" w:bottom="0" w:gutter="0" w:footer="0" w:header="0"/>
          <w:type w:val="continuous"/>
        </w:sectPr>
      </w:pPr>
    </w:p>
    <w:bookmarkStart w:id="216" w:name="page217"/>
    <w:bookmarkEnd w:id="216"/>
    <w:p>
      <w:pPr>
        <w:ind w:left="8300"/>
        <w:spacing w:after="0"/>
        <w:rPr>
          <w:sz w:val="20"/>
          <w:szCs w:val="20"/>
          <w:color w:val="auto"/>
        </w:rPr>
      </w:pPr>
      <w:r>
        <w:rPr>
          <w:rFonts w:ascii="Arial" w:cs="Arial" w:eastAsia="Arial" w:hAnsi="Arial"/>
          <w:sz w:val="20"/>
          <w:szCs w:val="20"/>
          <w:b w:val="1"/>
          <w:bCs w:val="1"/>
          <w:color w:val="auto"/>
        </w:rPr>
        <w:t>Schedule III</w:t>
      </w:r>
    </w:p>
    <w:p>
      <w:pPr>
        <w:spacing w:after="0" w:line="103" w:lineRule="exact"/>
        <w:rPr>
          <w:sz w:val="20"/>
          <w:szCs w:val="20"/>
          <w:color w:val="auto"/>
        </w:rPr>
      </w:pPr>
    </w:p>
    <w:p>
      <w:pPr>
        <w:ind w:left="3060"/>
        <w:spacing w:after="0"/>
        <w:rPr>
          <w:sz w:val="20"/>
          <w:szCs w:val="20"/>
          <w:color w:val="auto"/>
        </w:rPr>
      </w:pPr>
      <w:r>
        <w:rPr>
          <w:rFonts w:ascii="Arial" w:cs="Arial" w:eastAsia="Arial" w:hAnsi="Arial"/>
          <w:sz w:val="20"/>
          <w:szCs w:val="20"/>
          <w:b w:val="1"/>
          <w:bCs w:val="1"/>
          <w:color w:val="auto"/>
        </w:rPr>
        <w:t>FIDELITY NATIONAL FINANCIAL, INC.</w:t>
      </w:r>
    </w:p>
    <w:p>
      <w:pPr>
        <w:spacing w:after="0" w:line="182" w:lineRule="exact"/>
        <w:rPr>
          <w:sz w:val="20"/>
          <w:szCs w:val="20"/>
          <w:color w:val="auto"/>
        </w:rPr>
      </w:pPr>
    </w:p>
    <w:p>
      <w:pPr>
        <w:ind w:left="3060"/>
        <w:spacing w:after="0"/>
        <w:rPr>
          <w:sz w:val="20"/>
          <w:szCs w:val="20"/>
          <w:color w:val="auto"/>
        </w:rPr>
      </w:pPr>
      <w:r>
        <w:rPr>
          <w:rFonts w:ascii="Arial" w:cs="Arial" w:eastAsia="Arial" w:hAnsi="Arial"/>
          <w:sz w:val="20"/>
          <w:szCs w:val="20"/>
          <w:b w:val="1"/>
          <w:bCs w:val="1"/>
          <w:color w:val="auto"/>
        </w:rPr>
        <w:t>F&amp;G Supplementary Insurance Information</w:t>
      </w:r>
    </w:p>
    <w:p>
      <w:pPr>
        <w:spacing w:after="0" w:line="29" w:lineRule="exact"/>
        <w:rPr>
          <w:sz w:val="20"/>
          <w:szCs w:val="20"/>
          <w:color w:val="auto"/>
        </w:rPr>
      </w:pPr>
    </w:p>
    <w:p>
      <w:pPr>
        <w:jc w:val="center"/>
        <w:ind w:right="60"/>
        <w:spacing w:after="0"/>
        <w:rPr>
          <w:sz w:val="20"/>
          <w:szCs w:val="20"/>
          <w:color w:val="auto"/>
        </w:rPr>
      </w:pPr>
      <w:r>
        <w:rPr>
          <w:rFonts w:ascii="Arial" w:cs="Arial" w:eastAsia="Arial" w:hAnsi="Arial"/>
          <w:sz w:val="20"/>
          <w:szCs w:val="20"/>
          <w:b w:val="1"/>
          <w:bCs w:val="1"/>
          <w:color w:val="auto"/>
        </w:rPr>
        <w:t>(in millions)</w:t>
      </w: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5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center"/>
              <w:ind w:right="42"/>
              <w:spacing w:after="0"/>
              <w:rPr>
                <w:sz w:val="20"/>
                <w:szCs w:val="20"/>
                <w:color w:val="auto"/>
              </w:rPr>
            </w:pPr>
            <w:r>
              <w:rPr>
                <w:rFonts w:ascii="Arial" w:cs="Arial" w:eastAsia="Arial" w:hAnsi="Arial"/>
                <w:sz w:val="16"/>
                <w:szCs w:val="16"/>
                <w:b w:val="1"/>
                <w:bCs w:val="1"/>
                <w:color w:val="auto"/>
                <w:w w:val="93"/>
              </w:rPr>
              <w:t>Year Ended</w:t>
            </w:r>
          </w:p>
        </w:tc>
        <w:tc>
          <w:tcPr>
            <w:tcW w:w="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r>
      <w:tr>
        <w:trPr>
          <w:trHeight w:val="182"/>
        </w:trPr>
        <w:tc>
          <w:tcPr>
            <w:tcW w:w="6560" w:type="dxa"/>
            <w:vAlign w:val="bottom"/>
          </w:tcPr>
          <w:p>
            <w:pPr>
              <w:spacing w:after="0"/>
              <w:rPr>
                <w:sz w:val="15"/>
                <w:szCs w:val="15"/>
                <w:color w:val="auto"/>
              </w:rPr>
            </w:pPr>
          </w:p>
        </w:tc>
        <w:tc>
          <w:tcPr>
            <w:tcW w:w="1080" w:type="dxa"/>
            <w:vAlign w:val="bottom"/>
            <w:gridSpan w:val="2"/>
          </w:tcPr>
          <w:p>
            <w:pPr>
              <w:jc w:val="right"/>
              <w:ind w:right="2"/>
              <w:spacing w:after="0" w:line="182" w:lineRule="exact"/>
              <w:rPr>
                <w:sz w:val="20"/>
                <w:szCs w:val="20"/>
                <w:color w:val="auto"/>
              </w:rPr>
            </w:pPr>
            <w:r>
              <w:rPr>
                <w:rFonts w:ascii="Arial" w:cs="Arial" w:eastAsia="Arial" w:hAnsi="Arial"/>
                <w:sz w:val="16"/>
                <w:szCs w:val="16"/>
                <w:b w:val="1"/>
                <w:bCs w:val="1"/>
                <w:color w:val="auto"/>
                <w:w w:val="94"/>
              </w:rPr>
              <w:t>December 31,</w:t>
            </w:r>
          </w:p>
        </w:tc>
        <w:tc>
          <w:tcPr>
            <w:tcW w:w="60" w:type="dxa"/>
            <w:vAlign w:val="bottom"/>
          </w:tcPr>
          <w:p>
            <w:pPr>
              <w:spacing w:after="0"/>
              <w:rPr>
                <w:sz w:val="15"/>
                <w:szCs w:val="15"/>
                <w:color w:val="auto"/>
              </w:rPr>
            </w:pPr>
          </w:p>
        </w:tc>
        <w:tc>
          <w:tcPr>
            <w:tcW w:w="1060" w:type="dxa"/>
            <w:vAlign w:val="bottom"/>
            <w:gridSpan w:val="2"/>
          </w:tcPr>
          <w:p>
            <w:pPr>
              <w:jc w:val="center"/>
              <w:spacing w:after="0" w:line="182" w:lineRule="exact"/>
              <w:rPr>
                <w:sz w:val="20"/>
                <w:szCs w:val="20"/>
                <w:color w:val="auto"/>
              </w:rPr>
            </w:pPr>
            <w:r>
              <w:rPr>
                <w:rFonts w:ascii="Arial" w:cs="Arial" w:eastAsia="Arial" w:hAnsi="Arial"/>
                <w:sz w:val="16"/>
                <w:szCs w:val="16"/>
                <w:b w:val="1"/>
                <w:bCs w:val="1"/>
                <w:color w:val="auto"/>
                <w:w w:val="86"/>
              </w:rPr>
              <w:t>December 31,</w:t>
            </w:r>
          </w:p>
        </w:tc>
        <w:tc>
          <w:tcPr>
            <w:tcW w:w="60" w:type="dxa"/>
            <w:vAlign w:val="bottom"/>
          </w:tcPr>
          <w:p>
            <w:pPr>
              <w:spacing w:after="0"/>
              <w:rPr>
                <w:sz w:val="15"/>
                <w:szCs w:val="15"/>
                <w:color w:val="auto"/>
              </w:rPr>
            </w:pPr>
          </w:p>
        </w:tc>
        <w:tc>
          <w:tcPr>
            <w:tcW w:w="1080" w:type="dxa"/>
            <w:vAlign w:val="bottom"/>
            <w:gridSpan w:val="2"/>
          </w:tcPr>
          <w:p>
            <w:pPr>
              <w:jc w:val="right"/>
              <w:ind w:right="2"/>
              <w:spacing w:after="0" w:line="182" w:lineRule="exact"/>
              <w:rPr>
                <w:sz w:val="20"/>
                <w:szCs w:val="20"/>
                <w:color w:val="auto"/>
              </w:rPr>
            </w:pPr>
            <w:r>
              <w:rPr>
                <w:rFonts w:ascii="Arial" w:cs="Arial" w:eastAsia="Arial" w:hAnsi="Arial"/>
                <w:sz w:val="16"/>
                <w:szCs w:val="16"/>
                <w:b w:val="1"/>
                <w:bCs w:val="1"/>
                <w:color w:val="auto"/>
                <w:w w:val="94"/>
              </w:rPr>
              <w:t>December 31,</w:t>
            </w:r>
          </w:p>
        </w:tc>
      </w:tr>
      <w:tr>
        <w:trPr>
          <w:trHeight w:val="210"/>
        </w:trPr>
        <w:tc>
          <w:tcPr>
            <w:tcW w:w="65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02"/>
              <w:spacing w:after="0"/>
              <w:rPr>
                <w:sz w:val="20"/>
                <w:szCs w:val="20"/>
                <w:color w:val="auto"/>
              </w:rPr>
            </w:pPr>
            <w:r>
              <w:rPr>
                <w:rFonts w:ascii="Arial" w:cs="Arial" w:eastAsia="Arial" w:hAnsi="Arial"/>
                <w:sz w:val="16"/>
                <w:szCs w:val="16"/>
                <w:b w:val="1"/>
                <w:bCs w:val="1"/>
                <w:color w:val="auto"/>
              </w:rPr>
              <w:t>2025</w:t>
            </w:r>
          </w:p>
        </w:tc>
        <w:tc>
          <w:tcPr>
            <w:tcW w:w="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center"/>
              <w:ind w:right="42"/>
              <w:spacing w:after="0"/>
              <w:rPr>
                <w:sz w:val="20"/>
                <w:szCs w:val="20"/>
                <w:color w:val="auto"/>
              </w:rPr>
            </w:pPr>
            <w:r>
              <w:rPr>
                <w:rFonts w:ascii="Arial" w:cs="Arial" w:eastAsia="Arial" w:hAnsi="Arial"/>
                <w:sz w:val="16"/>
                <w:szCs w:val="16"/>
                <w:b w:val="1"/>
                <w:bCs w:val="1"/>
                <w:color w:val="auto"/>
                <w:w w:val="84"/>
              </w:rPr>
              <w:t>2024</w:t>
            </w:r>
          </w:p>
        </w:tc>
        <w:tc>
          <w:tcPr>
            <w:tcW w:w="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02"/>
              <w:spacing w:after="0"/>
              <w:rPr>
                <w:sz w:val="20"/>
                <w:szCs w:val="20"/>
                <w:color w:val="auto"/>
              </w:rPr>
            </w:pPr>
            <w:r>
              <w:rPr>
                <w:rFonts w:ascii="Arial" w:cs="Arial" w:eastAsia="Arial" w:hAnsi="Arial"/>
                <w:sz w:val="16"/>
                <w:szCs w:val="16"/>
                <w:b w:val="1"/>
                <w:bCs w:val="1"/>
                <w:color w:val="auto"/>
              </w:rPr>
              <w:t>2023</w:t>
            </w:r>
          </w:p>
        </w:tc>
      </w:tr>
      <w:tr>
        <w:trPr>
          <w:trHeight w:val="223"/>
        </w:trPr>
        <w:tc>
          <w:tcPr>
            <w:tcW w:w="6560" w:type="dxa"/>
            <w:vAlign w:val="bottom"/>
          </w:tcPr>
          <w:p>
            <w:pPr>
              <w:spacing w:after="0"/>
              <w:rPr>
                <w:sz w:val="20"/>
                <w:szCs w:val="20"/>
                <w:color w:val="auto"/>
              </w:rPr>
            </w:pPr>
            <w:r>
              <w:rPr>
                <w:rFonts w:ascii="Arial" w:cs="Arial" w:eastAsia="Arial" w:hAnsi="Arial"/>
                <w:sz w:val="16"/>
                <w:szCs w:val="16"/>
                <w:color w:val="auto"/>
              </w:rPr>
              <w:t>F&amp;G Segment:</w:t>
            </w:r>
          </w:p>
        </w:tc>
        <w:tc>
          <w:tcPr>
            <w:tcW w:w="2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50"/>
        </w:trPr>
        <w:tc>
          <w:tcPr>
            <w:tcW w:w="6560" w:type="dxa"/>
            <w:vAlign w:val="bottom"/>
          </w:tcPr>
          <w:p>
            <w:pPr>
              <w:ind w:left="240"/>
              <w:spacing w:after="0"/>
              <w:rPr>
                <w:sz w:val="20"/>
                <w:szCs w:val="20"/>
                <w:color w:val="auto"/>
              </w:rPr>
            </w:pPr>
            <w:r>
              <w:rPr>
                <w:rFonts w:ascii="Arial" w:cs="Arial" w:eastAsia="Arial" w:hAnsi="Arial"/>
                <w:sz w:val="16"/>
                <w:szCs w:val="16"/>
                <w:color w:val="auto"/>
              </w:rPr>
              <w:t>Deferred acquisition costs</w:t>
            </w:r>
          </w:p>
        </w:tc>
        <w:tc>
          <w:tcPr>
            <w:tcW w:w="260" w:type="dxa"/>
            <w:vAlign w:val="bottom"/>
          </w:tcPr>
          <w:p>
            <w:pPr>
              <w:jc w:val="right"/>
              <w:ind w:right="62"/>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2"/>
              <w:spacing w:after="0"/>
              <w:rPr>
                <w:sz w:val="20"/>
                <w:szCs w:val="20"/>
                <w:color w:val="auto"/>
              </w:rPr>
            </w:pPr>
            <w:r>
              <w:rPr>
                <w:rFonts w:ascii="Arial" w:cs="Arial" w:eastAsia="Arial" w:hAnsi="Arial"/>
                <w:sz w:val="16"/>
                <w:szCs w:val="16"/>
                <w:color w:val="auto"/>
              </w:rPr>
              <w:t>3,637</w:t>
            </w:r>
          </w:p>
        </w:tc>
        <w:tc>
          <w:tcPr>
            <w:tcW w:w="1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3,036</w:t>
            </w:r>
          </w:p>
        </w:tc>
        <w:tc>
          <w:tcPr>
            <w:tcW w:w="320" w:type="dxa"/>
            <w:vAlign w:val="bottom"/>
            <w:gridSpan w:val="2"/>
          </w:tcPr>
          <w:p>
            <w:pPr>
              <w:jc w:val="right"/>
              <w:ind w:right="42"/>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2"/>
              <w:spacing w:after="0"/>
              <w:rPr>
                <w:sz w:val="20"/>
                <w:szCs w:val="20"/>
                <w:color w:val="auto"/>
              </w:rPr>
            </w:pPr>
            <w:r>
              <w:rPr>
                <w:rFonts w:ascii="Arial" w:cs="Arial" w:eastAsia="Arial" w:hAnsi="Arial"/>
                <w:sz w:val="16"/>
                <w:szCs w:val="16"/>
                <w:color w:val="auto"/>
              </w:rPr>
              <w:t>2,215</w:t>
            </w:r>
          </w:p>
        </w:tc>
      </w:tr>
      <w:tr>
        <w:trPr>
          <w:trHeight w:val="250"/>
        </w:trPr>
        <w:tc>
          <w:tcPr>
            <w:tcW w:w="6560" w:type="dxa"/>
            <w:vAlign w:val="bottom"/>
          </w:tcPr>
          <w:p>
            <w:pPr>
              <w:ind w:left="240"/>
              <w:spacing w:after="0"/>
              <w:rPr>
                <w:sz w:val="20"/>
                <w:szCs w:val="20"/>
                <w:color w:val="auto"/>
              </w:rPr>
            </w:pPr>
            <w:r>
              <w:rPr>
                <w:rFonts w:ascii="Arial" w:cs="Arial" w:eastAsia="Arial" w:hAnsi="Arial"/>
                <w:sz w:val="16"/>
                <w:szCs w:val="16"/>
                <w:color w:val="auto"/>
              </w:rPr>
              <w:t>Future policy benefits, losses, claims and loss expenses</w:t>
            </w:r>
          </w:p>
        </w:tc>
        <w:tc>
          <w:tcPr>
            <w:tcW w:w="260" w:type="dxa"/>
            <w:vAlign w:val="bottom"/>
          </w:tcPr>
          <w:p>
            <w:pPr>
              <w:spacing w:after="0"/>
              <w:rPr>
                <w:sz w:val="21"/>
                <w:szCs w:val="21"/>
                <w:color w:val="auto"/>
              </w:rPr>
            </w:pPr>
          </w:p>
        </w:tc>
        <w:tc>
          <w:tcPr>
            <w:tcW w:w="820" w:type="dxa"/>
            <w:vAlign w:val="bottom"/>
          </w:tcPr>
          <w:p>
            <w:pPr>
              <w:jc w:val="right"/>
              <w:ind w:right="2"/>
              <w:spacing w:after="0"/>
              <w:rPr>
                <w:sz w:val="20"/>
                <w:szCs w:val="20"/>
                <w:color w:val="auto"/>
              </w:rPr>
            </w:pPr>
            <w:r>
              <w:rPr>
                <w:rFonts w:ascii="Arial" w:cs="Arial" w:eastAsia="Arial" w:hAnsi="Arial"/>
                <w:sz w:val="16"/>
                <w:szCs w:val="16"/>
                <w:color w:val="auto"/>
              </w:rPr>
              <w:t>10,755</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8,749</w:t>
            </w: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20" w:type="dxa"/>
            <w:vAlign w:val="bottom"/>
          </w:tcPr>
          <w:p>
            <w:pPr>
              <w:jc w:val="right"/>
              <w:ind w:right="2"/>
              <w:spacing w:after="0"/>
              <w:rPr>
                <w:sz w:val="20"/>
                <w:szCs w:val="20"/>
                <w:color w:val="auto"/>
              </w:rPr>
            </w:pPr>
            <w:r>
              <w:rPr>
                <w:rFonts w:ascii="Arial" w:cs="Arial" w:eastAsia="Arial" w:hAnsi="Arial"/>
                <w:sz w:val="16"/>
                <w:szCs w:val="16"/>
                <w:color w:val="auto"/>
              </w:rPr>
              <w:t>7,050</w:t>
            </w:r>
          </w:p>
        </w:tc>
      </w:tr>
      <w:tr>
        <w:trPr>
          <w:trHeight w:val="250"/>
        </w:trPr>
        <w:tc>
          <w:tcPr>
            <w:tcW w:w="6560" w:type="dxa"/>
            <w:vAlign w:val="bottom"/>
          </w:tcPr>
          <w:p>
            <w:pPr>
              <w:ind w:left="240"/>
              <w:spacing w:after="0"/>
              <w:rPr>
                <w:sz w:val="20"/>
                <w:szCs w:val="20"/>
                <w:color w:val="auto"/>
              </w:rPr>
            </w:pPr>
            <w:r>
              <w:rPr>
                <w:rFonts w:ascii="Arial" w:cs="Arial" w:eastAsia="Arial" w:hAnsi="Arial"/>
                <w:sz w:val="16"/>
                <w:szCs w:val="16"/>
                <w:color w:val="auto"/>
              </w:rPr>
              <w:t>Other policy claims and benefits payable</w:t>
            </w:r>
          </w:p>
        </w:tc>
        <w:tc>
          <w:tcPr>
            <w:tcW w:w="260" w:type="dxa"/>
            <w:vAlign w:val="bottom"/>
          </w:tcPr>
          <w:p>
            <w:pPr>
              <w:spacing w:after="0"/>
              <w:rPr>
                <w:sz w:val="21"/>
                <w:szCs w:val="21"/>
                <w:color w:val="auto"/>
              </w:rPr>
            </w:pPr>
          </w:p>
        </w:tc>
        <w:tc>
          <w:tcPr>
            <w:tcW w:w="820" w:type="dxa"/>
            <w:vAlign w:val="bottom"/>
          </w:tcPr>
          <w:p>
            <w:pPr>
              <w:jc w:val="right"/>
              <w:ind w:right="2"/>
              <w:spacing w:after="0"/>
              <w:rPr>
                <w:sz w:val="20"/>
                <w:szCs w:val="20"/>
                <w:color w:val="auto"/>
              </w:rPr>
            </w:pPr>
            <w:r>
              <w:rPr>
                <w:rFonts w:ascii="Arial" w:cs="Arial" w:eastAsia="Arial" w:hAnsi="Arial"/>
                <w:sz w:val="16"/>
                <w:szCs w:val="16"/>
                <w:color w:val="auto"/>
              </w:rPr>
              <w:t>100</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102</w:t>
            </w: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20" w:type="dxa"/>
            <w:vAlign w:val="bottom"/>
          </w:tcPr>
          <w:p>
            <w:pPr>
              <w:jc w:val="right"/>
              <w:ind w:right="2"/>
              <w:spacing w:after="0"/>
              <w:rPr>
                <w:sz w:val="20"/>
                <w:szCs w:val="20"/>
                <w:color w:val="auto"/>
              </w:rPr>
            </w:pPr>
            <w:r>
              <w:rPr>
                <w:rFonts w:ascii="Arial" w:cs="Arial" w:eastAsia="Arial" w:hAnsi="Arial"/>
                <w:sz w:val="16"/>
                <w:szCs w:val="16"/>
                <w:color w:val="auto"/>
              </w:rPr>
              <w:t>92</w:t>
            </w:r>
          </w:p>
        </w:tc>
      </w:tr>
      <w:tr>
        <w:trPr>
          <w:trHeight w:val="250"/>
        </w:trPr>
        <w:tc>
          <w:tcPr>
            <w:tcW w:w="6560" w:type="dxa"/>
            <w:vAlign w:val="bottom"/>
          </w:tcPr>
          <w:p>
            <w:pPr>
              <w:ind w:left="240"/>
              <w:spacing w:after="0"/>
              <w:rPr>
                <w:sz w:val="20"/>
                <w:szCs w:val="20"/>
                <w:color w:val="auto"/>
              </w:rPr>
            </w:pPr>
            <w:r>
              <w:rPr>
                <w:rFonts w:ascii="Arial" w:cs="Arial" w:eastAsia="Arial" w:hAnsi="Arial"/>
                <w:sz w:val="16"/>
                <w:szCs w:val="16"/>
                <w:color w:val="auto"/>
              </w:rPr>
              <w:t>Life insurance premiums and other fees</w:t>
            </w:r>
          </w:p>
        </w:tc>
        <w:tc>
          <w:tcPr>
            <w:tcW w:w="260" w:type="dxa"/>
            <w:vAlign w:val="bottom"/>
          </w:tcPr>
          <w:p>
            <w:pPr>
              <w:spacing w:after="0"/>
              <w:rPr>
                <w:sz w:val="21"/>
                <w:szCs w:val="21"/>
                <w:color w:val="auto"/>
              </w:rPr>
            </w:pPr>
          </w:p>
        </w:tc>
        <w:tc>
          <w:tcPr>
            <w:tcW w:w="820" w:type="dxa"/>
            <w:vAlign w:val="bottom"/>
          </w:tcPr>
          <w:p>
            <w:pPr>
              <w:jc w:val="right"/>
              <w:ind w:right="2"/>
              <w:spacing w:after="0"/>
              <w:rPr>
                <w:sz w:val="20"/>
                <w:szCs w:val="20"/>
                <w:color w:val="auto"/>
              </w:rPr>
            </w:pPr>
            <w:r>
              <w:rPr>
                <w:rFonts w:ascii="Arial" w:cs="Arial" w:eastAsia="Arial" w:hAnsi="Arial"/>
                <w:sz w:val="16"/>
                <w:szCs w:val="16"/>
                <w:color w:val="auto"/>
              </w:rPr>
              <w:t>2,795</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2,860</w:t>
            </w: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20" w:type="dxa"/>
            <w:vAlign w:val="bottom"/>
          </w:tcPr>
          <w:p>
            <w:pPr>
              <w:jc w:val="right"/>
              <w:ind w:right="2"/>
              <w:spacing w:after="0"/>
              <w:rPr>
                <w:sz w:val="20"/>
                <w:szCs w:val="20"/>
                <w:color w:val="auto"/>
              </w:rPr>
            </w:pPr>
            <w:r>
              <w:rPr>
                <w:rFonts w:ascii="Arial" w:cs="Arial" w:eastAsia="Arial" w:hAnsi="Arial"/>
                <w:sz w:val="16"/>
                <w:szCs w:val="16"/>
                <w:color w:val="auto"/>
              </w:rPr>
              <w:t>2,413</w:t>
            </w:r>
          </w:p>
        </w:tc>
      </w:tr>
      <w:tr>
        <w:trPr>
          <w:trHeight w:val="250"/>
        </w:trPr>
        <w:tc>
          <w:tcPr>
            <w:tcW w:w="6560" w:type="dxa"/>
            <w:vAlign w:val="bottom"/>
          </w:tcPr>
          <w:p>
            <w:pPr>
              <w:ind w:left="240"/>
              <w:spacing w:after="0"/>
              <w:rPr>
                <w:sz w:val="20"/>
                <w:szCs w:val="20"/>
                <w:color w:val="auto"/>
              </w:rPr>
            </w:pPr>
            <w:r>
              <w:rPr>
                <w:rFonts w:ascii="Arial" w:cs="Arial" w:eastAsia="Arial" w:hAnsi="Arial"/>
                <w:sz w:val="16"/>
                <w:szCs w:val="16"/>
                <w:color w:val="auto"/>
              </w:rPr>
              <w:t>Interest and investment income</w:t>
            </w:r>
          </w:p>
        </w:tc>
        <w:tc>
          <w:tcPr>
            <w:tcW w:w="260" w:type="dxa"/>
            <w:vAlign w:val="bottom"/>
          </w:tcPr>
          <w:p>
            <w:pPr>
              <w:spacing w:after="0"/>
              <w:rPr>
                <w:sz w:val="21"/>
                <w:szCs w:val="21"/>
                <w:color w:val="auto"/>
              </w:rPr>
            </w:pPr>
          </w:p>
        </w:tc>
        <w:tc>
          <w:tcPr>
            <w:tcW w:w="820" w:type="dxa"/>
            <w:vAlign w:val="bottom"/>
          </w:tcPr>
          <w:p>
            <w:pPr>
              <w:jc w:val="right"/>
              <w:ind w:right="2"/>
              <w:spacing w:after="0"/>
              <w:rPr>
                <w:sz w:val="20"/>
                <w:szCs w:val="20"/>
                <w:color w:val="auto"/>
              </w:rPr>
            </w:pPr>
            <w:r>
              <w:rPr>
                <w:rFonts w:ascii="Arial" w:cs="Arial" w:eastAsia="Arial" w:hAnsi="Arial"/>
                <w:sz w:val="16"/>
                <w:szCs w:val="16"/>
                <w:color w:val="auto"/>
              </w:rPr>
              <w:t>2,837</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2,719</w:t>
            </w: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20" w:type="dxa"/>
            <w:vAlign w:val="bottom"/>
          </w:tcPr>
          <w:p>
            <w:pPr>
              <w:jc w:val="right"/>
              <w:ind w:right="2"/>
              <w:spacing w:after="0"/>
              <w:rPr>
                <w:sz w:val="20"/>
                <w:szCs w:val="20"/>
                <w:color w:val="auto"/>
              </w:rPr>
            </w:pPr>
            <w:r>
              <w:rPr>
                <w:rFonts w:ascii="Arial" w:cs="Arial" w:eastAsia="Arial" w:hAnsi="Arial"/>
                <w:sz w:val="16"/>
                <w:szCs w:val="16"/>
                <w:color w:val="auto"/>
              </w:rPr>
              <w:t>2,211</w:t>
            </w:r>
          </w:p>
        </w:tc>
      </w:tr>
      <w:tr>
        <w:trPr>
          <w:trHeight w:val="250"/>
        </w:trPr>
        <w:tc>
          <w:tcPr>
            <w:tcW w:w="6560" w:type="dxa"/>
            <w:vAlign w:val="bottom"/>
          </w:tcPr>
          <w:p>
            <w:pPr>
              <w:ind w:left="240"/>
              <w:spacing w:after="0"/>
              <w:rPr>
                <w:sz w:val="20"/>
                <w:szCs w:val="20"/>
                <w:color w:val="auto"/>
              </w:rPr>
            </w:pPr>
            <w:r>
              <w:rPr>
                <w:rFonts w:ascii="Arial" w:cs="Arial" w:eastAsia="Arial" w:hAnsi="Arial"/>
                <w:sz w:val="16"/>
                <w:szCs w:val="16"/>
                <w:color w:val="auto"/>
              </w:rPr>
              <w:t>Benefits, claims, losses and settlement expenses</w:t>
            </w:r>
          </w:p>
        </w:tc>
        <w:tc>
          <w:tcPr>
            <w:tcW w:w="2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(3,963)</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(3,791)</w:t>
            </w: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(3,553)</w:t>
            </w:r>
          </w:p>
        </w:tc>
      </w:tr>
      <w:tr>
        <w:trPr>
          <w:trHeight w:val="250"/>
        </w:trPr>
        <w:tc>
          <w:tcPr>
            <w:tcW w:w="6560" w:type="dxa"/>
            <w:vAlign w:val="bottom"/>
          </w:tcPr>
          <w:p>
            <w:pPr>
              <w:ind w:left="240"/>
              <w:spacing w:after="0"/>
              <w:rPr>
                <w:sz w:val="20"/>
                <w:szCs w:val="20"/>
                <w:color w:val="auto"/>
              </w:rPr>
            </w:pPr>
            <w:r>
              <w:rPr>
                <w:rFonts w:ascii="Arial" w:cs="Arial" w:eastAsia="Arial" w:hAnsi="Arial"/>
                <w:sz w:val="16"/>
                <w:szCs w:val="16"/>
                <w:color w:val="auto"/>
              </w:rPr>
              <w:t>Amortization of deferred policy acquisition costs</w:t>
            </w:r>
          </w:p>
        </w:tc>
        <w:tc>
          <w:tcPr>
            <w:tcW w:w="2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(357)</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(280)</w:t>
            </w: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(191)</w:t>
            </w:r>
          </w:p>
        </w:tc>
      </w:tr>
      <w:tr>
        <w:trPr>
          <w:trHeight w:val="250"/>
        </w:trPr>
        <w:tc>
          <w:tcPr>
            <w:tcW w:w="6560" w:type="dxa"/>
            <w:vAlign w:val="bottom"/>
          </w:tcPr>
          <w:p>
            <w:pPr>
              <w:ind w:left="240"/>
              <w:spacing w:after="0"/>
              <w:rPr>
                <w:sz w:val="20"/>
                <w:szCs w:val="20"/>
                <w:color w:val="auto"/>
              </w:rPr>
            </w:pPr>
            <w:r>
              <w:rPr>
                <w:rFonts w:ascii="Arial" w:cs="Arial" w:eastAsia="Arial" w:hAnsi="Arial"/>
                <w:sz w:val="16"/>
                <w:szCs w:val="16"/>
                <w:color w:val="auto"/>
              </w:rPr>
              <w:t>Other operating expenses, net of deferrals</w:t>
            </w:r>
          </w:p>
        </w:tc>
        <w:tc>
          <w:tcPr>
            <w:tcW w:w="2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(156)</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(203)</w:t>
            </w: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(146)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-1270635</wp:posOffset>
            </wp:positionV>
            <wp:extent cx="6344920" cy="129476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187">
                      <a:extLst>
                        <a:ext uri="{28A0092B-C50C-407E-A947-70E740481C1C}"/>
                      </a:extLst>
                    </a:blip>
                    <a:srcRect/>
                    <a:stretch>
                      <a:fillRect/>
                    </a:stretch>
                  </pic:blipFill>
                  <pic:spPr bwMode="auto">
                    <a:xfrm>
                      <a:off x="0" y="0"/>
                      <a:ext cx="6344920" cy="1294765"/>
                    </a:xfrm>
                    <a:prstGeom prst="rect">
                      <a:avLst/>
                    </a:prstGeom>
                    <a:noFill/>
                  </pic:spPr>
                </pic:pic>
              </a:graphicData>
            </a:graphic>
          </wp:anchor>
        </w:drawing>
      </w:r>
    </w:p>
    <w:p>
      <w:pPr>
        <w:spacing w:after="0" w:line="270" w:lineRule="exact"/>
        <w:rPr>
          <w:sz w:val="20"/>
          <w:szCs w:val="20"/>
          <w:color w:val="auto"/>
        </w:rPr>
      </w:pPr>
    </w:p>
    <w:p>
      <w:pPr>
        <w:jc w:val="center"/>
        <w:ind w:right="60"/>
        <w:spacing w:after="0"/>
        <w:rPr>
          <w:sz w:val="20"/>
          <w:szCs w:val="20"/>
          <w:color w:val="auto"/>
        </w:rPr>
      </w:pPr>
      <w:r>
        <w:rPr>
          <w:rFonts w:ascii="Arial" w:cs="Arial" w:eastAsia="Arial" w:hAnsi="Arial"/>
          <w:sz w:val="20"/>
          <w:szCs w:val="20"/>
          <w:color w:val="auto"/>
        </w:rPr>
        <w:t>See Report of Independent Registered Public Accounting Firm.</w:t>
      </w:r>
    </w:p>
    <w:p>
      <w:pPr>
        <w:sectPr>
          <w:pgSz w:w="11880" w:h="15480" w:orient="portrait"/>
          <w:cols w:equalWidth="0" w:num="1">
            <w:col w:w="9900"/>
          </w:cols>
          <w:pgMar w:left="1020" w:top="765"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60"/>
        <w:spacing w:after="0"/>
        <w:rPr>
          <w:sz w:val="20"/>
          <w:szCs w:val="20"/>
          <w:color w:val="auto"/>
        </w:rPr>
      </w:pPr>
      <w:r>
        <w:rPr>
          <w:rFonts w:ascii="Arial" w:cs="Arial" w:eastAsia="Arial" w:hAnsi="Arial"/>
          <w:sz w:val="16"/>
          <w:szCs w:val="16"/>
          <w:color w:val="auto"/>
        </w:rPr>
        <w:t>205</w:t>
      </w:r>
    </w:p>
    <w:p>
      <w:pPr>
        <w:sectPr>
          <w:pgSz w:w="11880" w:h="15480" w:orient="portrait"/>
          <w:cols w:equalWidth="0" w:num="1">
            <w:col w:w="9900"/>
          </w:cols>
          <w:pgMar w:left="1020" w:top="765" w:right="960" w:bottom="0" w:gutter="0" w:footer="0" w:header="0"/>
          <w:type w:val="continuous"/>
        </w:sectPr>
      </w:pPr>
    </w:p>
    <w:bookmarkStart w:id="217" w:name="page218"/>
    <w:bookmarkEnd w:id="217"/>
    <w:tbl>
      <w:tblPr>
        <w:tblLayout w:type="fixed"/>
        <w:tblInd w:w="140" w:type="dxa"/>
        <w:tblCellMar>
          <w:top w:w="0" w:type="dxa"/>
          <w:left w:w="0" w:type="dxa"/>
          <w:bottom w:w="0" w:type="dxa"/>
          <w:right w:w="0" w:type="dxa"/>
        </w:tblCellMar>
      </w:tblPr>
      <w:tr>
        <w:trPr>
          <w:trHeight w:val="259"/>
        </w:trPr>
        <w:tc>
          <w:tcPr>
            <w:tcW w:w="31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40" w:type="dxa"/>
            <w:vAlign w:val="bottom"/>
            <w:gridSpan w:val="3"/>
          </w:tcPr>
          <w:p>
            <w:pPr>
              <w:ind w:left="20"/>
              <w:spacing w:after="0"/>
              <w:rPr>
                <w:sz w:val="20"/>
                <w:szCs w:val="20"/>
                <w:color w:val="auto"/>
              </w:rPr>
            </w:pPr>
            <w:r>
              <w:rPr>
                <w:rFonts w:ascii="Arial" w:cs="Arial" w:eastAsia="Arial" w:hAnsi="Arial"/>
                <w:sz w:val="20"/>
                <w:szCs w:val="20"/>
                <w:b w:val="1"/>
                <w:bCs w:val="1"/>
                <w:color w:val="auto"/>
                <w:w w:val="88"/>
              </w:rPr>
              <w:t>Schedule IV</w:t>
            </w:r>
          </w:p>
        </w:tc>
        <w:tc>
          <w:tcPr>
            <w:tcW w:w="0" w:type="dxa"/>
            <w:vAlign w:val="bottom"/>
          </w:tcPr>
          <w:p>
            <w:pPr>
              <w:spacing w:after="0"/>
              <w:rPr>
                <w:sz w:val="1"/>
                <w:szCs w:val="1"/>
                <w:color w:val="auto"/>
              </w:rPr>
            </w:pPr>
          </w:p>
        </w:tc>
      </w:tr>
      <w:tr>
        <w:trPr>
          <w:trHeight w:val="412"/>
        </w:trPr>
        <w:tc>
          <w:tcPr>
            <w:tcW w:w="6720" w:type="dxa"/>
            <w:vAlign w:val="bottom"/>
            <w:gridSpan w:val="10"/>
          </w:tcPr>
          <w:p>
            <w:pPr>
              <w:ind w:left="2500"/>
              <w:spacing w:after="0"/>
              <w:rPr>
                <w:sz w:val="20"/>
                <w:szCs w:val="20"/>
                <w:color w:val="auto"/>
              </w:rPr>
            </w:pPr>
            <w:r>
              <w:rPr>
                <w:rFonts w:ascii="Arial" w:cs="Arial" w:eastAsia="Arial" w:hAnsi="Arial"/>
                <w:sz w:val="20"/>
                <w:szCs w:val="20"/>
                <w:b w:val="1"/>
                <w:bCs w:val="1"/>
                <w:color w:val="auto"/>
              </w:rPr>
              <w:t>FIDELITY NATIONAL FINANCIAL, INC.</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3120" w:type="dxa"/>
            <w:vAlign w:val="bottom"/>
          </w:tcPr>
          <w:p>
            <w:pPr>
              <w:spacing w:after="0"/>
              <w:rPr>
                <w:sz w:val="24"/>
                <w:szCs w:val="24"/>
                <w:color w:val="auto"/>
              </w:rPr>
            </w:pPr>
          </w:p>
        </w:tc>
        <w:tc>
          <w:tcPr>
            <w:tcW w:w="2580" w:type="dxa"/>
            <w:vAlign w:val="bottom"/>
            <w:gridSpan w:val="6"/>
          </w:tcPr>
          <w:p>
            <w:pPr>
              <w:jc w:val="right"/>
              <w:ind w:right="502"/>
              <w:spacing w:after="0"/>
              <w:rPr>
                <w:sz w:val="20"/>
                <w:szCs w:val="20"/>
                <w:color w:val="auto"/>
              </w:rPr>
            </w:pPr>
            <w:r>
              <w:rPr>
                <w:rFonts w:ascii="Arial" w:cs="Arial" w:eastAsia="Arial" w:hAnsi="Arial"/>
                <w:sz w:val="20"/>
                <w:szCs w:val="20"/>
                <w:b w:val="1"/>
                <w:bCs w:val="1"/>
                <w:color w:val="auto"/>
              </w:rPr>
              <w:t>F&amp;G Reinsurance</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31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160" w:type="dxa"/>
            <w:vAlign w:val="bottom"/>
            <w:gridSpan w:val="4"/>
          </w:tcPr>
          <w:p>
            <w:pPr>
              <w:jc w:val="right"/>
              <w:spacing w:after="0"/>
              <w:rPr>
                <w:sz w:val="20"/>
                <w:szCs w:val="20"/>
                <w:color w:val="auto"/>
              </w:rPr>
            </w:pPr>
            <w:r>
              <w:rPr>
                <w:rFonts w:ascii="Arial" w:cs="Arial" w:eastAsia="Arial" w:hAnsi="Arial"/>
                <w:sz w:val="20"/>
                <w:szCs w:val="20"/>
                <w:b w:val="1"/>
                <w:bCs w:val="1"/>
                <w:color w:val="auto"/>
              </w:rPr>
              <w:t>(In millions)</w:t>
            </w:r>
          </w:p>
        </w:tc>
        <w:tc>
          <w:tcPr>
            <w:tcW w:w="8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1"/>
        </w:trPr>
        <w:tc>
          <w:tcPr>
            <w:tcW w:w="3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vMerge w:val="restart"/>
          </w:tcPr>
          <w:p>
            <w:pPr>
              <w:jc w:val="center"/>
              <w:ind w:right="62"/>
              <w:spacing w:after="0"/>
              <w:rPr>
                <w:sz w:val="20"/>
                <w:szCs w:val="20"/>
                <w:color w:val="auto"/>
              </w:rPr>
            </w:pPr>
            <w:r>
              <w:rPr>
                <w:rFonts w:ascii="Arial" w:cs="Arial" w:eastAsia="Arial" w:hAnsi="Arial"/>
                <w:sz w:val="16"/>
                <w:szCs w:val="16"/>
                <w:b w:val="1"/>
                <w:bCs w:val="1"/>
                <w:color w:val="auto"/>
                <w:w w:val="87"/>
              </w:rPr>
              <w:t>Ceded to</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vMerge w:val="restart"/>
          </w:tcPr>
          <w:p>
            <w:pPr>
              <w:jc w:val="center"/>
              <w:ind w:right="62"/>
              <w:spacing w:after="0"/>
              <w:rPr>
                <w:sz w:val="20"/>
                <w:szCs w:val="20"/>
                <w:color w:val="auto"/>
              </w:rPr>
            </w:pPr>
            <w:r>
              <w:rPr>
                <w:rFonts w:ascii="Arial" w:cs="Arial" w:eastAsia="Arial" w:hAnsi="Arial"/>
                <w:sz w:val="16"/>
                <w:szCs w:val="16"/>
                <w:b w:val="1"/>
                <w:bCs w:val="1"/>
                <w:color w:val="auto"/>
                <w:w w:val="86"/>
              </w:rPr>
              <w:t>Assumed</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80" w:type="dxa"/>
            <w:vAlign w:val="bottom"/>
            <w:gridSpan w:val="2"/>
          </w:tcPr>
          <w:p>
            <w:pPr>
              <w:jc w:val="center"/>
              <w:spacing w:after="0"/>
              <w:rPr>
                <w:sz w:val="20"/>
                <w:szCs w:val="20"/>
                <w:color w:val="auto"/>
              </w:rPr>
            </w:pPr>
            <w:r>
              <w:rPr>
                <w:rFonts w:ascii="Arial" w:cs="Arial" w:eastAsia="Arial" w:hAnsi="Arial"/>
                <w:sz w:val="16"/>
                <w:szCs w:val="16"/>
                <w:b w:val="1"/>
                <w:bCs w:val="1"/>
                <w:color w:val="auto"/>
                <w:w w:val="85"/>
              </w:rPr>
              <w:t>Percentage</w:t>
            </w:r>
          </w:p>
        </w:tc>
        <w:tc>
          <w:tcPr>
            <w:tcW w:w="0" w:type="dxa"/>
            <w:vAlign w:val="bottom"/>
          </w:tcPr>
          <w:p>
            <w:pPr>
              <w:spacing w:after="0"/>
              <w:rPr>
                <w:sz w:val="1"/>
                <w:szCs w:val="1"/>
                <w:color w:val="auto"/>
              </w:rPr>
            </w:pPr>
          </w:p>
        </w:tc>
      </w:tr>
      <w:tr>
        <w:trPr>
          <w:trHeight w:val="157"/>
        </w:trPr>
        <w:tc>
          <w:tcPr>
            <w:tcW w:w="3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vMerge w:val="restart"/>
          </w:tcPr>
          <w:p>
            <w:pPr>
              <w:jc w:val="center"/>
              <w:ind w:right="82"/>
              <w:spacing w:after="0"/>
              <w:rPr>
                <w:sz w:val="20"/>
                <w:szCs w:val="20"/>
                <w:color w:val="auto"/>
              </w:rPr>
            </w:pPr>
            <w:r>
              <w:rPr>
                <w:rFonts w:ascii="Arial" w:cs="Arial" w:eastAsia="Arial" w:hAnsi="Arial"/>
                <w:sz w:val="16"/>
                <w:szCs w:val="16"/>
                <w:b w:val="1"/>
                <w:bCs w:val="1"/>
                <w:color w:val="auto"/>
                <w:w w:val="86"/>
              </w:rPr>
              <w:t>Gross</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80" w:type="dxa"/>
            <w:vAlign w:val="bottom"/>
            <w:gridSpan w:val="2"/>
          </w:tcPr>
          <w:p>
            <w:pPr>
              <w:jc w:val="center"/>
              <w:ind w:right="20"/>
              <w:spacing w:after="0" w:line="157" w:lineRule="exact"/>
              <w:rPr>
                <w:sz w:val="20"/>
                <w:szCs w:val="20"/>
                <w:color w:val="auto"/>
              </w:rPr>
            </w:pPr>
            <w:r>
              <w:rPr>
                <w:rFonts w:ascii="Arial" w:cs="Arial" w:eastAsia="Arial" w:hAnsi="Arial"/>
                <w:sz w:val="16"/>
                <w:szCs w:val="16"/>
                <w:b w:val="1"/>
                <w:bCs w:val="1"/>
                <w:color w:val="auto"/>
                <w:w w:val="87"/>
              </w:rPr>
              <w:t>of amount</w:t>
            </w:r>
          </w:p>
        </w:tc>
        <w:tc>
          <w:tcPr>
            <w:tcW w:w="0" w:type="dxa"/>
            <w:vAlign w:val="bottom"/>
          </w:tcPr>
          <w:p>
            <w:pPr>
              <w:spacing w:after="0"/>
              <w:rPr>
                <w:sz w:val="1"/>
                <w:szCs w:val="1"/>
                <w:color w:val="auto"/>
              </w:rPr>
            </w:pPr>
          </w:p>
        </w:tc>
      </w:tr>
      <w:tr>
        <w:trPr>
          <w:trHeight w:val="157"/>
        </w:trPr>
        <w:tc>
          <w:tcPr>
            <w:tcW w:w="3120" w:type="dxa"/>
            <w:vAlign w:val="bottom"/>
            <w:vMerge w:val="restart"/>
          </w:tcPr>
          <w:p>
            <w:pPr>
              <w:spacing w:after="0"/>
              <w:rPr>
                <w:sz w:val="20"/>
                <w:szCs w:val="20"/>
                <w:color w:val="auto"/>
              </w:rPr>
            </w:pPr>
            <w:r>
              <w:rPr>
                <w:rFonts w:ascii="Arial" w:cs="Arial" w:eastAsia="Arial" w:hAnsi="Arial"/>
                <w:sz w:val="16"/>
                <w:szCs w:val="16"/>
                <w:b w:val="1"/>
                <w:bCs w:val="1"/>
                <w:color w:val="auto"/>
              </w:rPr>
              <w:t>For the Year Ended December 31, 2025</w:t>
            </w: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jc w:val="center"/>
              <w:ind w:right="62"/>
              <w:spacing w:after="0" w:line="157" w:lineRule="exact"/>
              <w:rPr>
                <w:sz w:val="20"/>
                <w:szCs w:val="20"/>
                <w:color w:val="auto"/>
              </w:rPr>
            </w:pPr>
            <w:r>
              <w:rPr>
                <w:rFonts w:ascii="Arial" w:cs="Arial" w:eastAsia="Arial" w:hAnsi="Arial"/>
                <w:sz w:val="16"/>
                <w:szCs w:val="16"/>
                <w:b w:val="1"/>
                <w:bCs w:val="1"/>
                <w:color w:val="auto"/>
                <w:w w:val="89"/>
              </w:rPr>
              <w:t>other</w:t>
            </w:r>
          </w:p>
        </w:tc>
        <w:tc>
          <w:tcPr>
            <w:tcW w:w="80" w:type="dxa"/>
            <w:vAlign w:val="bottom"/>
          </w:tcPr>
          <w:p>
            <w:pPr>
              <w:spacing w:after="0"/>
              <w:rPr>
                <w:sz w:val="13"/>
                <w:szCs w:val="13"/>
                <w:color w:val="auto"/>
              </w:rPr>
            </w:pPr>
          </w:p>
        </w:tc>
        <w:tc>
          <w:tcPr>
            <w:tcW w:w="940" w:type="dxa"/>
            <w:vAlign w:val="bottom"/>
            <w:gridSpan w:val="2"/>
          </w:tcPr>
          <w:p>
            <w:pPr>
              <w:jc w:val="center"/>
              <w:spacing w:after="0" w:line="157" w:lineRule="exact"/>
              <w:rPr>
                <w:sz w:val="20"/>
                <w:szCs w:val="20"/>
                <w:color w:val="auto"/>
              </w:rPr>
            </w:pPr>
            <w:r>
              <w:rPr>
                <w:rFonts w:ascii="Arial" w:cs="Arial" w:eastAsia="Arial" w:hAnsi="Arial"/>
                <w:sz w:val="16"/>
                <w:szCs w:val="16"/>
                <w:b w:val="1"/>
                <w:bCs w:val="1"/>
                <w:color w:val="auto"/>
                <w:w w:val="92"/>
              </w:rPr>
              <w:t>from other</w:t>
            </w:r>
          </w:p>
        </w:tc>
        <w:tc>
          <w:tcPr>
            <w:tcW w:w="80" w:type="dxa"/>
            <w:vAlign w:val="bottom"/>
          </w:tcPr>
          <w:p>
            <w:pPr>
              <w:spacing w:after="0"/>
              <w:rPr>
                <w:sz w:val="13"/>
                <w:szCs w:val="13"/>
                <w:color w:val="auto"/>
              </w:rPr>
            </w:pPr>
          </w:p>
        </w:tc>
        <w:tc>
          <w:tcPr>
            <w:tcW w:w="940" w:type="dxa"/>
            <w:vAlign w:val="bottom"/>
            <w:gridSpan w:val="2"/>
            <w:vMerge w:val="restart"/>
          </w:tcPr>
          <w:p>
            <w:pPr>
              <w:ind w:left="60"/>
              <w:spacing w:after="0"/>
              <w:rPr>
                <w:sz w:val="20"/>
                <w:szCs w:val="20"/>
                <w:color w:val="auto"/>
              </w:rPr>
            </w:pPr>
            <w:r>
              <w:rPr>
                <w:rFonts w:ascii="Arial" w:cs="Arial" w:eastAsia="Arial" w:hAnsi="Arial"/>
                <w:sz w:val="16"/>
                <w:szCs w:val="16"/>
                <w:b w:val="1"/>
                <w:bCs w:val="1"/>
                <w:color w:val="auto"/>
                <w:w w:val="94"/>
              </w:rPr>
              <w:t>Net Amount</w:t>
            </w:r>
          </w:p>
        </w:tc>
        <w:tc>
          <w:tcPr>
            <w:tcW w:w="60" w:type="dxa"/>
            <w:vAlign w:val="bottom"/>
          </w:tcPr>
          <w:p>
            <w:pPr>
              <w:spacing w:after="0"/>
              <w:rPr>
                <w:sz w:val="13"/>
                <w:szCs w:val="13"/>
                <w:color w:val="auto"/>
              </w:rPr>
            </w:pPr>
          </w:p>
        </w:tc>
        <w:tc>
          <w:tcPr>
            <w:tcW w:w="980" w:type="dxa"/>
            <w:vAlign w:val="bottom"/>
            <w:gridSpan w:val="2"/>
          </w:tcPr>
          <w:p>
            <w:pPr>
              <w:jc w:val="center"/>
              <w:spacing w:after="0" w:line="157" w:lineRule="exact"/>
              <w:rPr>
                <w:sz w:val="20"/>
                <w:szCs w:val="20"/>
                <w:color w:val="auto"/>
              </w:rPr>
            </w:pPr>
            <w:r>
              <w:rPr>
                <w:rFonts w:ascii="Arial" w:cs="Arial" w:eastAsia="Arial" w:hAnsi="Arial"/>
                <w:sz w:val="16"/>
                <w:szCs w:val="16"/>
                <w:b w:val="1"/>
                <w:bCs w:val="1"/>
                <w:color w:val="auto"/>
                <w:w w:val="83"/>
              </w:rPr>
              <w:t>assumed to</w:t>
            </w:r>
          </w:p>
        </w:tc>
        <w:tc>
          <w:tcPr>
            <w:tcW w:w="0" w:type="dxa"/>
            <w:vAlign w:val="bottom"/>
          </w:tcPr>
          <w:p>
            <w:pPr>
              <w:spacing w:after="0"/>
              <w:rPr>
                <w:sz w:val="1"/>
                <w:szCs w:val="1"/>
                <w:color w:val="auto"/>
              </w:rPr>
            </w:pPr>
          </w:p>
        </w:tc>
      </w:tr>
      <w:tr>
        <w:trPr>
          <w:trHeight w:val="210"/>
        </w:trPr>
        <w:tc>
          <w:tcPr>
            <w:tcW w:w="3120" w:type="dxa"/>
            <w:vAlign w:val="bottom"/>
            <w:vMerge w:val="continue"/>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center"/>
              <w:ind w:right="82"/>
              <w:spacing w:after="0"/>
              <w:rPr>
                <w:sz w:val="20"/>
                <w:szCs w:val="20"/>
                <w:color w:val="auto"/>
              </w:rPr>
            </w:pPr>
            <w:r>
              <w:rPr>
                <w:rFonts w:ascii="Arial" w:cs="Arial" w:eastAsia="Arial" w:hAnsi="Arial"/>
                <w:sz w:val="16"/>
                <w:szCs w:val="16"/>
                <w:b w:val="1"/>
                <w:bCs w:val="1"/>
                <w:color w:val="auto"/>
                <w:w w:val="92"/>
              </w:rPr>
              <w:t>Amount</w:t>
            </w:r>
          </w:p>
        </w:tc>
        <w:tc>
          <w:tcPr>
            <w:tcW w:w="60" w:type="dxa"/>
            <w:vAlign w:val="bottom"/>
          </w:tcPr>
          <w:p>
            <w:pPr>
              <w:spacing w:after="0"/>
              <w:rPr>
                <w:sz w:val="18"/>
                <w:szCs w:val="18"/>
                <w:color w:val="auto"/>
              </w:rPr>
            </w:pPr>
          </w:p>
        </w:tc>
        <w:tc>
          <w:tcPr>
            <w:tcW w:w="96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w w:val="83"/>
              </w:rPr>
              <w:t>companies</w:t>
            </w:r>
          </w:p>
        </w:tc>
        <w:tc>
          <w:tcPr>
            <w:tcW w:w="80" w:type="dxa"/>
            <w:vAlign w:val="bottom"/>
          </w:tcPr>
          <w:p>
            <w:pPr>
              <w:spacing w:after="0"/>
              <w:rPr>
                <w:sz w:val="18"/>
                <w:szCs w:val="18"/>
                <w:color w:val="auto"/>
              </w:rPr>
            </w:pPr>
          </w:p>
        </w:tc>
        <w:tc>
          <w:tcPr>
            <w:tcW w:w="94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w w:val="83"/>
              </w:rPr>
              <w:t>companies</w:t>
            </w:r>
          </w:p>
        </w:tc>
        <w:tc>
          <w:tcPr>
            <w:tcW w:w="80" w:type="dxa"/>
            <w:vAlign w:val="bottom"/>
          </w:tcPr>
          <w:p>
            <w:pPr>
              <w:spacing w:after="0"/>
              <w:rPr>
                <w:sz w:val="18"/>
                <w:szCs w:val="18"/>
                <w:color w:val="auto"/>
              </w:rPr>
            </w:pPr>
          </w:p>
        </w:tc>
        <w:tc>
          <w:tcPr>
            <w:tcW w:w="940" w:type="dxa"/>
            <w:vAlign w:val="bottom"/>
            <w:tcBorders>
              <w:bottom w:val="single" w:sz="8" w:color="auto"/>
            </w:tcBorders>
            <w:gridSpan w:val="2"/>
            <w:vMerge w:val="continue"/>
          </w:tcPr>
          <w:p>
            <w:pPr>
              <w:spacing w:after="0"/>
              <w:rPr>
                <w:sz w:val="18"/>
                <w:szCs w:val="18"/>
                <w:color w:val="auto"/>
              </w:rPr>
            </w:pPr>
          </w:p>
        </w:tc>
        <w:tc>
          <w:tcPr>
            <w:tcW w:w="60" w:type="dxa"/>
            <w:vAlign w:val="bottom"/>
          </w:tcPr>
          <w:p>
            <w:pPr>
              <w:spacing w:after="0"/>
              <w:rPr>
                <w:sz w:val="18"/>
                <w:szCs w:val="18"/>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3"/>
              </w:rPr>
              <w:t>net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120" w:type="dxa"/>
            <w:vAlign w:val="bottom"/>
          </w:tcPr>
          <w:p>
            <w:pPr>
              <w:spacing w:after="0"/>
              <w:rPr>
                <w:sz w:val="20"/>
                <w:szCs w:val="20"/>
                <w:color w:val="auto"/>
              </w:rPr>
            </w:pPr>
            <w:r>
              <w:rPr>
                <w:rFonts w:ascii="Arial" w:cs="Arial" w:eastAsia="Arial" w:hAnsi="Arial"/>
                <w:sz w:val="16"/>
                <w:szCs w:val="16"/>
                <w:color w:val="auto"/>
              </w:rPr>
              <w:t>Life insurance in force</w:t>
            </w:r>
          </w:p>
        </w:tc>
        <w:tc>
          <w:tcPr>
            <w:tcW w:w="7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2"/>
              <w:spacing w:after="0"/>
              <w:rPr>
                <w:sz w:val="20"/>
                <w:szCs w:val="20"/>
                <w:color w:val="auto"/>
              </w:rPr>
            </w:pPr>
            <w:r>
              <w:rPr>
                <w:rFonts w:ascii="Arial" w:cs="Arial" w:eastAsia="Arial" w:hAnsi="Arial"/>
                <w:sz w:val="16"/>
                <w:szCs w:val="16"/>
                <w:color w:val="auto"/>
              </w:rPr>
              <w:t>13,148</w:t>
            </w: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(1,306)</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ind w:left="580"/>
              <w:spacing w:after="0"/>
              <w:rPr>
                <w:sz w:val="20"/>
                <w:szCs w:val="20"/>
                <w:color w:val="auto"/>
              </w:rPr>
            </w:pPr>
            <w:r>
              <w:rPr>
                <w:rFonts w:ascii="Arial" w:cs="Arial" w:eastAsia="Arial" w:hAnsi="Arial"/>
                <w:sz w:val="16"/>
                <w:szCs w:val="16"/>
                <w:color w:val="auto"/>
              </w:rPr>
              <w:t>—</w:t>
            </w:r>
          </w:p>
        </w:tc>
        <w:tc>
          <w:tcPr>
            <w:tcW w:w="360" w:type="dxa"/>
            <w:vAlign w:val="bottom"/>
            <w:gridSpan w:val="2"/>
          </w:tcPr>
          <w:p>
            <w:pPr>
              <w:ind w:left="120"/>
              <w:spacing w:after="0"/>
              <w:rPr>
                <w:sz w:val="20"/>
                <w:szCs w:val="20"/>
                <w:color w:val="auto"/>
              </w:rPr>
            </w:pPr>
            <w:r>
              <w:rPr>
                <w:rFonts w:ascii="Arial" w:cs="Arial" w:eastAsia="Arial" w:hAnsi="Arial"/>
                <w:sz w:val="16"/>
                <w:szCs w:val="16"/>
                <w:color w:val="auto"/>
              </w:rPr>
              <w:t>$</w:t>
            </w:r>
          </w:p>
        </w:tc>
        <w:tc>
          <w:tcPr>
            <w:tcW w:w="660" w:type="dxa"/>
            <w:vAlign w:val="bottom"/>
          </w:tcPr>
          <w:p>
            <w:pPr>
              <w:jc w:val="right"/>
              <w:ind w:right="2"/>
              <w:spacing w:after="0"/>
              <w:rPr>
                <w:sz w:val="20"/>
                <w:szCs w:val="20"/>
                <w:color w:val="auto"/>
              </w:rPr>
            </w:pPr>
            <w:r>
              <w:rPr>
                <w:rFonts w:ascii="Arial" w:cs="Arial" w:eastAsia="Arial" w:hAnsi="Arial"/>
                <w:sz w:val="16"/>
                <w:szCs w:val="16"/>
                <w:color w:val="auto"/>
              </w:rPr>
              <w:t>11,842</w:t>
            </w:r>
          </w:p>
        </w:tc>
        <w:tc>
          <w:tcPr>
            <w:tcW w:w="60" w:type="dxa"/>
            <w:vAlign w:val="bottom"/>
          </w:tcPr>
          <w:p>
            <w:pPr>
              <w:spacing w:after="0"/>
              <w:rPr>
                <w:sz w:val="19"/>
                <w:szCs w:val="19"/>
                <w:color w:val="auto"/>
              </w:rPr>
            </w:pPr>
          </w:p>
        </w:tc>
        <w:tc>
          <w:tcPr>
            <w:tcW w:w="980" w:type="dxa"/>
            <w:vAlign w:val="bottom"/>
            <w:gridSpan w:val="2"/>
          </w:tcPr>
          <w:p>
            <w:pPr>
              <w:ind w:left="600"/>
              <w:spacing w:after="0"/>
              <w:rPr>
                <w:sz w:val="20"/>
                <w:szCs w:val="20"/>
                <w:color w:val="auto"/>
              </w:rPr>
            </w:pPr>
            <w:r>
              <w:rPr>
                <w:rFonts w:ascii="Arial" w:cs="Arial" w:eastAsia="Arial" w:hAnsi="Arial"/>
                <w:sz w:val="16"/>
                <w:szCs w:val="16"/>
                <w:color w:val="auto"/>
              </w:rPr>
              <w:t>— %</w:t>
            </w:r>
          </w:p>
        </w:tc>
        <w:tc>
          <w:tcPr>
            <w:tcW w:w="0" w:type="dxa"/>
            <w:vAlign w:val="bottom"/>
          </w:tcPr>
          <w:p>
            <w:pPr>
              <w:spacing w:after="0"/>
              <w:rPr>
                <w:sz w:val="1"/>
                <w:szCs w:val="1"/>
                <w:color w:val="auto"/>
              </w:rPr>
            </w:pPr>
          </w:p>
        </w:tc>
      </w:tr>
      <w:tr>
        <w:trPr>
          <w:trHeight w:val="412"/>
        </w:trPr>
        <w:tc>
          <w:tcPr>
            <w:tcW w:w="3120" w:type="dxa"/>
            <w:vAlign w:val="bottom"/>
          </w:tcPr>
          <w:p>
            <w:pPr>
              <w:spacing w:after="0"/>
              <w:rPr>
                <w:sz w:val="20"/>
                <w:szCs w:val="20"/>
                <w:color w:val="auto"/>
              </w:rPr>
            </w:pPr>
            <w:r>
              <w:rPr>
                <w:rFonts w:ascii="Arial" w:cs="Arial" w:eastAsia="Arial" w:hAnsi="Arial"/>
                <w:sz w:val="16"/>
                <w:szCs w:val="16"/>
                <w:color w:val="auto"/>
              </w:rPr>
              <w:t>Premiums and other considerations:</w:t>
            </w: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120" w:type="dxa"/>
            <w:vAlign w:val="bottom"/>
          </w:tcPr>
          <w:p>
            <w:pPr>
              <w:spacing w:after="0"/>
              <w:rPr>
                <w:sz w:val="20"/>
                <w:szCs w:val="20"/>
                <w:color w:val="auto"/>
              </w:rPr>
            </w:pPr>
            <w:r>
              <w:rPr>
                <w:rFonts w:ascii="Arial" w:cs="Arial" w:eastAsia="Arial" w:hAnsi="Arial"/>
                <w:sz w:val="16"/>
                <w:szCs w:val="16"/>
                <w:color w:val="auto"/>
              </w:rPr>
              <w:t>Traditional life insurance premiums</w:t>
            </w:r>
          </w:p>
        </w:tc>
        <w:tc>
          <w:tcPr>
            <w:tcW w:w="6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tcPr>
          <w:p>
            <w:pPr>
              <w:jc w:val="right"/>
              <w:ind w:right="2"/>
              <w:spacing w:after="0"/>
              <w:rPr>
                <w:sz w:val="20"/>
                <w:szCs w:val="20"/>
                <w:color w:val="auto"/>
              </w:rPr>
            </w:pPr>
            <w:r>
              <w:rPr>
                <w:rFonts w:ascii="Arial" w:cs="Arial" w:eastAsia="Arial" w:hAnsi="Arial"/>
                <w:sz w:val="16"/>
                <w:szCs w:val="16"/>
                <w:color w:val="auto"/>
              </w:rPr>
              <w:t>115</w:t>
            </w: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(85)</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ind w:left="5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60" w:type="dxa"/>
            <w:vAlign w:val="bottom"/>
          </w:tcPr>
          <w:p>
            <w:pPr>
              <w:jc w:val="right"/>
              <w:ind w:right="2"/>
              <w:spacing w:after="0"/>
              <w:rPr>
                <w:sz w:val="20"/>
                <w:szCs w:val="20"/>
                <w:color w:val="auto"/>
              </w:rPr>
            </w:pPr>
            <w:r>
              <w:rPr>
                <w:rFonts w:ascii="Arial" w:cs="Arial" w:eastAsia="Arial" w:hAnsi="Arial"/>
                <w:sz w:val="16"/>
                <w:szCs w:val="16"/>
                <w:color w:val="auto"/>
              </w:rPr>
              <w:t>30</w:t>
            </w:r>
          </w:p>
        </w:tc>
        <w:tc>
          <w:tcPr>
            <w:tcW w:w="60" w:type="dxa"/>
            <w:vAlign w:val="bottom"/>
          </w:tcPr>
          <w:p>
            <w:pPr>
              <w:spacing w:after="0"/>
              <w:rPr>
                <w:sz w:val="21"/>
                <w:szCs w:val="21"/>
                <w:color w:val="auto"/>
              </w:rPr>
            </w:pPr>
          </w:p>
        </w:tc>
        <w:tc>
          <w:tcPr>
            <w:tcW w:w="980" w:type="dxa"/>
            <w:vAlign w:val="bottom"/>
            <w:gridSpan w:val="2"/>
          </w:tcPr>
          <w:p>
            <w:pPr>
              <w:ind w:left="6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0"/>
        </w:trPr>
        <w:tc>
          <w:tcPr>
            <w:tcW w:w="3120" w:type="dxa"/>
            <w:vAlign w:val="bottom"/>
          </w:tcPr>
          <w:p>
            <w:pPr>
              <w:spacing w:after="0"/>
              <w:rPr>
                <w:sz w:val="20"/>
                <w:szCs w:val="20"/>
                <w:color w:val="auto"/>
              </w:rPr>
            </w:pPr>
            <w:r>
              <w:rPr>
                <w:rFonts w:ascii="Arial" w:cs="Arial" w:eastAsia="Arial" w:hAnsi="Arial"/>
                <w:sz w:val="16"/>
                <w:szCs w:val="16"/>
                <w:color w:val="auto"/>
              </w:rPr>
              <w:t>Life-contingent PRT premiums</w:t>
            </w:r>
          </w:p>
        </w:tc>
        <w:tc>
          <w:tcPr>
            <w:tcW w:w="6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tcPr>
          <w:p>
            <w:pPr>
              <w:jc w:val="right"/>
              <w:ind w:right="2"/>
              <w:spacing w:after="0"/>
              <w:rPr>
                <w:sz w:val="20"/>
                <w:szCs w:val="20"/>
                <w:color w:val="auto"/>
              </w:rPr>
            </w:pPr>
            <w:r>
              <w:rPr>
                <w:rFonts w:ascii="Arial" w:cs="Arial" w:eastAsia="Arial" w:hAnsi="Arial"/>
                <w:sz w:val="16"/>
                <w:szCs w:val="16"/>
                <w:color w:val="auto"/>
              </w:rPr>
              <w:t>2,108</w:t>
            </w: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ind w:left="5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60" w:type="dxa"/>
            <w:vAlign w:val="bottom"/>
          </w:tcPr>
          <w:p>
            <w:pPr>
              <w:jc w:val="right"/>
              <w:ind w:right="2"/>
              <w:spacing w:after="0"/>
              <w:rPr>
                <w:sz w:val="20"/>
                <w:szCs w:val="20"/>
                <w:color w:val="auto"/>
              </w:rPr>
            </w:pPr>
            <w:r>
              <w:rPr>
                <w:rFonts w:ascii="Arial" w:cs="Arial" w:eastAsia="Arial" w:hAnsi="Arial"/>
                <w:sz w:val="16"/>
                <w:szCs w:val="16"/>
                <w:color w:val="auto"/>
              </w:rPr>
              <w:t>2,108</w:t>
            </w:r>
          </w:p>
        </w:tc>
        <w:tc>
          <w:tcPr>
            <w:tcW w:w="60" w:type="dxa"/>
            <w:vAlign w:val="bottom"/>
          </w:tcPr>
          <w:p>
            <w:pPr>
              <w:spacing w:after="0"/>
              <w:rPr>
                <w:sz w:val="21"/>
                <w:szCs w:val="21"/>
                <w:color w:val="auto"/>
              </w:rPr>
            </w:pPr>
          </w:p>
        </w:tc>
        <w:tc>
          <w:tcPr>
            <w:tcW w:w="980" w:type="dxa"/>
            <w:vAlign w:val="bottom"/>
            <w:gridSpan w:val="2"/>
          </w:tcPr>
          <w:p>
            <w:pPr>
              <w:ind w:left="6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7"/>
        </w:trPr>
        <w:tc>
          <w:tcPr>
            <w:tcW w:w="3120" w:type="dxa"/>
            <w:vAlign w:val="bottom"/>
          </w:tcPr>
          <w:p>
            <w:pPr>
              <w:spacing w:after="0"/>
              <w:rPr>
                <w:sz w:val="20"/>
                <w:szCs w:val="20"/>
                <w:color w:val="auto"/>
              </w:rPr>
            </w:pPr>
            <w:r>
              <w:rPr>
                <w:rFonts w:ascii="Arial" w:cs="Arial" w:eastAsia="Arial" w:hAnsi="Arial"/>
                <w:sz w:val="16"/>
                <w:szCs w:val="16"/>
                <w:color w:val="auto"/>
              </w:rPr>
              <w:t>Annuity product charges and other fees</w:t>
            </w:r>
          </w:p>
        </w:tc>
        <w:tc>
          <w:tcPr>
            <w:tcW w:w="6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717</w:t>
            </w:r>
          </w:p>
        </w:tc>
        <w:tc>
          <w:tcPr>
            <w:tcW w:w="6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w:t>
            </w:r>
          </w:p>
        </w:tc>
        <w:tc>
          <w:tcPr>
            <w:tcW w:w="8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ind w:left="5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657</w:t>
            </w:r>
          </w:p>
        </w:tc>
        <w:tc>
          <w:tcPr>
            <w:tcW w:w="60" w:type="dxa"/>
            <w:vAlign w:val="bottom"/>
          </w:tcPr>
          <w:p>
            <w:pPr>
              <w:spacing w:after="0"/>
              <w:rPr>
                <w:sz w:val="22"/>
                <w:szCs w:val="22"/>
                <w:color w:val="auto"/>
              </w:rPr>
            </w:pPr>
          </w:p>
        </w:tc>
        <w:tc>
          <w:tcPr>
            <w:tcW w:w="960" w:type="dxa"/>
            <w:vAlign w:val="bottom"/>
            <w:tcBorders>
              <w:bottom w:val="single" w:sz="8" w:color="auto"/>
            </w:tcBorders>
          </w:tcPr>
          <w:p>
            <w:pPr>
              <w:ind w:left="60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3120" w:type="dxa"/>
            <w:vAlign w:val="bottom"/>
          </w:tcPr>
          <w:p>
            <w:pPr>
              <w:spacing w:after="0"/>
              <w:rPr>
                <w:sz w:val="20"/>
                <w:szCs w:val="20"/>
                <w:color w:val="auto"/>
              </w:rPr>
            </w:pPr>
            <w:r>
              <w:rPr>
                <w:rFonts w:ascii="Arial" w:cs="Arial" w:eastAsia="Arial" w:hAnsi="Arial"/>
                <w:sz w:val="16"/>
                <w:szCs w:val="16"/>
                <w:color w:val="auto"/>
              </w:rPr>
              <w:t>Total premiums and other considerations</w:t>
            </w:r>
          </w:p>
        </w:tc>
        <w:tc>
          <w:tcPr>
            <w:tcW w:w="6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2,940</w:t>
            </w:r>
          </w:p>
        </w:tc>
        <w:tc>
          <w:tcPr>
            <w:tcW w:w="6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(145)</w:t>
            </w:r>
          </w:p>
        </w:tc>
        <w:tc>
          <w:tcPr>
            <w:tcW w:w="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ind w:left="5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28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2,795</w:t>
            </w:r>
          </w:p>
        </w:tc>
        <w:tc>
          <w:tcPr>
            <w:tcW w:w="60" w:type="dxa"/>
            <w:vAlign w:val="bottom"/>
          </w:tcPr>
          <w:p>
            <w:pPr>
              <w:spacing w:after="0"/>
              <w:rPr>
                <w:sz w:val="18"/>
                <w:szCs w:val="18"/>
                <w:color w:val="auto"/>
              </w:rPr>
            </w:pPr>
          </w:p>
        </w:tc>
        <w:tc>
          <w:tcPr>
            <w:tcW w:w="960" w:type="dxa"/>
            <w:vAlign w:val="bottom"/>
            <w:tcBorders>
              <w:bottom w:val="single" w:sz="8" w:color="auto"/>
            </w:tcBorders>
          </w:tcPr>
          <w:p>
            <w:pPr>
              <w:ind w:left="600"/>
              <w:spacing w:after="0"/>
              <w:rPr>
                <w:sz w:val="20"/>
                <w:szCs w:val="20"/>
                <w:color w:val="auto"/>
              </w:rPr>
            </w:pPr>
            <w:r>
              <w:rPr>
                <w:rFonts w:ascii="Arial" w:cs="Arial" w:eastAsia="Arial" w:hAnsi="Arial"/>
                <w:sz w:val="16"/>
                <w:szCs w:val="16"/>
                <w:color w:val="auto"/>
                <w:w w:val="97"/>
              </w:rPr>
              <w:t>—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9"/>
        </w:trPr>
        <w:tc>
          <w:tcPr>
            <w:tcW w:w="3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vMerge w:val="restart"/>
          </w:tcPr>
          <w:p>
            <w:pPr>
              <w:jc w:val="center"/>
              <w:ind w:right="62"/>
              <w:spacing w:after="0"/>
              <w:rPr>
                <w:sz w:val="20"/>
                <w:szCs w:val="20"/>
                <w:color w:val="auto"/>
              </w:rPr>
            </w:pPr>
            <w:r>
              <w:rPr>
                <w:rFonts w:ascii="Arial" w:cs="Arial" w:eastAsia="Arial" w:hAnsi="Arial"/>
                <w:sz w:val="16"/>
                <w:szCs w:val="16"/>
                <w:b w:val="1"/>
                <w:bCs w:val="1"/>
                <w:color w:val="auto"/>
                <w:w w:val="87"/>
              </w:rPr>
              <w:t>Ceded to</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vMerge w:val="restart"/>
          </w:tcPr>
          <w:p>
            <w:pPr>
              <w:jc w:val="center"/>
              <w:ind w:right="62"/>
              <w:spacing w:after="0"/>
              <w:rPr>
                <w:sz w:val="20"/>
                <w:szCs w:val="20"/>
                <w:color w:val="auto"/>
              </w:rPr>
            </w:pPr>
            <w:r>
              <w:rPr>
                <w:rFonts w:ascii="Arial" w:cs="Arial" w:eastAsia="Arial" w:hAnsi="Arial"/>
                <w:sz w:val="16"/>
                <w:szCs w:val="16"/>
                <w:b w:val="1"/>
                <w:bCs w:val="1"/>
                <w:color w:val="auto"/>
                <w:w w:val="86"/>
              </w:rPr>
              <w:t>Assumed</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80" w:type="dxa"/>
            <w:vAlign w:val="bottom"/>
            <w:gridSpan w:val="2"/>
          </w:tcPr>
          <w:p>
            <w:pPr>
              <w:jc w:val="center"/>
              <w:spacing w:after="0"/>
              <w:rPr>
                <w:sz w:val="20"/>
                <w:szCs w:val="20"/>
                <w:color w:val="auto"/>
              </w:rPr>
            </w:pPr>
            <w:r>
              <w:rPr>
                <w:rFonts w:ascii="Arial" w:cs="Arial" w:eastAsia="Arial" w:hAnsi="Arial"/>
                <w:sz w:val="16"/>
                <w:szCs w:val="16"/>
                <w:b w:val="1"/>
                <w:bCs w:val="1"/>
                <w:color w:val="auto"/>
                <w:w w:val="85"/>
              </w:rPr>
              <w:t>Percentage</w:t>
            </w:r>
          </w:p>
        </w:tc>
        <w:tc>
          <w:tcPr>
            <w:tcW w:w="0" w:type="dxa"/>
            <w:vAlign w:val="bottom"/>
          </w:tcPr>
          <w:p>
            <w:pPr>
              <w:spacing w:after="0"/>
              <w:rPr>
                <w:sz w:val="1"/>
                <w:szCs w:val="1"/>
                <w:color w:val="auto"/>
              </w:rPr>
            </w:pPr>
          </w:p>
        </w:tc>
      </w:tr>
      <w:tr>
        <w:trPr>
          <w:trHeight w:val="157"/>
        </w:trPr>
        <w:tc>
          <w:tcPr>
            <w:tcW w:w="3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vMerge w:val="restart"/>
          </w:tcPr>
          <w:p>
            <w:pPr>
              <w:jc w:val="center"/>
              <w:ind w:right="82"/>
              <w:spacing w:after="0"/>
              <w:rPr>
                <w:sz w:val="20"/>
                <w:szCs w:val="20"/>
                <w:color w:val="auto"/>
              </w:rPr>
            </w:pPr>
            <w:r>
              <w:rPr>
                <w:rFonts w:ascii="Arial" w:cs="Arial" w:eastAsia="Arial" w:hAnsi="Arial"/>
                <w:sz w:val="16"/>
                <w:szCs w:val="16"/>
                <w:b w:val="1"/>
                <w:bCs w:val="1"/>
                <w:color w:val="auto"/>
                <w:w w:val="86"/>
              </w:rPr>
              <w:t>Gross</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80" w:type="dxa"/>
            <w:vAlign w:val="bottom"/>
            <w:gridSpan w:val="2"/>
          </w:tcPr>
          <w:p>
            <w:pPr>
              <w:jc w:val="center"/>
              <w:ind w:right="20"/>
              <w:spacing w:after="0" w:line="157" w:lineRule="exact"/>
              <w:rPr>
                <w:sz w:val="20"/>
                <w:szCs w:val="20"/>
                <w:color w:val="auto"/>
              </w:rPr>
            </w:pPr>
            <w:r>
              <w:rPr>
                <w:rFonts w:ascii="Arial" w:cs="Arial" w:eastAsia="Arial" w:hAnsi="Arial"/>
                <w:sz w:val="16"/>
                <w:szCs w:val="16"/>
                <w:b w:val="1"/>
                <w:bCs w:val="1"/>
                <w:color w:val="auto"/>
                <w:w w:val="87"/>
              </w:rPr>
              <w:t>of amount</w:t>
            </w:r>
          </w:p>
        </w:tc>
        <w:tc>
          <w:tcPr>
            <w:tcW w:w="0" w:type="dxa"/>
            <w:vAlign w:val="bottom"/>
          </w:tcPr>
          <w:p>
            <w:pPr>
              <w:spacing w:after="0"/>
              <w:rPr>
                <w:sz w:val="1"/>
                <w:szCs w:val="1"/>
                <w:color w:val="auto"/>
              </w:rPr>
            </w:pPr>
          </w:p>
        </w:tc>
      </w:tr>
      <w:tr>
        <w:trPr>
          <w:trHeight w:val="157"/>
        </w:trPr>
        <w:tc>
          <w:tcPr>
            <w:tcW w:w="3120" w:type="dxa"/>
            <w:vAlign w:val="bottom"/>
            <w:vMerge w:val="restart"/>
          </w:tcPr>
          <w:p>
            <w:pPr>
              <w:spacing w:after="0"/>
              <w:rPr>
                <w:sz w:val="20"/>
                <w:szCs w:val="20"/>
                <w:color w:val="auto"/>
              </w:rPr>
            </w:pPr>
            <w:r>
              <w:rPr>
                <w:rFonts w:ascii="Arial" w:cs="Arial" w:eastAsia="Arial" w:hAnsi="Arial"/>
                <w:sz w:val="16"/>
                <w:szCs w:val="16"/>
                <w:b w:val="1"/>
                <w:bCs w:val="1"/>
                <w:color w:val="auto"/>
              </w:rPr>
              <w:t>For the Year Ended December 31, 2024</w:t>
            </w: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jc w:val="center"/>
              <w:ind w:right="62"/>
              <w:spacing w:after="0" w:line="157" w:lineRule="exact"/>
              <w:rPr>
                <w:sz w:val="20"/>
                <w:szCs w:val="20"/>
                <w:color w:val="auto"/>
              </w:rPr>
            </w:pPr>
            <w:r>
              <w:rPr>
                <w:rFonts w:ascii="Arial" w:cs="Arial" w:eastAsia="Arial" w:hAnsi="Arial"/>
                <w:sz w:val="16"/>
                <w:szCs w:val="16"/>
                <w:b w:val="1"/>
                <w:bCs w:val="1"/>
                <w:color w:val="auto"/>
                <w:w w:val="89"/>
              </w:rPr>
              <w:t>other</w:t>
            </w:r>
          </w:p>
        </w:tc>
        <w:tc>
          <w:tcPr>
            <w:tcW w:w="80" w:type="dxa"/>
            <w:vAlign w:val="bottom"/>
          </w:tcPr>
          <w:p>
            <w:pPr>
              <w:spacing w:after="0"/>
              <w:rPr>
                <w:sz w:val="13"/>
                <w:szCs w:val="13"/>
                <w:color w:val="auto"/>
              </w:rPr>
            </w:pPr>
          </w:p>
        </w:tc>
        <w:tc>
          <w:tcPr>
            <w:tcW w:w="940" w:type="dxa"/>
            <w:vAlign w:val="bottom"/>
            <w:gridSpan w:val="2"/>
          </w:tcPr>
          <w:p>
            <w:pPr>
              <w:jc w:val="center"/>
              <w:spacing w:after="0" w:line="157" w:lineRule="exact"/>
              <w:rPr>
                <w:sz w:val="20"/>
                <w:szCs w:val="20"/>
                <w:color w:val="auto"/>
              </w:rPr>
            </w:pPr>
            <w:r>
              <w:rPr>
                <w:rFonts w:ascii="Arial" w:cs="Arial" w:eastAsia="Arial" w:hAnsi="Arial"/>
                <w:sz w:val="16"/>
                <w:szCs w:val="16"/>
                <w:b w:val="1"/>
                <w:bCs w:val="1"/>
                <w:color w:val="auto"/>
                <w:w w:val="92"/>
              </w:rPr>
              <w:t>from other</w:t>
            </w:r>
          </w:p>
        </w:tc>
        <w:tc>
          <w:tcPr>
            <w:tcW w:w="80" w:type="dxa"/>
            <w:vAlign w:val="bottom"/>
          </w:tcPr>
          <w:p>
            <w:pPr>
              <w:spacing w:after="0"/>
              <w:rPr>
                <w:sz w:val="13"/>
                <w:szCs w:val="13"/>
                <w:color w:val="auto"/>
              </w:rPr>
            </w:pPr>
          </w:p>
        </w:tc>
        <w:tc>
          <w:tcPr>
            <w:tcW w:w="940" w:type="dxa"/>
            <w:vAlign w:val="bottom"/>
            <w:gridSpan w:val="2"/>
            <w:vMerge w:val="restart"/>
          </w:tcPr>
          <w:p>
            <w:pPr>
              <w:ind w:left="60"/>
              <w:spacing w:after="0"/>
              <w:rPr>
                <w:sz w:val="20"/>
                <w:szCs w:val="20"/>
                <w:color w:val="auto"/>
              </w:rPr>
            </w:pPr>
            <w:r>
              <w:rPr>
                <w:rFonts w:ascii="Arial" w:cs="Arial" w:eastAsia="Arial" w:hAnsi="Arial"/>
                <w:sz w:val="16"/>
                <w:szCs w:val="16"/>
                <w:b w:val="1"/>
                <w:bCs w:val="1"/>
                <w:color w:val="auto"/>
                <w:w w:val="94"/>
              </w:rPr>
              <w:t>Net Amount</w:t>
            </w:r>
          </w:p>
        </w:tc>
        <w:tc>
          <w:tcPr>
            <w:tcW w:w="60" w:type="dxa"/>
            <w:vAlign w:val="bottom"/>
          </w:tcPr>
          <w:p>
            <w:pPr>
              <w:spacing w:after="0"/>
              <w:rPr>
                <w:sz w:val="13"/>
                <w:szCs w:val="13"/>
                <w:color w:val="auto"/>
              </w:rPr>
            </w:pPr>
          </w:p>
        </w:tc>
        <w:tc>
          <w:tcPr>
            <w:tcW w:w="980" w:type="dxa"/>
            <w:vAlign w:val="bottom"/>
            <w:gridSpan w:val="2"/>
          </w:tcPr>
          <w:p>
            <w:pPr>
              <w:jc w:val="center"/>
              <w:spacing w:after="0" w:line="157" w:lineRule="exact"/>
              <w:rPr>
                <w:sz w:val="20"/>
                <w:szCs w:val="20"/>
                <w:color w:val="auto"/>
              </w:rPr>
            </w:pPr>
            <w:r>
              <w:rPr>
                <w:rFonts w:ascii="Arial" w:cs="Arial" w:eastAsia="Arial" w:hAnsi="Arial"/>
                <w:sz w:val="16"/>
                <w:szCs w:val="16"/>
                <w:b w:val="1"/>
                <w:bCs w:val="1"/>
                <w:color w:val="auto"/>
                <w:w w:val="83"/>
              </w:rPr>
              <w:t>assumed to</w:t>
            </w:r>
          </w:p>
        </w:tc>
        <w:tc>
          <w:tcPr>
            <w:tcW w:w="0" w:type="dxa"/>
            <w:vAlign w:val="bottom"/>
          </w:tcPr>
          <w:p>
            <w:pPr>
              <w:spacing w:after="0"/>
              <w:rPr>
                <w:sz w:val="1"/>
                <w:szCs w:val="1"/>
                <w:color w:val="auto"/>
              </w:rPr>
            </w:pPr>
          </w:p>
        </w:tc>
      </w:tr>
      <w:tr>
        <w:trPr>
          <w:trHeight w:val="210"/>
        </w:trPr>
        <w:tc>
          <w:tcPr>
            <w:tcW w:w="3120" w:type="dxa"/>
            <w:vAlign w:val="bottom"/>
            <w:vMerge w:val="continue"/>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center"/>
              <w:ind w:right="82"/>
              <w:spacing w:after="0"/>
              <w:rPr>
                <w:sz w:val="20"/>
                <w:szCs w:val="20"/>
                <w:color w:val="auto"/>
              </w:rPr>
            </w:pPr>
            <w:r>
              <w:rPr>
                <w:rFonts w:ascii="Arial" w:cs="Arial" w:eastAsia="Arial" w:hAnsi="Arial"/>
                <w:sz w:val="16"/>
                <w:szCs w:val="16"/>
                <w:b w:val="1"/>
                <w:bCs w:val="1"/>
                <w:color w:val="auto"/>
                <w:w w:val="92"/>
              </w:rPr>
              <w:t>Amount</w:t>
            </w:r>
          </w:p>
        </w:tc>
        <w:tc>
          <w:tcPr>
            <w:tcW w:w="60" w:type="dxa"/>
            <w:vAlign w:val="bottom"/>
          </w:tcPr>
          <w:p>
            <w:pPr>
              <w:spacing w:after="0"/>
              <w:rPr>
                <w:sz w:val="18"/>
                <w:szCs w:val="18"/>
                <w:color w:val="auto"/>
              </w:rPr>
            </w:pPr>
          </w:p>
        </w:tc>
        <w:tc>
          <w:tcPr>
            <w:tcW w:w="96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w w:val="83"/>
              </w:rPr>
              <w:t>companies</w:t>
            </w:r>
          </w:p>
        </w:tc>
        <w:tc>
          <w:tcPr>
            <w:tcW w:w="80" w:type="dxa"/>
            <w:vAlign w:val="bottom"/>
          </w:tcPr>
          <w:p>
            <w:pPr>
              <w:spacing w:after="0"/>
              <w:rPr>
                <w:sz w:val="18"/>
                <w:szCs w:val="18"/>
                <w:color w:val="auto"/>
              </w:rPr>
            </w:pPr>
          </w:p>
        </w:tc>
        <w:tc>
          <w:tcPr>
            <w:tcW w:w="94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w w:val="83"/>
              </w:rPr>
              <w:t>companies</w:t>
            </w:r>
          </w:p>
        </w:tc>
        <w:tc>
          <w:tcPr>
            <w:tcW w:w="80" w:type="dxa"/>
            <w:vAlign w:val="bottom"/>
          </w:tcPr>
          <w:p>
            <w:pPr>
              <w:spacing w:after="0"/>
              <w:rPr>
                <w:sz w:val="18"/>
                <w:szCs w:val="18"/>
                <w:color w:val="auto"/>
              </w:rPr>
            </w:pPr>
          </w:p>
        </w:tc>
        <w:tc>
          <w:tcPr>
            <w:tcW w:w="940" w:type="dxa"/>
            <w:vAlign w:val="bottom"/>
            <w:tcBorders>
              <w:bottom w:val="single" w:sz="8" w:color="auto"/>
            </w:tcBorders>
            <w:gridSpan w:val="2"/>
            <w:vMerge w:val="continue"/>
          </w:tcPr>
          <w:p>
            <w:pPr>
              <w:spacing w:after="0"/>
              <w:rPr>
                <w:sz w:val="18"/>
                <w:szCs w:val="18"/>
                <w:color w:val="auto"/>
              </w:rPr>
            </w:pPr>
          </w:p>
        </w:tc>
        <w:tc>
          <w:tcPr>
            <w:tcW w:w="60" w:type="dxa"/>
            <w:vAlign w:val="bottom"/>
          </w:tcPr>
          <w:p>
            <w:pPr>
              <w:spacing w:after="0"/>
              <w:rPr>
                <w:sz w:val="18"/>
                <w:szCs w:val="18"/>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3"/>
              </w:rPr>
              <w:t>net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120" w:type="dxa"/>
            <w:vAlign w:val="bottom"/>
          </w:tcPr>
          <w:p>
            <w:pPr>
              <w:spacing w:after="0"/>
              <w:rPr>
                <w:sz w:val="20"/>
                <w:szCs w:val="20"/>
                <w:color w:val="auto"/>
              </w:rPr>
            </w:pPr>
            <w:r>
              <w:rPr>
                <w:rFonts w:ascii="Arial" w:cs="Arial" w:eastAsia="Arial" w:hAnsi="Arial"/>
                <w:sz w:val="16"/>
                <w:szCs w:val="16"/>
                <w:color w:val="auto"/>
              </w:rPr>
              <w:t>Life insurance in force</w:t>
            </w:r>
          </w:p>
        </w:tc>
        <w:tc>
          <w:tcPr>
            <w:tcW w:w="7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2"/>
              <w:spacing w:after="0"/>
              <w:rPr>
                <w:sz w:val="20"/>
                <w:szCs w:val="20"/>
                <w:color w:val="auto"/>
              </w:rPr>
            </w:pPr>
            <w:r>
              <w:rPr>
                <w:rFonts w:ascii="Arial" w:cs="Arial" w:eastAsia="Arial" w:hAnsi="Arial"/>
                <w:sz w:val="16"/>
                <w:szCs w:val="16"/>
                <w:color w:val="auto"/>
              </w:rPr>
              <w:t>10,906</w:t>
            </w: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(1,370)</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ind w:left="580"/>
              <w:spacing w:after="0"/>
              <w:rPr>
                <w:sz w:val="20"/>
                <w:szCs w:val="20"/>
                <w:color w:val="auto"/>
              </w:rPr>
            </w:pPr>
            <w:r>
              <w:rPr>
                <w:rFonts w:ascii="Arial" w:cs="Arial" w:eastAsia="Arial" w:hAnsi="Arial"/>
                <w:sz w:val="16"/>
                <w:szCs w:val="16"/>
                <w:color w:val="auto"/>
              </w:rPr>
              <w:t>—</w:t>
            </w:r>
          </w:p>
        </w:tc>
        <w:tc>
          <w:tcPr>
            <w:tcW w:w="360" w:type="dxa"/>
            <w:vAlign w:val="bottom"/>
            <w:gridSpan w:val="2"/>
          </w:tcPr>
          <w:p>
            <w:pPr>
              <w:ind w:left="120"/>
              <w:spacing w:after="0"/>
              <w:rPr>
                <w:sz w:val="20"/>
                <w:szCs w:val="20"/>
                <w:color w:val="auto"/>
              </w:rPr>
            </w:pPr>
            <w:r>
              <w:rPr>
                <w:rFonts w:ascii="Arial" w:cs="Arial" w:eastAsia="Arial" w:hAnsi="Arial"/>
                <w:sz w:val="16"/>
                <w:szCs w:val="16"/>
                <w:color w:val="auto"/>
              </w:rPr>
              <w:t>$</w:t>
            </w:r>
          </w:p>
        </w:tc>
        <w:tc>
          <w:tcPr>
            <w:tcW w:w="660" w:type="dxa"/>
            <w:vAlign w:val="bottom"/>
          </w:tcPr>
          <w:p>
            <w:pPr>
              <w:jc w:val="right"/>
              <w:ind w:right="2"/>
              <w:spacing w:after="0"/>
              <w:rPr>
                <w:sz w:val="20"/>
                <w:szCs w:val="20"/>
                <w:color w:val="auto"/>
              </w:rPr>
            </w:pPr>
            <w:r>
              <w:rPr>
                <w:rFonts w:ascii="Arial" w:cs="Arial" w:eastAsia="Arial" w:hAnsi="Arial"/>
                <w:sz w:val="16"/>
                <w:szCs w:val="16"/>
                <w:color w:val="auto"/>
              </w:rPr>
              <w:t>9,536</w:t>
            </w:r>
          </w:p>
        </w:tc>
        <w:tc>
          <w:tcPr>
            <w:tcW w:w="60" w:type="dxa"/>
            <w:vAlign w:val="bottom"/>
          </w:tcPr>
          <w:p>
            <w:pPr>
              <w:spacing w:after="0"/>
              <w:rPr>
                <w:sz w:val="19"/>
                <w:szCs w:val="19"/>
                <w:color w:val="auto"/>
              </w:rPr>
            </w:pPr>
          </w:p>
        </w:tc>
        <w:tc>
          <w:tcPr>
            <w:tcW w:w="980" w:type="dxa"/>
            <w:vAlign w:val="bottom"/>
            <w:gridSpan w:val="2"/>
          </w:tcPr>
          <w:p>
            <w:pPr>
              <w:ind w:left="600"/>
              <w:spacing w:after="0"/>
              <w:rPr>
                <w:sz w:val="20"/>
                <w:szCs w:val="20"/>
                <w:color w:val="auto"/>
              </w:rPr>
            </w:pPr>
            <w:r>
              <w:rPr>
                <w:rFonts w:ascii="Arial" w:cs="Arial" w:eastAsia="Arial" w:hAnsi="Arial"/>
                <w:sz w:val="16"/>
                <w:szCs w:val="16"/>
                <w:color w:val="auto"/>
              </w:rPr>
              <w:t>— %</w:t>
            </w:r>
          </w:p>
        </w:tc>
        <w:tc>
          <w:tcPr>
            <w:tcW w:w="0" w:type="dxa"/>
            <w:vAlign w:val="bottom"/>
          </w:tcPr>
          <w:p>
            <w:pPr>
              <w:spacing w:after="0"/>
              <w:rPr>
                <w:sz w:val="1"/>
                <w:szCs w:val="1"/>
                <w:color w:val="auto"/>
              </w:rPr>
            </w:pPr>
          </w:p>
        </w:tc>
      </w:tr>
      <w:tr>
        <w:trPr>
          <w:trHeight w:val="412"/>
        </w:trPr>
        <w:tc>
          <w:tcPr>
            <w:tcW w:w="3120" w:type="dxa"/>
            <w:vAlign w:val="bottom"/>
          </w:tcPr>
          <w:p>
            <w:pPr>
              <w:spacing w:after="0"/>
              <w:rPr>
                <w:sz w:val="20"/>
                <w:szCs w:val="20"/>
                <w:color w:val="auto"/>
              </w:rPr>
            </w:pPr>
            <w:r>
              <w:rPr>
                <w:rFonts w:ascii="Arial" w:cs="Arial" w:eastAsia="Arial" w:hAnsi="Arial"/>
                <w:sz w:val="16"/>
                <w:szCs w:val="16"/>
                <w:color w:val="auto"/>
              </w:rPr>
              <w:t>Premiums and other considerations:</w:t>
            </w: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120" w:type="dxa"/>
            <w:vAlign w:val="bottom"/>
          </w:tcPr>
          <w:p>
            <w:pPr>
              <w:spacing w:after="0"/>
              <w:rPr>
                <w:sz w:val="20"/>
                <w:szCs w:val="20"/>
                <w:color w:val="auto"/>
              </w:rPr>
            </w:pPr>
            <w:r>
              <w:rPr>
                <w:rFonts w:ascii="Arial" w:cs="Arial" w:eastAsia="Arial" w:hAnsi="Arial"/>
                <w:sz w:val="16"/>
                <w:szCs w:val="16"/>
                <w:color w:val="auto"/>
              </w:rPr>
              <w:t>Traditional life insurance premiums</w:t>
            </w:r>
          </w:p>
        </w:tc>
        <w:tc>
          <w:tcPr>
            <w:tcW w:w="6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tcPr>
          <w:p>
            <w:pPr>
              <w:jc w:val="right"/>
              <w:ind w:right="2"/>
              <w:spacing w:after="0"/>
              <w:rPr>
                <w:sz w:val="20"/>
                <w:szCs w:val="20"/>
                <w:color w:val="auto"/>
              </w:rPr>
            </w:pPr>
            <w:r>
              <w:rPr>
                <w:rFonts w:ascii="Arial" w:cs="Arial" w:eastAsia="Arial" w:hAnsi="Arial"/>
                <w:sz w:val="16"/>
                <w:szCs w:val="16"/>
                <w:color w:val="auto"/>
              </w:rPr>
              <w:t>129</w:t>
            </w: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(94)</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ind w:left="5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60" w:type="dxa"/>
            <w:vAlign w:val="bottom"/>
          </w:tcPr>
          <w:p>
            <w:pPr>
              <w:jc w:val="right"/>
              <w:ind w:right="2"/>
              <w:spacing w:after="0"/>
              <w:rPr>
                <w:sz w:val="20"/>
                <w:szCs w:val="20"/>
                <w:color w:val="auto"/>
              </w:rPr>
            </w:pPr>
            <w:r>
              <w:rPr>
                <w:rFonts w:ascii="Arial" w:cs="Arial" w:eastAsia="Arial" w:hAnsi="Arial"/>
                <w:sz w:val="16"/>
                <w:szCs w:val="16"/>
                <w:color w:val="auto"/>
              </w:rPr>
              <w:t>35</w:t>
            </w:r>
          </w:p>
        </w:tc>
        <w:tc>
          <w:tcPr>
            <w:tcW w:w="60" w:type="dxa"/>
            <w:vAlign w:val="bottom"/>
          </w:tcPr>
          <w:p>
            <w:pPr>
              <w:spacing w:after="0"/>
              <w:rPr>
                <w:sz w:val="21"/>
                <w:szCs w:val="21"/>
                <w:color w:val="auto"/>
              </w:rPr>
            </w:pPr>
          </w:p>
        </w:tc>
        <w:tc>
          <w:tcPr>
            <w:tcW w:w="980" w:type="dxa"/>
            <w:vAlign w:val="bottom"/>
            <w:gridSpan w:val="2"/>
          </w:tcPr>
          <w:p>
            <w:pPr>
              <w:ind w:left="6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0"/>
        </w:trPr>
        <w:tc>
          <w:tcPr>
            <w:tcW w:w="3120" w:type="dxa"/>
            <w:vAlign w:val="bottom"/>
          </w:tcPr>
          <w:p>
            <w:pPr>
              <w:spacing w:after="0"/>
              <w:rPr>
                <w:sz w:val="20"/>
                <w:szCs w:val="20"/>
                <w:color w:val="auto"/>
              </w:rPr>
            </w:pPr>
            <w:r>
              <w:rPr>
                <w:rFonts w:ascii="Arial" w:cs="Arial" w:eastAsia="Arial" w:hAnsi="Arial"/>
                <w:sz w:val="16"/>
                <w:szCs w:val="16"/>
                <w:color w:val="auto"/>
              </w:rPr>
              <w:t>Life-contingent PRT premiums</w:t>
            </w:r>
          </w:p>
        </w:tc>
        <w:tc>
          <w:tcPr>
            <w:tcW w:w="6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tcPr>
          <w:p>
            <w:pPr>
              <w:jc w:val="right"/>
              <w:ind w:right="2"/>
              <w:spacing w:after="0"/>
              <w:rPr>
                <w:sz w:val="20"/>
                <w:szCs w:val="20"/>
                <w:color w:val="auto"/>
              </w:rPr>
            </w:pPr>
            <w:r>
              <w:rPr>
                <w:rFonts w:ascii="Arial" w:cs="Arial" w:eastAsia="Arial" w:hAnsi="Arial"/>
                <w:sz w:val="16"/>
                <w:szCs w:val="16"/>
                <w:color w:val="auto"/>
              </w:rPr>
              <w:t>2,217</w:t>
            </w: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ind w:left="5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60" w:type="dxa"/>
            <w:vAlign w:val="bottom"/>
          </w:tcPr>
          <w:p>
            <w:pPr>
              <w:jc w:val="right"/>
              <w:ind w:right="2"/>
              <w:spacing w:after="0"/>
              <w:rPr>
                <w:sz w:val="20"/>
                <w:szCs w:val="20"/>
                <w:color w:val="auto"/>
              </w:rPr>
            </w:pPr>
            <w:r>
              <w:rPr>
                <w:rFonts w:ascii="Arial" w:cs="Arial" w:eastAsia="Arial" w:hAnsi="Arial"/>
                <w:sz w:val="16"/>
                <w:szCs w:val="16"/>
                <w:color w:val="auto"/>
              </w:rPr>
              <w:t>2,217</w:t>
            </w:r>
          </w:p>
        </w:tc>
        <w:tc>
          <w:tcPr>
            <w:tcW w:w="60" w:type="dxa"/>
            <w:vAlign w:val="bottom"/>
          </w:tcPr>
          <w:p>
            <w:pPr>
              <w:spacing w:after="0"/>
              <w:rPr>
                <w:sz w:val="21"/>
                <w:szCs w:val="21"/>
                <w:color w:val="auto"/>
              </w:rPr>
            </w:pPr>
          </w:p>
        </w:tc>
        <w:tc>
          <w:tcPr>
            <w:tcW w:w="980" w:type="dxa"/>
            <w:vAlign w:val="bottom"/>
            <w:gridSpan w:val="2"/>
          </w:tcPr>
          <w:p>
            <w:pPr>
              <w:ind w:left="6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7"/>
        </w:trPr>
        <w:tc>
          <w:tcPr>
            <w:tcW w:w="3120" w:type="dxa"/>
            <w:vAlign w:val="bottom"/>
          </w:tcPr>
          <w:p>
            <w:pPr>
              <w:spacing w:after="0"/>
              <w:rPr>
                <w:sz w:val="20"/>
                <w:szCs w:val="20"/>
                <w:color w:val="auto"/>
              </w:rPr>
            </w:pPr>
            <w:r>
              <w:rPr>
                <w:rFonts w:ascii="Arial" w:cs="Arial" w:eastAsia="Arial" w:hAnsi="Arial"/>
                <w:sz w:val="16"/>
                <w:szCs w:val="16"/>
                <w:color w:val="auto"/>
              </w:rPr>
              <w:t>Annuity product charges and other fees</w:t>
            </w:r>
          </w:p>
        </w:tc>
        <w:tc>
          <w:tcPr>
            <w:tcW w:w="6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655</w:t>
            </w:r>
          </w:p>
        </w:tc>
        <w:tc>
          <w:tcPr>
            <w:tcW w:w="6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w:t>
            </w:r>
          </w:p>
        </w:tc>
        <w:tc>
          <w:tcPr>
            <w:tcW w:w="8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ind w:left="5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608</w:t>
            </w:r>
          </w:p>
        </w:tc>
        <w:tc>
          <w:tcPr>
            <w:tcW w:w="60" w:type="dxa"/>
            <w:vAlign w:val="bottom"/>
          </w:tcPr>
          <w:p>
            <w:pPr>
              <w:spacing w:after="0"/>
              <w:rPr>
                <w:sz w:val="22"/>
                <w:szCs w:val="22"/>
                <w:color w:val="auto"/>
              </w:rPr>
            </w:pPr>
          </w:p>
        </w:tc>
        <w:tc>
          <w:tcPr>
            <w:tcW w:w="960" w:type="dxa"/>
            <w:vAlign w:val="bottom"/>
            <w:tcBorders>
              <w:bottom w:val="single" w:sz="8" w:color="auto"/>
            </w:tcBorders>
          </w:tcPr>
          <w:p>
            <w:pPr>
              <w:ind w:left="60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3120" w:type="dxa"/>
            <w:vAlign w:val="bottom"/>
          </w:tcPr>
          <w:p>
            <w:pPr>
              <w:spacing w:after="0"/>
              <w:rPr>
                <w:sz w:val="20"/>
                <w:szCs w:val="20"/>
                <w:color w:val="auto"/>
              </w:rPr>
            </w:pPr>
            <w:r>
              <w:rPr>
                <w:rFonts w:ascii="Arial" w:cs="Arial" w:eastAsia="Arial" w:hAnsi="Arial"/>
                <w:sz w:val="16"/>
                <w:szCs w:val="16"/>
                <w:color w:val="auto"/>
              </w:rPr>
              <w:t>Total premiums and other considerations</w:t>
            </w:r>
          </w:p>
        </w:tc>
        <w:tc>
          <w:tcPr>
            <w:tcW w:w="6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3,001</w:t>
            </w:r>
          </w:p>
        </w:tc>
        <w:tc>
          <w:tcPr>
            <w:tcW w:w="6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(141)</w:t>
            </w:r>
          </w:p>
        </w:tc>
        <w:tc>
          <w:tcPr>
            <w:tcW w:w="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ind w:left="5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28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2,860</w:t>
            </w:r>
          </w:p>
        </w:tc>
        <w:tc>
          <w:tcPr>
            <w:tcW w:w="60" w:type="dxa"/>
            <w:vAlign w:val="bottom"/>
          </w:tcPr>
          <w:p>
            <w:pPr>
              <w:spacing w:after="0"/>
              <w:rPr>
                <w:sz w:val="18"/>
                <w:szCs w:val="18"/>
                <w:color w:val="auto"/>
              </w:rPr>
            </w:pPr>
          </w:p>
        </w:tc>
        <w:tc>
          <w:tcPr>
            <w:tcW w:w="960" w:type="dxa"/>
            <w:vAlign w:val="bottom"/>
            <w:tcBorders>
              <w:bottom w:val="single" w:sz="8" w:color="auto"/>
            </w:tcBorders>
          </w:tcPr>
          <w:p>
            <w:pPr>
              <w:ind w:left="600"/>
              <w:spacing w:after="0"/>
              <w:rPr>
                <w:sz w:val="20"/>
                <w:szCs w:val="20"/>
                <w:color w:val="auto"/>
              </w:rPr>
            </w:pPr>
            <w:r>
              <w:rPr>
                <w:rFonts w:ascii="Arial" w:cs="Arial" w:eastAsia="Arial" w:hAnsi="Arial"/>
                <w:sz w:val="16"/>
                <w:szCs w:val="16"/>
                <w:color w:val="auto"/>
                <w:w w:val="97"/>
              </w:rPr>
              <w:t>—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4"/>
        </w:trPr>
        <w:tc>
          <w:tcPr>
            <w:tcW w:w="31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20" w:type="dxa"/>
            <w:vAlign w:val="bottom"/>
            <w:vMerge w:val="restart"/>
          </w:tcPr>
          <w:p>
            <w:pPr>
              <w:jc w:val="center"/>
              <w:ind w:right="22"/>
              <w:spacing w:after="0"/>
              <w:rPr>
                <w:sz w:val="20"/>
                <w:szCs w:val="20"/>
                <w:color w:val="auto"/>
              </w:rPr>
            </w:pPr>
            <w:r>
              <w:rPr>
                <w:rFonts w:ascii="Arial" w:cs="Arial" w:eastAsia="Arial" w:hAnsi="Arial"/>
                <w:sz w:val="16"/>
                <w:szCs w:val="16"/>
                <w:b w:val="1"/>
                <w:bCs w:val="1"/>
                <w:color w:val="auto"/>
                <w:w w:val="87"/>
              </w:rPr>
              <w:t>Ceded to</w:t>
            </w: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0" w:type="dxa"/>
            <w:vAlign w:val="bottom"/>
            <w:vMerge w:val="restart"/>
          </w:tcPr>
          <w:p>
            <w:pPr>
              <w:jc w:val="center"/>
              <w:ind w:right="22"/>
              <w:spacing w:after="0"/>
              <w:rPr>
                <w:sz w:val="20"/>
                <w:szCs w:val="20"/>
                <w:color w:val="auto"/>
              </w:rPr>
            </w:pPr>
            <w:r>
              <w:rPr>
                <w:rFonts w:ascii="Arial" w:cs="Arial" w:eastAsia="Arial" w:hAnsi="Arial"/>
                <w:sz w:val="16"/>
                <w:szCs w:val="16"/>
                <w:b w:val="1"/>
                <w:bCs w:val="1"/>
                <w:color w:val="auto"/>
                <w:w w:val="86"/>
              </w:rPr>
              <w:t>Assumed</w:t>
            </w: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980" w:type="dxa"/>
            <w:vAlign w:val="bottom"/>
            <w:gridSpan w:val="2"/>
          </w:tcPr>
          <w:p>
            <w:pPr>
              <w:jc w:val="center"/>
              <w:spacing w:after="0"/>
              <w:rPr>
                <w:sz w:val="20"/>
                <w:szCs w:val="20"/>
                <w:color w:val="auto"/>
              </w:rPr>
            </w:pPr>
            <w:r>
              <w:rPr>
                <w:rFonts w:ascii="Arial" w:cs="Arial" w:eastAsia="Arial" w:hAnsi="Arial"/>
                <w:sz w:val="16"/>
                <w:szCs w:val="16"/>
                <w:b w:val="1"/>
                <w:bCs w:val="1"/>
                <w:color w:val="auto"/>
                <w:w w:val="85"/>
              </w:rPr>
              <w:t>Percentage</w:t>
            </w:r>
          </w:p>
        </w:tc>
        <w:tc>
          <w:tcPr>
            <w:tcW w:w="0" w:type="dxa"/>
            <w:vAlign w:val="bottom"/>
          </w:tcPr>
          <w:p>
            <w:pPr>
              <w:spacing w:after="0"/>
              <w:rPr>
                <w:sz w:val="1"/>
                <w:szCs w:val="1"/>
                <w:color w:val="auto"/>
              </w:rPr>
            </w:pPr>
          </w:p>
        </w:tc>
      </w:tr>
      <w:tr>
        <w:trPr>
          <w:trHeight w:val="157"/>
        </w:trPr>
        <w:tc>
          <w:tcPr>
            <w:tcW w:w="3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vMerge w:val="restart"/>
          </w:tcPr>
          <w:p>
            <w:pPr>
              <w:jc w:val="center"/>
              <w:ind w:right="42"/>
              <w:spacing w:after="0"/>
              <w:rPr>
                <w:sz w:val="20"/>
                <w:szCs w:val="20"/>
                <w:color w:val="auto"/>
              </w:rPr>
            </w:pPr>
            <w:r>
              <w:rPr>
                <w:rFonts w:ascii="Arial" w:cs="Arial" w:eastAsia="Arial" w:hAnsi="Arial"/>
                <w:sz w:val="16"/>
                <w:szCs w:val="16"/>
                <w:b w:val="1"/>
                <w:bCs w:val="1"/>
                <w:color w:val="auto"/>
                <w:w w:val="86"/>
              </w:rPr>
              <w:t>Gross</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80" w:type="dxa"/>
            <w:vAlign w:val="bottom"/>
            <w:gridSpan w:val="2"/>
          </w:tcPr>
          <w:p>
            <w:pPr>
              <w:jc w:val="center"/>
              <w:ind w:right="20"/>
              <w:spacing w:after="0" w:line="157" w:lineRule="exact"/>
              <w:rPr>
                <w:sz w:val="20"/>
                <w:szCs w:val="20"/>
                <w:color w:val="auto"/>
              </w:rPr>
            </w:pPr>
            <w:r>
              <w:rPr>
                <w:rFonts w:ascii="Arial" w:cs="Arial" w:eastAsia="Arial" w:hAnsi="Arial"/>
                <w:sz w:val="16"/>
                <w:szCs w:val="16"/>
                <w:b w:val="1"/>
                <w:bCs w:val="1"/>
                <w:color w:val="auto"/>
                <w:w w:val="87"/>
              </w:rPr>
              <w:t>of amount</w:t>
            </w:r>
          </w:p>
        </w:tc>
        <w:tc>
          <w:tcPr>
            <w:tcW w:w="0" w:type="dxa"/>
            <w:vAlign w:val="bottom"/>
          </w:tcPr>
          <w:p>
            <w:pPr>
              <w:spacing w:after="0"/>
              <w:rPr>
                <w:sz w:val="1"/>
                <w:szCs w:val="1"/>
                <w:color w:val="auto"/>
              </w:rPr>
            </w:pPr>
          </w:p>
        </w:tc>
      </w:tr>
      <w:tr>
        <w:trPr>
          <w:trHeight w:val="157"/>
        </w:trPr>
        <w:tc>
          <w:tcPr>
            <w:tcW w:w="3120" w:type="dxa"/>
            <w:vAlign w:val="bottom"/>
            <w:vMerge w:val="restart"/>
          </w:tcPr>
          <w:p>
            <w:pPr>
              <w:spacing w:after="0"/>
              <w:rPr>
                <w:sz w:val="20"/>
                <w:szCs w:val="20"/>
                <w:color w:val="auto"/>
              </w:rPr>
            </w:pPr>
            <w:r>
              <w:rPr>
                <w:rFonts w:ascii="Arial" w:cs="Arial" w:eastAsia="Arial" w:hAnsi="Arial"/>
                <w:sz w:val="16"/>
                <w:szCs w:val="16"/>
                <w:b w:val="1"/>
                <w:bCs w:val="1"/>
                <w:color w:val="auto"/>
              </w:rPr>
              <w:t>For the Year Ended December 31, 2023</w:t>
            </w: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jc w:val="center"/>
              <w:ind w:right="22"/>
              <w:spacing w:after="0" w:line="157" w:lineRule="exact"/>
              <w:rPr>
                <w:sz w:val="20"/>
                <w:szCs w:val="20"/>
                <w:color w:val="auto"/>
              </w:rPr>
            </w:pPr>
            <w:r>
              <w:rPr>
                <w:rFonts w:ascii="Arial" w:cs="Arial" w:eastAsia="Arial" w:hAnsi="Arial"/>
                <w:sz w:val="16"/>
                <w:szCs w:val="16"/>
                <w:b w:val="1"/>
                <w:bCs w:val="1"/>
                <w:color w:val="auto"/>
                <w:w w:val="89"/>
              </w:rPr>
              <w:t>other</w:t>
            </w:r>
          </w:p>
        </w:tc>
        <w:tc>
          <w:tcPr>
            <w:tcW w:w="80" w:type="dxa"/>
            <w:vAlign w:val="bottom"/>
          </w:tcPr>
          <w:p>
            <w:pPr>
              <w:spacing w:after="0"/>
              <w:rPr>
                <w:sz w:val="13"/>
                <w:szCs w:val="13"/>
                <w:color w:val="auto"/>
              </w:rPr>
            </w:pPr>
          </w:p>
        </w:tc>
        <w:tc>
          <w:tcPr>
            <w:tcW w:w="940" w:type="dxa"/>
            <w:vAlign w:val="bottom"/>
            <w:gridSpan w:val="2"/>
          </w:tcPr>
          <w:p>
            <w:pPr>
              <w:jc w:val="center"/>
              <w:spacing w:after="0" w:line="157" w:lineRule="exact"/>
              <w:rPr>
                <w:sz w:val="20"/>
                <w:szCs w:val="20"/>
                <w:color w:val="auto"/>
              </w:rPr>
            </w:pPr>
            <w:r>
              <w:rPr>
                <w:rFonts w:ascii="Arial" w:cs="Arial" w:eastAsia="Arial" w:hAnsi="Arial"/>
                <w:sz w:val="16"/>
                <w:szCs w:val="16"/>
                <w:b w:val="1"/>
                <w:bCs w:val="1"/>
                <w:color w:val="auto"/>
                <w:w w:val="92"/>
              </w:rPr>
              <w:t>from other</w:t>
            </w:r>
          </w:p>
        </w:tc>
        <w:tc>
          <w:tcPr>
            <w:tcW w:w="80" w:type="dxa"/>
            <w:vAlign w:val="bottom"/>
          </w:tcPr>
          <w:p>
            <w:pPr>
              <w:spacing w:after="0"/>
              <w:rPr>
                <w:sz w:val="13"/>
                <w:szCs w:val="13"/>
                <w:color w:val="auto"/>
              </w:rPr>
            </w:pPr>
          </w:p>
        </w:tc>
        <w:tc>
          <w:tcPr>
            <w:tcW w:w="940" w:type="dxa"/>
            <w:vAlign w:val="bottom"/>
            <w:gridSpan w:val="2"/>
            <w:vMerge w:val="restart"/>
          </w:tcPr>
          <w:p>
            <w:pPr>
              <w:ind w:left="80"/>
              <w:spacing w:after="0"/>
              <w:rPr>
                <w:sz w:val="20"/>
                <w:szCs w:val="20"/>
                <w:color w:val="auto"/>
              </w:rPr>
            </w:pPr>
            <w:r>
              <w:rPr>
                <w:rFonts w:ascii="Arial" w:cs="Arial" w:eastAsia="Arial" w:hAnsi="Arial"/>
                <w:sz w:val="16"/>
                <w:szCs w:val="16"/>
                <w:b w:val="1"/>
                <w:bCs w:val="1"/>
                <w:color w:val="auto"/>
                <w:w w:val="92"/>
              </w:rPr>
              <w:t>Net Amount</w:t>
            </w:r>
          </w:p>
        </w:tc>
        <w:tc>
          <w:tcPr>
            <w:tcW w:w="60" w:type="dxa"/>
            <w:vAlign w:val="bottom"/>
          </w:tcPr>
          <w:p>
            <w:pPr>
              <w:spacing w:after="0"/>
              <w:rPr>
                <w:sz w:val="13"/>
                <w:szCs w:val="13"/>
                <w:color w:val="auto"/>
              </w:rPr>
            </w:pPr>
          </w:p>
        </w:tc>
        <w:tc>
          <w:tcPr>
            <w:tcW w:w="980" w:type="dxa"/>
            <w:vAlign w:val="bottom"/>
            <w:gridSpan w:val="2"/>
          </w:tcPr>
          <w:p>
            <w:pPr>
              <w:jc w:val="center"/>
              <w:spacing w:after="0" w:line="157" w:lineRule="exact"/>
              <w:rPr>
                <w:sz w:val="20"/>
                <w:szCs w:val="20"/>
                <w:color w:val="auto"/>
              </w:rPr>
            </w:pPr>
            <w:r>
              <w:rPr>
                <w:rFonts w:ascii="Arial" w:cs="Arial" w:eastAsia="Arial" w:hAnsi="Arial"/>
                <w:sz w:val="16"/>
                <w:szCs w:val="16"/>
                <w:b w:val="1"/>
                <w:bCs w:val="1"/>
                <w:color w:val="auto"/>
                <w:w w:val="83"/>
              </w:rPr>
              <w:t>assumed to</w:t>
            </w:r>
          </w:p>
        </w:tc>
        <w:tc>
          <w:tcPr>
            <w:tcW w:w="0" w:type="dxa"/>
            <w:vAlign w:val="bottom"/>
          </w:tcPr>
          <w:p>
            <w:pPr>
              <w:spacing w:after="0"/>
              <w:rPr>
                <w:sz w:val="1"/>
                <w:szCs w:val="1"/>
                <w:color w:val="auto"/>
              </w:rPr>
            </w:pPr>
          </w:p>
        </w:tc>
      </w:tr>
      <w:tr>
        <w:trPr>
          <w:trHeight w:val="210"/>
        </w:trPr>
        <w:tc>
          <w:tcPr>
            <w:tcW w:w="3120" w:type="dxa"/>
            <w:vAlign w:val="bottom"/>
            <w:vMerge w:val="continue"/>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center"/>
              <w:ind w:right="42"/>
              <w:spacing w:after="0"/>
              <w:rPr>
                <w:sz w:val="20"/>
                <w:szCs w:val="20"/>
                <w:color w:val="auto"/>
              </w:rPr>
            </w:pPr>
            <w:r>
              <w:rPr>
                <w:rFonts w:ascii="Arial" w:cs="Arial" w:eastAsia="Arial" w:hAnsi="Arial"/>
                <w:sz w:val="16"/>
                <w:szCs w:val="16"/>
                <w:b w:val="1"/>
                <w:bCs w:val="1"/>
                <w:color w:val="auto"/>
                <w:w w:val="92"/>
              </w:rPr>
              <w:t>Amount</w:t>
            </w:r>
          </w:p>
        </w:tc>
        <w:tc>
          <w:tcPr>
            <w:tcW w:w="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center"/>
              <w:ind w:right="2"/>
              <w:spacing w:after="0"/>
              <w:rPr>
                <w:sz w:val="20"/>
                <w:szCs w:val="20"/>
                <w:color w:val="auto"/>
              </w:rPr>
            </w:pPr>
            <w:r>
              <w:rPr>
                <w:rFonts w:ascii="Arial" w:cs="Arial" w:eastAsia="Arial" w:hAnsi="Arial"/>
                <w:sz w:val="16"/>
                <w:szCs w:val="16"/>
                <w:b w:val="1"/>
                <w:bCs w:val="1"/>
                <w:color w:val="auto"/>
                <w:w w:val="83"/>
              </w:rPr>
              <w:t>companies</w:t>
            </w: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center"/>
              <w:ind w:right="22"/>
              <w:spacing w:after="0"/>
              <w:rPr>
                <w:sz w:val="20"/>
                <w:szCs w:val="20"/>
                <w:color w:val="auto"/>
              </w:rPr>
            </w:pPr>
            <w:r>
              <w:rPr>
                <w:rFonts w:ascii="Arial" w:cs="Arial" w:eastAsia="Arial" w:hAnsi="Arial"/>
                <w:sz w:val="16"/>
                <w:szCs w:val="16"/>
                <w:b w:val="1"/>
                <w:bCs w:val="1"/>
                <w:color w:val="auto"/>
                <w:w w:val="83"/>
              </w:rPr>
              <w:t>companies</w:t>
            </w:r>
          </w:p>
        </w:tc>
        <w:tc>
          <w:tcPr>
            <w:tcW w:w="80" w:type="dxa"/>
            <w:vAlign w:val="bottom"/>
          </w:tcPr>
          <w:p>
            <w:pPr>
              <w:spacing w:after="0"/>
              <w:rPr>
                <w:sz w:val="18"/>
                <w:szCs w:val="18"/>
                <w:color w:val="auto"/>
              </w:rPr>
            </w:pPr>
          </w:p>
        </w:tc>
        <w:tc>
          <w:tcPr>
            <w:tcW w:w="940" w:type="dxa"/>
            <w:vAlign w:val="bottom"/>
            <w:tcBorders>
              <w:bottom w:val="single" w:sz="8" w:color="auto"/>
            </w:tcBorders>
            <w:gridSpan w:val="2"/>
            <w:vMerge w:val="continue"/>
          </w:tcPr>
          <w:p>
            <w:pPr>
              <w:spacing w:after="0"/>
              <w:rPr>
                <w:sz w:val="18"/>
                <w:szCs w:val="18"/>
                <w:color w:val="auto"/>
              </w:rPr>
            </w:pPr>
          </w:p>
        </w:tc>
        <w:tc>
          <w:tcPr>
            <w:tcW w:w="60" w:type="dxa"/>
            <w:vAlign w:val="bottom"/>
          </w:tcPr>
          <w:p>
            <w:pPr>
              <w:spacing w:after="0"/>
              <w:rPr>
                <w:sz w:val="18"/>
                <w:szCs w:val="18"/>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3"/>
              </w:rPr>
              <w:t>net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120" w:type="dxa"/>
            <w:vAlign w:val="bottom"/>
          </w:tcPr>
          <w:p>
            <w:pPr>
              <w:spacing w:after="0"/>
              <w:rPr>
                <w:sz w:val="20"/>
                <w:szCs w:val="20"/>
                <w:color w:val="auto"/>
              </w:rPr>
            </w:pPr>
            <w:r>
              <w:rPr>
                <w:rFonts w:ascii="Arial" w:cs="Arial" w:eastAsia="Arial" w:hAnsi="Arial"/>
                <w:sz w:val="16"/>
                <w:szCs w:val="16"/>
                <w:color w:val="auto"/>
              </w:rPr>
              <w:t>Life insurance in force</w:t>
            </w:r>
          </w:p>
        </w:tc>
        <w:tc>
          <w:tcPr>
            <w:tcW w:w="7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2"/>
              <w:spacing w:after="0"/>
              <w:rPr>
                <w:sz w:val="20"/>
                <w:szCs w:val="20"/>
                <w:color w:val="auto"/>
              </w:rPr>
            </w:pPr>
            <w:r>
              <w:rPr>
                <w:rFonts w:ascii="Arial" w:cs="Arial" w:eastAsia="Arial" w:hAnsi="Arial"/>
                <w:sz w:val="16"/>
                <w:szCs w:val="16"/>
                <w:color w:val="auto"/>
              </w:rPr>
              <w:t>8,448</w:t>
            </w: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(1,436)</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ind w:left="580"/>
              <w:spacing w:after="0"/>
              <w:rPr>
                <w:sz w:val="20"/>
                <w:szCs w:val="20"/>
                <w:color w:val="auto"/>
              </w:rPr>
            </w:pPr>
            <w:r>
              <w:rPr>
                <w:rFonts w:ascii="Arial" w:cs="Arial" w:eastAsia="Arial" w:hAnsi="Arial"/>
                <w:sz w:val="16"/>
                <w:szCs w:val="16"/>
                <w:color w:val="auto"/>
              </w:rPr>
              <w:t>—</w:t>
            </w:r>
          </w:p>
        </w:tc>
        <w:tc>
          <w:tcPr>
            <w:tcW w:w="360" w:type="dxa"/>
            <w:vAlign w:val="bottom"/>
            <w:gridSpan w:val="2"/>
          </w:tcPr>
          <w:p>
            <w:pPr>
              <w:ind w:left="120"/>
              <w:spacing w:after="0"/>
              <w:rPr>
                <w:sz w:val="20"/>
                <w:szCs w:val="20"/>
                <w:color w:val="auto"/>
              </w:rPr>
            </w:pPr>
            <w:r>
              <w:rPr>
                <w:rFonts w:ascii="Arial" w:cs="Arial" w:eastAsia="Arial" w:hAnsi="Arial"/>
                <w:sz w:val="16"/>
                <w:szCs w:val="16"/>
                <w:color w:val="auto"/>
              </w:rPr>
              <w:t>$</w:t>
            </w:r>
          </w:p>
        </w:tc>
        <w:tc>
          <w:tcPr>
            <w:tcW w:w="660" w:type="dxa"/>
            <w:vAlign w:val="bottom"/>
          </w:tcPr>
          <w:p>
            <w:pPr>
              <w:jc w:val="right"/>
              <w:ind w:right="2"/>
              <w:spacing w:after="0"/>
              <w:rPr>
                <w:sz w:val="20"/>
                <w:szCs w:val="20"/>
                <w:color w:val="auto"/>
              </w:rPr>
            </w:pPr>
            <w:r>
              <w:rPr>
                <w:rFonts w:ascii="Arial" w:cs="Arial" w:eastAsia="Arial" w:hAnsi="Arial"/>
                <w:sz w:val="16"/>
                <w:szCs w:val="16"/>
                <w:color w:val="auto"/>
              </w:rPr>
              <w:t>7,012</w:t>
            </w:r>
          </w:p>
        </w:tc>
        <w:tc>
          <w:tcPr>
            <w:tcW w:w="60" w:type="dxa"/>
            <w:vAlign w:val="bottom"/>
          </w:tcPr>
          <w:p>
            <w:pPr>
              <w:spacing w:after="0"/>
              <w:rPr>
                <w:sz w:val="19"/>
                <w:szCs w:val="19"/>
                <w:color w:val="auto"/>
              </w:rPr>
            </w:pPr>
          </w:p>
        </w:tc>
        <w:tc>
          <w:tcPr>
            <w:tcW w:w="980" w:type="dxa"/>
            <w:vAlign w:val="bottom"/>
            <w:gridSpan w:val="2"/>
          </w:tcPr>
          <w:p>
            <w:pPr>
              <w:ind w:left="600"/>
              <w:spacing w:after="0"/>
              <w:rPr>
                <w:sz w:val="20"/>
                <w:szCs w:val="20"/>
                <w:color w:val="auto"/>
              </w:rPr>
            </w:pPr>
            <w:r>
              <w:rPr>
                <w:rFonts w:ascii="Arial" w:cs="Arial" w:eastAsia="Arial" w:hAnsi="Arial"/>
                <w:sz w:val="16"/>
                <w:szCs w:val="16"/>
                <w:color w:val="auto"/>
              </w:rPr>
              <w:t>— %</w:t>
            </w:r>
          </w:p>
        </w:tc>
        <w:tc>
          <w:tcPr>
            <w:tcW w:w="0" w:type="dxa"/>
            <w:vAlign w:val="bottom"/>
          </w:tcPr>
          <w:p>
            <w:pPr>
              <w:spacing w:after="0"/>
              <w:rPr>
                <w:sz w:val="1"/>
                <w:szCs w:val="1"/>
                <w:color w:val="auto"/>
              </w:rPr>
            </w:pPr>
          </w:p>
        </w:tc>
      </w:tr>
      <w:tr>
        <w:trPr>
          <w:trHeight w:val="412"/>
        </w:trPr>
        <w:tc>
          <w:tcPr>
            <w:tcW w:w="3120" w:type="dxa"/>
            <w:vAlign w:val="bottom"/>
          </w:tcPr>
          <w:p>
            <w:pPr>
              <w:spacing w:after="0"/>
              <w:rPr>
                <w:sz w:val="20"/>
                <w:szCs w:val="20"/>
                <w:color w:val="auto"/>
              </w:rPr>
            </w:pPr>
            <w:r>
              <w:rPr>
                <w:rFonts w:ascii="Arial" w:cs="Arial" w:eastAsia="Arial" w:hAnsi="Arial"/>
                <w:sz w:val="16"/>
                <w:szCs w:val="16"/>
                <w:color w:val="auto"/>
              </w:rPr>
              <w:t>Premiums and other considerations:</w:t>
            </w: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120" w:type="dxa"/>
            <w:vAlign w:val="bottom"/>
          </w:tcPr>
          <w:p>
            <w:pPr>
              <w:spacing w:after="0"/>
              <w:rPr>
                <w:sz w:val="20"/>
                <w:szCs w:val="20"/>
                <w:color w:val="auto"/>
              </w:rPr>
            </w:pPr>
            <w:r>
              <w:rPr>
                <w:rFonts w:ascii="Arial" w:cs="Arial" w:eastAsia="Arial" w:hAnsi="Arial"/>
                <w:sz w:val="16"/>
                <w:szCs w:val="16"/>
                <w:color w:val="auto"/>
              </w:rPr>
              <w:t>Traditional life insurance premiums</w:t>
            </w:r>
          </w:p>
        </w:tc>
        <w:tc>
          <w:tcPr>
            <w:tcW w:w="6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tcPr>
          <w:p>
            <w:pPr>
              <w:jc w:val="right"/>
              <w:ind w:right="2"/>
              <w:spacing w:after="0"/>
              <w:rPr>
                <w:sz w:val="20"/>
                <w:szCs w:val="20"/>
                <w:color w:val="auto"/>
              </w:rPr>
            </w:pPr>
            <w:r>
              <w:rPr>
                <w:rFonts w:ascii="Arial" w:cs="Arial" w:eastAsia="Arial" w:hAnsi="Arial"/>
                <w:sz w:val="16"/>
                <w:szCs w:val="16"/>
                <w:color w:val="auto"/>
              </w:rPr>
              <w:t>148</w:t>
            </w: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(105)</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ind w:left="5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60" w:type="dxa"/>
            <w:vAlign w:val="bottom"/>
          </w:tcPr>
          <w:p>
            <w:pPr>
              <w:jc w:val="right"/>
              <w:ind w:right="2"/>
              <w:spacing w:after="0"/>
              <w:rPr>
                <w:sz w:val="20"/>
                <w:szCs w:val="20"/>
                <w:color w:val="auto"/>
              </w:rPr>
            </w:pPr>
            <w:r>
              <w:rPr>
                <w:rFonts w:ascii="Arial" w:cs="Arial" w:eastAsia="Arial" w:hAnsi="Arial"/>
                <w:sz w:val="16"/>
                <w:szCs w:val="16"/>
                <w:color w:val="auto"/>
              </w:rPr>
              <w:t>43</w:t>
            </w:r>
          </w:p>
        </w:tc>
        <w:tc>
          <w:tcPr>
            <w:tcW w:w="60" w:type="dxa"/>
            <w:vAlign w:val="bottom"/>
          </w:tcPr>
          <w:p>
            <w:pPr>
              <w:spacing w:after="0"/>
              <w:rPr>
                <w:sz w:val="21"/>
                <w:szCs w:val="21"/>
                <w:color w:val="auto"/>
              </w:rPr>
            </w:pPr>
          </w:p>
        </w:tc>
        <w:tc>
          <w:tcPr>
            <w:tcW w:w="980" w:type="dxa"/>
            <w:vAlign w:val="bottom"/>
            <w:gridSpan w:val="2"/>
          </w:tcPr>
          <w:p>
            <w:pPr>
              <w:ind w:left="6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0"/>
        </w:trPr>
        <w:tc>
          <w:tcPr>
            <w:tcW w:w="3120" w:type="dxa"/>
            <w:vAlign w:val="bottom"/>
          </w:tcPr>
          <w:p>
            <w:pPr>
              <w:spacing w:after="0"/>
              <w:rPr>
                <w:sz w:val="20"/>
                <w:szCs w:val="20"/>
                <w:color w:val="auto"/>
              </w:rPr>
            </w:pPr>
            <w:r>
              <w:rPr>
                <w:rFonts w:ascii="Arial" w:cs="Arial" w:eastAsia="Arial" w:hAnsi="Arial"/>
                <w:sz w:val="16"/>
                <w:szCs w:val="16"/>
                <w:color w:val="auto"/>
              </w:rPr>
              <w:t>Life-contingent PRT premiums</w:t>
            </w:r>
          </w:p>
        </w:tc>
        <w:tc>
          <w:tcPr>
            <w:tcW w:w="6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tcPr>
          <w:p>
            <w:pPr>
              <w:jc w:val="right"/>
              <w:ind w:right="2"/>
              <w:spacing w:after="0"/>
              <w:rPr>
                <w:sz w:val="20"/>
                <w:szCs w:val="20"/>
                <w:color w:val="auto"/>
              </w:rPr>
            </w:pPr>
            <w:r>
              <w:rPr>
                <w:rFonts w:ascii="Arial" w:cs="Arial" w:eastAsia="Arial" w:hAnsi="Arial"/>
                <w:sz w:val="16"/>
                <w:szCs w:val="16"/>
                <w:color w:val="auto"/>
              </w:rPr>
              <w:t>1,964</w:t>
            </w: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ind w:left="5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60" w:type="dxa"/>
            <w:vAlign w:val="bottom"/>
          </w:tcPr>
          <w:p>
            <w:pPr>
              <w:jc w:val="right"/>
              <w:ind w:right="2"/>
              <w:spacing w:after="0"/>
              <w:rPr>
                <w:sz w:val="20"/>
                <w:szCs w:val="20"/>
                <w:color w:val="auto"/>
              </w:rPr>
            </w:pPr>
            <w:r>
              <w:rPr>
                <w:rFonts w:ascii="Arial" w:cs="Arial" w:eastAsia="Arial" w:hAnsi="Arial"/>
                <w:sz w:val="16"/>
                <w:szCs w:val="16"/>
                <w:color w:val="auto"/>
              </w:rPr>
              <w:t>1,964</w:t>
            </w:r>
          </w:p>
        </w:tc>
        <w:tc>
          <w:tcPr>
            <w:tcW w:w="60" w:type="dxa"/>
            <w:vAlign w:val="bottom"/>
          </w:tcPr>
          <w:p>
            <w:pPr>
              <w:spacing w:after="0"/>
              <w:rPr>
                <w:sz w:val="21"/>
                <w:szCs w:val="21"/>
                <w:color w:val="auto"/>
              </w:rPr>
            </w:pPr>
          </w:p>
        </w:tc>
        <w:tc>
          <w:tcPr>
            <w:tcW w:w="980" w:type="dxa"/>
            <w:vAlign w:val="bottom"/>
            <w:gridSpan w:val="2"/>
          </w:tcPr>
          <w:p>
            <w:pPr>
              <w:ind w:left="6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7"/>
        </w:trPr>
        <w:tc>
          <w:tcPr>
            <w:tcW w:w="3120" w:type="dxa"/>
            <w:vAlign w:val="bottom"/>
          </w:tcPr>
          <w:p>
            <w:pPr>
              <w:spacing w:after="0"/>
              <w:rPr>
                <w:sz w:val="20"/>
                <w:szCs w:val="20"/>
                <w:color w:val="auto"/>
              </w:rPr>
            </w:pPr>
            <w:r>
              <w:rPr>
                <w:rFonts w:ascii="Arial" w:cs="Arial" w:eastAsia="Arial" w:hAnsi="Arial"/>
                <w:sz w:val="16"/>
                <w:szCs w:val="16"/>
                <w:color w:val="auto"/>
              </w:rPr>
              <w:t>Annuity product charges and other fees</w:t>
            </w:r>
          </w:p>
        </w:tc>
        <w:tc>
          <w:tcPr>
            <w:tcW w:w="6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455</w:t>
            </w:r>
          </w:p>
        </w:tc>
        <w:tc>
          <w:tcPr>
            <w:tcW w:w="6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w:t>
            </w:r>
          </w:p>
        </w:tc>
        <w:tc>
          <w:tcPr>
            <w:tcW w:w="8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ind w:left="5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406</w:t>
            </w:r>
          </w:p>
        </w:tc>
        <w:tc>
          <w:tcPr>
            <w:tcW w:w="60" w:type="dxa"/>
            <w:vAlign w:val="bottom"/>
          </w:tcPr>
          <w:p>
            <w:pPr>
              <w:spacing w:after="0"/>
              <w:rPr>
                <w:sz w:val="22"/>
                <w:szCs w:val="22"/>
                <w:color w:val="auto"/>
              </w:rPr>
            </w:pPr>
          </w:p>
        </w:tc>
        <w:tc>
          <w:tcPr>
            <w:tcW w:w="960" w:type="dxa"/>
            <w:vAlign w:val="bottom"/>
            <w:tcBorders>
              <w:bottom w:val="single" w:sz="8" w:color="auto"/>
            </w:tcBorders>
          </w:tcPr>
          <w:p>
            <w:pPr>
              <w:ind w:left="60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3120" w:type="dxa"/>
            <w:vAlign w:val="bottom"/>
          </w:tcPr>
          <w:p>
            <w:pPr>
              <w:spacing w:after="0"/>
              <w:rPr>
                <w:sz w:val="20"/>
                <w:szCs w:val="20"/>
                <w:color w:val="auto"/>
              </w:rPr>
            </w:pPr>
            <w:r>
              <w:rPr>
                <w:rFonts w:ascii="Arial" w:cs="Arial" w:eastAsia="Arial" w:hAnsi="Arial"/>
                <w:sz w:val="16"/>
                <w:szCs w:val="16"/>
                <w:color w:val="auto"/>
              </w:rPr>
              <w:t>Total premiums and other considerations</w:t>
            </w:r>
          </w:p>
        </w:tc>
        <w:tc>
          <w:tcPr>
            <w:tcW w:w="7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2"/>
              <w:spacing w:after="0"/>
              <w:rPr>
                <w:sz w:val="20"/>
                <w:szCs w:val="20"/>
                <w:color w:val="auto"/>
              </w:rPr>
            </w:pPr>
            <w:r>
              <w:rPr>
                <w:rFonts w:ascii="Arial" w:cs="Arial" w:eastAsia="Arial" w:hAnsi="Arial"/>
                <w:sz w:val="16"/>
                <w:szCs w:val="16"/>
                <w:color w:val="auto"/>
              </w:rPr>
              <w:t>2,567</w:t>
            </w: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(154)</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ind w:left="580"/>
              <w:spacing w:after="0"/>
              <w:rPr>
                <w:sz w:val="20"/>
                <w:szCs w:val="20"/>
                <w:color w:val="auto"/>
              </w:rPr>
            </w:pPr>
            <w:r>
              <w:rPr>
                <w:rFonts w:ascii="Arial" w:cs="Arial" w:eastAsia="Arial" w:hAnsi="Arial"/>
                <w:sz w:val="16"/>
                <w:szCs w:val="16"/>
                <w:color w:val="auto"/>
              </w:rPr>
              <w:t>—</w:t>
            </w:r>
          </w:p>
        </w:tc>
        <w:tc>
          <w:tcPr>
            <w:tcW w:w="360" w:type="dxa"/>
            <w:vAlign w:val="bottom"/>
            <w:gridSpan w:val="2"/>
          </w:tcPr>
          <w:p>
            <w:pPr>
              <w:ind w:left="120"/>
              <w:spacing w:after="0"/>
              <w:rPr>
                <w:sz w:val="20"/>
                <w:szCs w:val="20"/>
                <w:color w:val="auto"/>
              </w:rPr>
            </w:pPr>
            <w:r>
              <w:rPr>
                <w:rFonts w:ascii="Arial" w:cs="Arial" w:eastAsia="Arial" w:hAnsi="Arial"/>
                <w:sz w:val="16"/>
                <w:szCs w:val="16"/>
                <w:color w:val="auto"/>
              </w:rPr>
              <w:t>$</w:t>
            </w:r>
          </w:p>
        </w:tc>
        <w:tc>
          <w:tcPr>
            <w:tcW w:w="660" w:type="dxa"/>
            <w:vAlign w:val="bottom"/>
          </w:tcPr>
          <w:p>
            <w:pPr>
              <w:jc w:val="right"/>
              <w:ind w:right="2"/>
              <w:spacing w:after="0"/>
              <w:rPr>
                <w:sz w:val="20"/>
                <w:szCs w:val="20"/>
                <w:color w:val="auto"/>
              </w:rPr>
            </w:pPr>
            <w:r>
              <w:rPr>
                <w:rFonts w:ascii="Arial" w:cs="Arial" w:eastAsia="Arial" w:hAnsi="Arial"/>
                <w:sz w:val="16"/>
                <w:szCs w:val="16"/>
                <w:color w:val="auto"/>
              </w:rPr>
              <w:t>2,413</w:t>
            </w:r>
          </w:p>
        </w:tc>
        <w:tc>
          <w:tcPr>
            <w:tcW w:w="60" w:type="dxa"/>
            <w:vAlign w:val="bottom"/>
          </w:tcPr>
          <w:p>
            <w:pPr>
              <w:spacing w:after="0"/>
              <w:rPr>
                <w:sz w:val="18"/>
                <w:szCs w:val="18"/>
                <w:color w:val="auto"/>
              </w:rPr>
            </w:pPr>
          </w:p>
        </w:tc>
        <w:tc>
          <w:tcPr>
            <w:tcW w:w="980" w:type="dxa"/>
            <w:vAlign w:val="bottom"/>
            <w:gridSpan w:val="2"/>
          </w:tcPr>
          <w:p>
            <w:pPr>
              <w:ind w:left="600"/>
              <w:spacing w:after="0"/>
              <w:rPr>
                <w:sz w:val="20"/>
                <w:szCs w:val="20"/>
                <w:color w:val="auto"/>
              </w:rPr>
            </w:pPr>
            <w:r>
              <w:rPr>
                <w:rFonts w:ascii="Arial" w:cs="Arial" w:eastAsia="Arial" w:hAnsi="Arial"/>
                <w:sz w:val="16"/>
                <w:szCs w:val="16"/>
                <w:color w:val="auto"/>
              </w:rPr>
              <w:t>— %</w:t>
            </w: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48895</wp:posOffset>
            </wp:positionH>
            <wp:positionV relativeFrom="paragraph">
              <wp:posOffset>-4268470</wp:posOffset>
            </wp:positionV>
            <wp:extent cx="5616575" cy="109283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188">
                      <a:extLst>
                        <a:ext uri="{28A0092B-C50C-407E-A947-70E740481C1C}"/>
                      </a:extLst>
                    </a:blip>
                    <a:srcRect/>
                    <a:stretch>
                      <a:fillRect/>
                    </a:stretch>
                  </pic:blipFill>
                  <pic:spPr bwMode="auto">
                    <a:xfrm>
                      <a:off x="0" y="0"/>
                      <a:ext cx="5616575" cy="1092835"/>
                    </a:xfrm>
                    <a:prstGeom prst="rect">
                      <a:avLst/>
                    </a:prstGeom>
                    <a:noFill/>
                  </pic:spPr>
                </pic:pic>
              </a:graphicData>
            </a:graphic>
          </wp:anchor>
        </w:drawing>
        <w:drawing>
          <wp:anchor simplePos="0" relativeHeight="251657728" behindDoc="1" locked="0" layoutInCell="0" allowOverlap="1">
            <wp:simplePos x="0" y="0"/>
            <wp:positionH relativeFrom="column">
              <wp:posOffset>48895</wp:posOffset>
            </wp:positionH>
            <wp:positionV relativeFrom="paragraph">
              <wp:posOffset>-2672715</wp:posOffset>
            </wp:positionV>
            <wp:extent cx="5616575" cy="115506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189">
                      <a:extLst>
                        <a:ext uri="{28A0092B-C50C-407E-A947-70E740481C1C}"/>
                      </a:extLst>
                    </a:blip>
                    <a:srcRect/>
                    <a:stretch>
                      <a:fillRect/>
                    </a:stretch>
                  </pic:blipFill>
                  <pic:spPr bwMode="auto">
                    <a:xfrm>
                      <a:off x="0" y="0"/>
                      <a:ext cx="5616575" cy="1155065"/>
                    </a:xfrm>
                    <a:prstGeom prst="rect">
                      <a:avLst/>
                    </a:prstGeom>
                    <a:noFill/>
                  </pic:spPr>
                </pic:pic>
              </a:graphicData>
            </a:graphic>
          </wp:anchor>
        </w:drawing>
        <w:drawing>
          <wp:anchor simplePos="0" relativeHeight="251657728" behindDoc="1" locked="0" layoutInCell="0" allowOverlap="1">
            <wp:simplePos x="0" y="0"/>
            <wp:positionH relativeFrom="column">
              <wp:posOffset>48895</wp:posOffset>
            </wp:positionH>
            <wp:positionV relativeFrom="paragraph">
              <wp:posOffset>-1085850</wp:posOffset>
            </wp:positionV>
            <wp:extent cx="5616575" cy="109283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190">
                      <a:extLst>
                        <a:ext uri="{28A0092B-C50C-407E-A947-70E740481C1C}"/>
                      </a:extLst>
                    </a:blip>
                    <a:srcRect/>
                    <a:stretch>
                      <a:fillRect/>
                    </a:stretch>
                  </pic:blipFill>
                  <pic:spPr bwMode="auto">
                    <a:xfrm>
                      <a:off x="0" y="0"/>
                      <a:ext cx="5616575" cy="1092835"/>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See Report of Independent Registered Public Accounting Firm</w:t>
      </w:r>
    </w:p>
    <w:p>
      <w:pPr>
        <w:sectPr>
          <w:pgSz w:w="11880" w:h="15480" w:orient="portrait"/>
          <w:cols w:equalWidth="0" w:num="1">
            <w:col w:w="9000"/>
          </w:cols>
          <w:pgMar w:left="1440" w:top="1177"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206</w:t>
      </w:r>
    </w:p>
    <w:p>
      <w:pPr>
        <w:sectPr>
          <w:pgSz w:w="11880" w:h="15480" w:orient="portrait"/>
          <w:cols w:equalWidth="0" w:num="1">
            <w:col w:w="9000"/>
          </w:cols>
          <w:pgMar w:left="1440" w:top="1177" w:right="1440" w:bottom="0" w:gutter="0" w:footer="0" w:header="0"/>
          <w:type w:val="continuous"/>
        </w:sectPr>
      </w:pPr>
    </w:p>
    <w:bookmarkStart w:id="218" w:name="page219"/>
    <w:bookmarkEnd w:id="218"/>
    <w:p>
      <w:pPr>
        <w:spacing w:after="0"/>
        <w:rPr>
          <w:sz w:val="20"/>
          <w:szCs w:val="20"/>
          <w:color w:val="auto"/>
        </w:rPr>
      </w:pPr>
      <w:r>
        <w:rPr>
          <w:rFonts w:ascii="Arial" w:cs="Arial" w:eastAsia="Arial" w:hAnsi="Arial"/>
          <w:sz w:val="18"/>
          <w:szCs w:val="18"/>
          <w:color w:val="FFFFFF"/>
        </w:rPr>
        <w:t>BOARD OF DIRECTORS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FFFFFF"/>
        </w:rPr>
        <w:t>William P. Foley, II</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FFFFFF"/>
        </w:rPr>
        <w:t>Chairman of the Board</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FFFFFF"/>
        </w:rPr>
        <w:t>Fidelity National Financial, Inc.</w:t>
      </w:r>
    </w:p>
    <w:p>
      <w:pPr>
        <w:spacing w:after="0" w:line="25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color w:val="FFFFFF"/>
        </w:rPr>
        <w:t>Raymond R. Quirk</w:t>
      </w:r>
    </w:p>
    <w:p>
      <w:pPr>
        <w:spacing w:after="0" w:line="2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i w:val="1"/>
          <w:iCs w:val="1"/>
          <w:color w:val="FFFFFF"/>
        </w:rPr>
        <w:t>Executive Vice-Chairman of the Board</w:t>
      </w:r>
    </w:p>
    <w:p>
      <w:pPr>
        <w:spacing w:after="0" w:line="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FFFFFF"/>
        </w:rPr>
        <w:t>Fidelity National Financial, Inc.</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FFFFFF"/>
        </w:rPr>
        <w:t>Douglas K. Ammerman</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FFFFFF"/>
        </w:rPr>
        <w:t>Retired</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FFFFFF"/>
        </w:rPr>
        <w:t>KPMG LLP</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FFFFFF"/>
        </w:rPr>
        <w:t>The Honorable Halim Dhanidina</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FFFFFF"/>
        </w:rPr>
        <w:t>Retired Justice</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FFFFFF"/>
        </w:rPr>
        <w:t>California Court of Appeal 2018-2021</w:t>
      </w: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FFFFFF"/>
        </w:rPr>
        <w:t>Thomas M. Hagerty</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FFFFFF"/>
        </w:rPr>
        <w:t>Managing Partner</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FFFFFF"/>
        </w:rPr>
        <w:t>Thomas H. Lee Partners, L.P.</w:t>
      </w:r>
    </w:p>
    <w:p>
      <w:pPr>
        <w:spacing w:after="0" w:line="240" w:lineRule="exact"/>
        <w:rPr>
          <w:sz w:val="20"/>
          <w:szCs w:val="20"/>
          <w:color w:val="auto"/>
        </w:rPr>
      </w:pPr>
    </w:p>
    <w:p>
      <w:pPr>
        <w:ind w:right="1180"/>
        <w:spacing w:after="0" w:line="295" w:lineRule="auto"/>
        <w:rPr>
          <w:sz w:val="20"/>
          <w:szCs w:val="20"/>
          <w:color w:val="auto"/>
        </w:rPr>
      </w:pPr>
      <w:r>
        <w:rPr>
          <w:rFonts w:ascii="Times New Roman" w:cs="Times New Roman" w:eastAsia="Times New Roman" w:hAnsi="Times New Roman"/>
          <w:sz w:val="17"/>
          <w:szCs w:val="17"/>
          <w:b w:val="1"/>
          <w:bCs w:val="1"/>
          <w:color w:val="FFFFFF"/>
        </w:rPr>
        <w:t xml:space="preserve">Daniel D. Lane </w:t>
      </w:r>
      <w:r>
        <w:rPr>
          <w:rFonts w:ascii="Times New Roman" w:cs="Times New Roman" w:eastAsia="Times New Roman" w:hAnsi="Times New Roman"/>
          <w:sz w:val="17"/>
          <w:szCs w:val="17"/>
          <w:i w:val="1"/>
          <w:iCs w:val="1"/>
          <w:color w:val="FFFFFF"/>
        </w:rPr>
        <w:t xml:space="preserve">Chairman of the Board </w:t>
      </w:r>
      <w:r>
        <w:rPr>
          <w:rFonts w:ascii="Times New Roman" w:cs="Times New Roman" w:eastAsia="Times New Roman" w:hAnsi="Times New Roman"/>
          <w:sz w:val="17"/>
          <w:szCs w:val="17"/>
          <w:color w:val="FFFFFF"/>
        </w:rPr>
        <w:t>Lane/Kuhn Pacific</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FFFFFF"/>
        </w:rPr>
        <w:t>Sandra D. Morgan</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FFFFFF"/>
        </w:rPr>
        <w:t>President</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FFFFFF"/>
        </w:rPr>
        <w:t>Las Vegas Raiders</w:t>
      </w:r>
    </w:p>
    <w:p>
      <w:pPr>
        <w:spacing w:after="0" w:line="240" w:lineRule="exact"/>
        <w:rPr>
          <w:sz w:val="20"/>
          <w:szCs w:val="20"/>
          <w:color w:val="auto"/>
        </w:rPr>
      </w:pPr>
    </w:p>
    <w:p>
      <w:pPr>
        <w:ind w:right="840"/>
        <w:spacing w:after="0" w:line="295" w:lineRule="auto"/>
        <w:rPr>
          <w:sz w:val="20"/>
          <w:szCs w:val="20"/>
          <w:color w:val="auto"/>
        </w:rPr>
      </w:pPr>
      <w:r>
        <w:rPr>
          <w:rFonts w:ascii="Times New Roman" w:cs="Times New Roman" w:eastAsia="Times New Roman" w:hAnsi="Times New Roman"/>
          <w:sz w:val="17"/>
          <w:szCs w:val="17"/>
          <w:b w:val="1"/>
          <w:bCs w:val="1"/>
          <w:color w:val="FFFFFF"/>
        </w:rPr>
        <w:t xml:space="preserve">Heather H. Miller </w:t>
      </w:r>
      <w:r>
        <w:rPr>
          <w:rFonts w:ascii="Times New Roman" w:cs="Times New Roman" w:eastAsia="Times New Roman" w:hAnsi="Times New Roman"/>
          <w:sz w:val="17"/>
          <w:szCs w:val="17"/>
          <w:i w:val="1"/>
          <w:iCs w:val="1"/>
          <w:color w:val="FFFFFF"/>
        </w:rPr>
        <w:t xml:space="preserve">Retired Managing Director </w:t>
      </w:r>
      <w:r>
        <w:rPr>
          <w:rFonts w:ascii="Times New Roman" w:cs="Times New Roman" w:eastAsia="Times New Roman" w:hAnsi="Times New Roman"/>
          <w:sz w:val="17"/>
          <w:szCs w:val="17"/>
          <w:color w:val="FFFFFF"/>
        </w:rPr>
        <w:t>Merrill Lynch</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FFFFFF"/>
        </w:rPr>
        <w:t>John D. Rood</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FFFFFF"/>
        </w:rPr>
        <w:t>Chairman</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FFFFFF"/>
        </w:rPr>
        <w:t>The Vestcor Companies, Inc.</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FFFFFF"/>
        </w:rPr>
        <w:t>Peter O. Shea, Jr.</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FFFFFF"/>
        </w:rPr>
        <w:t>President and Chief Executive Officer</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FFFFFF"/>
        </w:rPr>
        <w:t>J.F. Shea Company</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FFFFFF"/>
        </w:rPr>
        <w:t>Cary H. Thompson</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FFFFFF"/>
        </w:rPr>
        <w:t>Vice Chairman</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FFFFFF"/>
        </w:rPr>
        <w:t>BofA Securities,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FFFFFF"/>
        </w:rPr>
        <w:t>EXECUTIVE OFFICERS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-2755265</wp:posOffset>
                </wp:positionH>
                <wp:positionV relativeFrom="paragraph">
                  <wp:posOffset>-688340</wp:posOffset>
                </wp:positionV>
                <wp:extent cx="7543165" cy="9829165"/>
                <wp:wrapNone/>
                <wp:docPr id="235" name="Shape 23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543165" cy="9829165"/>
                        </a:xfrm>
                        <a:prstGeom prst="rect">
                          <a:avLst/>
                        </a:prstGeom>
                        <a:solidFill>
                          <a:srgbClr val="000000"/>
                        </a:solidFill>
                      </wps:spPr>
                      <wps:bodyPr/>
                    </wps:wsp>
                  </a:graphicData>
                </a:graphic>
              </wp:anchor>
            </w:drawing>
          </mc:Choice>
          <mc:Fallback>
            <w:pict>
              <v:rect id="Shape 235" o:spid="_x0000_s1260" style="position:absolute;margin-left:-216.9499pt;margin-top:-54.1999pt;width:593.95pt;height:773.9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000" stroked="f"/>
            </w:pict>
          </mc:Fallback>
        </mc:AlternateContent>
        <mc:AlternateContent>
          <mc:Choice Requires="wps">
            <w:drawing>
              <wp:anchor simplePos="0" relativeHeight="251657728" behindDoc="1" locked="0" layoutInCell="0" allowOverlap="1">
                <wp:simplePos x="0" y="0"/>
                <wp:positionH relativeFrom="column">
                  <wp:posOffset>-2755265</wp:posOffset>
                </wp:positionH>
                <wp:positionV relativeFrom="paragraph">
                  <wp:posOffset>-688340</wp:posOffset>
                </wp:positionV>
                <wp:extent cx="7543165" cy="9829165"/>
                <wp:wrapNone/>
                <wp:docPr id="236" name="Shape 23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543165" cy="9829165"/>
                        </a:xfrm>
                        <a:prstGeom prst="rect">
                          <a:avLst/>
                        </a:prstGeom>
                        <a:solidFill>
                          <a:srgbClr val="FFFFFF"/>
                        </a:solidFill>
                      </wps:spPr>
                      <wps:bodyPr/>
                    </wps:wsp>
                  </a:graphicData>
                </a:graphic>
              </wp:anchor>
            </w:drawing>
          </mc:Choice>
          <mc:Fallback>
            <w:pict>
              <v:rect id="Shape 236" o:spid="_x0000_s1261" style="position:absolute;margin-left:-216.9499pt;margin-top:-54.1999pt;width:593.95pt;height:773.9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FFFFF" stroked="f"/>
            </w:pict>
          </mc:Fallback>
        </mc:AlternateContent>
        <mc:AlternateContent>
          <mc:Choice Requires="wps">
            <w:drawing>
              <wp:anchor simplePos="0" relativeHeight="251657728" behindDoc="1" locked="0" layoutInCell="0" allowOverlap="1">
                <wp:simplePos x="0" y="0"/>
                <wp:positionH relativeFrom="column">
                  <wp:posOffset>-2755265</wp:posOffset>
                </wp:positionH>
                <wp:positionV relativeFrom="paragraph">
                  <wp:posOffset>-688340</wp:posOffset>
                </wp:positionV>
                <wp:extent cx="7543165" cy="9829165"/>
                <wp:wrapNone/>
                <wp:docPr id="237" name="Shape 23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543165" cy="9829165"/>
                        </a:xfrm>
                        <a:prstGeom prst="rect">
                          <a:avLst/>
                        </a:prstGeom>
                        <a:solidFill>
                          <a:srgbClr val="3170AE"/>
                        </a:solidFill>
                      </wps:spPr>
                      <wps:bodyPr/>
                    </wps:wsp>
                  </a:graphicData>
                </a:graphic>
              </wp:anchor>
            </w:drawing>
          </mc:Choice>
          <mc:Fallback>
            <w:pict>
              <v:rect id="Shape 237" o:spid="_x0000_s1262" style="position:absolute;margin-left:-216.9499pt;margin-top:-54.1999pt;width:593.95pt;height:773.9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3170AE" stroked="f"/>
            </w:pict>
          </mc:Fallback>
        </mc:AlternateContent>
      </w: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FFFFFF"/>
        </w:rPr>
        <w:t>Raymond R. Quirk</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FFFFFF"/>
        </w:rPr>
        <w:t>Executive Vice-Chairman of the Board</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FFFFFF"/>
        </w:rPr>
        <w:t>Michael J. Nolan</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FFFFFF"/>
        </w:rPr>
        <w:t>Chief Executive Officer</w:t>
      </w: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FFFFFF"/>
        </w:rPr>
        <w:t>Anthony J. Park</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FFFFFF"/>
        </w:rPr>
        <w:t>Executive Vice President</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FFFFFF"/>
        </w:rPr>
        <w:t>Chief Financial Officer</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FFFFFF"/>
        </w:rPr>
        <w:t>Peter T. Sadowski</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FFFFFF"/>
        </w:rPr>
        <w:t>Executive Vice President</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FFFFFF"/>
        </w:rPr>
        <w:t>Chief Legal Officer</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FFFFFF"/>
        </w:rPr>
        <w:t>Michael L. Gravelle</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FFFFFF"/>
        </w:rPr>
        <w:t>Executive Vice President</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FFFFFF"/>
        </w:rPr>
        <w:t>General Counsel and Corporate Secretary</w:t>
      </w: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color w:val="FFFFFF"/>
        </w:rPr>
        <w:t>GENERAL INFORMATION</w:t>
      </w:r>
    </w:p>
    <w:p>
      <w:pPr>
        <w:spacing w:after="0" w:line="340" w:lineRule="exact"/>
        <w:rPr>
          <w:sz w:val="20"/>
          <w:szCs w:val="20"/>
          <w:color w:val="auto"/>
        </w:rPr>
      </w:pPr>
    </w:p>
    <w:p>
      <w:pPr>
        <w:spacing w:after="0"/>
        <w:rPr>
          <w:sz w:val="20"/>
          <w:szCs w:val="20"/>
          <w:color w:val="auto"/>
        </w:rPr>
      </w:pPr>
      <w:r>
        <w:rPr>
          <w:rFonts w:ascii="Arial" w:cs="Arial" w:eastAsia="Arial" w:hAnsi="Arial"/>
          <w:sz w:val="17"/>
          <w:szCs w:val="17"/>
          <w:b w:val="1"/>
          <w:bCs w:val="1"/>
          <w:color w:val="FFFFFF"/>
        </w:rPr>
        <w:t>CORPORATE OFFICE</w:t>
      </w:r>
    </w:p>
    <w:p>
      <w:pPr>
        <w:spacing w:after="0" w:line="53" w:lineRule="exact"/>
        <w:rPr>
          <w:sz w:val="20"/>
          <w:szCs w:val="20"/>
          <w:color w:val="auto"/>
        </w:rPr>
      </w:pPr>
    </w:p>
    <w:p>
      <w:pPr>
        <w:ind w:right="780"/>
        <w:spacing w:after="0" w:line="309" w:lineRule="auto"/>
        <w:rPr>
          <w:sz w:val="20"/>
          <w:szCs w:val="20"/>
          <w:color w:val="auto"/>
        </w:rPr>
      </w:pPr>
      <w:r>
        <w:rPr>
          <w:rFonts w:ascii="Times New Roman" w:cs="Times New Roman" w:eastAsia="Times New Roman" w:hAnsi="Times New Roman"/>
          <w:sz w:val="17"/>
          <w:szCs w:val="17"/>
          <w:color w:val="FFFFFF"/>
        </w:rPr>
        <w:t>Fidelity National Financial, Inc. 601 Riverside Avenue Jacksonville, FL 32204 www.fnf.com</w:t>
      </w:r>
    </w:p>
    <w:p>
      <w:pPr>
        <w:spacing w:after="0" w:line="196" w:lineRule="exact"/>
        <w:rPr>
          <w:sz w:val="20"/>
          <w:szCs w:val="20"/>
          <w:color w:val="auto"/>
        </w:rPr>
      </w:pPr>
    </w:p>
    <w:p>
      <w:pPr>
        <w:spacing w:after="0"/>
        <w:rPr>
          <w:sz w:val="20"/>
          <w:szCs w:val="20"/>
          <w:color w:val="auto"/>
        </w:rPr>
      </w:pPr>
      <w:r>
        <w:rPr>
          <w:rFonts w:ascii="Arial" w:cs="Arial" w:eastAsia="Arial" w:hAnsi="Arial"/>
          <w:sz w:val="14"/>
          <w:szCs w:val="14"/>
          <w:b w:val="1"/>
          <w:bCs w:val="1"/>
          <w:color w:val="FFFFFF"/>
        </w:rPr>
        <w:t>STOCK TRANSFER AGENT AND REGISTRAR</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FFFFFF"/>
        </w:rPr>
        <w:t>Continental Stock Transfer and</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FFFFFF"/>
        </w:rPr>
        <w:t>Trust Company</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FFFFFF"/>
        </w:rPr>
        <w:t>1 State Street</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FFFFFF"/>
        </w:rPr>
        <w:t>30th Floor</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FFFFFF"/>
        </w:rPr>
        <w:t>New York, NY 10004</w:t>
      </w:r>
    </w:p>
    <w:p>
      <w:pPr>
        <w:spacing w:after="0" w:line="45" w:lineRule="exact"/>
        <w:rPr>
          <w:sz w:val="20"/>
          <w:szCs w:val="20"/>
          <w:color w:val="auto"/>
        </w:rPr>
      </w:pPr>
    </w:p>
    <w:p>
      <w:pPr>
        <w:ind w:right="500" w:firstLine="7"/>
        <w:spacing w:after="0" w:line="317" w:lineRule="auto"/>
        <w:tabs>
          <w:tab w:leader="none" w:pos="431" w:val="left"/>
        </w:tabs>
        <w:numPr>
          <w:ilvl w:val="0"/>
          <w:numId w:val="73"/>
        </w:numPr>
        <w:rPr>
          <w:rFonts w:ascii="Times New Roman" w:cs="Times New Roman" w:eastAsia="Times New Roman" w:hAnsi="Times New Roman"/>
          <w:sz w:val="17"/>
          <w:szCs w:val="17"/>
          <w:color w:val="FFFFFF"/>
        </w:rPr>
      </w:pPr>
      <w:r>
        <w:rPr>
          <w:rFonts w:ascii="Times New Roman" w:cs="Times New Roman" w:eastAsia="Times New Roman" w:hAnsi="Times New Roman"/>
          <w:sz w:val="17"/>
          <w:szCs w:val="17"/>
          <w:color w:val="FFFFFF"/>
        </w:rPr>
        <w:t>509-4000 cstmail@continentalstock.com www.continentalstock.com/contact</w:t>
      </w:r>
    </w:p>
    <w:p>
      <w:pPr>
        <w:spacing w:after="0" w:line="20" w:lineRule="exact"/>
        <w:rPr>
          <w:sz w:val="20"/>
          <w:szCs w:val="20"/>
          <w:color w:val="auto"/>
        </w:rPr>
      </w:pPr>
      <w:r>
        <w:rPr>
          <w:sz w:val="20"/>
          <w:szCs w:val="20"/>
          <w:color w:val="auto"/>
        </w:rPr>
        <w:br w:type="column"/>
      </w:r>
    </w:p>
    <w:p>
      <w:pPr>
        <w:spacing w:after="0" w:line="50" w:lineRule="exact"/>
        <w:rPr>
          <w:sz w:val="20"/>
          <w:szCs w:val="20"/>
          <w:color w:val="auto"/>
        </w:rPr>
      </w:pPr>
    </w:p>
    <w:p>
      <w:pPr>
        <w:ind w:right="400"/>
        <w:spacing w:after="0" w:line="275" w:lineRule="auto"/>
        <w:rPr>
          <w:sz w:val="20"/>
          <w:szCs w:val="20"/>
          <w:color w:val="auto"/>
        </w:rPr>
      </w:pPr>
      <w:r>
        <w:rPr>
          <w:rFonts w:ascii="Arial" w:cs="Arial" w:eastAsia="Arial" w:hAnsi="Arial"/>
          <w:sz w:val="17"/>
          <w:szCs w:val="17"/>
          <w:b w:val="1"/>
          <w:bCs w:val="1"/>
          <w:color w:val="FFFFFF"/>
        </w:rPr>
        <w:t>INDEPENDENT REGISTERED PUBLIC ACCOUNTING FIRM</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FFFFFF"/>
        </w:rPr>
        <w:t>Ernst &amp; Young LLP</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FFFFFF"/>
        </w:rPr>
        <w:t>12926 Gran Bay Parkway</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FFFFFF"/>
        </w:rPr>
        <w:t>Jacksonville, FL 32258</w:t>
      </w:r>
    </w:p>
    <w:p>
      <w:pPr>
        <w:spacing w:after="0" w:line="236" w:lineRule="exact"/>
        <w:rPr>
          <w:sz w:val="20"/>
          <w:szCs w:val="20"/>
          <w:color w:val="auto"/>
        </w:rPr>
      </w:pPr>
    </w:p>
    <w:p>
      <w:pPr>
        <w:spacing w:after="0"/>
        <w:rPr>
          <w:sz w:val="20"/>
          <w:szCs w:val="20"/>
          <w:color w:val="auto"/>
        </w:rPr>
      </w:pPr>
      <w:r>
        <w:rPr>
          <w:rFonts w:ascii="Arial" w:cs="Arial" w:eastAsia="Arial" w:hAnsi="Arial"/>
          <w:sz w:val="17"/>
          <w:szCs w:val="17"/>
          <w:b w:val="1"/>
          <w:bCs w:val="1"/>
          <w:color w:val="FFFFFF"/>
        </w:rPr>
        <w:t>PUBLICATIONS</w:t>
      </w:r>
    </w:p>
    <w:p>
      <w:pPr>
        <w:spacing w:after="0" w:line="33" w:lineRule="exact"/>
        <w:rPr>
          <w:sz w:val="20"/>
          <w:szCs w:val="20"/>
          <w:color w:val="auto"/>
        </w:rPr>
      </w:pPr>
    </w:p>
    <w:p>
      <w:pPr>
        <w:ind w:right="260"/>
        <w:spacing w:after="0" w:line="284" w:lineRule="auto"/>
        <w:rPr>
          <w:sz w:val="20"/>
          <w:szCs w:val="20"/>
          <w:color w:val="auto"/>
        </w:rPr>
      </w:pPr>
      <w:r>
        <w:rPr>
          <w:rFonts w:ascii="Times New Roman" w:cs="Times New Roman" w:eastAsia="Times New Roman" w:hAnsi="Times New Roman"/>
          <w:sz w:val="17"/>
          <w:szCs w:val="17"/>
          <w:color w:val="FFFFFF"/>
        </w:rPr>
        <w:t>The Company’s Annual Report on Form 10-K and quarterly reports on Form 10-Q are available on the Investor Relations section of the Company’s website at www.fnf.com.</w:t>
      </w:r>
    </w:p>
    <w:p>
      <w:pPr>
        <w:spacing w:after="0" w:line="395" w:lineRule="exact"/>
        <w:rPr>
          <w:sz w:val="20"/>
          <w:szCs w:val="20"/>
          <w:color w:val="auto"/>
        </w:rPr>
      </w:pPr>
    </w:p>
    <w:p>
      <w:pPr>
        <w:ind w:right="140"/>
        <w:spacing w:after="0" w:line="285" w:lineRule="auto"/>
        <w:rPr>
          <w:sz w:val="20"/>
          <w:szCs w:val="20"/>
          <w:color w:val="auto"/>
        </w:rPr>
      </w:pPr>
      <w:r>
        <w:rPr>
          <w:rFonts w:ascii="Times New Roman" w:cs="Times New Roman" w:eastAsia="Times New Roman" w:hAnsi="Times New Roman"/>
          <w:sz w:val="17"/>
          <w:szCs w:val="17"/>
          <w:color w:val="FFFFFF"/>
        </w:rPr>
        <w:t>A Notice of Annual Meeting of Stockholder and Proxy Statement are furnished to stockholders in advance of the Annual Meeting.</w:t>
      </w:r>
    </w:p>
    <w:p>
      <w:pPr>
        <w:spacing w:after="0" w:line="163" w:lineRule="exact"/>
        <w:rPr>
          <w:sz w:val="20"/>
          <w:szCs w:val="20"/>
          <w:color w:val="auto"/>
        </w:rPr>
      </w:pPr>
    </w:p>
    <w:p>
      <w:pPr>
        <w:ind w:right="340"/>
        <w:spacing w:after="0" w:line="288" w:lineRule="auto"/>
        <w:rPr>
          <w:sz w:val="20"/>
          <w:szCs w:val="20"/>
          <w:color w:val="auto"/>
        </w:rPr>
      </w:pPr>
      <w:r>
        <w:rPr>
          <w:rFonts w:ascii="Arial" w:cs="Arial" w:eastAsia="Arial" w:hAnsi="Arial"/>
          <w:sz w:val="17"/>
          <w:szCs w:val="17"/>
          <w:b w:val="1"/>
          <w:bCs w:val="1"/>
          <w:color w:val="FFFFFF"/>
        </w:rPr>
        <w:t xml:space="preserve">STOCK EXCHANGE LISTING </w:t>
      </w:r>
      <w:r>
        <w:rPr>
          <w:rFonts w:ascii="Times New Roman" w:cs="Times New Roman" w:eastAsia="Times New Roman" w:hAnsi="Times New Roman"/>
          <w:sz w:val="17"/>
          <w:szCs w:val="17"/>
          <w:color w:val="FFFFFF"/>
        </w:rPr>
        <w:t>Fidelity National Financial, Inc. common stock is listed on the New York Stock Exchange under symbol FNF.</w:t>
      </w:r>
    </w:p>
    <w:p>
      <w:pPr>
        <w:spacing w:after="0" w:line="161" w:lineRule="exact"/>
        <w:rPr>
          <w:sz w:val="20"/>
          <w:szCs w:val="20"/>
          <w:color w:val="auto"/>
        </w:rPr>
      </w:pPr>
    </w:p>
    <w:p>
      <w:pPr>
        <w:spacing w:after="0"/>
        <w:rPr>
          <w:sz w:val="20"/>
          <w:szCs w:val="20"/>
          <w:color w:val="auto"/>
        </w:rPr>
      </w:pPr>
      <w:r>
        <w:rPr>
          <w:rFonts w:ascii="Arial" w:cs="Arial" w:eastAsia="Arial" w:hAnsi="Arial"/>
          <w:sz w:val="17"/>
          <w:szCs w:val="17"/>
          <w:b w:val="1"/>
          <w:bCs w:val="1"/>
          <w:color w:val="FFFFFF"/>
        </w:rPr>
        <w:t>CERTIFICATIONS</w:t>
      </w:r>
    </w:p>
    <w:p>
      <w:pPr>
        <w:spacing w:after="0" w:line="33"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17"/>
          <w:szCs w:val="17"/>
          <w:color w:val="FFFFFF"/>
        </w:rPr>
        <w:t>FNF filed the Chief Executive Officer and Chief Financial Officer certifications required by Section 302 of the Sarbanes-Oxley Act of 2002 as exhibits to its Annual Report on Form 10-K for the fiscal year ended December 31, 2025.</w:t>
      </w:r>
    </w:p>
    <w:p>
      <w:pPr>
        <w:spacing w:after="0" w:line="391" w:lineRule="exact"/>
        <w:rPr>
          <w:sz w:val="20"/>
          <w:szCs w:val="20"/>
          <w:color w:val="auto"/>
        </w:rPr>
      </w:pPr>
    </w:p>
    <w:p>
      <w:pPr>
        <w:spacing w:after="0"/>
        <w:rPr>
          <w:sz w:val="20"/>
          <w:szCs w:val="20"/>
          <w:color w:val="auto"/>
        </w:rPr>
      </w:pPr>
      <w:r>
        <w:rPr>
          <w:rFonts w:ascii="Arial" w:cs="Arial" w:eastAsia="Arial" w:hAnsi="Arial"/>
          <w:sz w:val="17"/>
          <w:szCs w:val="17"/>
          <w:b w:val="1"/>
          <w:bCs w:val="1"/>
          <w:color w:val="FFFFFF"/>
        </w:rPr>
        <w:t>INVESTOR RELATIONS</w:t>
      </w:r>
    </w:p>
    <w:p>
      <w:pPr>
        <w:spacing w:after="0" w:line="33" w:lineRule="exact"/>
        <w:rPr>
          <w:sz w:val="20"/>
          <w:szCs w:val="20"/>
          <w:color w:val="auto"/>
        </w:rPr>
      </w:pPr>
    </w:p>
    <w:p>
      <w:pPr>
        <w:ind w:right="80"/>
        <w:spacing w:after="0" w:line="270" w:lineRule="auto"/>
        <w:rPr>
          <w:sz w:val="20"/>
          <w:szCs w:val="20"/>
          <w:color w:val="auto"/>
        </w:rPr>
      </w:pPr>
      <w:r>
        <w:rPr>
          <w:rFonts w:ascii="Times New Roman" w:cs="Times New Roman" w:eastAsia="Times New Roman" w:hAnsi="Times New Roman"/>
          <w:sz w:val="17"/>
          <w:szCs w:val="17"/>
          <w:color w:val="FFFFFF"/>
        </w:rPr>
        <w:t>Please visit the Contact Investor Relations section of FNF's Investor Info website at FNF.com to submit a question or request to the Investor Relations department.</w:t>
      </w:r>
    </w:p>
    <w:p>
      <w:pPr>
        <w:ind w:right="660"/>
        <w:spacing w:after="0" w:line="292" w:lineRule="auto"/>
        <w:rPr>
          <w:sz w:val="20"/>
          <w:szCs w:val="20"/>
          <w:color w:val="auto"/>
        </w:rPr>
      </w:pPr>
      <w:r>
        <w:rPr>
          <w:rFonts w:ascii="Times New Roman" w:cs="Times New Roman" w:eastAsia="Times New Roman" w:hAnsi="Times New Roman"/>
          <w:sz w:val="17"/>
          <w:szCs w:val="17"/>
          <w:color w:val="FFFFFF"/>
        </w:rPr>
        <w:t>You can also contact FNF's Investor Relations department via email at investors@fnf.com.</w:t>
      </w:r>
    </w:p>
    <w:p>
      <w:pPr>
        <w:spacing w:after="0" w:line="1464" w:lineRule="exact"/>
        <w:rPr>
          <w:sz w:val="20"/>
          <w:szCs w:val="20"/>
          <w:color w:val="auto"/>
        </w:rPr>
      </w:pPr>
    </w:p>
    <w:p>
      <w:pPr>
        <w:sectPr>
          <w:pgSz w:w="11880" w:h="15480" w:orient="portrait"/>
          <w:cols w:equalWidth="0" w:num="3">
            <w:col w:w="2940" w:space="400"/>
            <w:col w:w="3160" w:space="440"/>
            <w:col w:w="3340"/>
          </w:cols>
          <w:pgMar w:left="1000" w:top="875" w:right="600" w:bottom="445" w:gutter="0" w:footer="0" w:header="0"/>
        </w:sectPr>
      </w:pPr>
    </w:p>
    <w:p>
      <w:pPr>
        <w:spacing w:after="0" w:line="296" w:lineRule="exact"/>
        <w:rPr>
          <w:sz w:val="20"/>
          <w:szCs w:val="20"/>
          <w:color w:val="auto"/>
        </w:rPr>
      </w:pPr>
    </w:p>
    <w:p>
      <w:pPr>
        <w:spacing w:after="0"/>
        <w:tabs>
          <w:tab w:leader="none" w:pos="3280" w:val="left"/>
        </w:tabs>
        <w:rPr>
          <w:sz w:val="20"/>
          <w:szCs w:val="20"/>
          <w:color w:val="auto"/>
        </w:rPr>
      </w:pPr>
      <w:r>
        <w:rPr>
          <w:rFonts w:ascii="Arial" w:cs="Arial" w:eastAsia="Arial" w:hAnsi="Arial"/>
          <w:sz w:val="17"/>
          <w:szCs w:val="17"/>
          <w:b w:val="1"/>
          <w:bCs w:val="1"/>
          <w:color w:val="FFFFFF"/>
        </w:rPr>
        <w:t>AUDIT COMMITTEE</w:t>
      </w:r>
      <w:r>
        <w:rPr>
          <w:sz w:val="20"/>
          <w:szCs w:val="20"/>
          <w:color w:val="auto"/>
        </w:rPr>
        <w:tab/>
      </w:r>
      <w:r>
        <w:rPr>
          <w:rFonts w:ascii="Arial" w:cs="Arial" w:eastAsia="Arial" w:hAnsi="Arial"/>
          <w:sz w:val="16"/>
          <w:szCs w:val="16"/>
          <w:b w:val="1"/>
          <w:bCs w:val="1"/>
          <w:color w:val="FFFFFF"/>
        </w:rPr>
        <w:t>RELATED PERSON TRANSACTION COMMITTEE</w:t>
      </w:r>
    </w:p>
    <w:p>
      <w:pPr>
        <w:spacing w:after="0" w:line="33" w:lineRule="exact"/>
        <w:rPr>
          <w:sz w:val="20"/>
          <w:szCs w:val="20"/>
          <w:color w:val="auto"/>
        </w:rPr>
      </w:pPr>
    </w:p>
    <w:p>
      <w:pPr>
        <w:spacing w:after="0"/>
        <w:tabs>
          <w:tab w:leader="none" w:pos="3280" w:val="left"/>
        </w:tabs>
        <w:rPr>
          <w:sz w:val="20"/>
          <w:szCs w:val="20"/>
          <w:color w:val="auto"/>
        </w:rPr>
      </w:pPr>
      <w:r>
        <w:rPr>
          <w:rFonts w:ascii="Times New Roman" w:cs="Times New Roman" w:eastAsia="Times New Roman" w:hAnsi="Times New Roman"/>
          <w:sz w:val="17"/>
          <w:szCs w:val="17"/>
          <w:color w:val="FFFFFF"/>
        </w:rPr>
        <w:t>Douglas K. Ammerman, Chair</w:t>
      </w:r>
      <w:r>
        <w:rPr>
          <w:sz w:val="20"/>
          <w:szCs w:val="20"/>
          <w:color w:val="auto"/>
        </w:rPr>
        <w:tab/>
      </w:r>
      <w:r>
        <w:rPr>
          <w:rFonts w:ascii="Times New Roman" w:cs="Times New Roman" w:eastAsia="Times New Roman" w:hAnsi="Times New Roman"/>
          <w:sz w:val="17"/>
          <w:szCs w:val="17"/>
          <w:color w:val="FFFFFF"/>
        </w:rPr>
        <w:t>Halim Dhanidina, Chair</w:t>
      </w:r>
    </w:p>
    <w:p>
      <w:pPr>
        <w:spacing w:after="0" w:line="38" w:lineRule="exact"/>
        <w:rPr>
          <w:sz w:val="20"/>
          <w:szCs w:val="20"/>
          <w:color w:val="auto"/>
        </w:rPr>
      </w:pPr>
    </w:p>
    <w:p>
      <w:pPr>
        <w:spacing w:after="0"/>
        <w:tabs>
          <w:tab w:leader="none" w:pos="3280" w:val="left"/>
        </w:tabs>
        <w:rPr>
          <w:sz w:val="20"/>
          <w:szCs w:val="20"/>
          <w:color w:val="auto"/>
        </w:rPr>
      </w:pPr>
      <w:r>
        <w:rPr>
          <w:rFonts w:ascii="Times New Roman" w:cs="Times New Roman" w:eastAsia="Times New Roman" w:hAnsi="Times New Roman"/>
          <w:sz w:val="17"/>
          <w:szCs w:val="17"/>
          <w:color w:val="FFFFFF"/>
        </w:rPr>
        <w:t>John D. Rood</w:t>
      </w:r>
      <w:r>
        <w:rPr>
          <w:sz w:val="20"/>
          <w:szCs w:val="20"/>
          <w:color w:val="auto"/>
        </w:rPr>
        <w:tab/>
      </w:r>
      <w:r>
        <w:rPr>
          <w:rFonts w:ascii="Times New Roman" w:cs="Times New Roman" w:eastAsia="Times New Roman" w:hAnsi="Times New Roman"/>
          <w:sz w:val="17"/>
          <w:szCs w:val="17"/>
          <w:color w:val="FFFFFF"/>
        </w:rPr>
        <w:t>Sandra D. Morgan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FFFFFF"/>
        </w:rPr>
        <w:t>Peter O. Shea, Jr.</w:t>
      </w:r>
    </w:p>
    <w:p>
      <w:pPr>
        <w:spacing w:after="0" w:line="276" w:lineRule="exact"/>
        <w:rPr>
          <w:sz w:val="20"/>
          <w:szCs w:val="20"/>
          <w:color w:val="auto"/>
        </w:rPr>
      </w:pPr>
    </w:p>
    <w:p>
      <w:pPr>
        <w:spacing w:after="0"/>
        <w:rPr>
          <w:sz w:val="20"/>
          <w:szCs w:val="20"/>
          <w:color w:val="auto"/>
        </w:rPr>
      </w:pPr>
      <w:r>
        <w:rPr>
          <w:rFonts w:ascii="Arial" w:cs="Arial" w:eastAsia="Arial" w:hAnsi="Arial"/>
          <w:sz w:val="17"/>
          <w:szCs w:val="17"/>
          <w:b w:val="1"/>
          <w:bCs w:val="1"/>
          <w:color w:val="FFFFFF"/>
        </w:rPr>
        <w:t>COMPENSATION COMMITTEE</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FFFFFF"/>
        </w:rPr>
        <w:t>Thomas M. Hagerty, Chair</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FFFFFF"/>
        </w:rPr>
        <w:t>Daniel D. Lane</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FFFFFF"/>
        </w:rPr>
        <w:t>Cary H. Thompson</w:t>
      </w:r>
    </w:p>
    <w:p>
      <w:pPr>
        <w:spacing w:after="0" w:line="236" w:lineRule="exact"/>
        <w:rPr>
          <w:sz w:val="20"/>
          <w:szCs w:val="20"/>
          <w:color w:val="auto"/>
        </w:rPr>
      </w:pPr>
    </w:p>
    <w:p>
      <w:pPr>
        <w:spacing w:after="0"/>
        <w:rPr>
          <w:sz w:val="20"/>
          <w:szCs w:val="20"/>
          <w:color w:val="auto"/>
        </w:rPr>
      </w:pPr>
      <w:r>
        <w:rPr>
          <w:rFonts w:ascii="Arial" w:cs="Arial" w:eastAsia="Arial" w:hAnsi="Arial"/>
          <w:sz w:val="17"/>
          <w:szCs w:val="17"/>
          <w:b w:val="1"/>
          <w:bCs w:val="1"/>
          <w:color w:val="FFFFFF"/>
        </w:rPr>
        <w:t>GOVERNANCE COMMITTEE</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FFFFFF"/>
        </w:rPr>
        <w:t>Peter O. Shea, Jr., Chair</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FFFFFF"/>
        </w:rPr>
        <w:t>Sandra D. Morgan</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FFFFFF"/>
        </w:rPr>
        <w:t>John D. Rood</w:t>
      </w:r>
    </w:p>
    <w:p>
      <w:pPr>
        <w:sectPr>
          <w:pgSz w:w="11880" w:h="15480" w:orient="portrait"/>
          <w:cols w:equalWidth="0" w:num="1">
            <w:col w:w="10280"/>
          </w:cols>
          <w:pgMar w:left="1000" w:top="875" w:right="600" w:bottom="445" w:gutter="0" w:footer="0" w:header="0"/>
          <w:type w:val="continuous"/>
        </w:sectPr>
      </w:pPr>
    </w:p>
    <w:bookmarkStart w:id="219" w:name="page220"/>
    <w:bookmarkEnd w:id="2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543800" cy="982916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191">
                      <a:extLst>
                        <a:ext uri="{28A0092B-C50C-407E-A947-70E740481C1C}"/>
                      </a:extLst>
                    </a:blip>
                    <a:srcRect/>
                    <a:stretch>
                      <a:fillRect/>
                    </a:stretch>
                  </pic:blipFill>
                  <pic:spPr bwMode="auto">
                    <a:xfrm>
                      <a:off x="0" y="0"/>
                      <a:ext cx="7543800" cy="9829165"/>
                    </a:xfrm>
                    <a:prstGeom prst="rect">
                      <a:avLst/>
                    </a:prstGeom>
                    <a:noFill/>
                  </pic:spPr>
                </pic:pic>
              </a:graphicData>
            </a:graphic>
          </wp:anchor>
        </w:drawing>
      </w:r>
    </w:p>
    <w:sectPr>
      <w:pgSz w:w="11880" w:h="15479"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7465F01"/>
    <w:multiLevelType w:val="hybridMultilevel"/>
    <w:lvl w:ilvl="0">
      <w:lvlJc w:val="left"/>
      <w:lvlText w:val="%1."/>
      <w:numFmt w:val="lowerRoman"/>
      <w:start w:val="1"/>
    </w:lvl>
  </w:abstractNum>
  <w:abstractNum w:abstractNumId="1">
    <w:nsid w:val="7724C67E"/>
    <w:multiLevelType w:val="hybridMultilevel"/>
    <w:lvl w:ilvl="0">
      <w:lvlJc w:val="left"/>
      <w:lvlText w:val="☒"/>
      <w:numFmt w:val="bullet"/>
      <w:start w:val="1"/>
    </w:lvl>
  </w:abstractNum>
  <w:abstractNum w:abstractNumId="2">
    <w:nsid w:val="5C482A97"/>
    <w:multiLevelType w:val="hybridMultilevel"/>
    <w:lvl w:ilvl="0">
      <w:lvlJc w:val="left"/>
      <w:lvlText w:val="☐"/>
      <w:numFmt w:val="bullet"/>
      <w:start w:val="1"/>
    </w:lvl>
  </w:abstractNum>
  <w:abstractNum w:abstractNumId="3">
    <w:nsid w:val="2463B9EA"/>
    <w:multiLevelType w:val="hybridMultilevel"/>
    <w:lvl w:ilvl="0">
      <w:lvlJc w:val="left"/>
      <w:lvlText w:val="•"/>
      <w:numFmt w:val="bullet"/>
      <w:start w:val="1"/>
    </w:lvl>
  </w:abstractNum>
  <w:abstractNum w:abstractNumId="4">
    <w:nsid w:val="5E884ADC"/>
    <w:multiLevelType w:val="hybridMultilevel"/>
    <w:lvl w:ilvl="0">
      <w:lvlJc w:val="left"/>
      <w:lvlText w:val="•"/>
      <w:numFmt w:val="bullet"/>
      <w:start w:val="1"/>
    </w:lvl>
  </w:abstractNum>
  <w:abstractNum w:abstractNumId="5">
    <w:nsid w:val="51EAD36B"/>
    <w:multiLevelType w:val="hybridMultilevel"/>
    <w:lvl w:ilvl="0">
      <w:lvlJc w:val="left"/>
      <w:lvlText w:val="•"/>
      <w:numFmt w:val="bullet"/>
      <w:start w:val="1"/>
    </w:lvl>
  </w:abstractNum>
  <w:abstractNum w:abstractNumId="6">
    <w:nsid w:val="2D517796"/>
    <w:multiLevelType w:val="hybridMultilevel"/>
    <w:lvl w:ilvl="0">
      <w:lvlJc w:val="left"/>
      <w:lvlText w:val="•"/>
      <w:numFmt w:val="bullet"/>
      <w:start w:val="1"/>
    </w:lvl>
  </w:abstractNum>
  <w:abstractNum w:abstractNumId="7">
    <w:nsid w:val="580BD78F"/>
    <w:multiLevelType w:val="hybridMultilevel"/>
    <w:lvl w:ilvl="0">
      <w:lvlJc w:val="left"/>
      <w:lvlText w:val="•"/>
      <w:numFmt w:val="bullet"/>
      <w:start w:val="1"/>
    </w:lvl>
  </w:abstractNum>
  <w:abstractNum w:abstractNumId="8">
    <w:nsid w:val="153EA438"/>
    <w:multiLevelType w:val="hybridMultilevel"/>
    <w:lvl w:ilvl="0">
      <w:lvlJc w:val="left"/>
      <w:lvlText w:val="•"/>
      <w:numFmt w:val="bullet"/>
      <w:start w:val="1"/>
    </w:lvl>
  </w:abstractNum>
  <w:abstractNum w:abstractNumId="9">
    <w:nsid w:val="3855585C"/>
    <w:multiLevelType w:val="hybridMultilevel"/>
    <w:lvl w:ilvl="0">
      <w:lvlJc w:val="left"/>
      <w:lvlText w:val="•"/>
      <w:numFmt w:val="bullet"/>
      <w:start w:val="1"/>
    </w:lvl>
  </w:abstractNum>
  <w:abstractNum w:abstractNumId="10">
    <w:nsid w:val="70A64E2A"/>
    <w:multiLevelType w:val="hybridMultilevel"/>
    <w:lvl w:ilvl="0">
      <w:lvlJc w:val="left"/>
      <w:lvlText w:val="•"/>
      <w:numFmt w:val="bullet"/>
      <w:start w:val="1"/>
    </w:lvl>
  </w:abstractNum>
  <w:abstractNum w:abstractNumId="11">
    <w:nsid w:val="6A2342EC"/>
    <w:multiLevelType w:val="hybridMultilevel"/>
    <w:lvl w:ilvl="0">
      <w:lvlJc w:val="left"/>
      <w:lvlText w:val="•"/>
      <w:numFmt w:val="bullet"/>
      <w:start w:val="1"/>
    </w:lvl>
  </w:abstractNum>
  <w:abstractNum w:abstractNumId="12">
    <w:nsid w:val="2A487CB0"/>
    <w:multiLevelType w:val="hybridMultilevel"/>
    <w:lvl w:ilvl="0">
      <w:lvlJc w:val="left"/>
      <w:lvlText w:val="•"/>
      <w:numFmt w:val="bullet"/>
      <w:start w:val="1"/>
    </w:lvl>
  </w:abstractNum>
  <w:abstractNum w:abstractNumId="13">
    <w:nsid w:val="1D4ED43B"/>
    <w:multiLevelType w:val="hybridMultilevel"/>
    <w:lvl w:ilvl="0">
      <w:lvlJc w:val="left"/>
      <w:lvlText w:val="•"/>
      <w:numFmt w:val="bullet"/>
      <w:start w:val="1"/>
    </w:lvl>
  </w:abstractNum>
  <w:abstractNum w:abstractNumId="14">
    <w:nsid w:val="725A06FB"/>
    <w:multiLevelType w:val="hybridMultilevel"/>
    <w:lvl w:ilvl="0">
      <w:lvlJc w:val="left"/>
      <w:lvlText w:val="•"/>
      <w:numFmt w:val="bullet"/>
      <w:start w:val="1"/>
    </w:lvl>
  </w:abstractNum>
  <w:abstractNum w:abstractNumId="15">
    <w:nsid w:val="2CD89A32"/>
    <w:multiLevelType w:val="hybridMultilevel"/>
    <w:lvl w:ilvl="0">
      <w:lvlJc w:val="left"/>
      <w:lvlText w:val="•"/>
      <w:numFmt w:val="bullet"/>
      <w:start w:val="1"/>
    </w:lvl>
  </w:abstractNum>
  <w:abstractNum w:abstractNumId="16">
    <w:nsid w:val="57E4CCAF"/>
    <w:multiLevelType w:val="hybridMultilevel"/>
    <w:lvl w:ilvl="0">
      <w:lvlJc w:val="left"/>
      <w:lvlText w:val="•"/>
      <w:numFmt w:val="bullet"/>
      <w:start w:val="1"/>
    </w:lvl>
  </w:abstractNum>
  <w:abstractNum w:abstractNumId="17">
    <w:nsid w:val="7A6D8D3C"/>
    <w:multiLevelType w:val="hybridMultilevel"/>
    <w:lvl w:ilvl="0">
      <w:lvlJc w:val="left"/>
      <w:lvlText w:val="•"/>
      <w:numFmt w:val="bullet"/>
      <w:start w:val="1"/>
    </w:lvl>
  </w:abstractNum>
  <w:abstractNum w:abstractNumId="18">
    <w:nsid w:val="4B588F54"/>
    <w:multiLevelType w:val="hybridMultilevel"/>
    <w:lvl w:ilvl="0">
      <w:lvlJc w:val="left"/>
      <w:lvlText w:val="•"/>
      <w:numFmt w:val="bullet"/>
      <w:start w:val="1"/>
    </w:lvl>
  </w:abstractNum>
  <w:abstractNum w:abstractNumId="19">
    <w:nsid w:val="542289EC"/>
    <w:multiLevelType w:val="hybridMultilevel"/>
    <w:lvl w:ilvl="0">
      <w:lvlJc w:val="left"/>
      <w:lvlText w:val="(%1)"/>
      <w:numFmt w:val="decimal"/>
      <w:start w:val="1"/>
    </w:lvl>
  </w:abstractNum>
  <w:abstractNum w:abstractNumId="20">
    <w:nsid w:val="6DE91B18"/>
    <w:multiLevelType w:val="hybridMultilevel"/>
    <w:lvl w:ilvl="0">
      <w:lvlJc w:val="left"/>
      <w:lvlText w:val="(%1)"/>
      <w:numFmt w:val="decimal"/>
      <w:start w:val="1"/>
    </w:lvl>
  </w:abstractNum>
  <w:abstractNum w:abstractNumId="21">
    <w:nsid w:val="38437FDB"/>
    <w:multiLevelType w:val="hybridMultilevel"/>
    <w:lvl w:ilvl="0">
      <w:lvlJc w:val="left"/>
      <w:lvlText w:val="•"/>
      <w:numFmt w:val="bullet"/>
      <w:start w:val="1"/>
    </w:lvl>
  </w:abstractNum>
  <w:abstractNum w:abstractNumId="22">
    <w:nsid w:val="7644A45C"/>
    <w:multiLevelType w:val="hybridMultilevel"/>
    <w:lvl w:ilvl="0">
      <w:lvlJc w:val="left"/>
      <w:lvlText w:val="•"/>
      <w:numFmt w:val="bullet"/>
      <w:start w:val="1"/>
    </w:lvl>
  </w:abstractNum>
  <w:abstractNum w:abstractNumId="23">
    <w:nsid w:val="32FFF902"/>
    <w:multiLevelType w:val="hybridMultilevel"/>
    <w:lvl w:ilvl="0">
      <w:lvlJc w:val="left"/>
      <w:lvlText w:val="•"/>
      <w:numFmt w:val="bullet"/>
      <w:start w:val="1"/>
    </w:lvl>
  </w:abstractNum>
  <w:abstractNum w:abstractNumId="24">
    <w:nsid w:val="684A481A"/>
    <w:multiLevelType w:val="hybridMultilevel"/>
    <w:lvl w:ilvl="0">
      <w:lvlJc w:val="left"/>
      <w:lvlText w:val="•"/>
      <w:numFmt w:val="bullet"/>
      <w:start w:val="1"/>
    </w:lvl>
  </w:abstractNum>
  <w:abstractNum w:abstractNumId="25">
    <w:nsid w:val="579478FE"/>
    <w:multiLevelType w:val="hybridMultilevel"/>
    <w:lvl w:ilvl="0">
      <w:lvlJc w:val="left"/>
      <w:lvlText w:val="•"/>
      <w:numFmt w:val="bullet"/>
      <w:start w:val="1"/>
    </w:lvl>
  </w:abstractNum>
  <w:abstractNum w:abstractNumId="26">
    <w:nsid w:val="749ABB43"/>
    <w:multiLevelType w:val="hybridMultilevel"/>
    <w:lvl w:ilvl="0">
      <w:lvlJc w:val="left"/>
      <w:lvlText w:val="•"/>
      <w:numFmt w:val="bullet"/>
      <w:start w:val="1"/>
    </w:lvl>
  </w:abstractNum>
  <w:abstractNum w:abstractNumId="27">
    <w:nsid w:val="3DC240FB"/>
    <w:multiLevelType w:val="hybridMultilevel"/>
    <w:lvl w:ilvl="0">
      <w:lvlJc w:val="left"/>
      <w:lvlText w:val="•"/>
      <w:numFmt w:val="bullet"/>
      <w:start w:val="1"/>
    </w:lvl>
  </w:abstractNum>
  <w:abstractNum w:abstractNumId="28">
    <w:nsid w:val="1BA026FA"/>
    <w:multiLevelType w:val="hybridMultilevel"/>
    <w:lvl w:ilvl="0">
      <w:lvlJc w:val="left"/>
      <w:lvlText w:val="•"/>
      <w:numFmt w:val="bullet"/>
      <w:start w:val="1"/>
    </w:lvl>
  </w:abstractNum>
  <w:abstractNum w:abstractNumId="29">
    <w:nsid w:val="79A1DEAA"/>
    <w:multiLevelType w:val="hybridMultilevel"/>
    <w:lvl w:ilvl="0">
      <w:lvlJc w:val="left"/>
      <w:lvlText w:val="(%1)"/>
      <w:numFmt w:val="decimal"/>
      <w:start w:val="1"/>
    </w:lvl>
  </w:abstractNum>
  <w:abstractNum w:abstractNumId="30">
    <w:nsid w:val="75C6C33A"/>
    <w:multiLevelType w:val="hybridMultilevel"/>
    <w:lvl w:ilvl="0">
      <w:lvlJc w:val="left"/>
      <w:lvlText w:val="(%1)"/>
      <w:numFmt w:val="lowerLetter"/>
      <w:start w:val="1"/>
    </w:lvl>
    <w:lvl w:ilvl="1">
      <w:lvlJc w:val="left"/>
      <w:lvlText w:val="•"/>
      <w:numFmt w:val="bullet"/>
      <w:start w:val="1"/>
    </w:lvl>
  </w:abstractNum>
  <w:abstractNum w:abstractNumId="31">
    <w:nsid w:val="12E685FB"/>
    <w:multiLevelType w:val="hybridMultilevel"/>
    <w:lvl w:ilvl="0">
      <w:lvlJc w:val="left"/>
      <w:lvlText w:val="•"/>
      <w:numFmt w:val="bullet"/>
      <w:start w:val="1"/>
    </w:lvl>
  </w:abstractNum>
  <w:abstractNum w:abstractNumId="32">
    <w:nsid w:val="70C6A529"/>
    <w:multiLevelType w:val="hybridMultilevel"/>
    <w:lvl w:ilvl="0">
      <w:lvlJc w:val="left"/>
      <w:lvlText w:val="•"/>
      <w:numFmt w:val="bullet"/>
      <w:start w:val="1"/>
    </w:lvl>
  </w:abstractNum>
  <w:abstractNum w:abstractNumId="33">
    <w:nsid w:val="520EEDD1"/>
    <w:multiLevelType w:val="hybridMultilevel"/>
    <w:lvl w:ilvl="0">
      <w:lvlJc w:val="left"/>
      <w:lvlText w:val="•"/>
      <w:numFmt w:val="bullet"/>
      <w:start w:val="1"/>
    </w:lvl>
  </w:abstractNum>
  <w:abstractNum w:abstractNumId="34">
    <w:nsid w:val="374A3FE6"/>
    <w:multiLevelType w:val="hybridMultilevel"/>
    <w:lvl w:ilvl="0">
      <w:lvlJc w:val="left"/>
      <w:lvlText w:val="•"/>
      <w:numFmt w:val="bullet"/>
      <w:start w:val="1"/>
    </w:lvl>
  </w:abstractNum>
  <w:abstractNum w:abstractNumId="35">
    <w:nsid w:val="4F4EF005"/>
    <w:multiLevelType w:val="hybridMultilevel"/>
    <w:lvl w:ilvl="0">
      <w:lvlJc w:val="left"/>
      <w:lvlText w:val="•"/>
      <w:numFmt w:val="bullet"/>
      <w:start w:val="1"/>
    </w:lvl>
  </w:abstractNum>
  <w:abstractNum w:abstractNumId="36">
    <w:nsid w:val="23F9C13C"/>
    <w:multiLevelType w:val="hybridMultilevel"/>
    <w:lvl w:ilvl="0">
      <w:lvlJc w:val="left"/>
      <w:lvlText w:val="%1)"/>
      <w:numFmt w:val="lowerLetter"/>
      <w:start w:val="1"/>
    </w:lvl>
    <w:lvl w:ilvl="1">
      <w:lvlJc w:val="left"/>
      <w:lvlText w:val="•"/>
      <w:numFmt w:val="bullet"/>
      <w:start w:val="1"/>
    </w:lvl>
    <w:lvl w:ilvl="2">
      <w:lvlJc w:val="left"/>
      <w:lvlText w:val="•"/>
      <w:numFmt w:val="bullet"/>
      <w:start w:val="1"/>
    </w:lvl>
  </w:abstractNum>
  <w:abstractNum w:abstractNumId="37">
    <w:nsid w:val="649BB77C"/>
    <w:multiLevelType w:val="hybridMultilevel"/>
    <w:lvl w:ilvl="0">
      <w:lvlJc w:val="left"/>
      <w:lvlText w:val="•"/>
      <w:numFmt w:val="bullet"/>
      <w:start w:val="1"/>
    </w:lvl>
    <w:lvl w:ilvl="1">
      <w:lvlJc w:val="left"/>
      <w:lvlText w:val="•"/>
      <w:numFmt w:val="bullet"/>
      <w:start w:val="1"/>
    </w:lvl>
  </w:abstractNum>
  <w:abstractNum w:abstractNumId="38">
    <w:nsid w:val="275AC794"/>
    <w:multiLevelType w:val="hybridMultilevel"/>
    <w:lvl w:ilvl="0">
      <w:lvlJc w:val="left"/>
      <w:lvlText w:val="•"/>
      <w:numFmt w:val="bullet"/>
      <w:start w:val="1"/>
    </w:lvl>
  </w:abstractNum>
  <w:abstractNum w:abstractNumId="39">
    <w:nsid w:val="39386575"/>
    <w:multiLevelType w:val="hybridMultilevel"/>
    <w:lvl w:ilvl="0">
      <w:lvlJc w:val="left"/>
      <w:lvlText w:val="▪"/>
      <w:numFmt w:val="bullet"/>
      <w:start w:val="1"/>
    </w:lvl>
  </w:abstractNum>
  <w:abstractNum w:abstractNumId="40">
    <w:nsid w:val="1CF10FD8"/>
    <w:multiLevelType w:val="hybridMultilevel"/>
    <w:lvl w:ilvl="0">
      <w:lvlJc w:val="left"/>
      <w:lvlText w:val="•"/>
      <w:numFmt w:val="bullet"/>
      <w:start w:val="1"/>
    </w:lvl>
  </w:abstractNum>
  <w:abstractNum w:abstractNumId="41">
    <w:nsid w:val="180115BE"/>
    <w:multiLevelType w:val="hybridMultilevel"/>
    <w:lvl w:ilvl="0">
      <w:lvlJc w:val="left"/>
      <w:lvlText w:val="•"/>
      <w:numFmt w:val="bullet"/>
      <w:start w:val="1"/>
    </w:lvl>
  </w:abstractNum>
  <w:abstractNum w:abstractNumId="42">
    <w:nsid w:val="235BA861"/>
    <w:multiLevelType w:val="hybridMultilevel"/>
    <w:lvl w:ilvl="0">
      <w:lvlJc w:val="left"/>
      <w:lvlText w:val="(%1)"/>
      <w:numFmt w:val="lowerLetter"/>
      <w:start w:val="1"/>
    </w:lvl>
  </w:abstractNum>
  <w:abstractNum w:abstractNumId="43">
    <w:nsid w:val="47398C89"/>
    <w:multiLevelType w:val="hybridMultilevel"/>
    <w:lvl w:ilvl="0">
      <w:lvlJc w:val="left"/>
      <w:lvlText w:val="•"/>
      <w:numFmt w:val="bullet"/>
      <w:start w:val="1"/>
    </w:lvl>
  </w:abstractNum>
  <w:abstractNum w:abstractNumId="44">
    <w:nsid w:val="354FE9F9"/>
    <w:multiLevelType w:val="hybridMultilevel"/>
    <w:lvl w:ilvl="0">
      <w:lvlJc w:val="left"/>
      <w:lvlText w:val="•"/>
      <w:numFmt w:val="bullet"/>
      <w:start w:val="1"/>
    </w:lvl>
  </w:abstractNum>
  <w:abstractNum w:abstractNumId="45">
    <w:nsid w:val="15B5AF5C"/>
    <w:multiLevelType w:val="hybridMultilevel"/>
    <w:lvl w:ilvl="0">
      <w:lvlJc w:val="left"/>
      <w:lvlText w:val="(%1)"/>
      <w:numFmt w:val="decimal"/>
      <w:start w:val="1"/>
    </w:lvl>
  </w:abstractNum>
  <w:abstractNum w:abstractNumId="46">
    <w:nsid w:val="741226BB"/>
    <w:multiLevelType w:val="hybridMultilevel"/>
    <w:lvl w:ilvl="0">
      <w:lvlJc w:val="left"/>
      <w:lvlText w:val="(%1)"/>
      <w:numFmt w:val="lowerLetter"/>
      <w:start w:val="1"/>
    </w:lvl>
  </w:abstractNum>
  <w:abstractNum w:abstractNumId="47">
    <w:nsid w:val="D34B6A8"/>
    <w:multiLevelType w:val="hybridMultilevel"/>
    <w:lvl w:ilvl="0">
      <w:lvlJc w:val="left"/>
      <w:lvlText w:val="(%1)"/>
      <w:numFmt w:val="lowerLetter"/>
      <w:start w:val="1"/>
    </w:lvl>
  </w:abstractNum>
  <w:abstractNum w:abstractNumId="48">
    <w:nsid w:val="10233C99"/>
    <w:multiLevelType w:val="hybridMultilevel"/>
    <w:lvl w:ilvl="0">
      <w:lvlJc w:val="left"/>
      <w:lvlText w:val="(%1)"/>
      <w:numFmt w:val="lowerLetter"/>
      <w:start w:val="1"/>
    </w:lvl>
  </w:abstractNum>
  <w:abstractNum w:abstractNumId="49">
    <w:nsid w:val="3F6AB60F"/>
    <w:multiLevelType w:val="hybridMultilevel"/>
    <w:lvl w:ilvl="0">
      <w:lvlJc w:val="left"/>
      <w:lvlText w:val="(%1)"/>
      <w:numFmt w:val="lowerLetter"/>
      <w:start w:val="3"/>
    </w:lvl>
  </w:abstractNum>
  <w:abstractNum w:abstractNumId="50">
    <w:nsid w:val="61574095"/>
    <w:multiLevelType w:val="hybridMultilevel"/>
    <w:lvl w:ilvl="0">
      <w:lvlJc w:val="left"/>
      <w:lvlText w:val="(%1)"/>
      <w:numFmt w:val="lowerLetter"/>
      <w:start w:val="1"/>
    </w:lvl>
  </w:abstractNum>
  <w:abstractNum w:abstractNumId="51">
    <w:nsid w:val="7E0C57B1"/>
    <w:multiLevelType w:val="hybridMultilevel"/>
    <w:lvl w:ilvl="0">
      <w:lvlJc w:val="left"/>
      <w:lvlText w:val="•"/>
      <w:numFmt w:val="bullet"/>
      <w:start w:val="1"/>
    </w:lvl>
  </w:abstractNum>
  <w:abstractNum w:abstractNumId="52">
    <w:nsid w:val="77AE35EB"/>
    <w:multiLevelType w:val="hybridMultilevel"/>
    <w:lvl w:ilvl="0">
      <w:lvlJc w:val="left"/>
      <w:lvlText w:val="•"/>
      <w:numFmt w:val="bullet"/>
      <w:start w:val="1"/>
    </w:lvl>
  </w:abstractNum>
  <w:abstractNum w:abstractNumId="53">
    <w:nsid w:val="579BE4F1"/>
    <w:multiLevelType w:val="hybridMultilevel"/>
    <w:lvl w:ilvl="0">
      <w:lvlJc w:val="left"/>
      <w:lvlText w:val="(%1)"/>
      <w:numFmt w:val="lowerLetter"/>
      <w:start w:val="1"/>
    </w:lvl>
  </w:abstractNum>
  <w:abstractNum w:abstractNumId="54">
    <w:nsid w:val="310C50B3"/>
    <w:multiLevelType w:val="hybridMultilevel"/>
    <w:lvl w:ilvl="0">
      <w:lvlJc w:val="left"/>
      <w:lvlText w:val="(%1)"/>
      <w:numFmt w:val="lowerLetter"/>
      <w:start w:val="1"/>
    </w:lvl>
  </w:abstractNum>
  <w:abstractNum w:abstractNumId="55">
    <w:nsid w:val="5FF87E05"/>
    <w:multiLevelType w:val="hybridMultilevel"/>
    <w:lvl w:ilvl="0">
      <w:lvlJc w:val="left"/>
      <w:lvlText w:val="(%1)"/>
      <w:numFmt w:val="lowerLetter"/>
      <w:start w:val="1"/>
    </w:lvl>
  </w:abstractNum>
  <w:abstractNum w:abstractNumId="56">
    <w:nsid w:val="2F305DEF"/>
    <w:multiLevelType w:val="hybridMultilevel"/>
    <w:lvl w:ilvl="0">
      <w:lvlJc w:val="left"/>
      <w:lvlText w:val="(%1)"/>
      <w:numFmt w:val="lowerLetter"/>
      <w:start w:val="1"/>
    </w:lvl>
  </w:abstractNum>
  <w:abstractNum w:abstractNumId="57">
    <w:nsid w:val="25A70BF7"/>
    <w:multiLevelType w:val="hybridMultilevel"/>
    <w:lvl w:ilvl="0">
      <w:lvlJc w:val="left"/>
      <w:lvlText w:val="(%1)"/>
      <w:numFmt w:val="lowerLetter"/>
      <w:start w:val="1"/>
    </w:lvl>
  </w:abstractNum>
  <w:abstractNum w:abstractNumId="58">
    <w:nsid w:val="1DBABF00"/>
    <w:multiLevelType w:val="hybridMultilevel"/>
    <w:lvl w:ilvl="0">
      <w:lvlJc w:val="left"/>
      <w:lvlText w:val="(%1)"/>
      <w:numFmt w:val="lowerLetter"/>
      <w:start w:val="1"/>
    </w:lvl>
  </w:abstractNum>
  <w:abstractNum w:abstractNumId="59">
    <w:nsid w:val="4AD084E9"/>
    <w:multiLevelType w:val="hybridMultilevel"/>
    <w:lvl w:ilvl="0">
      <w:lvlJc w:val="left"/>
      <w:lvlText w:val="(%1)"/>
      <w:numFmt w:val="decimal"/>
      <w:start w:val="1"/>
    </w:lvl>
  </w:abstractNum>
  <w:abstractNum w:abstractNumId="60">
    <w:nsid w:val="1F48EAA1"/>
    <w:multiLevelType w:val="hybridMultilevel"/>
    <w:lvl w:ilvl="0">
      <w:lvlJc w:val="left"/>
      <w:lvlText w:val="%1)"/>
      <w:numFmt w:val="decimal"/>
      <w:start w:val="3"/>
    </w:lvl>
  </w:abstractNum>
  <w:abstractNum w:abstractNumId="61">
    <w:nsid w:val="1381823A"/>
    <w:multiLevelType w:val="hybridMultilevel"/>
    <w:lvl w:ilvl="0">
      <w:lvlJc w:val="left"/>
      <w:lvlText w:val="(%1)"/>
      <w:numFmt w:val="lowerLetter"/>
      <w:start w:val="1"/>
    </w:lvl>
  </w:abstractNum>
  <w:abstractNum w:abstractNumId="62">
    <w:nsid w:val="5DB70AE5"/>
    <w:multiLevelType w:val="hybridMultilevel"/>
    <w:lvl w:ilvl="0">
      <w:lvlJc w:val="left"/>
      <w:lvlText w:val="(%1)"/>
      <w:numFmt w:val="lowerLetter"/>
      <w:start w:val="5"/>
    </w:lvl>
  </w:abstractNum>
  <w:abstractNum w:abstractNumId="63">
    <w:nsid w:val="100F8FCA"/>
    <w:multiLevelType w:val="hybridMultilevel"/>
    <w:lvl w:ilvl="0">
      <w:lvlJc w:val="left"/>
      <w:lvlText w:val="(%1)"/>
      <w:numFmt w:val="lowerLetter"/>
      <w:start w:val="1"/>
    </w:lvl>
  </w:abstractNum>
  <w:abstractNum w:abstractNumId="64">
    <w:nsid w:val="6590700B"/>
    <w:multiLevelType w:val="hybridMultilevel"/>
    <w:lvl w:ilvl="0">
      <w:lvlJc w:val="left"/>
      <w:lvlText w:val="(%1)"/>
      <w:numFmt w:val="lowerLetter"/>
      <w:start w:val="1"/>
    </w:lvl>
  </w:abstractNum>
  <w:abstractNum w:abstractNumId="65">
    <w:nsid w:val="15014ACB"/>
    <w:multiLevelType w:val="hybridMultilevel"/>
    <w:lvl w:ilvl="0">
      <w:lvlJc w:val="left"/>
      <w:lvlText w:val="(%1)"/>
      <w:numFmt w:val="lowerLetter"/>
      <w:start w:val="1"/>
    </w:lvl>
  </w:abstractNum>
  <w:abstractNum w:abstractNumId="66">
    <w:nsid w:val="5F5E7FD0"/>
    <w:multiLevelType w:val="hybridMultilevel"/>
    <w:lvl w:ilvl="0">
      <w:lvlJc w:val="left"/>
      <w:lvlText w:val="(%1)"/>
      <w:numFmt w:val="lowerLetter"/>
      <w:start w:val="1"/>
    </w:lvl>
  </w:abstractNum>
  <w:abstractNum w:abstractNumId="67">
    <w:nsid w:val="98A3148"/>
    <w:multiLevelType w:val="hybridMultilevel"/>
    <w:lvl w:ilvl="0">
      <w:lvlJc w:val="left"/>
      <w:lvlText w:val="%1"/>
      <w:numFmt w:val="decimal"/>
      <w:start w:val="1"/>
    </w:lvl>
    <w:lvl w:ilvl="1">
      <w:lvlJc w:val="left"/>
      <w:lvlText w:val="%2"/>
      <w:numFmt w:val="decimal"/>
      <w:start w:val="104"/>
    </w:lvl>
  </w:abstractNum>
  <w:abstractNum w:abstractNumId="68">
    <w:nsid w:val="799D0247"/>
    <w:multiLevelType w:val="hybridMultilevel"/>
    <w:lvl w:ilvl="0">
      <w:lvlJc w:val="left"/>
      <w:lvlText w:val="(%1)"/>
      <w:numFmt w:val="decimal"/>
      <w:start w:val="1"/>
    </w:lvl>
    <w:lvl w:ilvl="1">
      <w:lvlJc w:val="left"/>
      <w:lvlText w:val="%2"/>
      <w:numFmt w:val="decimal"/>
      <w:start w:val="1"/>
    </w:lvl>
  </w:abstractNum>
  <w:abstractNum w:abstractNumId="69">
    <w:nsid w:val="6B94764"/>
    <w:multiLevelType w:val="hybridMultilevel"/>
    <w:lvl w:ilvl="0">
      <w:lvlJc w:val="left"/>
      <w:lvlText w:val="%1."/>
      <w:numFmt w:val="upperLetter"/>
      <w:start w:val="1"/>
    </w:lvl>
  </w:abstractNum>
  <w:abstractNum w:abstractNumId="70">
    <w:nsid w:val="42C296BD"/>
    <w:multiLevelType w:val="hybridMultilevel"/>
    <w:lvl w:ilvl="0">
      <w:lvlJc w:val="left"/>
      <w:lvlText w:val="%1."/>
      <w:numFmt w:val="upperLetter"/>
      <w:start w:val="3"/>
    </w:lvl>
  </w:abstractNum>
  <w:abstractNum w:abstractNumId="71">
    <w:nsid w:val="168E121F"/>
    <w:multiLevelType w:val="hybridMultilevel"/>
    <w:lvl w:ilvl="0">
      <w:lvlJc w:val="left"/>
      <w:lvlText w:val="%1."/>
      <w:numFmt w:val="upperLetter"/>
      <w:start w:val="4"/>
    </w:lvl>
  </w:abstractNum>
  <w:abstractNum w:abstractNumId="72">
    <w:nsid w:val="1EBA5D23"/>
    <w:multiLevelType w:val="hybridMultilevel"/>
    <w:lvl w:ilvl="0">
      <w:lvlJc w:val="left"/>
      <w:lvlText w:val="(%1)"/>
      <w:numFmt w:val="decimal"/>
      <w:start w:val="21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2026-04-29T15:55:13Z</dcterms:created>
  <dcterms:modified xsi:type="dcterms:W3CDTF">2026-04-29T15:55:13Z</dcterms:modified>
</cp:coreProperties>
</file>