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820" w:val="left"/>
          <w:tab w:leader="none" w:pos="4960" w:val="left"/>
          <w:tab w:leader="none" w:pos="70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reporting company)</w:t>
      </w:r>
    </w:p>
    <w:p>
      <w:pPr>
        <w:spacing w:after="0" w:line="157" w:lineRule="exact"/>
        <w:rPr>
          <w:sz w:val="24"/>
          <w:szCs w:val="24"/>
          <w:color w:val="auto"/>
        </w:rPr>
      </w:pPr>
    </w:p>
    <w:p>
      <w:pPr>
        <w:jc w:val="both"/>
        <w:ind w:right="20"/>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July 31, 2018 were:</w:t>
      </w:r>
    </w:p>
    <w:p>
      <w:pPr>
        <w:spacing w:after="0" w:line="117" w:lineRule="exact"/>
        <w:rPr>
          <w:sz w:val="24"/>
          <w:szCs w:val="24"/>
          <w:color w:val="auto"/>
        </w:rPr>
      </w:pPr>
    </w:p>
    <w:p>
      <w:pPr>
        <w:spacing w:after="0"/>
        <w:tabs>
          <w:tab w:leader="none" w:pos="166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6"/>
          <w:szCs w:val="16"/>
          <w:color w:val="auto"/>
        </w:rPr>
        <w:t>274,903,852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2018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9"/>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June 30, 2018 and December 31,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 Condensed Consolidated Statements of Earnings for the three-month and six-month periods ended June 30, 2018 and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 Condensed Consolidated Statements of Comprehensive Earnings for the three-month and six-month periods ended June 30, 2018</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2017</w:t>
              </w:r>
            </w:hyperlink>
          </w:p>
        </w:tc>
        <w:tc>
          <w:tcPr>
            <w:tcW w:w="8840" w:type="dxa"/>
            <w:vAlign w:val="bottom"/>
            <w:tcBorders>
              <w:top w:val="single" w:sz="8" w:color="0000EE"/>
            </w:tcBorders>
            <w:gridSpan w:val="16"/>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Equity for the six-month periods ended June 30, 2018 and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Condensed Consolidated Statements of Cash Flows for the six-month periods ended June 30, 2018 and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F. Notes to Condensed Consolidated Financial Statements</w:t>
              </w:r>
            </w:hyperlink>
          </w:p>
        </w:tc>
        <w:tc>
          <w:tcPr>
            <w:tcW w:w="3840" w:type="dxa"/>
            <w:vAlign w:val="bottom"/>
            <w:tcBorders>
              <w:top w:val="single" w:sz="8" w:color="0000EE"/>
            </w:tcBorders>
            <w:gridSpan w:val="6"/>
          </w:tcPr>
          <w:p>
            <w:pPr>
              <w:spacing w:after="0"/>
              <w:rPr>
                <w:sz w:val="21"/>
                <w:szCs w:val="21"/>
                <w:color w:val="auto"/>
              </w:rPr>
            </w:pPr>
          </w:p>
        </w:tc>
        <w:tc>
          <w:tcPr>
            <w:tcW w:w="17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40" w:type="dxa"/>
            <w:vAlign w:val="bottom"/>
            <w:gridSpan w:val="11"/>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4.</w:t>
              </w:r>
            </w:hyperlink>
          </w:p>
        </w:tc>
        <w:tc>
          <w:tcPr>
            <w:tcW w:w="4320" w:type="dxa"/>
            <w:vAlign w:val="bottom"/>
            <w:gridSpan w:val="10"/>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1.</w:t>
              </w:r>
            </w:hyperlink>
          </w:p>
        </w:tc>
        <w:tc>
          <w:tcPr>
            <w:tcW w:w="1360" w:type="dxa"/>
            <w:vAlign w:val="bottom"/>
            <w:tcBorders>
              <w:top w:val="single" w:sz="8" w:color="0000FF"/>
            </w:tcBorders>
            <w:gridSpan w:val="4"/>
          </w:tcPr>
          <w:p>
            <w:pPr>
              <w:ind w:left="20"/>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0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 Risk Factors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760" w:type="dxa"/>
            <w:vAlign w:val="bottom"/>
            <w:gridSpan w:val="9"/>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4"/>
          </w:tcPr>
          <w:p>
            <w:pPr>
              <w:jc w:val="right"/>
              <w:ind w:right="779"/>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5"/>
              </w:rPr>
              <w:t>Fixed maturity securities available for sale, at fair value, at June 30, 2018 and December 31, 2017 includes pledged fixed maturity</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$418 and $364, respectively, related to secured trust deposits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securities, at fair value</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Short-term investments, at December 31, 2017 includes short-term investments of $3 related to secured trust deposits</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3"/>
              </w:rPr>
              <w:t>Cash and cash equivalents, at June 30, 2018 and December 31, 2017 includes $493 and $475, respectively, of pledged cash related to</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220" w:type="dxa"/>
            <w:vAlign w:val="bottom"/>
          </w:tcPr>
          <w:p>
            <w:pPr>
              <w:spacing w:after="0"/>
              <w:rPr>
                <w:sz w:val="17"/>
                <w:szCs w:val="17"/>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$18, at June 30, 2018 and 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2,764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Title plants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9,151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0"/>
              <w:spacing w:after="0"/>
              <w:rPr>
                <w:sz w:val="20"/>
                <w:szCs w:val="20"/>
                <w:color w:val="auto"/>
              </w:rPr>
            </w:pPr>
            <w:r>
              <w:rPr>
                <w:rFonts w:ascii="Arial" w:cs="Arial" w:eastAsia="Arial" w:hAnsi="Arial"/>
                <w:sz w:val="14"/>
                <w:szCs w:val="14"/>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1,487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4,281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4,340</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gridSpan w:val="2"/>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3"/>
              </w:rPr>
              <w:t>FNF common stock, $0.0001 par value; authorized 487,000,000 shares as of June 30, 2018 and December 31, 2017; outstanding of</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1"/>
              </w:rPr>
              <w:t>274,709,481 and 274,431,737 as of June 30, 2018 and December 31, 2017, respectively, and issued of 287,998,983 and 287,718,304</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as of June 30, 2018 and December 31, 2017, respectively</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4,555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(loss) earnings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3"/>
              </w:rPr>
              <w:t>Less: Treasury stock, 13,289,502 shares and 13,286,567 shares as of June 30, 2018 and December 31, 2017, respectively, at cost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4,603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4,447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4,629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4,467</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9,151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00" w:type="dxa"/>
            <w:vAlign w:val="bottom"/>
          </w:tcPr>
          <w:p>
            <w:pPr>
              <w:ind w:left="4480"/>
              <w:spacing w:after="0"/>
              <w:rPr>
                <w:sz w:val="20"/>
                <w:szCs w:val="20"/>
                <w:color w:val="auto"/>
              </w:rPr>
            </w:pPr>
            <w:r>
              <w:rPr>
                <w:rFonts w:ascii="Arial" w:cs="Arial" w:eastAsia="Arial" w:hAnsi="Arial"/>
                <w:sz w:val="14"/>
                <w:szCs w:val="14"/>
                <w:color w:val="auto"/>
              </w:rPr>
              <w:t>(Dollars in millions, except per share data)</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900" w:type="dxa"/>
            <w:vAlign w:val="bottom"/>
          </w:tcPr>
          <w:p>
            <w:pPr>
              <w:spacing w:after="0"/>
              <w:rPr>
                <w:sz w:val="24"/>
                <w:szCs w:val="24"/>
                <w:color w:val="auto"/>
              </w:rPr>
            </w:pPr>
          </w:p>
        </w:tc>
        <w:tc>
          <w:tcPr>
            <w:tcW w:w="17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 June</w:t>
            </w:r>
          </w:p>
        </w:tc>
        <w:tc>
          <w:tcPr>
            <w:tcW w:w="100" w:type="dxa"/>
            <w:vAlign w:val="bottom"/>
          </w:tcPr>
          <w:p>
            <w:pPr>
              <w:spacing w:after="0"/>
              <w:rPr>
                <w:sz w:val="24"/>
                <w:szCs w:val="2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5"/>
          </w:tcPr>
          <w:p>
            <w:pPr>
              <w:jc w:val="center"/>
              <w:ind w:right="79"/>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599</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575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Agent commissions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251</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from discontinued operations attributable to FNF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FNF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FNFV Group common shareholders</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0.92</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0.92</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from discontinued operations attributable to FNFV Group common shareholders</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0.63</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discontinued operations attributable to FNF common shareholders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per share from discontinued operations attributable to FNFV Group common shareholders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common stock, basic basis</w:t>
            </w: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6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6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paid per share FNF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780"/>
              <w:spacing w:after="0"/>
              <w:rPr>
                <w:sz w:val="20"/>
                <w:szCs w:val="20"/>
                <w:color w:val="auto"/>
              </w:rPr>
            </w:pPr>
            <w:r>
              <w:rPr>
                <w:rFonts w:ascii="Arial" w:cs="Arial" w:eastAsia="Arial" w:hAnsi="Arial"/>
                <w:sz w:val="16"/>
                <w:szCs w:val="16"/>
                <w:color w:val="auto"/>
                <w:w w:val="95"/>
              </w:rPr>
              <w:t>See Notes to Condensed Consolidated Financial Statements</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624"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62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(loss) earnings: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Unrealized (loss) gain on investments and other financial instruments, net (excluding investments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unconsolidated affiliates) (1)</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Unrealized gain on investments in unconsolidated affiliates (2)</w:t>
            </w:r>
          </w:p>
        </w:tc>
        <w:tc>
          <w:tcPr>
            <w:tcW w:w="24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foreign currency translation (3)</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w w:val="90"/>
              </w:rPr>
              <w:t>Reclassification adjustments for change in unrealized gains and losses included in net earnings (4)</w:t>
            </w:r>
          </w:p>
        </w:tc>
        <w:tc>
          <w:tcPr>
            <w:tcW w:w="24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earnings</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8"/>
              </w:rPr>
              <w:t>Comprehensive earnings attributable to Fidelity National Financial, Inc. common shareholders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51"/>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FNF common shareholders</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earnings attributable to FNFV Group common shareholders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$(2) million and $8 million for the three-month periods ended June 30, 2018 and 2017, respectively, and $(5) million and $16 million for the six-month periods ended June 30, 2018 and 2017,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less than $1 million and $3 million for the three-month periods ended June 30, 2018 and 2017, respectively, and $1 million and $7 million for the six-month periods ended June 30, 2018 and 2017,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less than $(1) million and $3 million for the three-month periods ended June 30, 2018 and 2017, respectively, and $(1) million and $3 million for the six-month periods ended June 30, 2018 and 2017,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less than $1 million and $(1) million for the three-month periods ended June 30, 2018 and 2017, respectively, and less than $(1) million and $1 million for the six-month periods ended June 30, 2018 and 2017,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b w:val="1"/>
                <w:bCs w:val="1"/>
                <w:color w:val="auto"/>
                <w:w w:val="94"/>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unrealized gain (loss) on investments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and 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Reclassification adjustments for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Equity portion of debt conversions</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settled in cash</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Black Knight repurchases of BKFS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stock</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Sale of OneDigital</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Acquisitions of non-controlling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Subsidiary dividends declared to</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June 30, 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(643)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7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December 31, 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(468)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9"/>
              </w:rPr>
              <w:t>Adjustment for cumulative effect for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adoption of ASU 2016-01</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3"/>
              </w:rPr>
              <w:t>unrealized losses on investments and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other financial instruments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3"/>
              </w:rPr>
              <w:t>unrealized losses on foreign currency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Reclassification adjustments for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Reclassification for ASU 2018-02</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Dilution resulting from subsidiary</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equity issuance</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Subsidiary equity repurchase</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Equity portion of debt conversions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settled in cash</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Subsidiary dividends declared to</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June 30, 2018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(468)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935"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935"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0"/>
              </w:rPr>
              <w:t>For the six months ended June</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768"/>
              <w:spacing w:after="0"/>
              <w:rPr>
                <w:sz w:val="20"/>
                <w:szCs w:val="20"/>
                <w:color w:val="auto"/>
              </w:rPr>
            </w:pPr>
            <w:r>
              <w:rPr>
                <w:rFonts w:ascii="Arial" w:cs="Arial" w:eastAsia="Arial" w:hAnsi="Arial"/>
                <w:sz w:val="14"/>
                <w:szCs w:val="14"/>
                <w:b w:val="1"/>
                <w:bCs w:val="1"/>
                <w:color w:val="auto"/>
                <w:w w:val="92"/>
              </w:rPr>
              <w:t>30,</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9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loss on sales of investments and other assets, net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Gain on sale of OneDigital</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Impairment of assets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Change in valuation of equity and preferred securities available for sale, net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trade receivables</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increase in reserve for title claim losses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change in income taxes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investment securities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calls and maturities of investment securities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property and equipment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the sale of cost method and other investments</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investment securities</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proceeds from (purchases of) short-term investment securities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other long-term investments</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investments in unconsolidated affiliates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other investing activities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the sale of OneDigital</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service payments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Black Knight treasury stock repurchases of BKFS stock</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portion of debt conversions paid in cash</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61"/>
        </w:trPr>
        <w:tc>
          <w:tcPr>
            <w:tcW w:w="9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Subsidiary equity repurchase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change in secured trust deposits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treasury stock</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9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50"/>
        </w:trPr>
        <w:tc>
          <w:tcPr>
            <w:tcW w:w="936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2017.</w:t>
      </w:r>
    </w:p>
    <w:p>
      <w:pPr>
        <w:spacing w:after="0" w:line="80" w:lineRule="exact"/>
        <w:rPr>
          <w:sz w:val="20"/>
          <w:szCs w:val="20"/>
          <w:color w:val="auto"/>
        </w:rPr>
      </w:pPr>
    </w:p>
    <w:p>
      <w:pPr>
        <w:ind w:right="800" w:firstLine="324"/>
        <w:spacing w:after="0" w:line="402" w:lineRule="auto"/>
        <w:rPr>
          <w:sz w:val="20"/>
          <w:szCs w:val="20"/>
          <w:color w:val="auto"/>
        </w:rPr>
      </w:pPr>
      <w:r>
        <w:rPr>
          <w:rFonts w:ascii="Arial" w:cs="Arial" w:eastAsia="Arial" w:hAnsi="Arial"/>
          <w:sz w:val="18"/>
          <w:szCs w:val="18"/>
          <w:color w:val="auto"/>
        </w:rPr>
        <w:t xml:space="preserve">Certain reclassifications have been made in the 2017 Condensed Consolidated Financial Statements to conform to classifications used in 2018. </w:t>
      </w:r>
      <w:r>
        <w:rPr>
          <w:rFonts w:ascii="Arial" w:cs="Arial" w:eastAsia="Arial" w:hAnsi="Arial"/>
          <w:sz w:val="18"/>
          <w:szCs w:val="18"/>
          <w:b w:val="1"/>
          <w:bCs w:val="1"/>
          <w:i w:val="1"/>
          <w:iCs w:val="1"/>
          <w:color w:val="auto"/>
        </w:rPr>
        <w:t>Description of the Business</w:t>
      </w:r>
    </w:p>
    <w:p>
      <w:pPr>
        <w:spacing w:after="0" w:line="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and home warranty products and (ii) technology and transaction services to the real estate and mortgage industries. FNF is one of the nation’s largest title insurance companies and operates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Acquisition of Stewart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2018, we signed a merger agreement (the "Merger Agreement") to acquire Stewart Information Services Corporation ("Stewart") (NYSE: STC) (the "Stewart Merger"), pursuant to which each share of Stewart common stock issued and outstanding immediately prior to the effective time of the Stewart Merger (other than shares owned by Stewart, its subsidiaries, FNF or the wholly-owned subsidiaries of FNF party to the Merger Agreement and shares in respect of which appraisal rights have been properly exercised and perfected under Delaware law), will be converted into the right to receive, at the election of the holder of such share, (i) $50.00 in cash, (ii) 1.2850 shares of FNF common stock, or (iii) $25.00 in cash and 0.6425 shares of FNF common stock, subject to potential adjustment (as described below) and proration to the extent the option to receive cash or the option to receive stock is oversubscribed.</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 currently intends to fund the $1.2 billion purchase price through a combination of cash on hand at FNF and the issuance of FNF common stock to Stewart stockholders and will be paid 50% in cash and 50% in FNF common stock. Including the assumption of $109 million of Stewart debt, our pro forma debt to total capital ratio is expected to be no more than approximately 20% at the close of the transaction.</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terms of the Merger Agreement, if the combined company is required to divest assets or businesses for which 2017 annual revenues exceed $75 million, up to a cap of $225 million, in order to receive required regulatory approvals, the purchase price will be adjusted down on a pro-rata basis to a minimum purchase price of $45.50 per share of common stock of Stewart. If the Stewart Merger is not completed for failure to obtain the required regulatory approvals, we are required to pay a reverse break-up fee of $50 million to Stewart.</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30, 2018, we filed a preliminary registration statement on Form S-4 with the U.S. Securities and Exchange Commission (the "SEC").</w:t>
      </w:r>
    </w:p>
    <w:p>
      <w:pPr>
        <w:spacing w:after="0" w:line="2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2018, we received a request for additional information and documentary material, often referred to as a “Second Request,” from the United States Federal Trade Commission (the “FTC”) in connection with the FTC’s Hart-Scott-Rodino Antitrust Improvements Act of 1976, as amended (the “HSR Act”) regulatory review of the Stewart Merger.</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12, 2018, we filed amendment number one to our preliminary registration statement on Form S-4 with the SEC.</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26, 2018, we filed amendment number two to our preliminary registration statement on Form S-4 with the SEC and it was declared effective by the SEC on August 1, 2018.</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 2018, Stewart filed its definitive proxy statement with the SEC and mailed the proxy statement to its stockholders. The special meeting of Stewart stockholders to vote on the Stewart Merger is scheduled for September 5,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closing of the Stewart Merger is subject to certain closing conditions, including Stewart stockholder approval, federal and state regulatory approvals and the satisfaction of other customary closing conditions. Closing of the Stewart Merger is expected in the first or second quarter of 2019.</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22, 2018, Janet Kerr resigned from our Board of Directors (the "Board") due to personal reasons.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2018, after discussion among the Board, it was decided that Willie D. Davis would not be nominated for re-election at the annual meeting of FNF's shareholders. In order for the Board to continue to benefit from Mr. Davis' valuable insight and diverse point of view, Mr. Davis has been appointed by the board to serve as Director Emeritus for a three-year term beginning immediately following our 2018 annual meeting of shareholders.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Options or other instruments which provide the ability to purchase shares of our common stock that are antidilutive are excluded from the computation of diluted earnings per share. There were no antidilutive options outstanding during the three- or six-month periods ended June 30, 2018 or June 30,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Reform Act”). Among other provisions, the Tax Reform Act reduced the federal statutory corporate income tax rate from 35% to 21% and limited or eliminated certain deductions. Our effective tax rate was 8.0% and 36.9% in the three months ended June 30, 2018 and 2017, respectively, and 13.2% and 42.3% in the six months ended June 30, 2018 and 2017, respectively. The decrease in both periods is primarily attributable to the decreased federal tax rate associated with the passage of the Tax Reform Act and to a change in tax estimate in the three-month period ended June 30, 2018 regarding the timing of payments for, and tax rate applicable to, our tax liability resulting from the decrease in our statutory premium reserves associated with the redomestication of certain of our title insurance underwriters in 2017. The decrease in the six-month period was also attributable to increased tax expense of $21 million in the 2017 period resulting from a change in judgment of the tax deductibility of legal settlements finalized in the period.</w:t>
      </w:r>
    </w:p>
    <w:p>
      <w:pPr>
        <w:spacing w:after="0" w:line="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SEC Staff Accounting Bulletin No. 118 ("SAB 118"), has provided guidance for companies that have not completed their accounting for the income tax effects of the Tax Reform Act in the period of enactment, allowing for a measurement period of up to one year after the enactment date to finalize the recording of the related tax impacts. As of June 30, 2018, we have not completed our accounting for the tax effects of the enactment of the Tax Reform Act; however, we have made a reasonable estimate of the effects on our deferred tax balances. In other cases, we have not been able to make a reasonable estimate and will continue to analyze the Tax Reform Act in order to finalize any related impacts within the measurement period. Areas of continued analysis with respect to the Tax Reform Act include the tax deductibility of certain executive compensation and final tax return to provision adjustments.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FNFV Split-Off was accomplished by the Company's redemption (the “Redemption”) of all of the outstanding shares of FNFV Group common stock, par value $0.0001 per share (“FNFV common stock”) for outstanding shares of common stock of Cannae, par value $0.0001 per share (“Cannae common stock”), amounting to a redemption of each outstanding share of FNFV common stock for one share of Cannae common stock, as of November 17, 2017. As a result of the FNFV Split-Off, Cannae is a separate, publicly traded company (NYSE: CNNE) as of November 20, 2017. All of the Company’s core title insurance, real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estate, technology and mortgage related businesses, assets and liabilities currently attributed to the Company’s FNF common stock that are not held by Cannae remain with the Company. As a result of the FNFV Split-Off, the financial results of FNFV Group have been reclassified to discontinued operations for the three and six months ended June 30, 2017.</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29, 2017 we completed our tax-free distribution to FNF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 traded holding company, Black Knight, Inc. ("New Black Knight"). Holders of FNF common stock received approximately 0.30663 shares of New Black Knight common stock for every one share of FNF common stock held at the close of business on September 20, 2017, the record date for the BK Distribution. New Black Knight's common stock is now listed under the symbol “BKI” on the New York Stock Exchange. The BK Distribution was generally tax-free to FNF shareholders for U.S. federal income tax purposes, except to the extent of any cash received in lieu of New Black Knight's fractional shares. As a result of the BK Distribution, the financial results of Black Knight have been reclassified to discontinued operations for the three and six months ended June 30, 2017.</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K.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details of the results of FNFV and Black Knight.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whether goods and services are separately identifiable and thus accounted for as separate performance obligations.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Narrow-Scope Improvements and Practical Expedients </w:t>
      </w:r>
      <w:r>
        <w:rPr>
          <w:rFonts w:ascii="Arial" w:cs="Arial" w:eastAsia="Arial" w:hAnsi="Arial"/>
          <w:sz w:val="17"/>
          <w:szCs w:val="17"/>
          <w:color w:val="auto"/>
        </w:rPr>
        <w:t>was issued by the FASB in May 2016 to clarify certain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aforementioned updates and to add practical expedients for contracts at various stages of completion. ASU 2016-20, </w:t>
      </w:r>
      <w:r>
        <w:rPr>
          <w:rFonts w:ascii="Arial" w:cs="Arial" w:eastAsia="Arial" w:hAnsi="Arial"/>
          <w:sz w:val="17"/>
          <w:szCs w:val="17"/>
          <w:i w:val="1"/>
          <w:iCs w:val="1"/>
          <w:color w:val="auto"/>
        </w:rPr>
        <w:t>Technical Corrections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606, Revenue from Contracts with Customers</w:t>
      </w:r>
      <w:r>
        <w:rPr>
          <w:rFonts w:ascii="Arial" w:cs="Arial" w:eastAsia="Arial" w:hAnsi="Arial"/>
          <w:sz w:val="17"/>
          <w:szCs w:val="17"/>
          <w:color w:val="auto"/>
        </w:rPr>
        <w:t>, was issued by the FASB in December 2016 which includes thirteen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corrections and improvements affecting narrow aspects of the guidance issued in ASU 2014-09.</w:t>
      </w:r>
    </w:p>
    <w:p>
      <w:pPr>
        <w:spacing w:after="0" w:line="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adopted these revenue standards on January 1, 2018 using the modified retrospective approach. As there was no material impact to our historical revenue recognition, we did not record a cumulative-effect adjustment to the opening balance of retained earnings in the current year. See Note J.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for further discussion of our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Adopted Pronouncements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w:t>
      </w:r>
    </w:p>
    <w:p>
      <w:pPr>
        <w:spacing w:after="0" w:line="5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adopted this new guidance on January 1, 2018, which resulted in the reclassification of our unrealized gains and losses on our equity and preferred securities available for sale previously included in accumulated other comprehensive income to beginning retained earnings. Changes in the fair value of our investments in equity and preferred securities subsequent to January 1, 2018 are now included in our earnings from continuing operations. We reclassified a total of $109 million from Accumulated other comprehensive income to beginning Retained earnings as of January 1, 2018. The total cumulative effect on opening equity, including an increase in Retained earnings of $19 million attributable to an increase in value of certain Other long term investments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resulting from recording at fair value, was an increase in Retained earnings of $128 million and decrease in Accumulated other comprehensive income of $109 million.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The amendments in this ASU require that a statement of cash flows explain the change during the period in the total of cash, cash equivalents, and amounts generally described as restricted cash or restricted cash equivalents. GAAP previously did not include specific guidance on the cash flow classification and presentation of changes in restricted cash. The Company previously excluded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The ASU requires retrospective application to all prior periods presented upon adoption.</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adopted this ASU on January 1, 2018. The adoption of this ASU resulted in the following retrospective changes to our Statement of Cash Flows for the six months ended June 30, 2017: an increase in the net change in cash and cash equivalents of $206 million due to the inclusion of the change in our cash pledged against secured trust deposits, an increase in investing cash inflow of $174 million related to the movement of cash paid for investments pledged against secured trust deposits from operating to investing activities, and a decrease in financing cash outflow of $32 million related to the movement of the change in secured trust deposits from operating to financing activities.</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from Accumulated Other Comprehensive Income. </w:t>
      </w:r>
      <w:r>
        <w:rPr>
          <w:rFonts w:ascii="Arial" w:cs="Arial" w:eastAsia="Arial" w:hAnsi="Arial"/>
          <w:sz w:val="16"/>
          <w:szCs w:val="16"/>
          <w:color w:val="auto"/>
        </w:rPr>
        <w:t>The amendments in this ASU allow a reclassification from accumulated other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to retained earnings for stranded tax effects resulting from Tax Reform. We adopted this ASU on April 1, 2018. Adoption of this ASU resulted in the reclassification of $1 million from Accumulated other comprehensive loss to Retained earnings in the three months ended June 30, 2018.</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 Not Yet Adopted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resulting from applying the fair value measurement,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were required to recognize a right-of-use asset and a lease liability for all operating leases at each reporting date based on the present value of the remaining minimum rental payments that were tracked and disclosed under previous GAAP.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which allows entities the option to adopt this standard prospectively with a cumulative-effect adjustment to opening equity and include required disclosures for prior periods.</w:t>
      </w:r>
    </w:p>
    <w:p>
      <w:pPr>
        <w:spacing w:after="0" w:line="6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identified a vendor with software suited to track and account for leases under the new standard and are in process of transitioning our lease accounting within the software. We anticipate this standard will have a material impact on our consolidated balance sheets. However, while we are still in the preliminary stages of our analysis, we do not anticipate that adoption of this ASU will have a material impact on our consolidated income statements. While we are continuing to assess all potential impacts of the standard, we currently believe the most significant impact relates to our accounting for leased office space. We plan to adopt this standard on January 1, 2019 and to use the package of practical expedients available upon adoption.</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still evaluating the effect this new guidance will have on our consolidated financial statements and related disclosures and have not yet concluded on its effects. We do not plan to early adopt the standard.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are currently evaluating the effect this new guidance will have on our consolidated financial statements and related disclosures and have not yet concluded on its effects.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Reserve for Claim Losses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r>
      <w:tr>
        <w:trPr>
          <w:trHeight w:val="196"/>
        </w:trPr>
        <w:tc>
          <w:tcPr>
            <w:tcW w:w="8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8"/>
              </w:rPr>
              <w:t>(Dollars in millions)</w:t>
            </w:r>
          </w:p>
        </w:tc>
        <w:tc>
          <w:tcPr>
            <w:tcW w:w="620" w:type="dxa"/>
            <w:vAlign w:val="bottom"/>
          </w:tcPr>
          <w:p>
            <w:pPr>
              <w:spacing w:after="0"/>
              <w:rPr>
                <w:sz w:val="17"/>
                <w:szCs w:val="17"/>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1,487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reinsurance recoverable</w:t>
            </w:r>
          </w:p>
        </w:tc>
        <w:tc>
          <w:tcPr>
            <w:tcW w:w="94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113</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 loss provision</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117</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1,492</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1"/>
        </w:trPr>
        <w:tc>
          <w:tcPr>
            <w:tcW w:w="8200" w:type="dxa"/>
            <w:vAlign w:val="bottom"/>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fair value hierarchy for those assets and liabilities measured at fair value on a recurring basis as of June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2"/>
              </w:rPr>
              <w:t>June 30,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1,230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687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2,844</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681</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704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2 fair value measures for preferred securities and fixed 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0"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securities: Preferred securities are valued by calculating the appropriate spread over a comparable U.S. Treasury security. Inputs include benchmark quotes and other relevant market data.</w:t>
      </w:r>
    </w:p>
    <w:p>
      <w:pPr>
        <w:spacing w:after="0" w:line="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conjunction with our adoption of ASU No. 2016-01, beginning January 1, 2018, we began recording certain equity investments included in other long term investments at fair value which were previously accounted for as cost method investments. See discussion of Recent Accounting Pronouncements in Note A. </w:t>
      </w:r>
      <w:r>
        <w:rPr>
          <w:rFonts w:ascii="Arial" w:cs="Arial" w:eastAsia="Arial" w:hAnsi="Arial"/>
          <w:sz w:val="18"/>
          <w:szCs w:val="18"/>
          <w:i w:val="1"/>
          <w:iCs w:val="1"/>
          <w:color w:val="auto"/>
        </w:rPr>
        <w:t>Basis of Financial Statements</w:t>
      </w:r>
      <w:r>
        <w:rPr>
          <w:rFonts w:ascii="Arial" w:cs="Arial" w:eastAsia="Arial" w:hAnsi="Arial"/>
          <w:sz w:val="18"/>
          <w:szCs w:val="18"/>
          <w:color w:val="auto"/>
        </w:rPr>
        <w:t xml:space="preserve"> for further information on the impact of the adoption of ASU No. 2016-01.</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3 fair value measures for other long term investments are provided by a third-party pricing service. We utilize one firm to value our Level 3 other long term investment. The pricing service is a leading global provider of financial market data, analytics and related services to financial institutions. We utilize the income approach and a discounted cash flow analysis in determining the fair value of our Level 3 other long 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 term investment as of June 30, 2018 was 8.0% - 8.2%. Based on the total fair value of our Level 3 other long term investment as of June 30, 2018, changes in the discount rate utilized will not result in a fair value significantly different than the amount recorded.</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and six months ended June 30,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center"/>
              <w:ind w:left="837"/>
              <w:spacing w:after="0"/>
              <w:rPr>
                <w:sz w:val="20"/>
                <w:szCs w:val="20"/>
                <w:color w:val="auto"/>
              </w:rPr>
            </w:pPr>
            <w:r>
              <w:rPr>
                <w:rFonts w:ascii="Arial" w:cs="Arial" w:eastAsia="Arial" w:hAnsi="Arial"/>
                <w:sz w:val="14"/>
                <w:szCs w:val="14"/>
                <w:b w:val="1"/>
                <w:bCs w:val="1"/>
                <w:color w:val="auto"/>
                <w:w w:val="91"/>
              </w:rPr>
              <w:t>Three months ended June 30, 2018</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Other long-term</w:t>
            </w:r>
          </w:p>
        </w:tc>
        <w:tc>
          <w:tcPr>
            <w:tcW w:w="20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Corporate debt</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securities</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Paid-in-kind dividends (1)</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valuation loss included in earnings (2)</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Fair value,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center"/>
              <w:ind w:left="837"/>
              <w:spacing w:after="0"/>
              <w:rPr>
                <w:sz w:val="20"/>
                <w:szCs w:val="20"/>
                <w:color w:val="auto"/>
              </w:rPr>
            </w:pPr>
            <w:r>
              <w:rPr>
                <w:rFonts w:ascii="Arial" w:cs="Arial" w:eastAsia="Arial" w:hAnsi="Arial"/>
                <w:sz w:val="14"/>
                <w:szCs w:val="14"/>
                <w:b w:val="1"/>
                <w:bCs w:val="1"/>
                <w:color w:val="auto"/>
                <w:w w:val="90"/>
              </w:rPr>
              <w:t>Six months ended June 30, 2018</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Other long-term</w:t>
            </w:r>
          </w:p>
        </w:tc>
        <w:tc>
          <w:tcPr>
            <w:tcW w:w="20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Corporate debt</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securities</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assets associated with the adoption of ASU 2016-01</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Level 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Paid-in-kind dividends (1)</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valuation loss included in earnings (2)</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Fair value,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Condensed Consolidated Statements of Earnings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Realized gains and losses, net on the Condensed Consolidated Statements of Earnings</w:t>
      </w:r>
    </w:p>
    <w:p>
      <w:pPr>
        <w:spacing w:after="0" w:line="2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Transfers into or out of the Level 3 fair value category occur when unobservable inputs become more or less significant to the fair value measurement or upon a change in valuation technique. For the six months ended June 30, 2018,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 There were no transfers between Level 2 and Level 3 in the three months ended June 30, 2018. The Company’s policy is to recognize transfers between levels in the fair value hierarchy at the end of the reporting period.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June 30, 2017, we held no material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the fair value of our investment portfolio is included in Note D.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June 30, 2018 and December 31, 2017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1,230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681</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2,816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conjunction with our adoption of ASU No. 2016-01, beginning January 1, 2018, unrealized gains and losses on equity and preferred securities are included in Realized gains and losses, net on the Condensed Consolidated Statement of Earnings. Accordingly, they are excluded from the table as of June 30, 2018 above. Refer to discussion under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included in Note A. </w:t>
      </w:r>
      <w:r>
        <w:rPr>
          <w:rFonts w:ascii="Arial" w:cs="Arial" w:eastAsia="Arial" w:hAnsi="Arial"/>
          <w:sz w:val="18"/>
          <w:szCs w:val="18"/>
          <w:i w:val="1"/>
          <w:iCs w:val="1"/>
          <w:color w:val="auto"/>
        </w:rPr>
        <w:t>Basis of Financial Statements</w:t>
      </w:r>
      <w:r>
        <w:rPr>
          <w:rFonts w:ascii="Arial" w:cs="Arial" w:eastAsia="Arial" w:hAnsi="Arial"/>
          <w:sz w:val="18"/>
          <w:szCs w:val="18"/>
          <w:color w:val="auto"/>
        </w:rPr>
        <w:t xml:space="preserve"> for further discussion of the effects of the adoption of ASU 2016-01.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June 30,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92"/>
              </w:rPr>
              <w:t>June 30, 2018</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22"/>
                <w:szCs w:val="22"/>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24"/>
                <w:szCs w:val="2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June 30, 2018 and December 31, 2017,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jc w:val="center"/>
              <w:ind w:right="670"/>
              <w:spacing w:after="0"/>
              <w:rPr>
                <w:sz w:val="20"/>
                <w:szCs w:val="20"/>
                <w:color w:val="auto"/>
              </w:rPr>
            </w:pPr>
            <w:r>
              <w:rPr>
                <w:rFonts w:ascii="Arial" w:cs="Arial" w:eastAsia="Arial" w:hAnsi="Arial"/>
                <w:sz w:val="18"/>
                <w:szCs w:val="18"/>
                <w:color w:val="auto"/>
                <w:w w:val="89"/>
              </w:rPr>
              <w:t>U.S. government and agencies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Mortgage-backed/asset-backed securities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w w:val="92"/>
              </w:rPr>
              <w:t>Total temporarily impaired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jc w:val="center"/>
              <w:ind w:right="670"/>
              <w:spacing w:after="0"/>
              <w:rPr>
                <w:sz w:val="20"/>
                <w:szCs w:val="20"/>
                <w:color w:val="auto"/>
              </w:rPr>
            </w:pPr>
            <w:r>
              <w:rPr>
                <w:rFonts w:ascii="Arial" w:cs="Arial" w:eastAsia="Arial" w:hAnsi="Arial"/>
                <w:sz w:val="18"/>
                <w:szCs w:val="18"/>
                <w:color w:val="auto"/>
                <w:w w:val="89"/>
              </w:rPr>
              <w:t>U.S. government and agencies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w w:val="92"/>
              </w:rPr>
              <w:t>Total temporarily impaired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recorded $3 million of impairment charges relating to investments during the three and six-month periods ended June 30, 2018. We recorded $1 million in impairment charges relating to investments during the three and six-month periods ended June 30, 2017. Impairment in these periods relate to fixed maturity securities of investees entering Chapter 11 bankruptcy which exhibited decreasing fair market values and from which we are uncertain of our ability to recover our initial investment.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June 30, 2018, we held $1 million of investment securities for which an other-than-temporary impairment had been previously recognized. As of December 31, 2017, we held no investment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ectPr>
          <w:pgSz w:w="11900" w:h="16838" w:orient="portrait"/>
          <w:cols w:equalWidth="0" w:num="1">
            <w:col w:w="11420"/>
          </w:cols>
          <w:pgMar w:left="240" w:top="121"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present realized gains and losses on investments and other assets and proceeds from the sale or maturity of investments and other assets for the three and six-month periods ended June 30, 2018 and 2017, respectively:</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23495</wp:posOffset>
            </wp:positionV>
            <wp:extent cx="2400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1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375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1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(Losses)</w:t>
            </w:r>
          </w:p>
        </w:tc>
        <w:tc>
          <w:tcPr>
            <w:tcW w:w="11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7580" w:space="100"/>
            <w:col w:w="37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1"/>
              </w:rPr>
              <w:t>(3)</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1"/>
              </w:rPr>
              <w:t>(2)</w:t>
            </w: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245</w:t>
            </w:r>
          </w:p>
        </w:tc>
        <w:tc>
          <w:tcPr>
            <w:tcW w:w="64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gridSpan w:val="3"/>
          </w:tcPr>
          <w:p>
            <w:pPr>
              <w:jc w:val="right"/>
              <w:ind w:right="39"/>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gridSpan w:val="2"/>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1"/>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Valuation losses on equity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81"/>
              </w:rPr>
              <w:t>(8)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losses on preferred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1"/>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gridSpan w:val="2"/>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realized gains and losses, net</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3"/>
              </w:rPr>
              <w:t>310</w:t>
            </w: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2"/>
              </w:rPr>
              <w:t>Three months ended June 30, 2017</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0"/>
              </w:rPr>
              <w:t>Six months ended June 30, 2017</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center"/>
              <w:ind w:left="2"/>
              <w:spacing w:after="0" w:line="153"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Realized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2"/>
                <w:szCs w:val="12"/>
                <w:color w:val="auto"/>
              </w:rPr>
            </w:pPr>
          </w:p>
        </w:tc>
        <w:tc>
          <w:tcPr>
            <w:tcW w:w="9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8"/>
              </w:rPr>
              <w:t>Sale/Maturity</w:t>
            </w:r>
          </w:p>
        </w:tc>
        <w:tc>
          <w:tcPr>
            <w:tcW w:w="100" w:type="dxa"/>
            <w:vAlign w:val="bottom"/>
          </w:tcPr>
          <w:p>
            <w:pPr>
              <w:spacing w:after="0"/>
              <w:rPr>
                <w:sz w:val="16"/>
                <w:szCs w:val="16"/>
                <w:color w:val="auto"/>
              </w:rPr>
            </w:pPr>
          </w:p>
        </w:tc>
        <w:tc>
          <w:tcPr>
            <w:tcW w:w="54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5"/>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3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gridSpan w:val="2"/>
            <w:shd w:val="clear" w:color="auto" w:fill="CCEEFF"/>
          </w:tcPr>
          <w:p>
            <w:pPr>
              <w:jc w:val="right"/>
              <w:ind w:right="26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2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Loss on debt redemptions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26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Note E —Notes Payable</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2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44"/>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160" w:type="dxa"/>
            <w:vAlign w:val="bottom"/>
            <w:gridSpan w:val="16"/>
          </w:tcPr>
          <w:p>
            <w:pPr>
              <w:ind w:left="40"/>
              <w:spacing w:after="0"/>
              <w:rPr>
                <w:sz w:val="20"/>
                <w:szCs w:val="20"/>
                <w:color w:val="auto"/>
              </w:rPr>
            </w:pPr>
            <w:r>
              <w:rPr>
                <w:rFonts w:ascii="Arial" w:cs="Arial" w:eastAsia="Arial" w:hAnsi="Arial"/>
                <w:sz w:val="18"/>
                <w:szCs w:val="18"/>
                <w:color w:val="auto"/>
                <w:w w:val="92"/>
              </w:rPr>
              <w:t>Unsecured notes, net of discount, interest payable semi-annually at 5.50%, due September 2022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99"/>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22"/>
                <w:szCs w:val="22"/>
                <w:color w:val="auto"/>
              </w:rPr>
            </w:pPr>
          </w:p>
        </w:tc>
        <w:tc>
          <w:tcPr>
            <w:tcW w:w="460" w:type="dxa"/>
            <w:vAlign w:val="bottom"/>
            <w:gridSpan w:val="2"/>
          </w:tcPr>
          <w:p>
            <w:pPr>
              <w:jc w:val="right"/>
              <w:ind w:right="24"/>
              <w:spacing w:after="0"/>
              <w:rPr>
                <w:sz w:val="20"/>
                <w:szCs w:val="20"/>
                <w:color w:val="auto"/>
              </w:rPr>
            </w:pPr>
            <w:r>
              <w:rPr>
                <w:rFonts w:ascii="Arial" w:cs="Arial" w:eastAsia="Arial" w:hAnsi="Arial"/>
                <w:sz w:val="18"/>
                <w:szCs w:val="18"/>
                <w:color w:val="auto"/>
              </w:rPr>
              <w:t>398</w:t>
            </w:r>
          </w:p>
        </w:tc>
        <w:tc>
          <w:tcPr>
            <w:tcW w:w="44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8120" w:type="dxa"/>
            <w:vAlign w:val="bottom"/>
            <w:gridSpan w:val="21"/>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1"/>
            <w:shd w:val="clear" w:color="auto" w:fill="CCEEFF"/>
          </w:tcPr>
          <w:p>
            <w:pPr>
              <w:ind w:left="40"/>
              <w:spacing w:after="0"/>
              <w:rPr>
                <w:sz w:val="20"/>
                <w:szCs w:val="20"/>
                <w:color w:val="auto"/>
              </w:rPr>
            </w:pPr>
            <w:r>
              <w:rPr>
                <w:rFonts w:ascii="Arial" w:cs="Arial" w:eastAsia="Arial" w:hAnsi="Arial"/>
                <w:sz w:val="18"/>
                <w:szCs w:val="18"/>
                <w:color w:val="auto"/>
                <w:w w:val="97"/>
              </w:rPr>
              <w:t>Unsecured convertible notes, net of discount, interest payable semi-annually at 4.25%, due August 2018</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380" w:type="dxa"/>
            <w:vAlign w:val="bottom"/>
            <w:gridSpan w:val="23"/>
          </w:tcPr>
          <w:p>
            <w:pPr>
              <w:ind w:left="40"/>
              <w:spacing w:after="0"/>
              <w:rPr>
                <w:sz w:val="20"/>
                <w:szCs w:val="20"/>
                <w:color w:val="auto"/>
              </w:rPr>
            </w:pPr>
            <w:r>
              <w:rPr>
                <w:rFonts w:ascii="Arial" w:cs="Arial" w:eastAsia="Arial" w:hAnsi="Arial"/>
                <w:sz w:val="18"/>
                <w:szCs w:val="18"/>
                <w:color w:val="auto"/>
                <w:w w:val="96"/>
              </w:rPr>
              <w:t>Revolving Credit Facility, unsecured, unused portion of $500, due April 2022 with interest payable monthly at</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ind w:right="24"/>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Arial" w:cs="Arial" w:eastAsia="Arial" w:hAnsi="Arial"/>
                <w:sz w:val="18"/>
                <w:szCs w:val="18"/>
                <w:color w:val="auto"/>
              </w:rPr>
              <w:t>LIBOR + 1.40% (3.75% at June 30, 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24"/>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2018, the estimated fair value of our long-term debt was approximately $844 million, which was $103 million higher than its carrying value, excluding $7 million of net unamortized debt issuance costs and premium/discount. The fair value of our unsecured notes payable was $543 million as of June 30, 2018. The fair values of our unsecured notes payable are based on established market prices for the securities on June 30, 2018 and are considered Level 2 financial liabilities. The carrying value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Revolving Credit Facility approximates fair value at June 30, 2018, as it is a variable rate instrument with a short reset period (monthly) which reflects current market rates. The revolving credit facilities are considered Level 2 financial liabilities.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Existing Credit Agreement was amended (the "Restated Credit Agreement").The material terms of the Revolving Credit Facility are set forth in our Annual Report for the year ended December 31, 2017. As of June 30, 2018, there was $295 million outstanding, net of $5 million of unamortized debt issuance costs, and $500 million of remaining borrowing capacity under the Revolving Credit Facility.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2017.</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 2011, FNF completed an offering of $300 million in aggregate principal amount of 4.25% convertible senior notes due August 2018 (the "Notes") in an offering conducted in accordance with Rule 144A under the Securities Act of 1933, as amended. The material terms of the Notes are set forth in our Annual Report for the year ended December 31, 2017. Beginning October 1, 2013, these notes are convertible under the 130% Sale Price Condition described in our Annual Report. During the six months ended June 30, 2018, we repurchased Notes, and Notes were converted by holders, with aggregate principal of $29 million for $86 million. Upon maturity of the Notes in August 2018, we expect to settle in cash and pay approximately $118 million based on stock prices and conversion rates as of June 30,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June 30, 2018 are as follows (in millions):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Pr>
          <w:p>
            <w:pPr>
              <w:ind w:left="20"/>
              <w:spacing w:after="0"/>
              <w:rPr>
                <w:sz w:val="20"/>
                <w:szCs w:val="20"/>
                <w:color w:val="auto"/>
              </w:rPr>
            </w:pPr>
            <w:r>
              <w:rPr>
                <w:rFonts w:ascii="Arial" w:cs="Arial" w:eastAsia="Arial" w:hAnsi="Arial"/>
                <w:sz w:val="18"/>
                <w:szCs w:val="18"/>
                <w:color w:val="auto"/>
              </w:rPr>
              <w:t>2018 (remaining)</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0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0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10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F — Commitments and Contingencies</w:t>
            </w: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4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$12 million and $2 million as of June 30, 2018 and December 31, 2017,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a class action captioned </w:t>
      </w:r>
      <w:r>
        <w:rPr>
          <w:rFonts w:ascii="Arial" w:cs="Arial" w:eastAsia="Arial" w:hAnsi="Arial"/>
          <w:sz w:val="18"/>
          <w:szCs w:val="18"/>
          <w:i w:val="1"/>
          <w:iCs w:val="1"/>
          <w:color w:val="auto"/>
        </w:rPr>
        <w:t>Patterson, et al. v. Fidelity National Title Insurance Company, et al.</w:t>
      </w:r>
      <w:r>
        <w:rPr>
          <w:rFonts w:ascii="Arial" w:cs="Arial" w:eastAsia="Arial" w:hAnsi="Arial"/>
          <w:sz w:val="18"/>
          <w:szCs w:val="18"/>
          <w:color w:val="auto"/>
        </w:rPr>
        <w:t>, Case No. GD 03-021176, pending in the Court of Common Pleas of Allegheny County, Pennsylvania, plaintiffs allege the named Company underwriters violated Pennsylvania’s Unfair Trade Practices and Consumer Protection Law (“UTPCPL”) by failing to provide premium discounts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which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finding that the Company failed to advise it’s agents how to interpret the rate rule so that it would be uniformly applied, thereby having engaged in “deceptive conduct.” The Company plans to seek interlocutory review of the summary judgment order or appeal after entry of judgment. There has been no determination as to the size of the class. It is unknown whether plaintiffs will seek statutory or actual damages, whether the judge will exercise discretion to award treble damages or award prejudgment interest, or what plaintiffs’ counsel will seek as reasonable attorneys’ fees. Accordingly, damages are not reasonably estimable at this time. We will continue to vigorously defend this matter, and we do not believe the result will have a material adverse effect on our financial condition.</w:t>
      </w:r>
    </w:p>
    <w:p>
      <w:pPr>
        <w:spacing w:after="0" w:line="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10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0"/>
        </w:trPr>
        <w:tc>
          <w:tcPr>
            <w:tcW w:w="10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17, 2018, our Board of Directors declared cash dividends of $0.30 per share, payable on September 28, 2018, to FNF common shareholders of record as of September 14, 2018.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3"/>
                <w:szCs w:val="13"/>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602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763</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2,094</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1,962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2,123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9,254</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2,764</w:t>
            </w:r>
          </w:p>
        </w:tc>
        <w:tc>
          <w:tcPr>
            <w:tcW w:w="0" w:type="dxa"/>
            <w:vAlign w:val="bottom"/>
          </w:tcPr>
          <w:p>
            <w:pPr>
              <w:spacing w:after="0"/>
              <w:rPr>
                <w:sz w:val="1"/>
                <w:szCs w:val="1"/>
                <w:color w:val="auto"/>
              </w:rPr>
            </w:pPr>
          </w:p>
        </w:tc>
      </w:tr>
      <w:tr>
        <w:trPr>
          <w:trHeight w:val="336"/>
        </w:trPr>
        <w:tc>
          <w:tcPr>
            <w:tcW w:w="8120" w:type="dxa"/>
            <w:vAlign w:val="bottom"/>
          </w:tcPr>
          <w:p>
            <w:pPr>
              <w:ind w:left="340"/>
              <w:spacing w:after="0"/>
              <w:rPr>
                <w:sz w:val="20"/>
                <w:szCs w:val="20"/>
                <w:color w:val="auto"/>
              </w:rPr>
            </w:pPr>
            <w:r>
              <w:rPr>
                <w:rFonts w:ascii="Arial" w:cs="Arial" w:eastAsia="Arial" w:hAnsi="Arial"/>
                <w:sz w:val="18"/>
                <w:szCs w:val="18"/>
                <w:color w:val="auto"/>
              </w:rPr>
              <w:t>As of and for the three months ended June 30, 2017: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1,301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575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720</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1,917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2,059</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14,202</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2,598</w:t>
            </w:r>
          </w:p>
        </w:tc>
        <w:tc>
          <w:tcPr>
            <w:tcW w:w="0" w:type="dxa"/>
            <w:vAlign w:val="bottom"/>
          </w:tcPr>
          <w:p>
            <w:pPr>
              <w:spacing w:after="0"/>
              <w:rPr>
                <w:sz w:val="1"/>
                <w:szCs w:val="1"/>
                <w:color w:val="auto"/>
              </w:rPr>
            </w:pPr>
          </w:p>
        </w:tc>
      </w:tr>
      <w:tr>
        <w:trPr>
          <w:trHeight w:val="471"/>
        </w:trPr>
        <w:tc>
          <w:tcPr>
            <w:tcW w:w="8120" w:type="dxa"/>
            <w:vAlign w:val="bottom"/>
          </w:tcPr>
          <w:p>
            <w:pPr>
              <w:ind w:left="56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3"/>
                <w:szCs w:val="13"/>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2,367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1,381</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3,748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3,552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3,816</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92</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402</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349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352</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9,254</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2,764</w:t>
            </w:r>
          </w:p>
        </w:tc>
        <w:tc>
          <w:tcPr>
            <w:tcW w:w="0" w:type="dxa"/>
            <w:vAlign w:val="bottom"/>
          </w:tcPr>
          <w:p>
            <w:pPr>
              <w:spacing w:after="0"/>
              <w:rPr>
                <w:sz w:val="1"/>
                <w:szCs w:val="1"/>
                <w:color w:val="auto"/>
              </w:rPr>
            </w:pPr>
          </w:p>
        </w:tc>
      </w:tr>
      <w:tr>
        <w:trPr>
          <w:trHeight w:val="336"/>
        </w:trPr>
        <w:tc>
          <w:tcPr>
            <w:tcW w:w="8120" w:type="dxa"/>
            <w:vAlign w:val="bottom"/>
          </w:tcPr>
          <w:p>
            <w:pPr>
              <w:ind w:left="340"/>
              <w:spacing w:after="0"/>
              <w:rPr>
                <w:sz w:val="20"/>
                <w:szCs w:val="20"/>
                <w:color w:val="auto"/>
              </w:rPr>
            </w:pPr>
            <w:r>
              <w:rPr>
                <w:rFonts w:ascii="Arial" w:cs="Arial" w:eastAsia="Arial" w:hAnsi="Arial"/>
                <w:sz w:val="18"/>
                <w:szCs w:val="18"/>
                <w:color w:val="auto"/>
              </w:rPr>
              <w:t>As of and for the six months ended June 30, 2017: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2,349</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1,071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1,291</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3,640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3,487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3,702</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402</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232</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236</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14,202</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2,598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This segment consists of the operations of the parent holding company, our various real estate brokerage businesses,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technology subsidiaries. This segment also includes certain other unallocated corporate overhead expenses and eliminations of revenues and expenses between it and our Title segment, as well as the assets of discontinued operations of Black Knight and FNFV as of June 30, 2017.</w:t>
      </w:r>
    </w:p>
    <w:p>
      <w:pPr>
        <w:sectPr>
          <w:pgSz w:w="11900" w:h="16838" w:orient="portrait"/>
          <w:cols w:equalWidth="0" w:num="1">
            <w:col w:w="11420"/>
          </w:cols>
          <w:pgMar w:left="240" w:top="121"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supplemental cash flow information is provided with respect to certain cash payment and non-cash investing and financing activities.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380" w:type="dxa"/>
            <w:vAlign w:val="bottom"/>
            <w:gridSpan w:val="5"/>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76"/>
        </w:trPr>
        <w:tc>
          <w:tcPr>
            <w:tcW w:w="900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202</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90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treasury stock purchases payable in period</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accrual for unsettled debt service payments related to the Notes</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accrual for the equity portion of unsettled repurchases of the Notes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Debt extinguished through the sale of OneDigital</w:t>
            </w:r>
          </w:p>
        </w:tc>
        <w:tc>
          <w:tcPr>
            <w:tcW w:w="7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Revenue Recognition</w:t>
      </w:r>
    </w:p>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 2018, we adopted ASC Topic 606 by applying the modified retrospective method. Results for reporting periods beginning after January 1, 2018 are presented under Topic 606, while prior period amounts are not adjusted and continue to be reported under the accounting standards in effect for the prior period.</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adoption of ASC Topic 606 did not have an impact on the recognition of our primary sources of revenue, direct and agency title premiums, as those revenue streams are subject to the accounting and reporting requirements under ASC Topic 944. Timing of recognition of substantially all of our remaining revenue was also not impacted and we therefore did not record any cumulative effect adjustment to opening equity.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ectPr>
          <w:pgSz w:w="11900" w:h="16838" w:orient="portrait"/>
          <w:cols w:equalWidth="0" w:num="1">
            <w:col w:w="11420"/>
          </w:cols>
          <w:pgMar w:left="240" w:top="121" w:right="239" w:bottom="1440" w:gutter="0" w:footer="0" w:header="0"/>
        </w:sectPr>
      </w:pPr>
    </w:p>
    <w:p>
      <w:pPr>
        <w:spacing w:after="0" w:line="330" w:lineRule="exact"/>
        <w:rPr>
          <w:sz w:val="20"/>
          <w:szCs w:val="20"/>
          <w:color w:val="auto"/>
        </w:rPr>
      </w:pPr>
    </w:p>
    <w:p>
      <w:pPr>
        <w:jc w:val="right"/>
        <w:ind w:right="1120"/>
        <w:spacing w:after="0" w:line="553" w:lineRule="auto"/>
        <w:rPr>
          <w:sz w:val="20"/>
          <w:szCs w:val="20"/>
          <w:color w:val="auto"/>
        </w:rPr>
      </w:pPr>
      <w:r>
        <w:rPr>
          <w:rFonts w:ascii="Arial" w:cs="Arial" w:eastAsia="Arial" w:hAnsi="Arial"/>
          <w:sz w:val="16"/>
          <w:szCs w:val="16"/>
          <w:b w:val="1"/>
          <w:bCs w:val="1"/>
          <w:i w:val="1"/>
          <w:iCs w:val="1"/>
          <w:color w:val="auto"/>
        </w:rPr>
        <w:t xml:space="preserve">Disaggregation of Revenue </w:t>
      </w:r>
      <w:r>
        <w:rPr>
          <w:rFonts w:ascii="Arial" w:cs="Arial" w:eastAsia="Arial" w:hAnsi="Arial"/>
          <w:sz w:val="16"/>
          <w:szCs w:val="16"/>
          <w:color w:val="auto"/>
        </w:rPr>
        <w:t>Our revenue consists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46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insurance contracts: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Title insurance premiums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Home warranty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revenue from insurance contracts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Escrow fees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title-related fees and income</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 estate brokerage</w:t>
      </w:r>
    </w:p>
    <w:p>
      <w:pPr>
        <w:spacing w:after="0" w:line="73"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ServiceLink, excluding title premiums, escrow fees, and subservicing fees</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 estate technology</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revenue from contracts with customers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revenue: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Loan subservicing revenue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and investment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Realized gains and losses, net</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92"/>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2017</w:t>
            </w:r>
          </w:p>
        </w:tc>
      </w:tr>
      <w:tr>
        <w:trPr>
          <w:trHeight w:val="250"/>
        </w:trPr>
        <w:tc>
          <w:tcPr>
            <w:tcW w:w="3100" w:type="dxa"/>
            <w:vAlign w:val="bottom"/>
            <w:gridSpan w:val="2"/>
          </w:tcPr>
          <w:p>
            <w:pPr>
              <w:ind w:left="500"/>
              <w:spacing w:after="0"/>
              <w:rPr>
                <w:sz w:val="20"/>
                <w:szCs w:val="20"/>
                <w:color w:val="auto"/>
              </w:rPr>
            </w:pPr>
            <w:r>
              <w:rPr>
                <w:rFonts w:ascii="Arial" w:cs="Arial" w:eastAsia="Arial" w:hAnsi="Arial"/>
                <w:sz w:val="14"/>
                <w:szCs w:val="14"/>
                <w:b w:val="1"/>
                <w:bCs w:val="1"/>
                <w:color w:val="auto"/>
              </w:rPr>
              <w:t>Income Statement Classification</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Segment</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Total Revenue</w:t>
            </w:r>
          </w:p>
        </w:tc>
        <w:tc>
          <w:tcPr>
            <w:tcW w:w="780" w:type="dxa"/>
            <w:vAlign w:val="bottom"/>
          </w:tcPr>
          <w:p>
            <w:pPr>
              <w:spacing w:after="0"/>
              <w:rPr>
                <w:sz w:val="21"/>
                <w:szCs w:val="21"/>
                <w:color w:val="auto"/>
              </w:rPr>
            </w:pPr>
          </w:p>
        </w:tc>
      </w:tr>
      <w:tr>
        <w:trPr>
          <w:trHeight w:val="258"/>
        </w:trPr>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4"/>
          </w:tcPr>
          <w:p>
            <w:pPr>
              <w:jc w:val="center"/>
              <w:ind w:right="300"/>
              <w:spacing w:after="0"/>
              <w:rPr>
                <w:sz w:val="20"/>
                <w:szCs w:val="20"/>
                <w:color w:val="auto"/>
              </w:rPr>
            </w:pPr>
            <w:r>
              <w:rPr>
                <w:rFonts w:ascii="Arial" w:cs="Arial" w:eastAsia="Arial" w:hAnsi="Arial"/>
                <w:sz w:val="14"/>
                <w:szCs w:val="14"/>
                <w:color w:val="auto"/>
              </w:rPr>
              <w:t>(in millions)</w:t>
            </w:r>
          </w:p>
        </w:tc>
        <w:tc>
          <w:tcPr>
            <w:tcW w:w="780" w:type="dxa"/>
            <w:vAlign w:val="bottom"/>
            <w:tcBorders>
              <w:top w:val="single" w:sz="8" w:color="auto"/>
            </w:tcBorders>
          </w:tcPr>
          <w:p>
            <w:pPr>
              <w:spacing w:after="0"/>
              <w:rPr>
                <w:sz w:val="22"/>
                <w:szCs w:val="22"/>
                <w:color w:val="auto"/>
              </w:rPr>
            </w:pPr>
          </w:p>
        </w:tc>
      </w:tr>
      <w:tr>
        <w:trPr>
          <w:trHeight w:val="232"/>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Direct title insurance premiums;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6"/>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Agency title insurance premiums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   1,331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w w:val="89"/>
              </w:rPr>
              <w:t>1,301</w:t>
            </w: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   2,367</w:t>
            </w:r>
          </w:p>
        </w:tc>
        <w:tc>
          <w:tcPr>
            <w:tcW w:w="1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   2,349</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83</w:t>
            </w: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w w:val="89"/>
              </w:rPr>
              <w:t>1,343</w:t>
            </w: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2,432</w:t>
            </w:r>
          </w:p>
        </w:tc>
      </w:tr>
      <w:tr>
        <w:trPr>
          <w:trHeight w:val="540"/>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394</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300</w:t>
            </w:r>
          </w:p>
        </w:tc>
      </w:tr>
      <w:tr>
        <w:trPr>
          <w:trHeight w:val="253"/>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Corporate and</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6"/>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other</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188</w:t>
            </w:r>
          </w:p>
        </w:tc>
      </w:tr>
      <w:tr>
        <w:trPr>
          <w:trHeight w:val="459"/>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214</w:t>
            </w:r>
          </w:p>
        </w:tc>
      </w:tr>
      <w:tr>
        <w:trPr>
          <w:trHeight w:val="253"/>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Corporate and</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6"/>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other</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53"/>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Corporate and</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6"/>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other</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1,129</w:t>
            </w:r>
          </w:p>
        </w:tc>
      </w:tr>
      <w:tr>
        <w:trPr>
          <w:trHeight w:val="540"/>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Interest and investment income</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Various</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Realized gains and losses, net</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Various</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 revenues</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2,059</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3,816</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3,702</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-3369945</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-2906395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-2563495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-2220595</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-1637030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-1054100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-711200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-368300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3200" w:space="460"/>
            <w:col w:w="7760"/>
          </w:cols>
          <w:pgMar w:left="240" w:top="121" w:right="2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 and the agent has been invoiced.</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our home warranty business are generated from contracts with customers to provide warranty for major home appliances. Contracts are one year in length and revenue is recognized ratably over the term of the contract.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our ServiceLink subsidiary,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December 31, 2017</w:t>
            </w:r>
          </w:p>
        </w:tc>
      </w:tr>
      <w:tr>
        <w:trPr>
          <w:trHeight w:val="190"/>
        </w:trPr>
        <w:tc>
          <w:tcPr>
            <w:tcW w:w="8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1220" w:type="dxa"/>
            <w:vAlign w:val="bottom"/>
          </w:tcPr>
          <w:p>
            <w:pPr>
              <w:jc w:val="right"/>
              <w:ind w:right="10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36"/>
              <w:spacing w:after="0"/>
              <w:rPr>
                <w:sz w:val="20"/>
                <w:szCs w:val="20"/>
                <w:color w:val="auto"/>
              </w:rPr>
            </w:pPr>
            <w:r>
              <w:rPr>
                <w:rFonts w:ascii="Arial" w:cs="Arial" w:eastAsia="Arial" w:hAnsi="Arial"/>
                <w:sz w:val="18"/>
                <w:szCs w:val="18"/>
                <w:color w:val="auto"/>
                <w:w w:val="86"/>
              </w:rPr>
              <w:t>314</w:t>
            </w:r>
          </w:p>
        </w:tc>
        <w:tc>
          <w:tcPr>
            <w:tcW w:w="860" w:type="dxa"/>
            <w:vAlign w:val="bottom"/>
          </w:tcPr>
          <w:p>
            <w:pPr>
              <w:jc w:val="right"/>
              <w:ind w:right="57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8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(contract liabilities)</w:t>
            </w:r>
          </w:p>
        </w:tc>
        <w:tc>
          <w:tcPr>
            <w:tcW w:w="12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6"/>
              </w:rPr>
              <w:t>108</w:t>
            </w:r>
          </w:p>
        </w:tc>
        <w:tc>
          <w:tcPr>
            <w:tcW w:w="8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8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one year. The unrecognized portion is recorded as deferred revenue in accounts payable and other accrued liabilities in the Condensed Consolidated Balance Sheets. During the three months ended June 30, 2018, we recognized $45 million of revenue which was included in deferred revenue at the beginning of the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Discontinued Operations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BK Distribution, we have reclassified the financial results of Black Knight to discontinued operations in our Condensed Consolidated Statements of Earnings for the three and six-months ended June 30, 2017. We retained no ownership in Black Knight. Subsequent to the BK Distribution, Black Knight is considered a related party to FNF.</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various agreements with Black Knight to provide technology, data and analytics services, as well as corporate shared services and information technology. We are also a party to certain other agreements under which we incur other expenses or receive revenues from Black Knight. We expect to continue utilizing Black Knight to provide technology and data and analytics services for the foreseeable future. The cash inflows and outflows from and to Black Knight as well as revenues and expenses included in continuing operations in the six months ended June 30, 2018 which were previously eliminated in our condensed consolidated financial statements as intra-entity transactions are not material to our results of operations.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Black Knight included in discontinued operations is shown below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Three months ended</w:t>
            </w: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Six months ended June</w:t>
            </w:r>
          </w:p>
        </w:tc>
      </w:tr>
      <w:tr>
        <w:trPr>
          <w:trHeight w:val="210"/>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June 30,</w:t>
            </w:r>
          </w:p>
        </w:tc>
        <w:tc>
          <w:tcPr>
            <w:tcW w:w="520" w:type="dxa"/>
            <w:vAlign w:val="bottom"/>
          </w:tcPr>
          <w:p>
            <w:pPr>
              <w:spacing w:after="0"/>
              <w:rPr>
                <w:sz w:val="18"/>
                <w:szCs w:val="18"/>
                <w:color w:val="auto"/>
              </w:rPr>
            </w:pPr>
          </w:p>
        </w:tc>
        <w:tc>
          <w:tcPr>
            <w:tcW w:w="1160" w:type="dxa"/>
            <w:vAlign w:val="bottom"/>
          </w:tcPr>
          <w:p>
            <w:pPr>
              <w:jc w:val="right"/>
              <w:ind w:right="659"/>
              <w:spacing w:after="0"/>
              <w:rPr>
                <w:sz w:val="20"/>
                <w:szCs w:val="20"/>
                <w:color w:val="auto"/>
              </w:rPr>
            </w:pPr>
            <w:r>
              <w:rPr>
                <w:rFonts w:ascii="Arial" w:cs="Arial" w:eastAsia="Arial" w:hAnsi="Arial"/>
                <w:sz w:val="16"/>
                <w:szCs w:val="16"/>
                <w:b w:val="1"/>
                <w:bCs w:val="1"/>
                <w:color w:val="auto"/>
              </w:rPr>
              <w:t>30,</w:t>
            </w:r>
          </w:p>
        </w:tc>
      </w:tr>
      <w:tr>
        <w:trPr>
          <w:trHeight w:val="33"/>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ind w:left="1240"/>
              <w:spacing w:after="0"/>
              <w:rPr>
                <w:sz w:val="20"/>
                <w:szCs w:val="20"/>
                <w:color w:val="auto"/>
              </w:rPr>
            </w:pPr>
            <w:r>
              <w:rPr>
                <w:rFonts w:ascii="Arial" w:cs="Arial" w:eastAsia="Arial" w:hAnsi="Arial"/>
                <w:sz w:val="16"/>
                <w:szCs w:val="16"/>
                <w:b w:val="1"/>
                <w:bCs w:val="1"/>
                <w:color w:val="auto"/>
              </w:rPr>
              <w:t>(Unaudited)</w:t>
            </w:r>
          </w:p>
        </w:tc>
        <w:tc>
          <w:tcPr>
            <w:tcW w:w="1160" w:type="dxa"/>
            <w:vAlign w:val="bottom"/>
          </w:tcPr>
          <w:p>
            <w:pPr>
              <w:spacing w:after="0"/>
              <w:rPr>
                <w:sz w:val="18"/>
                <w:szCs w:val="18"/>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discontinued operations before income taxes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discontinued operations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earnings attributable to Fidelity National Financial, Inc. common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r>
      <w:tr>
        <w:trPr>
          <w:trHeight w:val="257"/>
        </w:trPr>
        <w:tc>
          <w:tcPr>
            <w:tcW w:w="7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flow from discontinued operations data:</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a result of the FNFV Split-Off we have reclassified the financial results of FNFV Group to discontinued operations for the three and six months ended June 30, 2017 in our Condensed Consolidated Statements of Earnings. Subsequent to the FNFV Split-Off, Cannae is considered a related party to FNF. The cash inflows and outflows from and to Cannae as well as revenues and expenses included in continuing operations in the six months ended June 30, 2017 which were previously eliminated in our condensed consolidated financial statements as intra-entity transactions, are not material to our results of operations.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conjunction with the FNFV Split-Off, FNTIC, Chicago Title, and Commonwealth Title contributed an aggregate of $100 million to Cannae in exchange for 5,706,134 shares of Cannae common stock. As of June 30, 2018, we own approximately 7.9% of Cannae's outstanding common equity. In addition, we issued to Cannae a revolver note (the "Cannae Revolver") in the aggregate principal amount of up to $100 million, which accrues interest at LIBOR plus 450 basis points and matures on the five-year anniversary of the date of the Cannae Revolver. The maturity date is automatically extended for additional five-year terms unless notice of non-renewal is otherwise provided by either FNF or Cannae, in their sole discretion. As of June 30, 2018, there is no outstanding balance under the Cannae Revolver.</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FNFV Split-Off, the following material agreements were entered into by and between the Company and Cannae (the “Split-Off Agreements”):</w:t>
      </w:r>
    </w:p>
    <w:p>
      <w:pPr>
        <w:spacing w:after="0" w:line="170" w:lineRule="exact"/>
        <w:rPr>
          <w:sz w:val="20"/>
          <w:szCs w:val="20"/>
          <w:color w:val="auto"/>
        </w:rPr>
      </w:pPr>
    </w:p>
    <w:p>
      <w:pPr>
        <w:jc w:val="both"/>
        <w:ind w:left="660" w:firstLine="320"/>
        <w:spacing w:after="0" w:line="311"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Reorganization Agreement, dated as of November 17, 2017, by and between the Company and Cannae, which provides for, among other things, the principal corporate transactions required to effect the Split-Off, certain conditions to the Split-Off and provisions governing the relationship between the Company and Cannae with respect to and resulting from the Split-Off;</w:t>
      </w:r>
    </w:p>
    <w:p>
      <w:pPr>
        <w:spacing w:after="0" w:line="154" w:lineRule="exact"/>
        <w:rPr>
          <w:rFonts w:ascii="Arial" w:cs="Arial" w:eastAsia="Arial" w:hAnsi="Arial"/>
          <w:sz w:val="18"/>
          <w:szCs w:val="18"/>
          <w:color w:val="auto"/>
        </w:rPr>
      </w:pPr>
    </w:p>
    <w:p>
      <w:pPr>
        <w:jc w:val="both"/>
        <w:ind w:left="660" w:firstLine="320"/>
        <w:spacing w:after="0" w:line="311"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Tax Matters Agreement, dated as of November 17, 2017, by and between the Company and Cannae, which governs the Company’s and Cannae’s respective rights, responsibilities and obligations with respect to taxes and tax benefits, the filing of tax returns, the control of audits and other tax matters; and</w:t>
      </w:r>
    </w:p>
    <w:p>
      <w:pPr>
        <w:spacing w:after="0" w:line="154" w:lineRule="exact"/>
        <w:rPr>
          <w:rFonts w:ascii="Arial" w:cs="Arial" w:eastAsia="Arial" w:hAnsi="Arial"/>
          <w:sz w:val="18"/>
          <w:szCs w:val="18"/>
          <w:color w:val="auto"/>
        </w:rPr>
      </w:pPr>
    </w:p>
    <w:p>
      <w:pPr>
        <w:jc w:val="both"/>
        <w:ind w:left="660" w:firstLine="320"/>
        <w:spacing w:after="0" w:line="306"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Voting Agreement, dated as of November 17, 2017, by and between the Company and Cannae, pursuant to which the Company agrees to appear or cause all shares of Cannae common stock that the Company or its subsidiaries, as applicable, own after the Split-Off to be counted as present at any meeting of the stockholders of Cannae for the purpose of establishing a quorum, and agrees to vote all of such shares of Cannae common stock (or cause them to be voted) in</w:t>
      </w:r>
    </w:p>
    <w:p>
      <w:pPr>
        <w:sectPr>
          <w:pgSz w:w="11900" w:h="16838" w:orient="portrait"/>
          <w:cols w:equalWidth="0" w:num="1">
            <w:col w:w="11420"/>
          </w:cols>
          <w:pgMar w:left="240" w:top="121" w:right="239" w:bottom="100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00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the same manner as, and in the same proportion to, all shares voted by holders of Cannae common stock (other than the Company and its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FNFV included in discontinued operations is shown below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Three months ended</w:t>
            </w:r>
          </w:p>
        </w:tc>
        <w:tc>
          <w:tcPr>
            <w:tcW w:w="12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(Unaudited)</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Restaurant revenue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561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expenses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689</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discontinued operations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losses of unconsolidated affiliates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from discontinued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operations</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33"/>
        </w:trPr>
        <w:tc>
          <w:tcPr>
            <w:tcW w:w="8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to Consolidated Financial Statements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net earnings of Black Knight and FNFV to the Statement of Earnings is shown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Three months ended</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Six months ended June</w:t>
            </w:r>
          </w:p>
        </w:tc>
      </w:tr>
      <w:tr>
        <w:trPr>
          <w:trHeight w:val="210"/>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520" w:type="dxa"/>
            <w:vAlign w:val="bottom"/>
          </w:tcPr>
          <w:p>
            <w:pPr>
              <w:spacing w:after="0"/>
              <w:rPr>
                <w:sz w:val="18"/>
                <w:szCs w:val="18"/>
                <w:color w:val="auto"/>
              </w:rPr>
            </w:pPr>
          </w:p>
        </w:tc>
        <w:tc>
          <w:tcPr>
            <w:tcW w:w="1180" w:type="dxa"/>
            <w:vAlign w:val="bottom"/>
          </w:tcPr>
          <w:p>
            <w:pPr>
              <w:jc w:val="right"/>
              <w:ind w:right="654"/>
              <w:spacing w:after="0"/>
              <w:rPr>
                <w:sz w:val="20"/>
                <w:szCs w:val="20"/>
                <w:color w:val="auto"/>
              </w:rPr>
            </w:pPr>
            <w:r>
              <w:rPr>
                <w:rFonts w:ascii="Arial" w:cs="Arial" w:eastAsia="Arial" w:hAnsi="Arial"/>
                <w:sz w:val="16"/>
                <w:szCs w:val="16"/>
                <w:b w:val="1"/>
                <w:bCs w:val="1"/>
                <w:color w:val="auto"/>
              </w:rPr>
              <w:t>30,</w:t>
            </w:r>
          </w:p>
        </w:tc>
      </w:tr>
      <w:tr>
        <w:trPr>
          <w:trHeight w:val="33"/>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35"/>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ind w:right="594"/>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right"/>
              <w:ind w:right="73"/>
              <w:spacing w:after="0"/>
              <w:rPr>
                <w:sz w:val="20"/>
                <w:szCs w:val="20"/>
                <w:color w:val="auto"/>
              </w:rPr>
            </w:pPr>
            <w:r>
              <w:rPr>
                <w:rFonts w:ascii="Arial" w:cs="Arial" w:eastAsia="Arial" w:hAnsi="Arial"/>
                <w:sz w:val="16"/>
                <w:szCs w:val="16"/>
                <w:b w:val="1"/>
                <w:bCs w:val="1"/>
                <w:color w:val="auto"/>
              </w:rPr>
              <w:t>(Unaudited)</w:t>
            </w:r>
          </w:p>
        </w:tc>
        <w:tc>
          <w:tcPr>
            <w:tcW w:w="11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 attributable to Black Knight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Earnings from discontinued operations attributable to FNFV</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119</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 from discontinued operations,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w:t>
      </w:r>
    </w:p>
    <w:p>
      <w:pPr>
        <w:sectPr>
          <w:pgSz w:w="11900" w:h="16838" w:orient="portrait"/>
          <w:cols w:equalWidth="0" w:num="1">
            <w:col w:w="11420"/>
          </w:cols>
          <w:pgMar w:left="240" w:top="121" w:right="239" w:bottom="784"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784"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the risk that Stewart stockholders may not adopt the Merger Agreement; the risk that the necessary regulatory approvals for the Stewart Merger may not be obtained or may be obtained subject to conditions that are not anticipated; risks that any of the closing conditions to the proposed Stewart Merger may not be satisfied in a timely manner; the risk that our and Stewart's businesses will not be integrated successfully, that such integration may be more difficult, time-consuming or more costly than expected or that the expected benefits of the Stewart Merger will not be realized; and other risks detailed in the “Statement Regarding Forward-Looking Information,” “Risk Factors” and other sections of our Annual Report on Form 10-K (our "Annual Report") for the year ended December 31, 2017 and other filings with the SEC.</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 description of our business, including descriptions of segments and recent business developments, see the discussion under Basis of Financial Statements in Note A to the Condensed Consolidated Financial Statements included in Item 1 of Part I of this Report, which is incorporated by reference into this Part I, Item 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housing inventory and home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6, 2018, the Mortgage Bankers Association ("MBA") estimated (actual for fiscal year 2017) the size of the U.S. mortgage originations market as shown in the following table for 2017 - 2020 in its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2017, total originations were reflective of a generally improving residential real estate market driven by increasing home prices and historically low mortgage interest rates. Mortgage interest rates increased slightly in 2017 from 2016, but remained low compared to historical rates, and have continued to rise through the first half of 2018. Refinance transactions decreased in 2017 and through the first half of 2018 from the historically high levels experienced in recent years through 2016. Existing home sales increased through 2017 and began leveling out and decreasing through the first half of 2018. Over the same time period, there has been a consistent decline in total housing inventory and increase in average home prices.</w:t>
      </w:r>
    </w:p>
    <w:p>
      <w:pPr>
        <w:spacing w:after="0" w:line="3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2018 and beyond, increasing mortgage interest rates driven by gradual increases in the target federal funds rate are expected to adversely impact mortgage originations. In a rising interest rate environment, refinance transactions are expected to continue to decline. The MBA predicts overall mortgage originations in 2018 through 2020 will remain relatively flat compared to the 2017 period driven by a decrease in refinance transactions, offset by an increase in purchase transactions. Purchase transactions involve the issuance of both a lender’s policy and an owner’s policy, resulting in higher title premiums, whereas refinance transactions only require a lender’s policy, resulting in lower title premiums.</w:t>
      </w:r>
    </w:p>
    <w:p>
      <w:pPr>
        <w:spacing w:after="0" w:line="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projected increases in mortgage interest rates present a potential headwind for mortgage originations, other economic indicators used to measure the health of the United States economy, including the unemployment rate and consumer confidence, have improved in recent years. According to the United States Department of Labor's Bureau of Labor, the unemployment rate has dropped from 7.4% in 2013 to 4.0% in June 2018. Additionally, the Conference Board's monthly Consumer Confidence Index has remained at historically high levels through 2018. We believe that improvements in both of these economic indicators, among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indicators which support a generally strong United States economy, present potential tailwinds for mortgage originations and support recent home price trends.</w:t>
      </w:r>
    </w:p>
    <w:p>
      <w:pPr>
        <w:spacing w:after="0" w:line="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cannot be certain how, if at all, the positive effects of a change in mix of purchase to refinance transactions, increasing home prices, and of a generally strong United States economy and the negative effects of projected short-term decreases in overall originations and increases in interest rates will impact our future results of operations. We continually monitor origination trends and believe that, based on our ability to produce industry leading operating margins through all economic cycles, we are well positioned to adjust our operations for adverse changes in real estate activity.</w:t>
      </w:r>
    </w:p>
    <w:p>
      <w:pPr>
        <w:spacing w:after="0" w:line="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Over the last couple of years, we have continued to experience strong demand in commercial real estate markets. In 2015 through 2017, the volume and fee-per-file of our commercial transactions were at historical highs. Through the first half of 2018, we have continued to see strong demand for commercial transactions.</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fluctuations in the real estate industry. The first calendar quarter is</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1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6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1,040</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1,291</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1,004</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3"/>
              </w:rPr>
              <w:t>Earnings from continuing operations before income taxes and equity in earnings of</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402</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increased by $64 million in the three months ended June 30, 2018 and increased by $114 million in the six months ended June 30, 2018, compared to the corresponding periods in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from continuing operations increased by $78 million in the three months ended June 30, 2018 and increased by $116 million in the six months ended June 30, 2018, compared to the corresponding periods in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business are incurred as orders are received and processed; and Agent commissions, which are incurred as title agency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Income tax expense was $22 million and $101 million in the three-month periods ended June 30, 2018 and 2017, respectively, and $53 million and $170 million in the six-month periods ended June 30, 2018 and 2017, respectively. Income tax expense as a percentage of earnings before income taxes was 8.0% and 36.9% for the three-month periods ended June 30, 2018 and 2017, respectively, and 13.2% and 42.3% for the six-month periods ended June 30, 2018 and 2017, respectively. Income tax expense as a percentage of earnings before income taxes fluctuates depending on our estimate of ultimate income tax liability and changes in the characteristics of net earnings, such as the weighting of operating income versus investment income. On December 22, 2017, the U.S. government enacted comprehensive tax legislation commonly referred to as the Tax Cuts and Jobs Act (the “Tax Reform Act”). Among other provisions, the Tax Reform Act reduced the Federal statutory corporate income tax rate from 35% to 21% and limited or eliminated certain deductions. The decrease in income tax as a percentage of earnings before income taxes from the three-month period ended June 30, 2017 to the comparable 2018 period was primarily driven by the Tax Reform Act as well as a change in tax estimate regarding the timing of payments for, and tax rate applicable to, our tax liability resulting from the decrease in our statutory premium reserves associated with the redomestication of certain of our title insurance underwriters in 2017. The decrease in the six-month period was also attributable to increased tax expense of $21 million in the 2017 period resulting from a change in judgment of the tax deductibility of legal settlements finalized in the period.</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Equity in earnings of unconsolidated affiliates was $1 million and $3 million for the three-month periods ended June 30, 2018 and 2017, respectively, and $3 million and $4 million for the six-month periods ended June 30, 2018 and 2017, respectively. The equity in earnings in 2018 and 2017 are attributable to various individually immaterial unconsolidated affiliates.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02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09"/>
        </w:trPr>
        <w:tc>
          <w:tcPr>
            <w:tcW w:w="6520" w:type="dxa"/>
            <w:vAlign w:val="bottom"/>
          </w:tcPr>
          <w:p>
            <w:pPr>
              <w:ind w:left="40"/>
              <w:spacing w:after="0"/>
              <w:rPr>
                <w:sz w:val="20"/>
                <w:szCs w:val="20"/>
                <w:color w:val="auto"/>
              </w:rPr>
            </w:pPr>
            <w:r>
              <w:rPr>
                <w:rFonts w:ascii="Arial" w:cs="Arial" w:eastAsia="Arial" w:hAnsi="Arial"/>
                <w:sz w:val="18"/>
                <w:szCs w:val="18"/>
                <w:color w:val="auto"/>
                <w:w w:val="97"/>
              </w:rPr>
              <w:t>Earnings from continuing operations, before income taxes and equity in earnings of</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unconsolidated affiliates</w:t>
            </w:r>
          </w:p>
        </w:tc>
        <w:tc>
          <w:tcPr>
            <w:tcW w:w="2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$45 million, or 2%, in the three months ended June 30, 2018 and increased by $65 million, or 2%, in the six months ended June 30, 2018, from the corresponding periods in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6"/>
              </w:rPr>
              <w:t>Six months ended June 30,</w:t>
            </w:r>
          </w:p>
        </w:tc>
        <w:tc>
          <w:tcPr>
            <w:tcW w:w="860" w:type="dxa"/>
            <w:vAlign w:val="bottom"/>
            <w:tcBorders>
              <w:bottom w:val="single" w:sz="8" w:color="auto"/>
            </w:tcBorders>
          </w:tcPr>
          <w:p>
            <w:pPr>
              <w:spacing w:after="0"/>
              <w:rPr>
                <w:sz w:val="16"/>
                <w:szCs w:val="16"/>
                <w:color w:val="auto"/>
              </w:rPr>
            </w:pPr>
          </w:p>
        </w:tc>
      </w:tr>
      <w:tr>
        <w:trPr>
          <w:trHeight w:val="258"/>
        </w:trPr>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860" w:type="dxa"/>
            <w:vAlign w:val="bottom"/>
          </w:tcPr>
          <w:p>
            <w:pPr>
              <w:jc w:val="right"/>
              <w:ind w:right="119"/>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1"/>
                <w:szCs w:val="21"/>
                <w:color w:val="auto"/>
              </w:rPr>
            </w:pP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86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by 2% in the three months ended June 30, 2018 as compared to the corresponding period in 2017. The increase is comprised of an increase in Title premiums from direct operations of $24 million, or 4%, and an increase in Title premiums from agency operations of $6 million, or 1%, in the three months ended June 30, 2018.</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by 1% in the six months ended June 30, 2018 as compared to the corresponding period in 2017. The increase is comprised of an increase in Title premiums from direct operations of $31 million, or 3%, partially offset by a decrease in Title premiums from agency operations of $13 million, or 1%, in the six months ended June 30,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7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72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9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Title premiums from direct operations increased in the three and six months ended June 30, 2018 as compared to the corresponding period in 2017. The increase is primarily attributable to an increase in the fee per file driven by a favorable change in the mix of closed orders from purchase and refinance transactions, partially offset by a decrease in closed order volume. We experienced an increase in closed title insurance order volumes from purchase transactions which was more than offset by a decrease in closed title insurance order volumes from refinance transactions in the three and six months ended June 30, 2018 as compared to the corresponding periods in 2017. Total closed order volumes were 362,000 in the three months ended June 30, 2018 compared with 370,000 in the three months ended June 30, 2017 and 675,000 in the six months ended June 30, 2018 compared with 704,000 in the six months ended June 30, 2017. This represented an overall decrease of 2% and 4 %, respectively. Opened title order volumes trended consistently with closed order volumes in both periods.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average fee per file in our direct operations was $2,579 and $2,470 in the three and six months ended June 30, 2018, respectively, compared to $2,428 and $2,295 in the three and six months ended June 30, 2017, respectively. The increase in average fee per file reflects the favorable change in mix of closed orders from purchase and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Title premiums from agency operations increased $6 million, or 1%, in the three months ended June 30, 2018 and decreased $13 million, or 1%, in the six months ended June 30, 2018 as compared to the corresponding period in 2017.</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Escrow, title-related and other fees increased by $27 million, or 5%, in the three months ended June 30, 2018 and increased by $47 million, or 4%, in the six months ended June 30, 2018 from the corresponding periods in 2017. Escrow fees, which are more closely related to our direct operations, increased by $14 million, or 6%, in the three months ended June 30, 2018 and increased by $24 million, or 6%, in the six months ended June 30, 2018 compared to the corresponding periods in 2017. The increase is representative of the favorable increase in closed title insurance orders from purchase transactions previously discussed. Other fees in the Title segment, excluding escrow fees, increased $13 million, or 4%, in the three months ended June 30, 2018 and increased $23 million, or 3%, in the six months ended June 30, 2018, from the corresponding periods in 2017. This increase is primarily attributable to revenue growth associated with our home warranty businesses, increased subservicing revenue at ServiceLink, and acquisitions, partially offset by decreases in revenue at FNF Canada and at certain other ServiceLink subsidiaries.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by $12 million in the three months ended June 30, 2018 and increased $21 million in the six months ended June 30, 2018, compared to the corresponding periods in 2017. The increase was primarily driven by increased interest rates earned in our tax-deferred property exchange business, interest earned on short term investments, and dividends from other long term investments, partially offset by a decrease in our fixed maturity holdings period over period.</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Realized gains and losses, net decreased $24 million in the three months ended June 30, 2018 and decreased $21 million in the six months ended June 30, 2018 from the comparable periods in 2017. The decrease was primarily attributable to the inclusion of non-cash valuation losses on our equity and preferred security holdings in the 2018 periods associated with the adoption of ASU 2016-01 on January 1, 2018.</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increased $33 million, or 5% in the three months ended June 30,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2018 and increased $64 million, or 6%, in the six months ended June 30, 2018, compared to the corresponding periods in 2017. The increase in the 2018 period is primarily due to higher commissions and bonuses associated with increased headcount to process increased closed order counts from purchase transactions and increased expense associated with acquisitions. Personnel costs as a percentage of total revenues from direct title premiums and escrow, title-related and other fees were 53% and 52% for the three-month periods ended June 30, 2018 and 2017, respectively, and 55% and 54% for the six-month periods ended June 30, 2018 and 2017, respectively. The increase in personnel cost as a percentage of total revenues from direct title premiums and escrow, title-related and other fees was primarily driven by the change in mix of title premiums from purchase and refinance transactions and to increased cost of employee group insurance claims. Average employee count in the Title segment was 23,344 and 23,146 in the three-month periods ended June 30, 2018 and 2017, respectively, and 23,177and 22,858 in the six-month periods ended June 30, 2018 and 2017, respectively.</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increased by $8 million, or 2% in the three months ended June 30, 2018 and increased by $3 million, or less than 1% in the six months ended June 30, 2018, from the corresponding periods in 2017. Other operating expenses as a percentage of total revenue excluding agency premiums, interest and investment income, and realized gains and losses decreased 1% in the three and six months ended June 30, 2018 from the comparable periods in 2017.</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decreased by $1 million in the three months ended June 30, 2018 and increased by $1 million in the six months ended June 30, 2018, compared to the corresponding periods in 2017.</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claim loss provision for title insurance was $60 million and $65 million for the three-month periods ended June 30, 2018 and 2017, respectively, and reflects an average provision rate of 4.5% and 5.0% of title premiums, respectively. The claim loss provision for title insurance was $107 million and $117 million for the six-month periods ended June 30, 2018 and 2017, respectively, and reflects an average provision rate of 4.5% and 5.0% of title premiums, respectively.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0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6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color w:val="auto"/>
              </w:rPr>
              <w:t>Revenues:</w:t>
            </w: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4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640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 and equity in earnings of</w:t>
            </w:r>
          </w:p>
        </w:tc>
        <w:tc>
          <w:tcPr>
            <w:tcW w:w="740" w:type="dxa"/>
            <w:vAlign w:val="bottom"/>
            <w:vMerge w:val="restart"/>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w:t>
            </w: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 revenue in the Corporate and Other segment for all periods represents revenue generated by our real estate brokerage and technology subsidiaries offset by the elimination of certain revenues between segments. See Note J.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included in Item 1 of Part 1 of this Quarterly Report for further discussion and disaggregation of our revenue.</w:t>
      </w:r>
    </w:p>
    <w:p>
      <w:pPr>
        <w:spacing w:after="0" w:line="7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Total revenues in the Corporate and Other segment increased $19 million, or 13%, in the three-month period ended June 30, 2018 and increased $49 million, or 23%, in the six-month period ended June 30, 2018, from the comparative periods in 2017. The increase is primarily attributable to growth and acquisitions in our real estate brokerage businesses resulting in increased revenue of $3 million and $22 million in the three and six month periods ended June 30, 2018 respectively, and in our real estate technology businesses resulting in increased revenue of $12 million and $21 million in the three and six month periods ended June 30, 2018 respectively, from the comparable 2017 periods. The three month period ended June 30, 2017 also includes $15 million related to recording one additional month of results of operations for our real estate brokerages, which were previously reported on a one-month lag.</w:t>
      </w:r>
    </w:p>
    <w:p>
      <w:pPr>
        <w:spacing w:after="0" w:line="5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Personnel costs in the Corporate and Other segment increased $6 million, or 25%, in the three-month period ended June 30, 2018 and increased $13 million, or 29%, in the six-month period ended June 30, 2018, from the corresponding periods in 2017. The increase is primarily attributable to increased costs associated with the increase in revenue.</w:t>
      </w:r>
    </w:p>
    <w:p>
      <w:pPr>
        <w:spacing w:after="0" w:line="7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Other operating expenses in the Corporate and Other segment increased $19 million, or 16%, in the three-month period ended June 30, 2018 and increased $58 million, or 33%, in the six-month period ended June 30, 2018, from the corresponding periods in 2017. The increase is primarily attributable to increased costs associated with the increase in revenue and to the inclusion of $12 million and $22 million of expense eliminations (reduction to expense) in the three and six months ended June 30, 2017, respectively, related to eliminations of transactions with Black Knight.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a result of the FNFV Split-Off and BK Distribution, the results of operations of FNFV and Black Knight are included in discontinued operations. Earnings from discontinued operations, net of tax, were $126 million and $147 million in the three and six months ended June 30, 2017. Refer to Note K. </w:t>
      </w: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to our Condensed Consolidated Financial Statements in Item 1 of Part I of this Quarterly Report for further information,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breakout of the results of operations of both FNFV and Black Knight.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on our debt, capital expenditures, business acquisitions, stock repurchases and dividends on our common stock. We paid dividends of $0.30 per share in the second quarter of 2018, or approximately $82 million to our FNF common shareholders. On July 17, 2018, our Board of Directors declared cash dividends of $0.30 per share, payable on September 28, 2018, to FNF common shareholders of record as of September 14, 2018.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2017, $1,700 million of our net assets were restricted from dividend payments without prior approval from the relevant departments of insurance. We anticipate that our title insurance subsidiaries will pay or make dividends in the remainder of 2018 of approximately $179 million. Our underwritten title companies and non-insurance subsidiaries are not regulated to the same extent as our insurance subsidiaries.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operations for the six months ended June 30, 2018 and 2017 totaled $350 million and $291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of $59 million is primarily attributable to decreased payments for income taxes in the current period of $90 million and the payment of legal settlements of $65 million in the 2017 period, partially offset by $25 million of cash flow from operating activities attributable to discontinued operations in the 2017 period and decreased net earnings of $31 million. The remaining variance is attributable to timing of receipt and payment of receivables and payables.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Our cash provided by investing activities for the six months ended June 30, 2018 and 2017 were $54 million and $399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2017 period included $67 million of cash provided by investing activities of discontinued operations. The decrease in cash provided by investing activities of $345 million in the 2018 period from the 2017 period is primarily attributable to a $154 million decrease in net inflows from the sales of, and distributions from, equity and fixed income investments, net of purchases and additional investments in unconsolidated investees and FNFV's sale of its subsidiary for $326 million in the 2017 period, partially offset by the proceeds from the sale of property and equipment of $21 million, lower cash paid for acquisitions of $77 million and decreased capital expenditures of $49 million in the 2018 period compared to the corresponding period in 2017.</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$39 million and $88 million for the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ended June 30, 2018 and 2017, respectively. The decrease is primarily attributable to capital expenditures at Black Knight and FNFV in the 2017 period.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Our cash flows used in financing activities for the six months ended June 30, 2018 and 2017 were $194 million and $572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decrease in cash used in financing activities of $378 million from the 2018 period to the 2017 period is primarily attributable to decreased net debt service payments, net of borrowings, of $318 million, decreased equity repurchases of both FNF and Black Knight stock of $63 million, and an increase in the change in secured trust deposits of $35 million, partially offset by an increase in dividends paid of $28 million.</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six months ended June 30, 2018, we repurchased Notes, and Notes were converted by holders, with aggregate principal of $29 million for $86 million. Upon maturity of the Notes in August 2018, we expect to settle in cash and pay approximately $118 million based on stock prices and conversion rates as of June 30, 2018.</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July 20, 2015, our Board of Directors approved a three-year stock repurchase program (the "2015 Repurchase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we could purchase up to 25 million shares of our FNF common stock through July 31, 2018. On July 17, 2018, our Board of Directors terminated the 2015 Repurchase Program effective as of July 31, 2018 and approved a new three-year stock repurchase program effective August 1, 2018 (the "2018 Repurchase Program") under which we can purchase up to 25 million shares of our FNF common stock through July 31, 2021. We may make repurchases from time to time in the open market, in block purchases or in privately negotiated transactions, depending on market conditions and other factors. Since the original commencement of the 2015 Repurchase Program through market close on July 30, 2018, we repurchased a total of 10,589,000 FNF common shares for $372 million, or an average of $35.10 per share. We have not made any repurchases under these programs in the three or six months ended June 30, 2018 or in the subsequent period ended August 6, 2018.</w:t>
      </w:r>
    </w:p>
    <w:p>
      <w:pPr>
        <w:spacing w:after="0" w:line="1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Equity and Preferred Security Investments. </w:t>
      </w:r>
      <w:r>
        <w:rPr>
          <w:rFonts w:ascii="Arial" w:cs="Arial" w:eastAsia="Arial" w:hAnsi="Arial"/>
          <w:sz w:val="16"/>
          <w:szCs w:val="16"/>
          <w:color w:val="auto"/>
        </w:rPr>
        <w:t>Our equity and preferred security investments may be subject to significant volatility. Should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There have been no significant changes to our off-balance sheet arrangements since our Annual Report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There have been no material changes to our critical accounting policies described in our Annual Report for our fiscal year ended December 31, 2017.</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addition to the significant risks and uncertainties described in our Annual Report, we identified the following additional risk as a result of the pending Stewart Merger. See "Recent Developments" in Note A. </w:t>
      </w:r>
      <w:r>
        <w:rPr>
          <w:rFonts w:ascii="Arial" w:cs="Arial" w:eastAsia="Arial" w:hAnsi="Arial"/>
          <w:sz w:val="18"/>
          <w:szCs w:val="18"/>
          <w:i w:val="1"/>
          <w:iCs w:val="1"/>
          <w:color w:val="auto"/>
        </w:rPr>
        <w:t>Basis of Financial Statements</w:t>
      </w:r>
      <w:r>
        <w:rPr>
          <w:rFonts w:ascii="Arial" w:cs="Arial" w:eastAsia="Arial" w:hAnsi="Arial"/>
          <w:sz w:val="18"/>
          <w:szCs w:val="18"/>
          <w:color w:val="auto"/>
        </w:rPr>
        <w:t xml:space="preserve"> to our Condensed Consolidated Financial Statements included in Item 1 of Part 1 of this report for further discussion of the Stewart Merger.</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pending acquisition of Stewart may expose us to certain risks.</w:t>
      </w:r>
    </w:p>
    <w:p>
      <w:pPr>
        <w:spacing w:after="0" w:line="19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19, 2018, we signed a merger agreement (the "Merger Agreement") to acquire Stewart Information Services Corporation ("Stewart") (NYSE: STC) (the "Stewart Merger"). The closing of the Stewart Merger is subject to certain closing conditions, including Stewart stockholder approval, federal and state regulatory approvals and the satisfaction of other customary closing conditions. Closing of the Stewart Merger is expected in the first or second quarter of 2019. If the Stewart Merger is not completed for failure to obtain the required regulatory approvals, we are required to pay a reverse break-up fee of $50 million to Stewart. If the Stewart Merger is completed, we may face challenges in integrating Stewart. These challenges include eliminating redundant operations, facilities and systems, coordinating management and personnel, retaining key employees, managing different corporate cultures, and achieving cost reductions. There can be no assurance that we will be able to fully integrate all aspects of the acquired business successfully, and the process of integrating this acquisition may disrupt our business and divert our resources.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520" w:type="dxa"/>
            <w:vAlign w:val="bottom"/>
          </w:tcPr>
          <w:p>
            <w:pPr>
              <w:ind w:left="240"/>
              <w:spacing w:after="0"/>
              <w:rPr>
                <w:sz w:val="20"/>
                <w:szCs w:val="20"/>
                <w:color w:val="auto"/>
              </w:rPr>
            </w:pPr>
            <w:r>
              <w:rPr>
                <w:rFonts w:ascii="Arial" w:cs="Arial" w:eastAsia="Arial" w:hAnsi="Arial"/>
                <w:sz w:val="18"/>
                <w:szCs w:val="18"/>
                <w:color w:val="auto"/>
              </w:rPr>
              <w:t>(a) Exhibits:</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7"/>
              </w:rPr>
              <w:t>2.1</w:t>
            </w:r>
          </w:p>
        </w:tc>
        <w:tc>
          <w:tcPr>
            <w:tcW w:w="9880" w:type="dxa"/>
            <w:vAlign w:val="bottom"/>
            <w:gridSpan w:val="7"/>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Agreement and Plan of Merger, dated as of March 18, 2018, by and among Stewart Information Services Corporation, Fidelity National</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Financial, Inc., A Holdco Corp., and S Holdco LLC (incorporated by reference to Exhibit 2.1 to the Registrant's Current Report on Form</w:t>
              </w:r>
            </w:hyperlink>
          </w:p>
        </w:tc>
      </w:tr>
      <w:tr>
        <w:trPr>
          <w:trHeight w:val="196"/>
        </w:trPr>
        <w:tc>
          <w:tcPr>
            <w:tcW w:w="1520" w:type="dxa"/>
            <w:vAlign w:val="bottom"/>
          </w:tcPr>
          <w:p>
            <w:pPr>
              <w:spacing w:after="0"/>
              <w:rPr>
                <w:sz w:val="17"/>
                <w:szCs w:val="17"/>
                <w:color w:val="auto"/>
              </w:rPr>
            </w:pPr>
          </w:p>
        </w:tc>
        <w:tc>
          <w:tcPr>
            <w:tcW w:w="21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8-K filed on March 19, 2018)</w:t>
              </w:r>
            </w:hyperlink>
          </w:p>
        </w:tc>
        <w:tc>
          <w:tcPr>
            <w:tcW w:w="7740" w:type="dxa"/>
            <w:vAlign w:val="bottom"/>
            <w:gridSpan w:val="5"/>
          </w:tcPr>
          <w:p>
            <w:pPr>
              <w:spacing w:after="0"/>
              <w:rPr>
                <w:sz w:val="17"/>
                <w:szCs w:val="17"/>
                <w:color w:val="auto"/>
              </w:rPr>
            </w:pPr>
          </w:p>
        </w:tc>
      </w:tr>
      <w:tr>
        <w:trPr>
          <w:trHeight w:val="588"/>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7"/>
              </w:rPr>
              <w:t>3.1</w:t>
            </w:r>
          </w:p>
        </w:tc>
        <w:tc>
          <w:tcPr>
            <w:tcW w:w="9880" w:type="dxa"/>
            <w:vAlign w:val="bottom"/>
            <w:tcBorders>
              <w:bottom w:val="single" w:sz="8" w:color="0000FF"/>
            </w:tcBorders>
            <w:gridSpan w:val="7"/>
          </w:tcPr>
          <w:p>
            <w:pPr>
              <w:spacing w:after="0"/>
              <w:rPr>
                <w:rFonts w:ascii="Arial" w:cs="Arial" w:eastAsia="Arial" w:hAnsi="Arial"/>
                <w:sz w:val="18"/>
                <w:szCs w:val="18"/>
                <w:color w:val="0000FF"/>
                <w:w w:val="93"/>
              </w:rPr>
            </w:pPr>
            <w:hyperlink r:id="rId24">
              <w:r>
                <w:rPr>
                  <w:rFonts w:ascii="Arial" w:cs="Arial" w:eastAsia="Arial" w:hAnsi="Arial"/>
                  <w:sz w:val="18"/>
                  <w:szCs w:val="18"/>
                  <w:color w:val="0000FF"/>
                  <w:w w:val="93"/>
                </w:rPr>
                <w:t>Fifth Amended and Restated Certificate of Incorporation of Fidelity National Financial, Inc. (incorporated by reference to Exhibit 3.1 to</w:t>
              </w:r>
            </w:hyperlink>
          </w:p>
        </w:tc>
      </w:tr>
      <w:tr>
        <w:trPr>
          <w:trHeight w:val="196"/>
        </w:trPr>
        <w:tc>
          <w:tcPr>
            <w:tcW w:w="1520" w:type="dxa"/>
            <w:vAlign w:val="bottom"/>
          </w:tcPr>
          <w:p>
            <w:pPr>
              <w:spacing w:after="0"/>
              <w:rPr>
                <w:sz w:val="17"/>
                <w:szCs w:val="17"/>
                <w:color w:val="auto"/>
              </w:rPr>
            </w:pPr>
          </w:p>
        </w:tc>
        <w:tc>
          <w:tcPr>
            <w:tcW w:w="49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the Registrants Current Report on Form 8-K filed on June 13, 2018)</w:t>
              </w:r>
            </w:hyperlink>
          </w:p>
        </w:tc>
        <w:tc>
          <w:tcPr>
            <w:tcW w:w="4980" w:type="dxa"/>
            <w:vAlign w:val="bottom"/>
            <w:gridSpan w:val="4"/>
          </w:tcPr>
          <w:p>
            <w:pPr>
              <w:spacing w:after="0"/>
              <w:rPr>
                <w:sz w:val="17"/>
                <w:szCs w:val="17"/>
                <w:color w:val="auto"/>
              </w:rPr>
            </w:pPr>
          </w:p>
        </w:tc>
      </w:tr>
      <w:tr>
        <w:trPr>
          <w:trHeight w:val="372"/>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of Chief Executive Officer pursuant to Section 302 of the Sarbanes-Oxley Act of 2002.</w:t>
              </w:r>
            </w:hyperlink>
          </w:p>
        </w:tc>
        <w:tc>
          <w:tcPr>
            <w:tcW w:w="2640" w:type="dxa"/>
            <w:vAlign w:val="bottom"/>
            <w:gridSpan w:val="2"/>
          </w:tcPr>
          <w:p>
            <w:pPr>
              <w:spacing w:after="0"/>
              <w:rPr>
                <w:sz w:val="24"/>
                <w:szCs w:val="24"/>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31.2</w:t>
            </w:r>
          </w:p>
        </w:tc>
        <w:tc>
          <w:tcPr>
            <w:tcW w:w="9880" w:type="dxa"/>
            <w:vAlign w:val="bottom"/>
            <w:gridSpan w:val="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32.1</w:t>
            </w:r>
          </w:p>
        </w:tc>
        <w:tc>
          <w:tcPr>
            <w:tcW w:w="9880" w:type="dxa"/>
            <w:vAlign w:val="bottom"/>
            <w:gridSpan w:val="7"/>
          </w:tcPr>
          <w:p>
            <w:pPr>
              <w:spacing w:after="0"/>
              <w:rPr>
                <w:rFonts w:ascii="Arial" w:cs="Arial" w:eastAsia="Arial" w:hAnsi="Arial"/>
                <w:sz w:val="18"/>
                <w:szCs w:val="18"/>
                <w:color w:val="0000FF"/>
                <w:w w:val="94"/>
              </w:rPr>
            </w:pPr>
            <w:hyperlink w:anchor="page41">
              <w:r>
                <w:rPr>
                  <w:rFonts w:ascii="Arial" w:cs="Arial" w:eastAsia="Arial" w:hAnsi="Arial"/>
                  <w:sz w:val="18"/>
                  <w:szCs w:val="18"/>
                  <w:color w:val="0000FF"/>
                  <w:w w:val="94"/>
                </w:rPr>
                <w:t>Certification by Chief Executive Officer of Periodic Financial Reports pursuant to Section 906 of the Sarbanes-Oxley Act of 2002, 18</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1">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32.2</w:t>
            </w:r>
          </w:p>
        </w:tc>
        <w:tc>
          <w:tcPr>
            <w:tcW w:w="9880" w:type="dxa"/>
            <w:vAlign w:val="bottom"/>
            <w:gridSpan w:val="7"/>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Certification by Chief Financial Officer of Periodic Financial Reports pursuant to Section 906 of the Sarbanes-Oxley Act of 2002, 18</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520" w:hanging="1127"/>
        <w:spacing w:after="0" w:line="25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and six-months ended June 30, 2018,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380"/>
          </w:cols>
          <w:pgMar w:left="240" w:top="121" w:right="279" w:bottom="1440" w:gutter="0" w:footer="0" w:header="0"/>
        </w:sectPr>
      </w:pP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Date: August 6, 2018</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ectPr>
          <w:pgSz w:w="11900" w:h="16838" w:orient="portrait"/>
          <w:cols w:equalWidth="0" w:num="2">
            <w:col w:w="4780" w:space="720"/>
            <w:col w:w="5880"/>
          </w:cols>
          <w:pgMar w:left="240" w:top="121" w:right="279" w:bottom="1440" w:gutter="0" w:footer="0" w:header="0"/>
          <w:type w:val="continuous"/>
        </w:sectPr>
      </w:pPr>
    </w:p>
    <w:p>
      <w:pPr>
        <w:spacing w:after="0" w:line="6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46355</wp:posOffset>
            </wp:positionV>
            <wp:extent cx="2727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760" w:space="180"/>
            <w:col w:w="5440"/>
          </w:cols>
          <w:pgMar w:left="240" w:top="121" w:right="279" w:bottom="1440" w:gutter="0" w:footer="0" w:header="0"/>
          <w:type w:val="continuous"/>
        </w:sectPr>
      </w:pPr>
    </w:p>
    <w:p>
      <w:pPr>
        <w:ind w:left="59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80"/>
          </w:cols>
          <w:pgMar w:left="240" w:top="121" w:right="27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6, 2018</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6, 2018</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23" Type="http://schemas.openxmlformats.org/officeDocument/2006/relationships/hyperlink" Target="http://www.sec.gov/Archives/edgar/data/1331875/000110465918018663/a18-8535_1ex2d1.htm" TargetMode="External"/><Relationship Id="rId24" Type="http://schemas.openxmlformats.org/officeDocument/2006/relationships/hyperlink" Target="http://www.sec.gov/Archives/edgar/data/1331875/000133187518000035/fnffifthamendedandrestat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2019-12-28T20:17:49Z</dcterms:created>
  <dcterms:modified xsi:type="dcterms:W3CDTF">2019-12-28T20:17:49Z</dcterms:modified>
</cp:coreProperties>
</file>